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1AD5">
      <w:pPr>
        <w:pStyle w:val="8"/>
        <w:keepNext w:val="0"/>
        <w:keepLines w:val="0"/>
        <w:pageBreakBefore w:val="0"/>
        <w:widowControl/>
        <w:kinsoku/>
        <w:wordWrap/>
        <w:overflowPunct/>
        <w:topLinePunct w:val="0"/>
        <w:autoSpaceDE w:val="0"/>
        <w:autoSpaceDN w:val="0"/>
        <w:bidi w:val="0"/>
        <w:adjustRightInd w:val="0"/>
        <w:snapToGrid w:val="0"/>
        <w:spacing w:line="260" w:lineRule="auto"/>
        <w:jc w:val="both"/>
        <w:rPr>
          <w:rFonts w:hint="eastAsia" w:ascii="宋体" w:hAnsi="宋体" w:eastAsia="宋体" w:cs="宋体"/>
          <w:color w:val="auto"/>
          <w:kern w:val="0"/>
          <w:sz w:val="48"/>
          <w:szCs w:val="48"/>
          <w:highlight w:val="none"/>
          <w:lang w:val="en-US" w:eastAsia="zh-CN" w:bidi="ar-SA"/>
        </w:rPr>
      </w:pPr>
    </w:p>
    <w:p w14:paraId="002F39D0">
      <w:pPr>
        <w:keepNext w:val="0"/>
        <w:keepLines w:val="0"/>
        <w:pageBreakBefore w:val="0"/>
        <w:widowControl w:val="0"/>
        <w:kinsoku/>
        <w:wordWrap/>
        <w:overflowPunct/>
        <w:topLinePunct w:val="0"/>
        <w:autoSpaceDE/>
        <w:autoSpaceDN/>
        <w:bidi w:val="0"/>
        <w:adjustRightInd/>
        <w:snapToGrid/>
        <w:spacing w:before="166" w:beforeLines="50" w:line="800" w:lineRule="exact"/>
        <w:jc w:val="center"/>
        <w:textAlignment w:val="auto"/>
        <w:rPr>
          <w:rFonts w:hint="eastAsia" w:ascii="宋体" w:hAnsi="宋体" w:eastAsia="宋体" w:cs="宋体"/>
          <w:snapToGrid/>
          <w:color w:val="auto"/>
          <w:kern w:val="2"/>
          <w:sz w:val="52"/>
          <w:szCs w:val="52"/>
          <w:highlight w:val="none"/>
          <w:lang w:eastAsia="zh-CN"/>
        </w:rPr>
      </w:pPr>
      <w:r>
        <w:rPr>
          <w:rFonts w:hint="eastAsia" w:ascii="宋体" w:hAnsi="宋体" w:eastAsia="宋体" w:cs="宋体"/>
          <w:snapToGrid/>
          <w:color w:val="auto"/>
          <w:kern w:val="2"/>
          <w:sz w:val="52"/>
          <w:szCs w:val="52"/>
          <w:highlight w:val="none"/>
          <w:lang w:eastAsia="zh-CN"/>
        </w:rPr>
        <w:t>广西壮族自治区尾矿库和矿山开采区</w:t>
      </w:r>
    </w:p>
    <w:p w14:paraId="1BA30B2A">
      <w:pPr>
        <w:keepNext w:val="0"/>
        <w:keepLines w:val="0"/>
        <w:pageBreakBefore w:val="0"/>
        <w:widowControl w:val="0"/>
        <w:kinsoku/>
        <w:wordWrap/>
        <w:overflowPunct/>
        <w:topLinePunct w:val="0"/>
        <w:autoSpaceDE/>
        <w:autoSpaceDN/>
        <w:bidi w:val="0"/>
        <w:adjustRightInd/>
        <w:snapToGrid/>
        <w:spacing w:before="166" w:beforeLines="50" w:line="800" w:lineRule="exact"/>
        <w:jc w:val="center"/>
        <w:textAlignment w:val="auto"/>
        <w:rPr>
          <w:rFonts w:hint="eastAsia" w:ascii="宋体" w:hAnsi="宋体" w:eastAsia="宋体" w:cs="宋体"/>
          <w:snapToGrid/>
          <w:color w:val="auto"/>
          <w:kern w:val="2"/>
          <w:sz w:val="52"/>
          <w:szCs w:val="52"/>
          <w:highlight w:val="none"/>
          <w:lang w:eastAsia="zh-CN"/>
        </w:rPr>
      </w:pPr>
      <w:r>
        <w:rPr>
          <w:rFonts w:hint="eastAsia" w:ascii="宋体" w:hAnsi="宋体" w:eastAsia="宋体" w:cs="宋体"/>
          <w:snapToGrid/>
          <w:color w:val="auto"/>
          <w:kern w:val="2"/>
          <w:sz w:val="52"/>
          <w:szCs w:val="52"/>
          <w:highlight w:val="none"/>
          <w:lang w:eastAsia="zh-CN"/>
        </w:rPr>
        <w:t>地下水环境状况调查评估项目（二期）</w:t>
      </w:r>
    </w:p>
    <w:p w14:paraId="3C056986">
      <w:pPr>
        <w:pStyle w:val="8"/>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174BE5FA">
      <w:pPr>
        <w:pStyle w:val="8"/>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2483358E">
      <w:pPr>
        <w:pStyle w:val="8"/>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7617128A">
      <w:pPr>
        <w:pStyle w:val="8"/>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0D70DA60">
      <w:pPr>
        <w:pStyle w:val="8"/>
        <w:keepNext w:val="0"/>
        <w:keepLines w:val="0"/>
        <w:pageBreakBefore w:val="0"/>
        <w:widowControl/>
        <w:kinsoku/>
        <w:wordWrap/>
        <w:overflowPunct/>
        <w:topLinePunct w:val="0"/>
        <w:autoSpaceDE w:val="0"/>
        <w:autoSpaceDN w:val="0"/>
        <w:bidi w:val="0"/>
        <w:adjustRightInd w:val="0"/>
        <w:snapToGrid w:val="0"/>
        <w:spacing w:line="354" w:lineRule="auto"/>
        <w:ind w:firstLine="2904" w:firstLineChars="400"/>
        <w:rPr>
          <w:rFonts w:hint="eastAsia" w:ascii="宋体" w:hAnsi="宋体" w:eastAsia="宋体" w:cs="宋体"/>
          <w:color w:val="auto"/>
          <w:highlight w:val="none"/>
          <w:lang w:eastAsia="zh-CN"/>
        </w:rPr>
      </w:pPr>
      <w:r>
        <w:rPr>
          <w:rFonts w:hint="eastAsia" w:ascii="宋体" w:hAnsi="宋体" w:eastAsia="宋体" w:cs="宋体"/>
          <w:color w:val="auto"/>
          <w:spacing w:val="8"/>
          <w:sz w:val="71"/>
          <w:szCs w:val="71"/>
          <w:highlight w:val="none"/>
          <w:lang w:eastAsia="zh-CN"/>
        </w:rPr>
        <w:t>招标文件</w:t>
      </w:r>
    </w:p>
    <w:p w14:paraId="300707CA">
      <w:pPr>
        <w:keepNext w:val="0"/>
        <w:keepLines w:val="0"/>
        <w:pageBreakBefore w:val="0"/>
        <w:widowControl/>
        <w:kinsoku/>
        <w:wordWrap/>
        <w:overflowPunct/>
        <w:topLinePunct w:val="0"/>
        <w:autoSpaceDE w:val="0"/>
        <w:autoSpaceDN w:val="0"/>
        <w:bidi w:val="0"/>
        <w:adjustRightInd w:val="0"/>
        <w:snapToGrid w:val="0"/>
        <w:spacing w:before="97" w:line="219" w:lineRule="auto"/>
        <w:ind w:firstLine="1600" w:firstLineChars="5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项目编号：GXZC2024-G3-005949-DSGS</w:t>
      </w:r>
    </w:p>
    <w:p w14:paraId="5BE63A85">
      <w:pPr>
        <w:pStyle w:val="8"/>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294E6DE3">
      <w:pPr>
        <w:pStyle w:val="8"/>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505C0578">
      <w:pPr>
        <w:pStyle w:val="8"/>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281B37AC">
      <w:pPr>
        <w:pStyle w:val="8"/>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1900DE91">
      <w:pPr>
        <w:pStyle w:val="8"/>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3C56C08F">
      <w:pPr>
        <w:pStyle w:val="8"/>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5B51F193">
      <w:pPr>
        <w:pStyle w:val="8"/>
        <w:keepNext w:val="0"/>
        <w:keepLines w:val="0"/>
        <w:pageBreakBefore w:val="0"/>
        <w:widowControl/>
        <w:kinsoku/>
        <w:wordWrap/>
        <w:overflowPunct/>
        <w:topLinePunct w:val="0"/>
        <w:autoSpaceDE w:val="0"/>
        <w:autoSpaceDN w:val="0"/>
        <w:bidi w:val="0"/>
        <w:adjustRightInd w:val="0"/>
        <w:snapToGrid w:val="0"/>
        <w:spacing w:line="243" w:lineRule="auto"/>
        <w:rPr>
          <w:rFonts w:hint="eastAsia" w:ascii="宋体" w:hAnsi="宋体" w:eastAsia="宋体" w:cs="宋体"/>
          <w:color w:val="auto"/>
          <w:highlight w:val="none"/>
        </w:rPr>
      </w:pPr>
    </w:p>
    <w:p w14:paraId="50321272">
      <w:pPr>
        <w:pStyle w:val="8"/>
        <w:keepNext w:val="0"/>
        <w:keepLines w:val="0"/>
        <w:pageBreakBefore w:val="0"/>
        <w:widowControl/>
        <w:kinsoku/>
        <w:wordWrap/>
        <w:overflowPunct/>
        <w:topLinePunct w:val="0"/>
        <w:autoSpaceDE w:val="0"/>
        <w:autoSpaceDN w:val="0"/>
        <w:bidi w:val="0"/>
        <w:adjustRightInd w:val="0"/>
        <w:snapToGrid w:val="0"/>
        <w:spacing w:line="243" w:lineRule="auto"/>
        <w:rPr>
          <w:rFonts w:hint="eastAsia" w:ascii="宋体" w:hAnsi="宋体" w:eastAsia="宋体" w:cs="宋体"/>
          <w:color w:val="auto"/>
          <w:highlight w:val="none"/>
        </w:rPr>
      </w:pPr>
    </w:p>
    <w:p w14:paraId="6F292E1E">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1341" w:firstLineChars="422"/>
        <w:textAlignment w:val="baseline"/>
        <w:rPr>
          <w:rFonts w:hint="eastAsia" w:ascii="宋体" w:hAnsi="宋体" w:eastAsia="宋体" w:cs="宋体"/>
          <w:color w:val="auto"/>
          <w:spacing w:val="-1"/>
          <w:sz w:val="32"/>
          <w:szCs w:val="32"/>
          <w:highlight w:val="none"/>
        </w:rPr>
      </w:pPr>
      <w:r>
        <w:rPr>
          <w:rFonts w:hint="eastAsia" w:ascii="宋体" w:hAnsi="宋体" w:eastAsia="宋体" w:cs="宋体"/>
          <w:color w:val="auto"/>
          <w:spacing w:val="-1"/>
          <w:sz w:val="32"/>
          <w:szCs w:val="32"/>
          <w:highlight w:val="none"/>
          <w:lang w:eastAsia="zh-CN"/>
        </w:rPr>
        <w:t>采   购   人：广西壮族自治区生态环境厅</w:t>
      </w:r>
    </w:p>
    <w:p w14:paraId="61AA14C1">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1341" w:firstLineChars="422"/>
        <w:textAlignment w:val="baseline"/>
        <w:rPr>
          <w:rFonts w:hint="eastAsia" w:ascii="宋体" w:hAnsi="宋体" w:eastAsia="宋体" w:cs="宋体"/>
          <w:color w:val="auto"/>
          <w:spacing w:val="-9"/>
          <w:sz w:val="32"/>
          <w:szCs w:val="32"/>
          <w:highlight w:val="none"/>
        </w:rPr>
      </w:pPr>
      <w:r>
        <w:rPr>
          <w:rFonts w:hint="eastAsia" w:ascii="宋体" w:hAnsi="宋体" w:eastAsia="宋体" w:cs="宋体"/>
          <w:color w:val="auto"/>
          <w:spacing w:val="-1"/>
          <w:sz w:val="32"/>
          <w:szCs w:val="32"/>
          <w:highlight w:val="none"/>
        </w:rPr>
        <w:t>采购代理机构：</w:t>
      </w:r>
      <w:r>
        <w:rPr>
          <w:rFonts w:hint="eastAsia" w:ascii="宋体" w:hAnsi="宋体" w:eastAsia="宋体" w:cs="宋体"/>
          <w:color w:val="auto"/>
          <w:spacing w:val="-1"/>
          <w:sz w:val="32"/>
          <w:szCs w:val="32"/>
          <w:highlight w:val="none"/>
          <w:lang w:eastAsia="zh-CN"/>
        </w:rPr>
        <w:t>广西德胜工程项目管理有限公司</w:t>
      </w:r>
    </w:p>
    <w:p w14:paraId="02BA2B39">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color w:val="auto"/>
          <w:spacing w:val="-9"/>
          <w:sz w:val="32"/>
          <w:szCs w:val="32"/>
          <w:highlight w:val="none"/>
        </w:rPr>
      </w:pPr>
      <w:r>
        <w:rPr>
          <w:rFonts w:hint="eastAsia" w:ascii="宋体" w:hAnsi="宋体" w:eastAsia="宋体" w:cs="宋体"/>
          <w:color w:val="auto"/>
          <w:spacing w:val="-9"/>
          <w:sz w:val="32"/>
          <w:szCs w:val="32"/>
          <w:highlight w:val="none"/>
        </w:rPr>
        <w:t>日期：202</w:t>
      </w:r>
      <w:r>
        <w:rPr>
          <w:rFonts w:hint="eastAsia" w:ascii="宋体" w:hAnsi="宋体" w:eastAsia="宋体" w:cs="宋体"/>
          <w:color w:val="auto"/>
          <w:spacing w:val="-9"/>
          <w:sz w:val="32"/>
          <w:szCs w:val="32"/>
          <w:highlight w:val="none"/>
          <w:lang w:val="en-US" w:eastAsia="zh-CN"/>
        </w:rPr>
        <w:t>4</w:t>
      </w:r>
      <w:r>
        <w:rPr>
          <w:rFonts w:hint="eastAsia" w:ascii="宋体" w:hAnsi="宋体" w:eastAsia="宋体" w:cs="宋体"/>
          <w:color w:val="auto"/>
          <w:spacing w:val="-9"/>
          <w:sz w:val="32"/>
          <w:szCs w:val="32"/>
          <w:highlight w:val="none"/>
        </w:rPr>
        <w:t>年</w:t>
      </w:r>
      <w:r>
        <w:rPr>
          <w:rFonts w:hint="eastAsia" w:ascii="宋体" w:hAnsi="宋体" w:eastAsia="宋体" w:cs="宋体"/>
          <w:color w:val="auto"/>
          <w:spacing w:val="-9"/>
          <w:sz w:val="32"/>
          <w:szCs w:val="32"/>
          <w:highlight w:val="none"/>
          <w:lang w:val="en-US" w:eastAsia="zh-CN"/>
        </w:rPr>
        <w:t>11</w:t>
      </w:r>
      <w:r>
        <w:rPr>
          <w:rFonts w:hint="eastAsia" w:ascii="宋体" w:hAnsi="宋体" w:eastAsia="宋体" w:cs="宋体"/>
          <w:color w:val="auto"/>
          <w:spacing w:val="-9"/>
          <w:sz w:val="32"/>
          <w:szCs w:val="32"/>
          <w:highlight w:val="none"/>
        </w:rPr>
        <w:t>月</w:t>
      </w:r>
      <w:r>
        <w:rPr>
          <w:rFonts w:hint="eastAsia" w:ascii="宋体" w:hAnsi="宋体" w:eastAsia="宋体" w:cs="宋体"/>
          <w:color w:val="auto"/>
          <w:spacing w:val="-9"/>
          <w:sz w:val="32"/>
          <w:szCs w:val="32"/>
          <w:highlight w:val="none"/>
          <w:lang w:val="en-US" w:eastAsia="zh-CN"/>
        </w:rPr>
        <w:t>14</w:t>
      </w:r>
      <w:r>
        <w:rPr>
          <w:rFonts w:hint="eastAsia" w:ascii="宋体" w:hAnsi="宋体" w:eastAsia="宋体" w:cs="宋体"/>
          <w:color w:val="auto"/>
          <w:spacing w:val="-9"/>
          <w:sz w:val="32"/>
          <w:szCs w:val="32"/>
          <w:highlight w:val="none"/>
        </w:rPr>
        <w:t>日</w:t>
      </w:r>
    </w:p>
    <w:p w14:paraId="1C0B66FE">
      <w:pPr>
        <w:pStyle w:val="4"/>
        <w:rPr>
          <w:rFonts w:hint="eastAsia"/>
          <w:color w:val="auto"/>
          <w:highlight w:val="none"/>
        </w:rPr>
      </w:pPr>
    </w:p>
    <w:p w14:paraId="0CCC64AB">
      <w:pPr>
        <w:spacing w:line="309" w:lineRule="auto"/>
        <w:rPr>
          <w:rFonts w:ascii="Arial"/>
          <w:color w:val="auto"/>
          <w:sz w:val="21"/>
          <w:highlight w:val="none"/>
        </w:rPr>
      </w:pPr>
    </w:p>
    <w:p w14:paraId="6E841FCA">
      <w:pPr>
        <w:spacing w:line="309" w:lineRule="auto"/>
        <w:rPr>
          <w:rFonts w:ascii="Arial"/>
          <w:color w:val="auto"/>
          <w:sz w:val="21"/>
          <w:highlight w:val="none"/>
        </w:rPr>
      </w:pPr>
    </w:p>
    <w:sdt>
      <w:sdtPr>
        <w:rPr>
          <w:rFonts w:ascii="宋体" w:hAnsi="宋体" w:eastAsia="宋体" w:cs="宋体"/>
          <w:color w:val="auto"/>
          <w:sz w:val="40"/>
          <w:szCs w:val="40"/>
          <w:highlight w:val="none"/>
        </w:rPr>
        <w:id w:val="147478235"/>
        <w:docPartObj>
          <w:docPartGallery w:val="Table of Contents"/>
          <w:docPartUnique/>
        </w:docPartObj>
      </w:sdtPr>
      <w:sdtEndPr>
        <w:rPr>
          <w:rFonts w:ascii="宋体" w:hAnsi="宋体" w:eastAsia="宋体" w:cs="宋体"/>
          <w:color w:val="auto"/>
          <w:sz w:val="30"/>
          <w:szCs w:val="30"/>
          <w:highlight w:val="none"/>
        </w:rPr>
      </w:sdtEndPr>
      <w:sdtContent>
        <w:p w14:paraId="277F384F">
          <w:pPr>
            <w:pStyle w:val="8"/>
            <w:spacing w:before="130" w:line="222" w:lineRule="auto"/>
            <w:ind w:left="3826"/>
            <w:rPr>
              <w:b/>
              <w:bCs/>
              <w:color w:val="auto"/>
              <w:spacing w:val="-50"/>
              <w:sz w:val="40"/>
              <w:szCs w:val="40"/>
              <w:highlight w:val="none"/>
            </w:rPr>
          </w:pPr>
        </w:p>
        <w:p w14:paraId="6C2C3252">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3826"/>
            <w:textAlignment w:val="baseline"/>
            <w:rPr>
              <w:color w:val="auto"/>
              <w:sz w:val="32"/>
              <w:szCs w:val="32"/>
              <w:highlight w:val="none"/>
            </w:rPr>
          </w:pPr>
          <w:r>
            <w:rPr>
              <w:b/>
              <w:bCs/>
              <w:color w:val="auto"/>
              <w:spacing w:val="-50"/>
              <w:sz w:val="32"/>
              <w:szCs w:val="32"/>
              <w:highlight w:val="none"/>
            </w:rPr>
            <w:t>目</w:t>
          </w:r>
          <w:r>
            <w:rPr>
              <w:color w:val="auto"/>
              <w:spacing w:val="8"/>
              <w:sz w:val="32"/>
              <w:szCs w:val="32"/>
              <w:highlight w:val="none"/>
            </w:rPr>
            <w:t xml:space="preserve"> </w:t>
          </w:r>
          <w:r>
            <w:rPr>
              <w:b/>
              <w:bCs/>
              <w:color w:val="auto"/>
              <w:spacing w:val="-50"/>
              <w:sz w:val="32"/>
              <w:szCs w:val="32"/>
              <w:highlight w:val="none"/>
            </w:rPr>
            <w:t>录</w:t>
          </w:r>
        </w:p>
        <w:p w14:paraId="0919BFD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p>
        <w:p w14:paraId="7F529489">
          <w:pPr>
            <w:pStyle w:val="8"/>
            <w:keepNext w:val="0"/>
            <w:keepLines w:val="0"/>
            <w:pageBreakBefore w:val="0"/>
            <w:widowControl/>
            <w:tabs>
              <w:tab w:val="right" w:leader="dot" w:pos="8084"/>
            </w:tabs>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b/>
              <w:bCs/>
              <w:color w:val="auto"/>
              <w:spacing w:val="-4"/>
              <w:sz w:val="30"/>
              <w:szCs w:val="30"/>
              <w:highlight w:val="none"/>
            </w:rPr>
            <w:t>第一章</w:t>
          </w:r>
          <w:r>
            <w:rPr>
              <w:color w:val="auto"/>
              <w:spacing w:val="-4"/>
              <w:sz w:val="30"/>
              <w:szCs w:val="30"/>
              <w:highlight w:val="none"/>
            </w:rPr>
            <w:t xml:space="preserve"> </w:t>
          </w:r>
          <w:r>
            <w:rPr>
              <w:b/>
              <w:bCs/>
              <w:color w:val="auto"/>
              <w:spacing w:val="-4"/>
              <w:sz w:val="30"/>
              <w:szCs w:val="30"/>
              <w:highlight w:val="none"/>
            </w:rPr>
            <w:t>招标公告</w:t>
          </w:r>
          <w:r>
            <w:rPr>
              <w:color w:val="auto"/>
              <w:spacing w:val="-51"/>
              <w:sz w:val="30"/>
              <w:szCs w:val="30"/>
              <w:highlight w:val="none"/>
            </w:rPr>
            <w:t xml:space="preserve"> </w:t>
          </w:r>
          <w:r>
            <w:rPr>
              <w:color w:val="auto"/>
              <w:sz w:val="30"/>
              <w:szCs w:val="30"/>
              <w:highlight w:val="none"/>
              <w14:textOutline w14:w="5448" w14:cap="sq" w14:cmpd="sng">
                <w14:solidFill>
                  <w14:srgbClr w14:val="000000"/>
                </w14:solidFill>
                <w14:prstDash w14:val="solid"/>
                <w14:bevel/>
              </w14:textOutline>
            </w:rPr>
            <w:tab/>
          </w:r>
          <w:r>
            <w:rPr>
              <w:b/>
              <w:bCs/>
              <w:color w:val="auto"/>
              <w:spacing w:val="24"/>
              <w:sz w:val="30"/>
              <w:szCs w:val="30"/>
              <w:highlight w:val="none"/>
            </w:rPr>
            <w:t>1</w:t>
          </w:r>
          <w:r>
            <w:rPr>
              <w:b/>
              <w:bCs/>
              <w:color w:val="auto"/>
              <w:spacing w:val="24"/>
              <w:sz w:val="30"/>
              <w:szCs w:val="30"/>
              <w:highlight w:val="none"/>
            </w:rPr>
            <w:fldChar w:fldCharType="end"/>
          </w:r>
        </w:p>
        <w:p w14:paraId="404792EF">
          <w:pPr>
            <w:pStyle w:val="8"/>
            <w:keepNext w:val="0"/>
            <w:keepLines w:val="0"/>
            <w:pageBreakBefore w:val="0"/>
            <w:widowControl/>
            <w:tabs>
              <w:tab w:val="right" w:leader="dot" w:pos="8084"/>
            </w:tabs>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bookmarkStart w:id="1" w:name="bookmark3"/>
          <w:bookmarkEnd w:id="1"/>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4"/>
              <w:sz w:val="30"/>
              <w:szCs w:val="30"/>
              <w:highlight w:val="none"/>
            </w:rPr>
            <w:t>第二章</w:t>
          </w:r>
          <w:r>
            <w:rPr>
              <w:color w:val="auto"/>
              <w:spacing w:val="-4"/>
              <w:sz w:val="30"/>
              <w:szCs w:val="30"/>
              <w:highlight w:val="none"/>
            </w:rPr>
            <w:t xml:space="preserve"> </w:t>
          </w:r>
          <w:r>
            <w:rPr>
              <w:b/>
              <w:bCs/>
              <w:color w:val="auto"/>
              <w:spacing w:val="-4"/>
              <w:sz w:val="30"/>
              <w:szCs w:val="30"/>
              <w:highlight w:val="none"/>
            </w:rPr>
            <w:t>采购需求</w:t>
          </w:r>
          <w:r>
            <w:rPr>
              <w:color w:val="auto"/>
              <w:spacing w:val="-51"/>
              <w:sz w:val="30"/>
              <w:szCs w:val="30"/>
              <w:highlight w:val="none"/>
            </w:rPr>
            <w:t xml:space="preserve"> </w:t>
          </w:r>
          <w:r>
            <w:rPr>
              <w:color w:val="auto"/>
              <w:sz w:val="30"/>
              <w:szCs w:val="30"/>
              <w:highlight w:val="none"/>
              <w14:textOutline w14:w="5448" w14:cap="sq" w14:cmpd="sng">
                <w14:solidFill>
                  <w14:srgbClr w14:val="000000"/>
                </w14:solidFill>
                <w14:prstDash w14:val="solid"/>
                <w14:bevel/>
              </w14:textOutline>
            </w:rPr>
            <w:tab/>
          </w:r>
          <w:r>
            <w:rPr>
              <w:rFonts w:hint="eastAsia"/>
              <w:b/>
              <w:bCs/>
              <w:color w:val="auto"/>
              <w:spacing w:val="24"/>
              <w:sz w:val="30"/>
              <w:szCs w:val="30"/>
              <w:highlight w:val="none"/>
              <w:lang w:val="en-US" w:eastAsia="zh-CN"/>
            </w:rPr>
            <w:t>6</w:t>
          </w:r>
          <w:r>
            <w:rPr>
              <w:b/>
              <w:bCs/>
              <w:color w:val="auto"/>
              <w:spacing w:val="24"/>
              <w:sz w:val="30"/>
              <w:szCs w:val="30"/>
              <w:highlight w:val="none"/>
            </w:rPr>
            <w:fldChar w:fldCharType="end"/>
          </w:r>
        </w:p>
        <w:p w14:paraId="14902EA2">
          <w:pPr>
            <w:pStyle w:val="8"/>
            <w:keepNext w:val="0"/>
            <w:keepLines w:val="0"/>
            <w:pageBreakBefore w:val="0"/>
            <w:widowControl/>
            <w:tabs>
              <w:tab w:val="right" w:leader="dot" w:pos="8084"/>
            </w:tabs>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bookmarkStart w:id="2" w:name="bookmark5"/>
          <w:bookmarkEnd w:id="2"/>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b/>
              <w:bCs/>
              <w:color w:val="auto"/>
              <w:spacing w:val="-4"/>
              <w:sz w:val="30"/>
              <w:szCs w:val="30"/>
              <w:highlight w:val="none"/>
            </w:rPr>
            <w:t>第三章</w:t>
          </w:r>
          <w:r>
            <w:rPr>
              <w:color w:val="auto"/>
              <w:spacing w:val="-4"/>
              <w:sz w:val="30"/>
              <w:szCs w:val="30"/>
              <w:highlight w:val="none"/>
            </w:rPr>
            <w:t xml:space="preserve"> </w:t>
          </w:r>
          <w:r>
            <w:rPr>
              <w:b/>
              <w:bCs/>
              <w:color w:val="auto"/>
              <w:spacing w:val="-4"/>
              <w:sz w:val="30"/>
              <w:szCs w:val="30"/>
              <w:highlight w:val="none"/>
            </w:rPr>
            <w:t>投标人须知</w:t>
          </w:r>
          <w:r>
            <w:rPr>
              <w:color w:val="auto"/>
              <w:spacing w:val="-50"/>
              <w:sz w:val="30"/>
              <w:szCs w:val="30"/>
              <w:highlight w:val="none"/>
            </w:rPr>
            <w:t xml:space="preserve"> </w:t>
          </w:r>
          <w:r>
            <w:rPr>
              <w:color w:val="auto"/>
              <w:sz w:val="30"/>
              <w:szCs w:val="30"/>
              <w:highlight w:val="none"/>
              <w14:textOutline w14:w="5448" w14:cap="sq" w14:cmpd="sng">
                <w14:solidFill>
                  <w14:srgbClr w14:val="000000"/>
                </w14:solidFill>
                <w14:prstDash w14:val="solid"/>
                <w14:bevel/>
              </w14:textOutline>
            </w:rPr>
            <w:tab/>
          </w:r>
          <w:r>
            <w:rPr>
              <w:b/>
              <w:bCs/>
              <w:color w:val="auto"/>
              <w:spacing w:val="12"/>
              <w:sz w:val="30"/>
              <w:szCs w:val="30"/>
              <w:highlight w:val="none"/>
            </w:rPr>
            <w:t>2</w:t>
          </w:r>
          <w:r>
            <w:rPr>
              <w:rFonts w:hint="eastAsia"/>
              <w:b/>
              <w:bCs/>
              <w:color w:val="auto"/>
              <w:spacing w:val="12"/>
              <w:sz w:val="30"/>
              <w:szCs w:val="30"/>
              <w:highlight w:val="none"/>
              <w:lang w:val="en-US" w:eastAsia="zh-CN"/>
            </w:rPr>
            <w:t>2</w:t>
          </w:r>
          <w:r>
            <w:rPr>
              <w:b/>
              <w:bCs/>
              <w:color w:val="auto"/>
              <w:spacing w:val="12"/>
              <w:sz w:val="30"/>
              <w:szCs w:val="30"/>
              <w:highlight w:val="none"/>
            </w:rPr>
            <w:fldChar w:fldCharType="end"/>
          </w:r>
        </w:p>
        <w:p w14:paraId="29BA5543">
          <w:pPr>
            <w:pStyle w:val="8"/>
            <w:keepNext w:val="0"/>
            <w:keepLines w:val="0"/>
            <w:pageBreakBefore w:val="0"/>
            <w:widowControl/>
            <w:tabs>
              <w:tab w:val="right" w:leader="dot" w:pos="8084"/>
            </w:tabs>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bookmarkStart w:id="3" w:name="bookmark7"/>
          <w:bookmarkEnd w:id="3"/>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b/>
              <w:bCs/>
              <w:color w:val="auto"/>
              <w:spacing w:val="-3"/>
              <w:sz w:val="30"/>
              <w:szCs w:val="30"/>
              <w:highlight w:val="none"/>
            </w:rPr>
            <w:t>第四章</w:t>
          </w:r>
          <w:r>
            <w:rPr>
              <w:color w:val="auto"/>
              <w:spacing w:val="-3"/>
              <w:sz w:val="30"/>
              <w:szCs w:val="30"/>
              <w:highlight w:val="none"/>
            </w:rPr>
            <w:t xml:space="preserve"> </w:t>
          </w:r>
          <w:r>
            <w:rPr>
              <w:b/>
              <w:bCs/>
              <w:color w:val="auto"/>
              <w:spacing w:val="-3"/>
              <w:sz w:val="30"/>
              <w:szCs w:val="30"/>
              <w:highlight w:val="none"/>
            </w:rPr>
            <w:t>评标方法及评标标准</w:t>
          </w:r>
          <w:r>
            <w:rPr>
              <w:color w:val="auto"/>
              <w:spacing w:val="-55"/>
              <w:sz w:val="30"/>
              <w:szCs w:val="30"/>
              <w:highlight w:val="none"/>
            </w:rPr>
            <w:t xml:space="preserve"> </w:t>
          </w:r>
          <w:r>
            <w:rPr>
              <w:color w:val="auto"/>
              <w:sz w:val="30"/>
              <w:szCs w:val="30"/>
              <w:highlight w:val="none"/>
              <w14:textOutline w14:w="5448" w14:cap="sq" w14:cmpd="sng">
                <w14:solidFill>
                  <w14:srgbClr w14:val="000000"/>
                </w14:solidFill>
                <w14:prstDash w14:val="solid"/>
                <w14:bevel/>
              </w14:textOutline>
            </w:rPr>
            <w:tab/>
          </w:r>
          <w:r>
            <w:rPr>
              <w:rFonts w:hint="eastAsia"/>
              <w:b/>
              <w:bCs/>
              <w:color w:val="auto"/>
              <w:spacing w:val="14"/>
              <w:sz w:val="30"/>
              <w:szCs w:val="30"/>
              <w:highlight w:val="none"/>
              <w:lang w:val="en-US" w:eastAsia="zh-CN"/>
            </w:rPr>
            <w:t>4</w:t>
          </w:r>
          <w:r>
            <w:rPr>
              <w:b/>
              <w:bCs/>
              <w:color w:val="auto"/>
              <w:spacing w:val="14"/>
              <w:sz w:val="30"/>
              <w:szCs w:val="30"/>
              <w:highlight w:val="none"/>
            </w:rPr>
            <w:fldChar w:fldCharType="end"/>
          </w:r>
          <w:r>
            <w:rPr>
              <w:rFonts w:hint="eastAsia"/>
              <w:b/>
              <w:bCs/>
              <w:color w:val="auto"/>
              <w:spacing w:val="14"/>
              <w:sz w:val="30"/>
              <w:szCs w:val="30"/>
              <w:highlight w:val="none"/>
              <w:lang w:val="en-US" w:eastAsia="zh-CN"/>
            </w:rPr>
            <w:t>6</w:t>
          </w:r>
        </w:p>
        <w:p w14:paraId="1DA2CCE1">
          <w:pPr>
            <w:pStyle w:val="8"/>
            <w:keepNext w:val="0"/>
            <w:keepLines w:val="0"/>
            <w:pageBreakBefore w:val="0"/>
            <w:widowControl/>
            <w:tabs>
              <w:tab w:val="right" w:leader="dot" w:pos="8084"/>
            </w:tabs>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bookmarkStart w:id="4" w:name="bookmark9"/>
          <w:bookmarkEnd w:id="4"/>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b/>
              <w:bCs/>
              <w:color w:val="auto"/>
              <w:spacing w:val="-3"/>
              <w:sz w:val="30"/>
              <w:szCs w:val="30"/>
              <w:highlight w:val="none"/>
            </w:rPr>
            <w:t>第五章</w:t>
          </w:r>
          <w:r>
            <w:rPr>
              <w:color w:val="auto"/>
              <w:spacing w:val="-3"/>
              <w:sz w:val="30"/>
              <w:szCs w:val="30"/>
              <w:highlight w:val="none"/>
            </w:rPr>
            <w:t xml:space="preserve"> </w:t>
          </w:r>
          <w:r>
            <w:rPr>
              <w:b/>
              <w:bCs/>
              <w:color w:val="auto"/>
              <w:spacing w:val="-3"/>
              <w:sz w:val="30"/>
              <w:szCs w:val="30"/>
              <w:highlight w:val="none"/>
            </w:rPr>
            <w:t>拟签订的合同文本</w:t>
          </w:r>
          <w:r>
            <w:rPr>
              <w:color w:val="auto"/>
              <w:spacing w:val="-54"/>
              <w:sz w:val="30"/>
              <w:szCs w:val="30"/>
              <w:highlight w:val="none"/>
            </w:rPr>
            <w:t xml:space="preserve"> </w:t>
          </w:r>
          <w:r>
            <w:rPr>
              <w:color w:val="auto"/>
              <w:sz w:val="30"/>
              <w:szCs w:val="30"/>
              <w:highlight w:val="none"/>
              <w14:textOutline w14:w="5448" w14:cap="sq" w14:cmpd="sng">
                <w14:solidFill>
                  <w14:srgbClr w14:val="000000"/>
                </w14:solidFill>
                <w14:prstDash w14:val="solid"/>
                <w14:bevel/>
              </w14:textOutline>
            </w:rPr>
            <w:tab/>
          </w:r>
          <w:r>
            <w:rPr>
              <w:rFonts w:hint="eastAsia"/>
              <w:color w:val="auto"/>
              <w:sz w:val="30"/>
              <w:szCs w:val="30"/>
              <w:highlight w:val="none"/>
              <w:lang w:val="en-US" w:eastAsia="zh-CN"/>
              <w14:textOutline w14:w="5448" w14:cap="sq" w14:cmpd="sng">
                <w14:solidFill>
                  <w14:srgbClr w14:val="000000"/>
                </w14:solidFill>
                <w14:prstDash w14:val="solid"/>
                <w14:bevel/>
              </w14:textOutline>
            </w:rPr>
            <w:t>64</w:t>
          </w:r>
          <w:r>
            <w:rPr>
              <w:b/>
              <w:bCs/>
              <w:color w:val="auto"/>
              <w:spacing w:val="13"/>
              <w:sz w:val="30"/>
              <w:szCs w:val="30"/>
              <w:highlight w:val="none"/>
            </w:rPr>
            <w:fldChar w:fldCharType="end"/>
          </w:r>
        </w:p>
        <w:p w14:paraId="41C7EE6D">
          <w:pPr>
            <w:pStyle w:val="8"/>
            <w:keepNext w:val="0"/>
            <w:keepLines w:val="0"/>
            <w:pageBreakBefore w:val="0"/>
            <w:widowControl/>
            <w:tabs>
              <w:tab w:val="right" w:leader="dot" w:pos="8084"/>
            </w:tabs>
            <w:kinsoku w:val="0"/>
            <w:wordWrap/>
            <w:overflowPunct/>
            <w:topLinePunct w:val="0"/>
            <w:autoSpaceDE w:val="0"/>
            <w:autoSpaceDN w:val="0"/>
            <w:bidi w:val="0"/>
            <w:adjustRightInd w:val="0"/>
            <w:snapToGrid w:val="0"/>
            <w:spacing w:line="560" w:lineRule="exact"/>
            <w:textAlignment w:val="baseline"/>
            <w:rPr>
              <w:color w:val="auto"/>
              <w:sz w:val="30"/>
              <w:szCs w:val="30"/>
              <w:highlight w:val="none"/>
            </w:rPr>
            <w:sectPr>
              <w:headerReference r:id="rId5" w:type="default"/>
              <w:footerReference r:id="rId6" w:type="default"/>
              <w:pgSz w:w="11906" w:h="16839"/>
              <w:pgMar w:top="2098" w:right="1474" w:bottom="1984" w:left="1587" w:header="0" w:footer="0" w:gutter="0"/>
              <w:cols w:space="720" w:num="1"/>
              <w:rtlGutter w:val="0"/>
              <w:docGrid w:linePitch="0" w:charSpace="0"/>
            </w:sectPr>
          </w:pPr>
          <w:bookmarkStart w:id="5" w:name="bookmark11"/>
          <w:bookmarkEnd w:id="5"/>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b/>
              <w:bCs/>
              <w:color w:val="auto"/>
              <w:spacing w:val="-4"/>
              <w:sz w:val="30"/>
              <w:szCs w:val="30"/>
              <w:highlight w:val="none"/>
            </w:rPr>
            <w:t>第六章</w:t>
          </w:r>
          <w:r>
            <w:rPr>
              <w:color w:val="auto"/>
              <w:spacing w:val="-4"/>
              <w:sz w:val="30"/>
              <w:szCs w:val="30"/>
              <w:highlight w:val="none"/>
            </w:rPr>
            <w:t xml:space="preserve"> </w:t>
          </w:r>
          <w:r>
            <w:rPr>
              <w:b/>
              <w:bCs/>
              <w:color w:val="auto"/>
              <w:spacing w:val="-4"/>
              <w:sz w:val="30"/>
              <w:szCs w:val="30"/>
              <w:highlight w:val="none"/>
            </w:rPr>
            <w:t>投标文件格式</w:t>
          </w:r>
          <w:r>
            <w:rPr>
              <w:color w:val="auto"/>
              <w:spacing w:val="-47"/>
              <w:sz w:val="30"/>
              <w:szCs w:val="30"/>
              <w:highlight w:val="none"/>
            </w:rPr>
            <w:t xml:space="preserve"> </w:t>
          </w:r>
          <w:r>
            <w:rPr>
              <w:color w:val="auto"/>
              <w:sz w:val="30"/>
              <w:szCs w:val="30"/>
              <w:highlight w:val="none"/>
              <w14:textOutline w14:w="5448" w14:cap="sq" w14:cmpd="sng">
                <w14:solidFill>
                  <w14:srgbClr w14:val="000000"/>
                </w14:solidFill>
                <w14:prstDash w14:val="solid"/>
                <w14:bevel/>
              </w14:textOutline>
            </w:rPr>
            <w:tab/>
          </w:r>
          <w:r>
            <w:rPr>
              <w:rFonts w:hint="eastAsia"/>
              <w:color w:val="auto"/>
              <w:sz w:val="30"/>
              <w:szCs w:val="30"/>
              <w:highlight w:val="none"/>
              <w:lang w:val="en-US" w:eastAsia="zh-CN"/>
              <w14:textOutline w14:w="5448" w14:cap="sq" w14:cmpd="sng">
                <w14:solidFill>
                  <w14:srgbClr w14:val="000000"/>
                </w14:solidFill>
                <w14:prstDash w14:val="solid"/>
                <w14:bevel/>
              </w14:textOutline>
            </w:rPr>
            <w:t>76</w:t>
          </w:r>
          <w:r>
            <w:rPr>
              <w:b/>
              <w:bCs/>
              <w:color w:val="auto"/>
              <w:spacing w:val="12"/>
              <w:sz w:val="30"/>
              <w:szCs w:val="30"/>
              <w:highlight w:val="none"/>
            </w:rPr>
            <w:fldChar w:fldCharType="end"/>
          </w:r>
        </w:p>
      </w:sdtContent>
    </w:sdt>
    <w:p w14:paraId="365FFEBB">
      <w:pPr>
        <w:pStyle w:val="8"/>
        <w:spacing w:before="114" w:line="223" w:lineRule="auto"/>
        <w:jc w:val="center"/>
        <w:outlineLvl w:val="0"/>
        <w:rPr>
          <w:color w:val="auto"/>
          <w:sz w:val="35"/>
          <w:szCs w:val="35"/>
          <w:highlight w:val="none"/>
        </w:rPr>
      </w:pPr>
      <w:bookmarkStart w:id="6" w:name="bookmark1"/>
      <w:bookmarkEnd w:id="6"/>
      <w:bookmarkStart w:id="7" w:name="bookmark2"/>
      <w:bookmarkEnd w:id="7"/>
      <w:r>
        <w:rPr>
          <w:b/>
          <w:bCs/>
          <w:color w:val="auto"/>
          <w:spacing w:val="5"/>
          <w:sz w:val="35"/>
          <w:szCs w:val="35"/>
          <w:highlight w:val="none"/>
        </w:rPr>
        <w:t>第一章</w:t>
      </w:r>
      <w:r>
        <w:rPr>
          <w:color w:val="auto"/>
          <w:spacing w:val="5"/>
          <w:sz w:val="35"/>
          <w:szCs w:val="35"/>
          <w:highlight w:val="none"/>
        </w:rPr>
        <w:t xml:space="preserve"> </w:t>
      </w:r>
      <w:r>
        <w:rPr>
          <w:b/>
          <w:bCs/>
          <w:color w:val="auto"/>
          <w:spacing w:val="5"/>
          <w:sz w:val="35"/>
          <w:szCs w:val="35"/>
          <w:highlight w:val="none"/>
        </w:rPr>
        <w:t>招标公告</w:t>
      </w:r>
    </w:p>
    <w:p w14:paraId="5CEC3503">
      <w:pPr>
        <w:spacing w:line="223" w:lineRule="exact"/>
        <w:rPr>
          <w:color w:val="auto"/>
          <w:highlight w:val="none"/>
        </w:rPr>
      </w:pPr>
    </w:p>
    <w:tbl>
      <w:tblPr>
        <w:tblStyle w:val="12"/>
        <w:tblW w:w="939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2"/>
      </w:tblGrid>
      <w:tr w14:paraId="5970CA2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29" w:hRule="atLeast"/>
        </w:trPr>
        <w:tc>
          <w:tcPr>
            <w:tcW w:w="9392" w:type="dxa"/>
            <w:vAlign w:val="top"/>
          </w:tcPr>
          <w:p w14:paraId="0A80C8A9">
            <w:pPr>
              <w:pStyle w:val="13"/>
              <w:keepNext w:val="0"/>
              <w:keepLines w:val="0"/>
              <w:pageBreakBefore w:val="0"/>
              <w:wordWrap/>
              <w:overflowPunct/>
              <w:topLinePunct w:val="0"/>
              <w:bidi w:val="0"/>
              <w:spacing w:line="440" w:lineRule="exact"/>
              <w:ind w:right="3"/>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项目概况:</w:t>
            </w:r>
          </w:p>
          <w:p w14:paraId="4190A3C4">
            <w:pPr>
              <w:pStyle w:val="13"/>
              <w:keepNext w:val="0"/>
              <w:keepLines w:val="0"/>
              <w:pageBreakBefore w:val="0"/>
              <w:wordWrap/>
              <w:overflowPunct/>
              <w:topLinePunct w:val="0"/>
              <w:bidi w:val="0"/>
              <w:spacing w:line="440" w:lineRule="exact"/>
              <w:ind w:left="92" w:right="3" w:firstLine="420"/>
              <w:jc w:val="both"/>
              <w:rPr>
                <w:color w:val="auto"/>
                <w:highlight w:val="none"/>
              </w:rPr>
            </w:pPr>
            <w:bookmarkStart w:id="8" w:name="OLE_LINK22"/>
            <w:r>
              <w:rPr>
                <w:rFonts w:hint="eastAsia" w:ascii="宋体" w:hAnsi="宋体" w:eastAsia="宋体" w:cs="Times New Roman"/>
                <w:snapToGrid/>
                <w:color w:val="auto"/>
                <w:kern w:val="2"/>
                <w:sz w:val="21"/>
                <w:szCs w:val="21"/>
                <w:highlight w:val="none"/>
                <w:lang w:val="en-US" w:eastAsia="zh-CN" w:bidi="ar-SA"/>
              </w:rPr>
              <w:t>广西壮族自治区尾矿库和矿山开采区地下水环境状况调查评估项目（二期）</w:t>
            </w:r>
            <w:bookmarkEnd w:id="8"/>
            <w:r>
              <w:rPr>
                <w:rFonts w:hint="eastAsia" w:ascii="宋体" w:hAnsi="宋体" w:eastAsia="宋体" w:cs="Times New Roman"/>
                <w:snapToGrid/>
                <w:color w:val="auto"/>
                <w:kern w:val="2"/>
                <w:sz w:val="21"/>
                <w:szCs w:val="21"/>
                <w:highlight w:val="none"/>
                <w:lang w:val="en-US" w:eastAsia="zh-CN" w:bidi="ar-SA"/>
              </w:rPr>
              <w:t>项目的潜在投标人应 在“广西政府采购云平台”（</w:t>
            </w:r>
            <w:r>
              <w:rPr>
                <w:rFonts w:hint="eastAsia" w:ascii="宋体" w:hAnsi="宋体" w:eastAsia="宋体" w:cs="Times New Roman"/>
                <w:snapToGrid/>
                <w:color w:val="auto"/>
                <w:kern w:val="2"/>
                <w:sz w:val="21"/>
                <w:szCs w:val="21"/>
                <w:highlight w:val="none"/>
                <w:lang w:val="en-US" w:eastAsia="zh-CN" w:bidi="ar-SA"/>
              </w:rPr>
              <w:fldChar w:fldCharType="begin"/>
            </w:r>
            <w:r>
              <w:rPr>
                <w:rFonts w:hint="eastAsia" w:ascii="宋体" w:hAnsi="宋体" w:eastAsia="宋体" w:cs="Times New Roman"/>
                <w:snapToGrid/>
                <w:color w:val="auto"/>
                <w:kern w:val="2"/>
                <w:sz w:val="21"/>
                <w:szCs w:val="21"/>
                <w:highlight w:val="none"/>
                <w:lang w:val="en-US" w:eastAsia="zh-CN" w:bidi="ar-SA"/>
              </w:rPr>
              <w:instrText xml:space="preserve"> HYPERLINK "https://www.gcy.zfcg.gxzf.gov.cn/" </w:instrText>
            </w:r>
            <w:r>
              <w:rPr>
                <w:rFonts w:hint="eastAsia" w:ascii="宋体" w:hAnsi="宋体" w:eastAsia="宋体" w:cs="Times New Roman"/>
                <w:snapToGrid/>
                <w:color w:val="auto"/>
                <w:kern w:val="2"/>
                <w:sz w:val="21"/>
                <w:szCs w:val="21"/>
                <w:highlight w:val="none"/>
                <w:lang w:val="en-US" w:eastAsia="zh-CN" w:bidi="ar-SA"/>
              </w:rPr>
              <w:fldChar w:fldCharType="separate"/>
            </w:r>
            <w:r>
              <w:rPr>
                <w:rFonts w:hint="eastAsia" w:ascii="宋体" w:hAnsi="宋体" w:eastAsia="宋体" w:cs="Times New Roman"/>
                <w:snapToGrid/>
                <w:color w:val="auto"/>
                <w:kern w:val="2"/>
                <w:sz w:val="21"/>
                <w:szCs w:val="21"/>
                <w:highlight w:val="none"/>
                <w:lang w:val="en-US" w:eastAsia="zh-CN" w:bidi="ar-SA"/>
              </w:rPr>
              <w:t>https://www.gcy.zfcg.gxzf.gov.cn/</w:t>
            </w:r>
            <w:r>
              <w:rPr>
                <w:rFonts w:hint="eastAsia" w:ascii="宋体" w:hAnsi="宋体" w:eastAsia="宋体" w:cs="Times New Roman"/>
                <w:snapToGrid/>
                <w:color w:val="auto"/>
                <w:kern w:val="2"/>
                <w:sz w:val="21"/>
                <w:szCs w:val="21"/>
                <w:highlight w:val="none"/>
                <w:lang w:val="en-US" w:eastAsia="zh-CN" w:bidi="ar-SA"/>
              </w:rPr>
              <w:fldChar w:fldCharType="end"/>
            </w:r>
            <w:r>
              <w:rPr>
                <w:rFonts w:hint="eastAsia" w:ascii="宋体" w:hAnsi="宋体" w:eastAsia="宋体" w:cs="Times New Roman"/>
                <w:snapToGrid/>
                <w:color w:val="auto"/>
                <w:kern w:val="2"/>
                <w:sz w:val="21"/>
                <w:szCs w:val="21"/>
                <w:highlight w:val="none"/>
                <w:lang w:val="en-US" w:eastAsia="zh-CN" w:bidi="ar-SA"/>
              </w:rPr>
              <w:t>）自行下载获取招标文件，并于 2024</w:t>
            </w:r>
            <w:r>
              <w:rPr>
                <w:rFonts w:hint="eastAsia" w:cs="Times New Roman"/>
                <w:snapToGrid/>
                <w:color w:val="auto"/>
                <w:kern w:val="2"/>
                <w:sz w:val="21"/>
                <w:szCs w:val="21"/>
                <w:highlight w:val="none"/>
                <w:lang w:val="en-US" w:eastAsia="zh-CN" w:bidi="ar-SA"/>
              </w:rPr>
              <w:t xml:space="preserve"> </w:t>
            </w:r>
            <w:r>
              <w:rPr>
                <w:rFonts w:hint="eastAsia" w:ascii="宋体" w:hAnsi="宋体" w:eastAsia="宋体" w:cs="Times New Roman"/>
                <w:snapToGrid/>
                <w:color w:val="auto"/>
                <w:kern w:val="2"/>
                <w:sz w:val="21"/>
                <w:szCs w:val="21"/>
                <w:highlight w:val="none"/>
                <w:lang w:val="en-US" w:eastAsia="zh-CN" w:bidi="ar-SA"/>
              </w:rPr>
              <w:t>年</w:t>
            </w:r>
            <w:r>
              <w:rPr>
                <w:rFonts w:hint="eastAsia" w:cs="Times New Roman"/>
                <w:snapToGrid/>
                <w:color w:val="auto"/>
                <w:kern w:val="2"/>
                <w:sz w:val="21"/>
                <w:szCs w:val="21"/>
                <w:highlight w:val="none"/>
                <w:lang w:val="en-US" w:eastAsia="zh-CN" w:bidi="ar-SA"/>
              </w:rPr>
              <w:t xml:space="preserve"> 12 </w:t>
            </w:r>
            <w:r>
              <w:rPr>
                <w:rFonts w:hint="eastAsia" w:ascii="宋体" w:hAnsi="宋体" w:eastAsia="宋体" w:cs="Times New Roman"/>
                <w:snapToGrid/>
                <w:color w:val="auto"/>
                <w:kern w:val="2"/>
                <w:sz w:val="21"/>
                <w:szCs w:val="21"/>
                <w:highlight w:val="none"/>
                <w:lang w:val="en-US" w:eastAsia="zh-CN" w:bidi="ar-SA"/>
              </w:rPr>
              <w:t>月</w:t>
            </w:r>
            <w:r>
              <w:rPr>
                <w:rFonts w:hint="eastAsia" w:cs="Times New Roman"/>
                <w:snapToGrid/>
                <w:color w:val="auto"/>
                <w:kern w:val="2"/>
                <w:sz w:val="21"/>
                <w:szCs w:val="21"/>
                <w:highlight w:val="none"/>
                <w:lang w:val="en-US" w:eastAsia="zh-CN" w:bidi="ar-SA"/>
              </w:rPr>
              <w:t xml:space="preserve"> 5 </w:t>
            </w:r>
            <w:r>
              <w:rPr>
                <w:rFonts w:hint="eastAsia" w:ascii="宋体" w:hAnsi="宋体" w:eastAsia="宋体" w:cs="Times New Roman"/>
                <w:snapToGrid/>
                <w:color w:val="auto"/>
                <w:kern w:val="2"/>
                <w:sz w:val="21"/>
                <w:szCs w:val="21"/>
                <w:highlight w:val="none"/>
                <w:lang w:val="en-US" w:eastAsia="zh-CN" w:bidi="ar-SA"/>
              </w:rPr>
              <w:t>日 09 时 30 分（北京时间）前按要求递交投标文件。</w:t>
            </w:r>
          </w:p>
        </w:tc>
      </w:tr>
    </w:tbl>
    <w:p w14:paraId="26A7F1B4">
      <w:pPr>
        <w:pStyle w:val="8"/>
        <w:keepNext w:val="0"/>
        <w:keepLines w:val="0"/>
        <w:pageBreakBefore w:val="0"/>
        <w:wordWrap/>
        <w:overflowPunct/>
        <w:topLinePunct w:val="0"/>
        <w:bidi w:val="0"/>
        <w:spacing w:line="440" w:lineRule="exact"/>
        <w:ind w:left="102"/>
        <w:rPr>
          <w:b/>
          <w:bCs/>
          <w:color w:val="auto"/>
          <w:sz w:val="20"/>
          <w:szCs w:val="20"/>
          <w:highlight w:val="none"/>
        </w:rPr>
      </w:pPr>
      <w:r>
        <w:rPr>
          <w:rFonts w:hint="eastAsia" w:cs="Times New Roman"/>
          <w:b/>
          <w:bCs/>
          <w:snapToGrid/>
          <w:color w:val="auto"/>
          <w:kern w:val="2"/>
          <w:sz w:val="21"/>
          <w:szCs w:val="21"/>
          <w:highlight w:val="none"/>
          <w:lang w:val="en-US" w:eastAsia="zh-CN" w:bidi="ar-SA"/>
        </w:rPr>
        <w:t xml:space="preserve">  </w:t>
      </w:r>
      <w:r>
        <w:rPr>
          <w:rFonts w:hint="eastAsia" w:ascii="宋体" w:hAnsi="宋体" w:eastAsia="宋体" w:cs="Times New Roman"/>
          <w:b/>
          <w:bCs/>
          <w:snapToGrid/>
          <w:color w:val="auto"/>
          <w:kern w:val="2"/>
          <w:sz w:val="21"/>
          <w:szCs w:val="21"/>
          <w:highlight w:val="none"/>
          <w:lang w:val="en-US" w:eastAsia="zh-CN" w:bidi="ar-SA"/>
        </w:rPr>
        <w:t>一、项目基本情况</w:t>
      </w:r>
    </w:p>
    <w:p w14:paraId="0424A94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项目编号：GXZC2024-G3-005949-DSGS</w:t>
      </w:r>
    </w:p>
    <w:p w14:paraId="7522526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eastAsia="zh-CN"/>
        </w:rPr>
        <w:t>采购计划文号:广西政采[2024]20228号-00</w:t>
      </w:r>
      <w:r>
        <w:rPr>
          <w:rFonts w:hint="eastAsia" w:ascii="宋体" w:hAnsi="宋体" w:eastAsia="宋体" w:cs="Times New Roman"/>
          <w:snapToGrid/>
          <w:color w:val="auto"/>
          <w:kern w:val="2"/>
          <w:szCs w:val="21"/>
          <w:highlight w:val="none"/>
          <w:lang w:val="en-US" w:eastAsia="zh-CN"/>
        </w:rPr>
        <w:t>1、广西政采[2024]20228号-002、</w:t>
      </w:r>
      <w:r>
        <w:rPr>
          <w:rFonts w:hint="eastAsia" w:ascii="宋体" w:hAnsi="宋体" w:eastAsia="宋体" w:cs="Times New Roman"/>
          <w:snapToGrid/>
          <w:color w:val="auto"/>
          <w:kern w:val="2"/>
          <w:szCs w:val="21"/>
          <w:highlight w:val="none"/>
          <w:lang w:eastAsia="zh-CN"/>
        </w:rPr>
        <w:t>广西政采[2024]20228号-003</w:t>
      </w:r>
      <w:r>
        <w:rPr>
          <w:rFonts w:hint="eastAsia" w:ascii="宋体" w:hAnsi="宋体" w:eastAsia="宋体" w:cs="Times New Roman"/>
          <w:snapToGrid/>
          <w:color w:val="auto"/>
          <w:kern w:val="2"/>
          <w:szCs w:val="21"/>
          <w:highlight w:val="none"/>
          <w:lang w:val="en-US" w:eastAsia="zh-CN"/>
        </w:rPr>
        <w:t xml:space="preserve">        </w:t>
      </w:r>
    </w:p>
    <w:p w14:paraId="5195284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项目名称：广西壮族自治区尾矿库和矿山开采区地下水环境状况调查评估项目（二期）</w:t>
      </w:r>
    </w:p>
    <w:p w14:paraId="0E3BD1A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预算金额：</w:t>
      </w:r>
      <w:r>
        <w:rPr>
          <w:rFonts w:hint="eastAsia" w:ascii="宋体" w:hAnsi="宋体" w:eastAsia="宋体" w:cs="Times New Roman"/>
          <w:snapToGrid/>
          <w:color w:val="auto"/>
          <w:kern w:val="2"/>
          <w:szCs w:val="21"/>
          <w:highlight w:val="none"/>
          <w:lang w:val="en-US" w:eastAsia="zh-CN"/>
        </w:rPr>
        <w:t>1300</w:t>
      </w:r>
      <w:r>
        <w:rPr>
          <w:rFonts w:hint="eastAsia" w:ascii="宋体" w:hAnsi="宋体" w:eastAsia="宋体" w:cs="Times New Roman"/>
          <w:snapToGrid/>
          <w:color w:val="auto"/>
          <w:kern w:val="2"/>
          <w:szCs w:val="21"/>
          <w:highlight w:val="none"/>
          <w:lang w:eastAsia="zh-CN"/>
        </w:rPr>
        <w:t xml:space="preserve">.00 万元；其中：包 1： </w:t>
      </w:r>
      <w:r>
        <w:rPr>
          <w:rFonts w:hint="eastAsia" w:ascii="宋体" w:hAnsi="宋体" w:eastAsia="宋体" w:cs="Times New Roman"/>
          <w:snapToGrid/>
          <w:color w:val="auto"/>
          <w:kern w:val="2"/>
          <w:szCs w:val="21"/>
          <w:highlight w:val="none"/>
          <w:lang w:val="en-US" w:eastAsia="zh-CN"/>
        </w:rPr>
        <w:t>480</w:t>
      </w:r>
      <w:r>
        <w:rPr>
          <w:rFonts w:hint="eastAsia" w:ascii="宋体" w:hAnsi="宋体" w:eastAsia="宋体" w:cs="Times New Roman"/>
          <w:snapToGrid/>
          <w:color w:val="auto"/>
          <w:kern w:val="2"/>
          <w:szCs w:val="21"/>
          <w:highlight w:val="none"/>
          <w:lang w:eastAsia="zh-CN"/>
        </w:rPr>
        <w:t>.00 万元；包 2：</w:t>
      </w:r>
      <w:r>
        <w:rPr>
          <w:rFonts w:hint="eastAsia" w:ascii="宋体" w:hAnsi="宋体" w:eastAsia="宋体" w:cs="Times New Roman"/>
          <w:snapToGrid/>
          <w:color w:val="auto"/>
          <w:kern w:val="2"/>
          <w:szCs w:val="21"/>
          <w:highlight w:val="none"/>
          <w:lang w:val="en-US" w:eastAsia="zh-CN"/>
        </w:rPr>
        <w:t>570</w:t>
      </w:r>
      <w:r>
        <w:rPr>
          <w:rFonts w:hint="eastAsia" w:ascii="宋体" w:hAnsi="宋体" w:eastAsia="宋体" w:cs="Times New Roman"/>
          <w:snapToGrid/>
          <w:color w:val="auto"/>
          <w:kern w:val="2"/>
          <w:szCs w:val="21"/>
          <w:highlight w:val="none"/>
          <w:lang w:eastAsia="zh-CN"/>
        </w:rPr>
        <w:t>.00 万元；包 3：</w:t>
      </w:r>
      <w:r>
        <w:rPr>
          <w:rFonts w:hint="eastAsia" w:ascii="宋体" w:hAnsi="宋体" w:eastAsia="宋体" w:cs="Times New Roman"/>
          <w:snapToGrid/>
          <w:color w:val="auto"/>
          <w:kern w:val="2"/>
          <w:szCs w:val="21"/>
          <w:highlight w:val="none"/>
          <w:lang w:val="en-US" w:eastAsia="zh-CN"/>
        </w:rPr>
        <w:t>25</w:t>
      </w:r>
      <w:r>
        <w:rPr>
          <w:rFonts w:hint="eastAsia" w:ascii="宋体" w:hAnsi="宋体" w:eastAsia="宋体" w:cs="Times New Roman"/>
          <w:snapToGrid/>
          <w:color w:val="auto"/>
          <w:kern w:val="2"/>
          <w:szCs w:val="21"/>
          <w:highlight w:val="none"/>
          <w:lang w:eastAsia="zh-CN"/>
        </w:rPr>
        <w:t xml:space="preserve">0.00 万元 </w:t>
      </w:r>
    </w:p>
    <w:p w14:paraId="241806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最高限价：</w:t>
      </w:r>
      <w:r>
        <w:rPr>
          <w:rFonts w:hint="eastAsia" w:ascii="宋体" w:hAnsi="宋体" w:eastAsia="宋体" w:cs="Times New Roman"/>
          <w:snapToGrid/>
          <w:color w:val="auto"/>
          <w:kern w:val="2"/>
          <w:szCs w:val="21"/>
          <w:highlight w:val="none"/>
          <w:lang w:val="en-US" w:eastAsia="zh-CN"/>
        </w:rPr>
        <w:t>1300</w:t>
      </w:r>
      <w:r>
        <w:rPr>
          <w:rFonts w:hint="eastAsia" w:ascii="宋体" w:hAnsi="宋体" w:eastAsia="宋体" w:cs="Times New Roman"/>
          <w:snapToGrid/>
          <w:color w:val="auto"/>
          <w:kern w:val="2"/>
          <w:szCs w:val="21"/>
          <w:highlight w:val="none"/>
          <w:lang w:eastAsia="zh-CN"/>
        </w:rPr>
        <w:t xml:space="preserve">.00 万元；其中：包 1： </w:t>
      </w:r>
      <w:r>
        <w:rPr>
          <w:rFonts w:hint="eastAsia" w:ascii="宋体" w:hAnsi="宋体" w:eastAsia="宋体" w:cs="Times New Roman"/>
          <w:snapToGrid/>
          <w:color w:val="auto"/>
          <w:kern w:val="2"/>
          <w:szCs w:val="21"/>
          <w:highlight w:val="none"/>
          <w:lang w:val="en-US" w:eastAsia="zh-CN"/>
        </w:rPr>
        <w:t>480</w:t>
      </w:r>
      <w:r>
        <w:rPr>
          <w:rFonts w:hint="eastAsia" w:ascii="宋体" w:hAnsi="宋体" w:eastAsia="宋体" w:cs="Times New Roman"/>
          <w:snapToGrid/>
          <w:color w:val="auto"/>
          <w:kern w:val="2"/>
          <w:szCs w:val="21"/>
          <w:highlight w:val="none"/>
          <w:lang w:eastAsia="zh-CN"/>
        </w:rPr>
        <w:t>.00 万元；包 2：</w:t>
      </w:r>
      <w:r>
        <w:rPr>
          <w:rFonts w:hint="eastAsia" w:ascii="宋体" w:hAnsi="宋体" w:eastAsia="宋体" w:cs="Times New Roman"/>
          <w:snapToGrid/>
          <w:color w:val="auto"/>
          <w:kern w:val="2"/>
          <w:szCs w:val="21"/>
          <w:highlight w:val="none"/>
          <w:lang w:val="en-US" w:eastAsia="zh-CN"/>
        </w:rPr>
        <w:t>570</w:t>
      </w:r>
      <w:r>
        <w:rPr>
          <w:rFonts w:hint="eastAsia" w:ascii="宋体" w:hAnsi="宋体" w:eastAsia="宋体" w:cs="Times New Roman"/>
          <w:snapToGrid/>
          <w:color w:val="auto"/>
          <w:kern w:val="2"/>
          <w:szCs w:val="21"/>
          <w:highlight w:val="none"/>
          <w:lang w:eastAsia="zh-CN"/>
        </w:rPr>
        <w:t>.00 万元；包 3：</w:t>
      </w:r>
      <w:r>
        <w:rPr>
          <w:rFonts w:hint="eastAsia" w:ascii="宋体" w:hAnsi="宋体" w:eastAsia="宋体" w:cs="Times New Roman"/>
          <w:snapToGrid/>
          <w:color w:val="auto"/>
          <w:kern w:val="2"/>
          <w:szCs w:val="21"/>
          <w:highlight w:val="none"/>
          <w:lang w:val="en-US" w:eastAsia="zh-CN"/>
        </w:rPr>
        <w:t>25</w:t>
      </w:r>
      <w:r>
        <w:rPr>
          <w:rFonts w:hint="eastAsia" w:ascii="宋体" w:hAnsi="宋体" w:eastAsia="宋体" w:cs="Times New Roman"/>
          <w:snapToGrid/>
          <w:color w:val="auto"/>
          <w:kern w:val="2"/>
          <w:szCs w:val="21"/>
          <w:highlight w:val="none"/>
          <w:lang w:eastAsia="zh-CN"/>
        </w:rPr>
        <w:t xml:space="preserve">0.00 万元 </w:t>
      </w:r>
    </w:p>
    <w:p w14:paraId="0A65838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采购需求：</w:t>
      </w:r>
    </w:p>
    <w:p w14:paraId="323AE4F5">
      <w:pPr>
        <w:keepNext w:val="0"/>
        <w:keepLines w:val="0"/>
        <w:pageBreakBefore w:val="0"/>
        <w:wordWrap/>
        <w:overflowPunct/>
        <w:topLinePunct w:val="0"/>
        <w:bidi w:val="0"/>
        <w:spacing w:line="440" w:lineRule="exact"/>
        <w:ind w:firstLine="422" w:firstLineChars="200"/>
        <w:rPr>
          <w:rFonts w:hint="eastAsia" w:ascii="宋体" w:hAnsi="宋体" w:eastAsia="宋体"/>
          <w:b/>
          <w:bCs/>
          <w:color w:val="auto"/>
          <w:szCs w:val="21"/>
          <w:highlight w:val="none"/>
          <w:lang w:val="en-US" w:eastAsia="zh-CN"/>
        </w:rPr>
      </w:pPr>
      <w:r>
        <w:rPr>
          <w:rFonts w:hint="eastAsia" w:ascii="宋体" w:hAnsi="宋体" w:eastAsia="宋体"/>
          <w:b/>
          <w:bCs/>
          <w:color w:val="auto"/>
          <w:szCs w:val="21"/>
          <w:highlight w:val="none"/>
          <w:lang w:eastAsia="zh-CN"/>
        </w:rPr>
        <w:t>包</w:t>
      </w:r>
      <w:r>
        <w:rPr>
          <w:rFonts w:hint="eastAsia" w:ascii="宋体" w:hAnsi="宋体" w:eastAsia="宋体"/>
          <w:b/>
          <w:bCs/>
          <w:color w:val="auto"/>
          <w:szCs w:val="21"/>
          <w:highlight w:val="none"/>
          <w:lang w:val="en-US" w:eastAsia="zh-CN"/>
        </w:rPr>
        <w:t>1</w:t>
      </w:r>
    </w:p>
    <w:p w14:paraId="25C23B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标项名称：广西壮族自治区尾矿库和矿山开采区地下水环境状况调查评估项目（二期）</w:t>
      </w:r>
      <w:r>
        <w:rPr>
          <w:rFonts w:hint="eastAsia" w:ascii="宋体" w:hAnsi="宋体" w:eastAsia="宋体" w:cs="Times New Roman"/>
          <w:snapToGrid/>
          <w:color w:val="auto"/>
          <w:kern w:val="2"/>
          <w:szCs w:val="21"/>
          <w:highlight w:val="none"/>
          <w:lang w:val="en-US" w:eastAsia="zh-CN"/>
        </w:rPr>
        <w:t>-</w:t>
      </w:r>
      <w:r>
        <w:rPr>
          <w:rFonts w:hint="eastAsia" w:ascii="宋体" w:hAnsi="宋体" w:eastAsia="宋体" w:cs="Times New Roman"/>
          <w:snapToGrid/>
          <w:color w:val="auto"/>
          <w:kern w:val="2"/>
          <w:szCs w:val="21"/>
          <w:highlight w:val="none"/>
          <w:lang w:eastAsia="zh-CN"/>
        </w:rPr>
        <w:t>调查评估与成果集成包</w:t>
      </w:r>
    </w:p>
    <w:p w14:paraId="4D9C48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数量：1项</w:t>
      </w:r>
    </w:p>
    <w:p w14:paraId="061F7B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预算金额（元）：</w:t>
      </w:r>
      <w:r>
        <w:rPr>
          <w:rFonts w:hint="eastAsia" w:ascii="宋体" w:hAnsi="宋体" w:eastAsia="宋体" w:cs="Times New Roman"/>
          <w:snapToGrid/>
          <w:color w:val="auto"/>
          <w:kern w:val="2"/>
          <w:szCs w:val="21"/>
          <w:highlight w:val="none"/>
          <w:lang w:val="en-US" w:eastAsia="zh-CN"/>
        </w:rPr>
        <w:t>4800000</w:t>
      </w:r>
      <w:r>
        <w:rPr>
          <w:rFonts w:hint="eastAsia" w:ascii="宋体" w:hAnsi="宋体" w:eastAsia="宋体" w:cs="Times New Roman"/>
          <w:snapToGrid/>
          <w:color w:val="auto"/>
          <w:kern w:val="2"/>
          <w:szCs w:val="21"/>
          <w:highlight w:val="none"/>
          <w:lang w:eastAsia="zh-CN"/>
        </w:rPr>
        <w:t>.00</w:t>
      </w:r>
    </w:p>
    <w:p w14:paraId="324376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简要规格描述或项目基本概况介绍、用途：详见附件《采购需求》。</w:t>
      </w:r>
    </w:p>
    <w:p w14:paraId="4A64CBE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最高限价（如有）：</w:t>
      </w:r>
      <w:r>
        <w:rPr>
          <w:rFonts w:hint="eastAsia" w:ascii="宋体" w:hAnsi="宋体" w:eastAsia="宋体" w:cs="Times New Roman"/>
          <w:snapToGrid/>
          <w:color w:val="auto"/>
          <w:kern w:val="2"/>
          <w:szCs w:val="21"/>
          <w:highlight w:val="none"/>
          <w:lang w:val="en-US" w:eastAsia="zh-CN"/>
        </w:rPr>
        <w:t>4800000</w:t>
      </w:r>
      <w:r>
        <w:rPr>
          <w:rFonts w:hint="eastAsia" w:ascii="宋体" w:hAnsi="宋体" w:eastAsia="宋体" w:cs="Times New Roman"/>
          <w:snapToGrid/>
          <w:color w:val="auto"/>
          <w:kern w:val="2"/>
          <w:szCs w:val="21"/>
          <w:highlight w:val="none"/>
          <w:lang w:eastAsia="zh-CN"/>
        </w:rPr>
        <w:t>.00</w:t>
      </w:r>
    </w:p>
    <w:p w14:paraId="1F0AF6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合同履约期限：具体详见招标文件。</w:t>
      </w:r>
    </w:p>
    <w:p w14:paraId="5D65E92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本标项接受联合体投标。</w:t>
      </w:r>
    </w:p>
    <w:p w14:paraId="360468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eastAsia="zh-CN"/>
        </w:rPr>
        <w:t>备注：本“包</w:t>
      </w:r>
      <w:r>
        <w:rPr>
          <w:rFonts w:hint="eastAsia" w:ascii="宋体" w:hAnsi="宋体" w:eastAsia="宋体" w:cs="Times New Roman"/>
          <w:snapToGrid/>
          <w:color w:val="auto"/>
          <w:kern w:val="2"/>
          <w:szCs w:val="21"/>
          <w:highlight w:val="none"/>
          <w:lang w:val="en-US" w:eastAsia="zh-CN"/>
        </w:rPr>
        <w:t>1”即为“分标1”</w:t>
      </w:r>
    </w:p>
    <w:p w14:paraId="07B7883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Times New Roman"/>
          <w:b/>
          <w:bCs/>
          <w:snapToGrid/>
          <w:color w:val="auto"/>
          <w:kern w:val="2"/>
          <w:szCs w:val="21"/>
          <w:highlight w:val="none"/>
          <w:lang w:val="en-US" w:eastAsia="zh-CN"/>
        </w:rPr>
      </w:pPr>
      <w:r>
        <w:rPr>
          <w:rFonts w:hint="eastAsia" w:ascii="宋体" w:hAnsi="宋体" w:eastAsia="宋体" w:cs="Times New Roman"/>
          <w:b/>
          <w:bCs/>
          <w:snapToGrid/>
          <w:color w:val="auto"/>
          <w:kern w:val="2"/>
          <w:szCs w:val="21"/>
          <w:highlight w:val="none"/>
          <w:lang w:eastAsia="zh-CN"/>
        </w:rPr>
        <w:t>包</w:t>
      </w:r>
      <w:r>
        <w:rPr>
          <w:rFonts w:hint="eastAsia" w:ascii="宋体" w:hAnsi="宋体" w:eastAsia="宋体" w:cs="Times New Roman"/>
          <w:b/>
          <w:bCs/>
          <w:snapToGrid/>
          <w:color w:val="auto"/>
          <w:kern w:val="2"/>
          <w:szCs w:val="21"/>
          <w:highlight w:val="none"/>
          <w:lang w:val="en-US" w:eastAsia="zh-CN"/>
        </w:rPr>
        <w:t>2</w:t>
      </w:r>
    </w:p>
    <w:p w14:paraId="41893A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标项名称：广西壮族自治区尾矿库和矿山开采区地下水环境状况调查评估项目（二期）</w:t>
      </w:r>
      <w:r>
        <w:rPr>
          <w:rFonts w:hint="eastAsia" w:ascii="宋体" w:hAnsi="宋体" w:eastAsia="宋体" w:cs="Times New Roman"/>
          <w:snapToGrid/>
          <w:color w:val="auto"/>
          <w:kern w:val="2"/>
          <w:szCs w:val="21"/>
          <w:highlight w:val="none"/>
          <w:lang w:val="en-US" w:eastAsia="zh-CN"/>
        </w:rPr>
        <w:t>-</w:t>
      </w:r>
      <w:r>
        <w:rPr>
          <w:rFonts w:hint="eastAsia" w:ascii="宋体" w:hAnsi="宋体" w:eastAsia="宋体" w:cs="Times New Roman"/>
          <w:snapToGrid/>
          <w:color w:val="auto"/>
          <w:kern w:val="2"/>
          <w:szCs w:val="21"/>
          <w:highlight w:val="none"/>
          <w:lang w:eastAsia="zh-CN"/>
        </w:rPr>
        <w:t>水文地质调查与监测井建设包</w:t>
      </w:r>
    </w:p>
    <w:p w14:paraId="6B74FEC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数量：1项</w:t>
      </w:r>
    </w:p>
    <w:p w14:paraId="6878706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预算金额（元）：</w:t>
      </w:r>
      <w:r>
        <w:rPr>
          <w:rFonts w:hint="eastAsia" w:ascii="宋体" w:hAnsi="宋体" w:eastAsia="宋体" w:cs="Times New Roman"/>
          <w:snapToGrid/>
          <w:color w:val="auto"/>
          <w:kern w:val="2"/>
          <w:szCs w:val="21"/>
          <w:highlight w:val="none"/>
          <w:lang w:val="en-US" w:eastAsia="zh-CN"/>
        </w:rPr>
        <w:t>5700000</w:t>
      </w:r>
      <w:r>
        <w:rPr>
          <w:rFonts w:hint="eastAsia" w:ascii="宋体" w:hAnsi="宋体" w:eastAsia="宋体" w:cs="Times New Roman"/>
          <w:snapToGrid/>
          <w:color w:val="auto"/>
          <w:kern w:val="2"/>
          <w:szCs w:val="21"/>
          <w:highlight w:val="none"/>
          <w:lang w:eastAsia="zh-CN"/>
        </w:rPr>
        <w:t>.00</w:t>
      </w:r>
    </w:p>
    <w:p w14:paraId="49D9F12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简要规格描述或项目基本概况介绍、用途：详见附件《采购需求》。</w:t>
      </w:r>
    </w:p>
    <w:p w14:paraId="7349C24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最高限价（如有）：</w:t>
      </w:r>
      <w:r>
        <w:rPr>
          <w:rFonts w:hint="eastAsia" w:ascii="宋体" w:hAnsi="宋体" w:eastAsia="宋体" w:cs="Times New Roman"/>
          <w:snapToGrid/>
          <w:color w:val="auto"/>
          <w:kern w:val="2"/>
          <w:szCs w:val="21"/>
          <w:highlight w:val="none"/>
          <w:lang w:val="en-US" w:eastAsia="zh-CN"/>
        </w:rPr>
        <w:t>5700000</w:t>
      </w:r>
      <w:r>
        <w:rPr>
          <w:rFonts w:hint="eastAsia" w:ascii="宋体" w:hAnsi="宋体" w:eastAsia="宋体" w:cs="Times New Roman"/>
          <w:snapToGrid/>
          <w:color w:val="auto"/>
          <w:kern w:val="2"/>
          <w:szCs w:val="21"/>
          <w:highlight w:val="none"/>
          <w:lang w:eastAsia="zh-CN"/>
        </w:rPr>
        <w:t>.00</w:t>
      </w:r>
    </w:p>
    <w:p w14:paraId="03B37DD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合同履约期限：具体详见招标文件。</w:t>
      </w:r>
    </w:p>
    <w:p w14:paraId="387C6B1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本标项接受联合体投标。</w:t>
      </w:r>
    </w:p>
    <w:p w14:paraId="1AB980B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eastAsia="宋体" w:cs="Times New Roman"/>
          <w:snapToGrid/>
          <w:color w:val="auto"/>
          <w:kern w:val="2"/>
          <w:szCs w:val="21"/>
          <w:highlight w:val="none"/>
          <w:lang w:eastAsia="zh-CN"/>
        </w:rPr>
        <w:t>备注：本“包</w:t>
      </w:r>
      <w:r>
        <w:rPr>
          <w:rFonts w:hint="eastAsia" w:ascii="宋体" w:hAnsi="宋体" w:eastAsia="宋体" w:cs="Times New Roman"/>
          <w:snapToGrid/>
          <w:color w:val="auto"/>
          <w:kern w:val="2"/>
          <w:szCs w:val="21"/>
          <w:highlight w:val="none"/>
          <w:lang w:val="en-US" w:eastAsia="zh-CN"/>
        </w:rPr>
        <w:t>2”即为“分标2”</w:t>
      </w:r>
    </w:p>
    <w:p w14:paraId="26552AF9">
      <w:pPr>
        <w:keepNext w:val="0"/>
        <w:keepLines w:val="0"/>
        <w:pageBreakBefore w:val="0"/>
        <w:wordWrap/>
        <w:overflowPunct/>
        <w:topLinePunct w:val="0"/>
        <w:bidi w:val="0"/>
        <w:spacing w:line="440" w:lineRule="exact"/>
        <w:ind w:firstLine="422" w:firstLineChars="200"/>
        <w:rPr>
          <w:rFonts w:hint="eastAsia" w:ascii="宋体" w:hAnsi="宋体" w:eastAsia="宋体"/>
          <w:b/>
          <w:bCs/>
          <w:color w:val="auto"/>
          <w:szCs w:val="21"/>
          <w:highlight w:val="none"/>
          <w:lang w:val="en-US" w:eastAsia="zh-CN"/>
        </w:rPr>
      </w:pPr>
      <w:r>
        <w:rPr>
          <w:rFonts w:hint="eastAsia" w:ascii="宋体" w:hAnsi="宋体" w:eastAsia="宋体"/>
          <w:b/>
          <w:bCs/>
          <w:color w:val="auto"/>
          <w:szCs w:val="21"/>
          <w:highlight w:val="none"/>
          <w:lang w:eastAsia="zh-CN"/>
        </w:rPr>
        <w:t>包</w:t>
      </w:r>
      <w:r>
        <w:rPr>
          <w:rFonts w:hint="eastAsia" w:ascii="宋体" w:hAnsi="宋体" w:eastAsia="宋体"/>
          <w:b/>
          <w:bCs/>
          <w:color w:val="auto"/>
          <w:szCs w:val="21"/>
          <w:highlight w:val="none"/>
          <w:lang w:val="en-US" w:eastAsia="zh-CN"/>
        </w:rPr>
        <w:t>3</w:t>
      </w:r>
    </w:p>
    <w:p w14:paraId="643337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标项名称：广西壮族自治区尾矿库和矿山开采区地下水环境状况调查评估项目（二期）</w:t>
      </w:r>
      <w:r>
        <w:rPr>
          <w:rFonts w:hint="eastAsia" w:ascii="宋体" w:hAnsi="宋体" w:eastAsia="宋体" w:cs="Times New Roman"/>
          <w:snapToGrid/>
          <w:color w:val="auto"/>
          <w:kern w:val="2"/>
          <w:szCs w:val="21"/>
          <w:highlight w:val="none"/>
          <w:lang w:val="en-US" w:eastAsia="zh-CN"/>
        </w:rPr>
        <w:t>-</w:t>
      </w:r>
      <w:r>
        <w:rPr>
          <w:rFonts w:hint="eastAsia" w:ascii="宋体" w:hAnsi="宋体" w:eastAsia="宋体" w:cs="Times New Roman"/>
          <w:snapToGrid/>
          <w:color w:val="auto"/>
          <w:kern w:val="2"/>
          <w:szCs w:val="21"/>
          <w:highlight w:val="none"/>
          <w:lang w:eastAsia="zh-CN"/>
        </w:rPr>
        <w:t>样品采集与测试分析包</w:t>
      </w:r>
    </w:p>
    <w:p w14:paraId="1FC9E2F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数量：1项</w:t>
      </w:r>
    </w:p>
    <w:p w14:paraId="571A88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预算金额（元）：</w:t>
      </w:r>
      <w:r>
        <w:rPr>
          <w:rFonts w:hint="eastAsia" w:ascii="宋体" w:hAnsi="宋体" w:eastAsia="宋体" w:cs="Times New Roman"/>
          <w:snapToGrid/>
          <w:color w:val="auto"/>
          <w:kern w:val="2"/>
          <w:szCs w:val="21"/>
          <w:highlight w:val="none"/>
          <w:lang w:val="en-US" w:eastAsia="zh-CN"/>
        </w:rPr>
        <w:t>2500000</w:t>
      </w:r>
      <w:r>
        <w:rPr>
          <w:rFonts w:hint="eastAsia" w:ascii="宋体" w:hAnsi="宋体" w:eastAsia="宋体" w:cs="Times New Roman"/>
          <w:snapToGrid/>
          <w:color w:val="auto"/>
          <w:kern w:val="2"/>
          <w:szCs w:val="21"/>
          <w:highlight w:val="none"/>
          <w:lang w:eastAsia="zh-CN"/>
        </w:rPr>
        <w:t>.00</w:t>
      </w:r>
    </w:p>
    <w:p w14:paraId="77D40C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简要规格描述或项目基本概况介绍、用途：详见附件《采购需求》。</w:t>
      </w:r>
    </w:p>
    <w:p w14:paraId="5BC52F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最高限价（如有）：</w:t>
      </w:r>
      <w:r>
        <w:rPr>
          <w:rFonts w:hint="eastAsia" w:ascii="宋体" w:hAnsi="宋体" w:eastAsia="宋体" w:cs="Times New Roman"/>
          <w:snapToGrid/>
          <w:color w:val="auto"/>
          <w:kern w:val="2"/>
          <w:szCs w:val="21"/>
          <w:highlight w:val="none"/>
          <w:lang w:val="en-US" w:eastAsia="zh-CN"/>
        </w:rPr>
        <w:t>2500000</w:t>
      </w:r>
      <w:r>
        <w:rPr>
          <w:rFonts w:hint="eastAsia" w:ascii="宋体" w:hAnsi="宋体" w:eastAsia="宋体" w:cs="Times New Roman"/>
          <w:snapToGrid/>
          <w:color w:val="auto"/>
          <w:kern w:val="2"/>
          <w:szCs w:val="21"/>
          <w:highlight w:val="none"/>
          <w:lang w:eastAsia="zh-CN"/>
        </w:rPr>
        <w:t>.00</w:t>
      </w:r>
    </w:p>
    <w:p w14:paraId="0B6D3F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合同履约期限：具体详见招标文件。</w:t>
      </w:r>
    </w:p>
    <w:p w14:paraId="1F837E4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本标项（否）接受联合体投标。</w:t>
      </w:r>
    </w:p>
    <w:p w14:paraId="7E22A2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备注：本“包</w:t>
      </w:r>
      <w:r>
        <w:rPr>
          <w:rFonts w:hint="eastAsia" w:ascii="宋体" w:hAnsi="宋体" w:eastAsia="宋体" w:cs="Times New Roman"/>
          <w:snapToGrid/>
          <w:color w:val="auto"/>
          <w:kern w:val="2"/>
          <w:szCs w:val="21"/>
          <w:highlight w:val="none"/>
          <w:lang w:val="en-US" w:eastAsia="zh-CN"/>
        </w:rPr>
        <w:t>3”即为“分标3”</w:t>
      </w:r>
    </w:p>
    <w:p w14:paraId="3CEC86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合同履行期限：详见公开招标文件。</w:t>
      </w:r>
    </w:p>
    <w:p w14:paraId="65258EC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本项目包</w:t>
      </w:r>
      <w:r>
        <w:rPr>
          <w:rFonts w:hint="eastAsia" w:ascii="宋体" w:hAnsi="宋体" w:eastAsia="宋体" w:cs="Times New Roman"/>
          <w:snapToGrid/>
          <w:color w:val="auto"/>
          <w:kern w:val="2"/>
          <w:szCs w:val="21"/>
          <w:highlight w:val="none"/>
          <w:lang w:val="en-US" w:eastAsia="zh-CN"/>
        </w:rPr>
        <w:t>1（</w:t>
      </w:r>
      <w:r>
        <w:rPr>
          <w:rFonts w:hint="eastAsia" w:ascii="宋体" w:hAnsi="宋体" w:eastAsia="宋体" w:cs="Times New Roman"/>
          <w:snapToGrid/>
          <w:color w:val="auto"/>
          <w:kern w:val="2"/>
          <w:szCs w:val="21"/>
          <w:highlight w:val="none"/>
          <w:lang w:eastAsia="zh-CN"/>
        </w:rPr>
        <w:t>调查评估与成果集成包）、包</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水文地质调查与监测井建设包）接受联合体投标，包</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样品采集与测试分析包）不接受联合体投标。</w:t>
      </w:r>
    </w:p>
    <w:p w14:paraId="66A5F43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Times New Roman"/>
          <w:b/>
          <w:bCs/>
          <w:snapToGrid/>
          <w:color w:val="auto"/>
          <w:kern w:val="2"/>
          <w:szCs w:val="21"/>
          <w:highlight w:val="none"/>
          <w:lang w:eastAsia="zh-CN"/>
        </w:rPr>
      </w:pPr>
      <w:r>
        <w:rPr>
          <w:rFonts w:hint="eastAsia" w:ascii="宋体" w:hAnsi="宋体" w:eastAsia="宋体" w:cs="Times New Roman"/>
          <w:b/>
          <w:bCs/>
          <w:snapToGrid/>
          <w:color w:val="auto"/>
          <w:kern w:val="2"/>
          <w:szCs w:val="21"/>
          <w:highlight w:val="none"/>
          <w:lang w:eastAsia="zh-CN"/>
        </w:rPr>
        <w:t>二、包 1、2、3 申请人的资格要求：</w:t>
      </w:r>
    </w:p>
    <w:p w14:paraId="36923A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1.满足《中华人民共和国政府采购法》第二十二条规定；</w:t>
      </w:r>
    </w:p>
    <w:p w14:paraId="0650C9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2.落实政府采购政策需满足的资格要求：本项目非专门面向中小企业采购；</w:t>
      </w:r>
    </w:p>
    <w:p w14:paraId="5885311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3.本项目的特定资格要求：</w:t>
      </w:r>
    </w:p>
    <w:p w14:paraId="672682B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包 1 ：无；</w:t>
      </w:r>
    </w:p>
    <w:p w14:paraId="153C0A1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包 2：投标人应同时具备丙级及以上（含丙级）水文地质勘察专业资质和乙级及以上（含乙级）测绘资质，联合体投标时，联合体各方中至少有一方必须符合招标文件规定的特定资格条件。</w:t>
      </w:r>
    </w:p>
    <w:p w14:paraId="31CF554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包 3：投标人具备有效的检验检测机构资质认定证书（CMA 证书）； </w:t>
      </w:r>
    </w:p>
    <w:p w14:paraId="6E1628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.本项目的特定条件：</w:t>
      </w:r>
      <w:bookmarkStart w:id="9" w:name="OLE_LINK1"/>
      <w:r>
        <w:rPr>
          <w:rFonts w:hint="eastAsia" w:ascii="宋体" w:hAnsi="宋体" w:eastAsia="宋体" w:cs="Times New Roman"/>
          <w:snapToGrid/>
          <w:color w:val="auto"/>
          <w:kern w:val="2"/>
          <w:szCs w:val="21"/>
          <w:highlight w:val="none"/>
          <w:lang w:eastAsia="zh-CN"/>
        </w:rPr>
        <w:t>无</w:t>
      </w:r>
      <w:bookmarkEnd w:id="9"/>
      <w:r>
        <w:rPr>
          <w:rFonts w:hint="eastAsia" w:ascii="宋体" w:hAnsi="宋体" w:eastAsia="宋体" w:cs="Times New Roman"/>
          <w:snapToGrid/>
          <w:color w:val="auto"/>
          <w:kern w:val="2"/>
          <w:szCs w:val="21"/>
          <w:highlight w:val="none"/>
          <w:lang w:eastAsia="zh-CN"/>
        </w:rPr>
        <w:t>；</w:t>
      </w:r>
    </w:p>
    <w:p w14:paraId="6DC7EF4E">
      <w:pPr>
        <w:pStyle w:val="8"/>
        <w:keepNext w:val="0"/>
        <w:keepLines w:val="0"/>
        <w:pageBreakBefore w:val="0"/>
        <w:wordWrap/>
        <w:overflowPunct/>
        <w:topLinePunct w:val="0"/>
        <w:bidi w:val="0"/>
        <w:spacing w:line="440" w:lineRule="exact"/>
        <w:ind w:left="8"/>
        <w:rPr>
          <w:color w:val="auto"/>
          <w:sz w:val="20"/>
          <w:szCs w:val="20"/>
          <w:highlight w:val="none"/>
        </w:rPr>
      </w:pPr>
      <w:r>
        <w:rPr>
          <w:rFonts w:hint="eastAsia"/>
          <w:b/>
          <w:bCs/>
          <w:color w:val="auto"/>
          <w:spacing w:val="7"/>
          <w:sz w:val="20"/>
          <w:szCs w:val="20"/>
          <w:highlight w:val="none"/>
          <w:lang w:val="en-US" w:eastAsia="zh-CN"/>
        </w:rPr>
        <w:t xml:space="preserve">    </w:t>
      </w:r>
      <w:r>
        <w:rPr>
          <w:b/>
          <w:bCs/>
          <w:color w:val="auto"/>
          <w:spacing w:val="7"/>
          <w:sz w:val="20"/>
          <w:szCs w:val="20"/>
          <w:highlight w:val="none"/>
        </w:rPr>
        <w:t>三、获取招标文件</w:t>
      </w:r>
    </w:p>
    <w:p w14:paraId="611625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时间：2024年</w:t>
      </w:r>
      <w:r>
        <w:rPr>
          <w:rFonts w:hint="eastAsia" w:ascii="宋体" w:hAnsi="宋体" w:eastAsia="宋体" w:cs="Times New Roman"/>
          <w:snapToGrid/>
          <w:color w:val="auto"/>
          <w:kern w:val="2"/>
          <w:szCs w:val="21"/>
          <w:highlight w:val="none"/>
          <w:lang w:val="en-US" w:eastAsia="zh-CN"/>
        </w:rPr>
        <w:t>11</w:t>
      </w:r>
      <w:r>
        <w:rPr>
          <w:rFonts w:hint="eastAsia" w:ascii="宋体" w:hAnsi="宋体" w:eastAsia="宋体" w:cs="Times New Roman"/>
          <w:snapToGrid/>
          <w:color w:val="auto"/>
          <w:kern w:val="2"/>
          <w:szCs w:val="21"/>
          <w:highlight w:val="none"/>
          <w:lang w:eastAsia="zh-CN"/>
        </w:rPr>
        <w:t>月</w:t>
      </w:r>
      <w:r>
        <w:rPr>
          <w:rFonts w:hint="eastAsia" w:ascii="宋体" w:hAnsi="宋体" w:eastAsia="宋体" w:cs="Times New Roman"/>
          <w:snapToGrid/>
          <w:color w:val="auto"/>
          <w:kern w:val="2"/>
          <w:szCs w:val="21"/>
          <w:highlight w:val="none"/>
          <w:lang w:val="en-US" w:eastAsia="zh-CN"/>
        </w:rPr>
        <w:t>14</w:t>
      </w:r>
      <w:r>
        <w:rPr>
          <w:rFonts w:hint="eastAsia" w:ascii="宋体" w:hAnsi="宋体" w:eastAsia="宋体" w:cs="Times New Roman"/>
          <w:snapToGrid/>
          <w:color w:val="auto"/>
          <w:kern w:val="2"/>
          <w:szCs w:val="21"/>
          <w:highlight w:val="none"/>
          <w:lang w:eastAsia="zh-CN"/>
        </w:rPr>
        <w:t>日至 2024 年</w:t>
      </w:r>
      <w:r>
        <w:rPr>
          <w:rFonts w:hint="eastAsia" w:ascii="宋体" w:hAnsi="宋体" w:eastAsia="宋体" w:cs="Times New Roman"/>
          <w:snapToGrid/>
          <w:color w:val="auto"/>
          <w:kern w:val="2"/>
          <w:szCs w:val="21"/>
          <w:highlight w:val="none"/>
          <w:lang w:val="en-US" w:eastAsia="zh-CN"/>
        </w:rPr>
        <w:t>11</w:t>
      </w:r>
      <w:r>
        <w:rPr>
          <w:rFonts w:hint="eastAsia" w:ascii="宋体" w:hAnsi="宋体" w:eastAsia="宋体" w:cs="Times New Roman"/>
          <w:snapToGrid/>
          <w:color w:val="auto"/>
          <w:kern w:val="2"/>
          <w:szCs w:val="21"/>
          <w:highlight w:val="none"/>
          <w:lang w:eastAsia="zh-CN"/>
        </w:rPr>
        <w:t>月</w:t>
      </w:r>
      <w:r>
        <w:rPr>
          <w:rFonts w:hint="eastAsia" w:ascii="宋体" w:hAnsi="宋体" w:eastAsia="宋体" w:cs="Times New Roman"/>
          <w:snapToGrid/>
          <w:color w:val="auto"/>
          <w:kern w:val="2"/>
          <w:szCs w:val="21"/>
          <w:highlight w:val="none"/>
          <w:lang w:val="en-US" w:eastAsia="zh-CN"/>
        </w:rPr>
        <w:t>21</w:t>
      </w:r>
      <w:r>
        <w:rPr>
          <w:rFonts w:hint="eastAsia" w:ascii="宋体" w:hAnsi="宋体" w:eastAsia="宋体" w:cs="Times New Roman"/>
          <w:snapToGrid/>
          <w:color w:val="auto"/>
          <w:kern w:val="2"/>
          <w:szCs w:val="21"/>
          <w:highlight w:val="none"/>
          <w:lang w:eastAsia="zh-CN"/>
        </w:rPr>
        <w:t xml:space="preserve">日，每天上午 00:00 至 11:59 ，下午 12:00 至 </w:t>
      </w:r>
      <w:r>
        <w:rPr>
          <w:rFonts w:hint="eastAsia" w:ascii="宋体" w:hAnsi="宋体" w:eastAsia="宋体" w:cs="Times New Roman"/>
          <w:snapToGrid/>
          <w:color w:val="auto"/>
          <w:kern w:val="2"/>
          <w:szCs w:val="21"/>
          <w:highlight w:val="none"/>
          <w:lang w:val="en-US" w:eastAsia="zh-CN"/>
        </w:rPr>
        <w:t>23</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59</w:t>
      </w:r>
      <w:r>
        <w:rPr>
          <w:rFonts w:hint="eastAsia" w:ascii="宋体" w:hAnsi="宋体" w:eastAsia="宋体" w:cs="Times New Roman"/>
          <w:snapToGrid/>
          <w:color w:val="auto"/>
          <w:kern w:val="2"/>
          <w:szCs w:val="21"/>
          <w:highlight w:val="none"/>
          <w:lang w:eastAsia="zh-CN"/>
        </w:rPr>
        <w:t xml:space="preserve"> （北京时间，法定节假日除外）</w:t>
      </w:r>
    </w:p>
    <w:p w14:paraId="36015D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地点： “广西政府采购云平台 ”（https://www.gcy.zfcg.gxzf.gov.cn/）</w:t>
      </w:r>
    </w:p>
    <w:p w14:paraId="77A966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方式：网上下载。本项目不提供纸质文件，潜在投标人需使用账号登录或者使用CA 登录“广西政 府采购云平台 ”（https://www.gcy.zfcg.gxzf.gov.cn/）-进入“项目采购 ”应用，在获取采购文件菜单中选择项目，获取招标文件（或在“广西政府采购云平台电子投标客户端-获取采购文件 ”跳转到广西政府采购云平台系统获取</w:t>
      </w:r>
      <w:bookmarkStart w:id="10" w:name="OLE_LINK20"/>
      <w:r>
        <w:rPr>
          <w:rFonts w:hint="eastAsia" w:ascii="宋体" w:hAnsi="宋体" w:eastAsia="宋体" w:cs="Times New Roman"/>
          <w:snapToGrid/>
          <w:color w:val="auto"/>
          <w:kern w:val="2"/>
          <w:szCs w:val="21"/>
          <w:highlight w:val="none"/>
          <w:lang w:eastAsia="zh-CN"/>
        </w:rPr>
        <w:t>）</w:t>
      </w:r>
      <w:bookmarkEnd w:id="10"/>
      <w:r>
        <w:rPr>
          <w:rFonts w:hint="eastAsia" w:ascii="宋体" w:hAnsi="宋体" w:eastAsia="宋体" w:cs="Times New Roman"/>
          <w:snapToGrid/>
          <w:color w:val="auto"/>
          <w:kern w:val="2"/>
          <w:szCs w:val="21"/>
          <w:highlight w:val="none"/>
          <w:lang w:eastAsia="zh-CN"/>
        </w:rPr>
        <w:t>。电子投标文件制作需要基于广西政府采购云平台获取的招标文件编制，通过其他方式获取招标文件的，将有可能导致投标人无法在广西政府采购云平台编制及上传投标文件。售价：0 元。</w:t>
      </w:r>
    </w:p>
    <w:p w14:paraId="654606E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b/>
          <w:bCs/>
          <w:snapToGrid/>
          <w:color w:val="auto"/>
          <w:kern w:val="2"/>
          <w:szCs w:val="21"/>
          <w:highlight w:val="none"/>
          <w:lang w:eastAsia="zh-CN"/>
        </w:rPr>
      </w:pPr>
      <w:r>
        <w:rPr>
          <w:rFonts w:hint="eastAsia" w:ascii="宋体" w:hAnsi="宋体" w:eastAsia="宋体" w:cs="Times New Roman"/>
          <w:b/>
          <w:bCs/>
          <w:snapToGrid/>
          <w:color w:val="auto"/>
          <w:kern w:val="2"/>
          <w:szCs w:val="21"/>
          <w:highlight w:val="none"/>
          <w:lang w:val="en-US" w:eastAsia="zh-CN"/>
        </w:rPr>
        <w:t xml:space="preserve">    </w:t>
      </w:r>
      <w:r>
        <w:rPr>
          <w:rFonts w:hint="eastAsia" w:ascii="宋体" w:hAnsi="宋体" w:eastAsia="宋体" w:cs="Times New Roman"/>
          <w:b/>
          <w:bCs/>
          <w:snapToGrid/>
          <w:color w:val="auto"/>
          <w:kern w:val="2"/>
          <w:szCs w:val="21"/>
          <w:highlight w:val="none"/>
          <w:lang w:eastAsia="zh-CN"/>
        </w:rPr>
        <w:t>四、提交投标文件截止时间、开标时间和地点</w:t>
      </w:r>
    </w:p>
    <w:p w14:paraId="4ABA54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提交投标文件截止时间：2024 年</w:t>
      </w:r>
      <w:r>
        <w:rPr>
          <w:rFonts w:hint="eastAsia" w:ascii="宋体" w:hAnsi="宋体" w:eastAsia="宋体" w:cs="Times New Roman"/>
          <w:snapToGrid/>
          <w:color w:val="auto"/>
          <w:kern w:val="2"/>
          <w:szCs w:val="21"/>
          <w:highlight w:val="none"/>
          <w:lang w:val="en-US" w:eastAsia="zh-CN"/>
        </w:rPr>
        <w:t>12</w:t>
      </w:r>
      <w:r>
        <w:rPr>
          <w:rFonts w:hint="eastAsia" w:ascii="宋体" w:hAnsi="宋体" w:eastAsia="宋体" w:cs="Times New Roman"/>
          <w:snapToGrid/>
          <w:color w:val="auto"/>
          <w:kern w:val="2"/>
          <w:szCs w:val="21"/>
          <w:highlight w:val="none"/>
          <w:lang w:eastAsia="zh-CN"/>
        </w:rPr>
        <w:t>月</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日上午 09：30（北京时间）</w:t>
      </w:r>
    </w:p>
    <w:p w14:paraId="02B115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投标地点：“广西政府采购云平台 ”（https://www.gcy.zfcg.gxzf.gov.cn/） </w:t>
      </w:r>
    </w:p>
    <w:p w14:paraId="752E414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开标时间：2024年</w:t>
      </w:r>
      <w:r>
        <w:rPr>
          <w:rFonts w:hint="eastAsia" w:ascii="宋体" w:hAnsi="宋体" w:eastAsia="宋体" w:cs="Times New Roman"/>
          <w:snapToGrid/>
          <w:color w:val="auto"/>
          <w:kern w:val="2"/>
          <w:szCs w:val="21"/>
          <w:highlight w:val="none"/>
          <w:lang w:val="en-US" w:eastAsia="zh-CN"/>
        </w:rPr>
        <w:t>12</w:t>
      </w:r>
      <w:r>
        <w:rPr>
          <w:rFonts w:hint="eastAsia" w:ascii="宋体" w:hAnsi="宋体" w:eastAsia="宋体" w:cs="Times New Roman"/>
          <w:snapToGrid/>
          <w:color w:val="auto"/>
          <w:kern w:val="2"/>
          <w:szCs w:val="21"/>
          <w:highlight w:val="none"/>
          <w:lang w:eastAsia="zh-CN"/>
        </w:rPr>
        <w:t>月</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日上午 09：30（北京时间）</w:t>
      </w:r>
    </w:p>
    <w:p w14:paraId="42A847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开标地点：广西政府采购云平台电子开标大厅</w:t>
      </w:r>
    </w:p>
    <w:p w14:paraId="650430D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b/>
          <w:bCs/>
          <w:snapToGrid/>
          <w:color w:val="auto"/>
          <w:kern w:val="2"/>
          <w:szCs w:val="21"/>
          <w:highlight w:val="none"/>
          <w:lang w:val="en-US" w:eastAsia="zh-CN"/>
        </w:rPr>
        <w:t xml:space="preserve">    </w:t>
      </w:r>
      <w:r>
        <w:rPr>
          <w:rFonts w:hint="eastAsia" w:ascii="宋体" w:hAnsi="宋体" w:eastAsia="宋体" w:cs="Times New Roman"/>
          <w:b/>
          <w:bCs/>
          <w:snapToGrid/>
          <w:color w:val="auto"/>
          <w:kern w:val="2"/>
          <w:szCs w:val="21"/>
          <w:highlight w:val="none"/>
          <w:lang w:eastAsia="zh-CN"/>
        </w:rPr>
        <w:t>五、公告期限：</w:t>
      </w:r>
      <w:r>
        <w:rPr>
          <w:rFonts w:hint="eastAsia" w:ascii="宋体" w:hAnsi="宋体" w:eastAsia="宋体" w:cs="Times New Roman"/>
          <w:snapToGrid/>
          <w:color w:val="auto"/>
          <w:kern w:val="2"/>
          <w:szCs w:val="21"/>
          <w:highlight w:val="none"/>
          <w:lang w:eastAsia="zh-CN"/>
        </w:rPr>
        <w:t xml:space="preserve"> 自本公告发布之日起 5 个工作日。</w:t>
      </w:r>
    </w:p>
    <w:p w14:paraId="2B11CCB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b/>
          <w:bCs/>
          <w:snapToGrid/>
          <w:color w:val="auto"/>
          <w:kern w:val="2"/>
          <w:szCs w:val="21"/>
          <w:highlight w:val="none"/>
          <w:lang w:eastAsia="zh-CN"/>
        </w:rPr>
      </w:pPr>
      <w:r>
        <w:rPr>
          <w:rFonts w:hint="eastAsia" w:ascii="宋体" w:hAnsi="宋体" w:eastAsia="宋体" w:cs="Times New Roman"/>
          <w:b/>
          <w:bCs/>
          <w:snapToGrid/>
          <w:color w:val="auto"/>
          <w:kern w:val="2"/>
          <w:szCs w:val="21"/>
          <w:highlight w:val="none"/>
          <w:lang w:val="en-US" w:eastAsia="zh-CN"/>
        </w:rPr>
        <w:t xml:space="preserve">    </w:t>
      </w:r>
      <w:r>
        <w:rPr>
          <w:rFonts w:hint="eastAsia" w:ascii="宋体" w:hAnsi="宋体" w:eastAsia="宋体" w:cs="Times New Roman"/>
          <w:b/>
          <w:bCs/>
          <w:snapToGrid/>
          <w:color w:val="auto"/>
          <w:kern w:val="2"/>
          <w:szCs w:val="21"/>
          <w:highlight w:val="none"/>
          <w:lang w:eastAsia="zh-CN"/>
        </w:rPr>
        <w:t>六、其他补充事宜</w:t>
      </w:r>
    </w:p>
    <w:p w14:paraId="4E88B2A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1.投标保证金（须足额交纳）：包</w:t>
      </w:r>
      <w:r>
        <w:rPr>
          <w:rFonts w:hint="eastAsia" w:ascii="宋体" w:hAnsi="宋体" w:eastAsia="宋体" w:cs="Times New Roman"/>
          <w:snapToGrid/>
          <w:color w:val="auto"/>
          <w:kern w:val="2"/>
          <w:szCs w:val="21"/>
          <w:highlight w:val="none"/>
          <w:lang w:val="en-US" w:eastAsia="zh-CN"/>
        </w:rPr>
        <w:t>1（</w:t>
      </w:r>
      <w:r>
        <w:rPr>
          <w:rFonts w:hint="eastAsia" w:ascii="宋体" w:hAnsi="宋体" w:eastAsia="宋体" w:cs="Times New Roman"/>
          <w:snapToGrid/>
          <w:color w:val="auto"/>
          <w:kern w:val="2"/>
          <w:szCs w:val="21"/>
          <w:highlight w:val="none"/>
          <w:lang w:eastAsia="zh-CN"/>
        </w:rPr>
        <w:t>调查评估与成果集成包）：</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0000.00 元；包</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水文地质调查与监测井建设包）：</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0000.00 元；包</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样品采集与测试分析包）：</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0000.00元。（缴纳注意事项详见投标人须知前附表）</w:t>
      </w:r>
    </w:p>
    <w:p w14:paraId="31B04C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.单位负责人为同一人或者存在直接控股、管理关系的不同投标人，不得参加同一合同项下的政 府采购活动。为本项目提供过整体设计、规范编制或者项目管理、监理、检测等服务的投标人，不得再参加本项目上述服务以外的其他采购活动；</w:t>
      </w:r>
    </w:p>
    <w:p w14:paraId="12F682A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.对在“信用中国 ”网站(www.creditchina.gov.cn)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323EE18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b/>
          <w:bCs/>
          <w:color w:val="auto"/>
          <w:spacing w:val="10"/>
          <w:sz w:val="20"/>
          <w:szCs w:val="20"/>
          <w:highlight w:val="none"/>
          <w:lang w:val="en-US" w:eastAsia="zh-CN"/>
        </w:rPr>
        <w:t>4</w:t>
      </w:r>
      <w:r>
        <w:rPr>
          <w:b/>
          <w:bCs/>
          <w:color w:val="auto"/>
          <w:spacing w:val="10"/>
          <w:sz w:val="20"/>
          <w:szCs w:val="20"/>
          <w:highlight w:val="none"/>
        </w:rPr>
        <w:t>.</w:t>
      </w:r>
      <w:r>
        <w:rPr>
          <w:rFonts w:hint="eastAsia" w:ascii="宋体" w:hAnsi="宋体" w:eastAsia="宋体" w:cs="Times New Roman"/>
          <w:b/>
          <w:bCs/>
          <w:snapToGrid/>
          <w:color w:val="auto"/>
          <w:kern w:val="2"/>
          <w:sz w:val="21"/>
          <w:szCs w:val="21"/>
          <w:highlight w:val="none"/>
          <w:lang w:val="en-US" w:eastAsia="zh-CN" w:bidi="ar-SA"/>
        </w:rPr>
        <w:t>公告发布媒体</w:t>
      </w:r>
      <w:r>
        <w:rPr>
          <w:rFonts w:hint="eastAsia" w:ascii="宋体" w:hAnsi="宋体" w:eastAsia="宋体" w:cs="Times New Roman"/>
          <w:snapToGrid/>
          <w:color w:val="auto"/>
          <w:kern w:val="2"/>
          <w:sz w:val="21"/>
          <w:szCs w:val="21"/>
          <w:highlight w:val="none"/>
          <w:lang w:val="en-US" w:eastAsia="zh-CN" w:bidi="ar-SA"/>
        </w:rPr>
        <w:t>：</w:t>
      </w:r>
      <w:r>
        <w:rPr>
          <w:rFonts w:hint="eastAsia" w:ascii="宋体" w:hAnsi="宋体" w:eastAsia="宋体" w:cs="Times New Roman"/>
          <w:snapToGrid/>
          <w:color w:val="auto"/>
          <w:kern w:val="2"/>
          <w:szCs w:val="21"/>
          <w:highlight w:val="none"/>
          <w:lang w:eastAsia="zh-CN"/>
        </w:rPr>
        <w:t>中国政府采购网（www.ccgp.gov.cn）、广西壮族自治区政府采购网（http：</w:t>
      </w:r>
    </w:p>
    <w:p w14:paraId="6E8ED96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//zfcg.gxzf.gov.cn）、全国公共资源交易平台（广西壮族自治区）（</w:t>
      </w:r>
      <w:r>
        <w:rPr>
          <w:rFonts w:hint="eastAsia" w:ascii="宋体" w:hAnsi="宋体" w:eastAsia="宋体" w:cs="Times New Roman"/>
          <w:snapToGrid/>
          <w:color w:val="auto"/>
          <w:kern w:val="2"/>
          <w:szCs w:val="21"/>
          <w:highlight w:val="none"/>
          <w:lang w:eastAsia="zh-CN"/>
        </w:rPr>
        <w:fldChar w:fldCharType="begin"/>
      </w:r>
      <w:r>
        <w:rPr>
          <w:rFonts w:hint="eastAsia" w:ascii="宋体" w:hAnsi="宋体" w:eastAsia="宋体" w:cs="Times New Roman"/>
          <w:snapToGrid/>
          <w:color w:val="auto"/>
          <w:kern w:val="2"/>
          <w:szCs w:val="21"/>
          <w:highlight w:val="none"/>
          <w:lang w:eastAsia="zh-CN"/>
        </w:rPr>
        <w:instrText xml:space="preserve"> HYPERLINK "http://ggzy.jgswj.gxzf.gov.cn/gxggzy/" </w:instrText>
      </w:r>
      <w:r>
        <w:rPr>
          <w:rFonts w:hint="eastAsia" w:ascii="宋体" w:hAnsi="宋体" w:eastAsia="宋体" w:cs="Times New Roman"/>
          <w:snapToGrid/>
          <w:color w:val="auto"/>
          <w:kern w:val="2"/>
          <w:szCs w:val="21"/>
          <w:highlight w:val="none"/>
          <w:lang w:eastAsia="zh-CN"/>
        </w:rPr>
        <w:fldChar w:fldCharType="separate"/>
      </w:r>
      <w:r>
        <w:rPr>
          <w:rFonts w:hint="eastAsia" w:ascii="宋体" w:hAnsi="宋体" w:eastAsia="宋体" w:cs="Times New Roman"/>
          <w:snapToGrid/>
          <w:color w:val="auto"/>
          <w:kern w:val="2"/>
          <w:szCs w:val="21"/>
          <w:highlight w:val="none"/>
          <w:lang w:eastAsia="zh-CN"/>
        </w:rPr>
        <w:t>http://ggzy.jgswj.gxzf.gov.cn/gxggzy/</w:t>
      </w:r>
      <w:r>
        <w:rPr>
          <w:rFonts w:hint="eastAsia" w:ascii="宋体" w:hAnsi="宋体" w:eastAsia="宋体" w:cs="Times New Roman"/>
          <w:snapToGrid/>
          <w:color w:val="auto"/>
          <w:kern w:val="2"/>
          <w:szCs w:val="21"/>
          <w:highlight w:val="none"/>
          <w:lang w:eastAsia="zh-CN"/>
        </w:rPr>
        <w:fldChar w:fldCharType="end"/>
      </w:r>
      <w:r>
        <w:rPr>
          <w:rFonts w:hint="eastAsia" w:ascii="宋体" w:hAnsi="宋体" w:eastAsia="宋体" w:cs="Times New Roman"/>
          <w:snapToGrid/>
          <w:color w:val="auto"/>
          <w:kern w:val="2"/>
          <w:szCs w:val="21"/>
          <w:highlight w:val="none"/>
          <w:lang w:eastAsia="zh-CN"/>
        </w:rPr>
        <w:t>）。</w:t>
      </w:r>
    </w:p>
    <w:p w14:paraId="563592AA">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b/>
          <w:bCs/>
          <w:snapToGrid/>
          <w:color w:val="auto"/>
          <w:kern w:val="2"/>
          <w:sz w:val="21"/>
          <w:szCs w:val="21"/>
          <w:highlight w:val="none"/>
          <w:lang w:val="en-US" w:eastAsia="zh-CN" w:bidi="ar-SA"/>
        </w:rPr>
        <w:t>5.本项目落实的政府采购政策：</w:t>
      </w:r>
      <w:r>
        <w:rPr>
          <w:rFonts w:hint="eastAsia" w:ascii="宋体" w:hAnsi="宋体" w:eastAsia="宋体" w:cs="Times New Roman"/>
          <w:snapToGrid/>
          <w:color w:val="auto"/>
          <w:kern w:val="2"/>
          <w:sz w:val="21"/>
          <w:szCs w:val="21"/>
          <w:highlight w:val="none"/>
          <w:lang w:val="en-US" w:eastAsia="zh-CN" w:bidi="ar-SA"/>
        </w:rPr>
        <w:t>政府采购促进中小企业发展；政府采购支持采用本国产品的政策；强制采购节能产品；优先采购节能产品、环境标志产品；政府采购促进残疾人就业政策；政府采购支持监狱企业发展；扶持不发达地区和少数民族地区政策。</w:t>
      </w:r>
    </w:p>
    <w:p w14:paraId="7856DA89">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b/>
          <w:bCs/>
          <w:snapToGrid/>
          <w:color w:val="auto"/>
          <w:kern w:val="2"/>
          <w:sz w:val="21"/>
          <w:szCs w:val="21"/>
          <w:highlight w:val="none"/>
          <w:lang w:val="en-US" w:eastAsia="zh-CN" w:bidi="ar-SA"/>
        </w:rPr>
      </w:pPr>
      <w:r>
        <w:rPr>
          <w:rFonts w:hint="eastAsia" w:ascii="宋体" w:hAnsi="宋体" w:eastAsia="宋体" w:cs="Times New Roman"/>
          <w:b/>
          <w:bCs/>
          <w:snapToGrid/>
          <w:color w:val="auto"/>
          <w:kern w:val="2"/>
          <w:sz w:val="21"/>
          <w:szCs w:val="21"/>
          <w:highlight w:val="none"/>
          <w:lang w:val="en-US" w:eastAsia="zh-CN" w:bidi="ar-SA"/>
        </w:rPr>
        <w:t>6.投标人投标注意事项</w:t>
      </w:r>
    </w:p>
    <w:p w14:paraId="550846C2">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color w:val="auto"/>
          <w:spacing w:val="11"/>
          <w:sz w:val="20"/>
          <w:szCs w:val="20"/>
          <w:highlight w:val="none"/>
        </w:rPr>
        <w:t>（</w:t>
      </w:r>
      <w:r>
        <w:rPr>
          <w:rFonts w:hint="eastAsia" w:ascii="宋体" w:hAnsi="宋体" w:eastAsia="宋体" w:cs="Times New Roman"/>
          <w:snapToGrid/>
          <w:color w:val="auto"/>
          <w:kern w:val="2"/>
          <w:sz w:val="21"/>
          <w:szCs w:val="21"/>
          <w:highlight w:val="none"/>
          <w:lang w:val="en-US" w:eastAsia="zh-CN" w:bidi="ar-SA"/>
        </w:rPr>
        <w:t>1）本项目为全流程电子化采购项目，通过“广西政府采购云平台 ”</w:t>
      </w:r>
    </w:p>
    <w:p w14:paraId="5C310F1D">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w:t>
      </w:r>
      <w:r>
        <w:rPr>
          <w:rFonts w:hint="eastAsia" w:ascii="宋体" w:hAnsi="宋体" w:eastAsia="宋体" w:cs="Times New Roman"/>
          <w:snapToGrid/>
          <w:color w:val="auto"/>
          <w:kern w:val="2"/>
          <w:sz w:val="21"/>
          <w:szCs w:val="21"/>
          <w:highlight w:val="none"/>
          <w:lang w:val="en-US" w:eastAsia="zh-CN" w:bidi="ar-SA"/>
        </w:rPr>
        <w:fldChar w:fldCharType="begin"/>
      </w:r>
      <w:r>
        <w:rPr>
          <w:rFonts w:hint="eastAsia" w:ascii="宋体" w:hAnsi="宋体" w:eastAsia="宋体" w:cs="Times New Roman"/>
          <w:snapToGrid/>
          <w:color w:val="auto"/>
          <w:kern w:val="2"/>
          <w:sz w:val="21"/>
          <w:szCs w:val="21"/>
          <w:highlight w:val="none"/>
          <w:lang w:val="en-US" w:eastAsia="zh-CN" w:bidi="ar-SA"/>
        </w:rPr>
        <w:instrText xml:space="preserve"> HYPERLINK "https://www.gcy.zfcg.gxzf.gov.cn/" </w:instrText>
      </w:r>
      <w:r>
        <w:rPr>
          <w:rFonts w:hint="eastAsia" w:ascii="宋体" w:hAnsi="宋体" w:eastAsia="宋体" w:cs="Times New Roman"/>
          <w:snapToGrid/>
          <w:color w:val="auto"/>
          <w:kern w:val="2"/>
          <w:sz w:val="21"/>
          <w:szCs w:val="21"/>
          <w:highlight w:val="none"/>
          <w:lang w:val="en-US" w:eastAsia="zh-CN" w:bidi="ar-SA"/>
        </w:rPr>
        <w:fldChar w:fldCharType="separate"/>
      </w:r>
      <w:r>
        <w:rPr>
          <w:rFonts w:hint="eastAsia" w:ascii="宋体" w:hAnsi="宋体" w:eastAsia="宋体" w:cs="Times New Roman"/>
          <w:snapToGrid/>
          <w:color w:val="auto"/>
          <w:kern w:val="2"/>
          <w:sz w:val="21"/>
          <w:szCs w:val="21"/>
          <w:highlight w:val="none"/>
          <w:lang w:val="en-US" w:eastAsia="zh-CN" w:bidi="ar-SA"/>
        </w:rPr>
        <w:t>https://www.gcy.zfcg.gxzf.gov.cn/</w:t>
      </w:r>
      <w:r>
        <w:rPr>
          <w:rFonts w:hint="eastAsia" w:ascii="宋体" w:hAnsi="宋体" w:eastAsia="宋体" w:cs="Times New Roman"/>
          <w:snapToGrid/>
          <w:color w:val="auto"/>
          <w:kern w:val="2"/>
          <w:sz w:val="21"/>
          <w:szCs w:val="21"/>
          <w:highlight w:val="none"/>
          <w:lang w:val="en-US" w:eastAsia="zh-CN" w:bidi="ar-SA"/>
        </w:rPr>
        <w:fldChar w:fldCharType="end"/>
      </w:r>
      <w:r>
        <w:rPr>
          <w:rFonts w:hint="eastAsia" w:ascii="宋体" w:hAnsi="宋体" w:eastAsia="宋体" w:cs="Times New Roman"/>
          <w:snapToGrid/>
          <w:color w:val="auto"/>
          <w:kern w:val="2"/>
          <w:sz w:val="21"/>
          <w:szCs w:val="21"/>
          <w:highlight w:val="none"/>
          <w:lang w:val="en-US" w:eastAsia="zh-CN" w:bidi="ar-SA"/>
        </w:rPr>
        <w:t>）实行在线电子投标，投标人应先安装“广西政府采购云平台 电子投标客户端 ”（请自行前往广西政府采购云平台进行下载），并按照本项目招标文件和广西政府采购云平台的要求编制、加密后在投标截止时间前通过网络上传至广西政府采购云平台（加密的电子投标文件是指后缀名为“jmbs ”的文件），</w:t>
      </w:r>
      <w:r>
        <w:rPr>
          <w:rFonts w:hint="eastAsia" w:ascii="宋体" w:hAnsi="宋体" w:eastAsia="宋体" w:cs="Times New Roman"/>
          <w:b/>
          <w:bCs/>
          <w:snapToGrid/>
          <w:color w:val="auto"/>
          <w:kern w:val="2"/>
          <w:sz w:val="21"/>
          <w:szCs w:val="21"/>
          <w:highlight w:val="none"/>
          <w:lang w:val="en-US" w:eastAsia="zh-CN" w:bidi="ar-SA"/>
        </w:rPr>
        <w:t>投标人在广西政府采购云平台提交电子投标文件时，请填写参加远程开标活动经办人联系方式</w:t>
      </w:r>
      <w:r>
        <w:rPr>
          <w:rFonts w:hint="eastAsia" w:ascii="宋体" w:hAnsi="宋体" w:eastAsia="宋体" w:cs="Times New Roman"/>
          <w:snapToGrid/>
          <w:color w:val="auto"/>
          <w:kern w:val="2"/>
          <w:sz w:val="21"/>
          <w:szCs w:val="21"/>
          <w:highlight w:val="none"/>
          <w:lang w:val="en-US" w:eastAsia="zh-CN" w:bidi="ar-SA"/>
        </w:rPr>
        <w:t>。投标人登录广西政府采购云平台，依次进入“服务中心-项目采购-操作流程-电子招投标-政府采购项目电子交易管理操作指南-投标人 ”查看电子投标具体操作流程。</w:t>
      </w:r>
    </w:p>
    <w:p w14:paraId="200E1D6C">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（2）未进行网上注册并办理数字证书（CA 认证）的投标人将无法参与本项目政府采购活动，投标 人应当在投标截止时间前，完成电子交易平台上的CA 数字证书办理及投标文件的提交（投标人可登录 “广西政府采购网 ”，依次进入“办事服务-下载专区 ”或者登录广西政府采购云平台，依次进入“服务中心-入驻与配置 ”中查看 CA 数字证书办理操作流程。如在操作过程中遇到问题或者需要技术支持，请致电广西政府采购云平台客服热线：95763）。</w:t>
      </w:r>
    </w:p>
    <w:p w14:paraId="77EB94CE">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（3）CA 证书在线解密：投标人投标时，需凭制作投标文件时用来加密的有效数字证书（CA 认证）</w:t>
      </w:r>
    </w:p>
    <w:p w14:paraId="3194B07C">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登录广西政府采购云平台电子开标大厅现场按规定时间对加密的投标文件进行解密，否则后果自负。</w:t>
      </w:r>
      <w:r>
        <w:rPr>
          <w:rFonts w:hint="eastAsia" w:ascii="宋体" w:hAnsi="宋体" w:eastAsia="宋体" w:cs="Times New Roman"/>
          <w:snapToGrid/>
          <w:color w:val="auto"/>
          <w:kern w:val="2"/>
          <w:sz w:val="21"/>
          <w:szCs w:val="21"/>
          <w:highlight w:val="none"/>
          <w:lang w:val="en-US" w:eastAsia="zh-CN" w:bidi="ar-SA"/>
        </w:rPr>
        <w:tab/>
      </w:r>
    </w:p>
    <w:p w14:paraId="129D671A">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注：1）为确保网上操作合法、有效和安全，请投标人确保在电子投标过程中能够对相关数据电文 进行加密和使用电子签章，妥善保管 CA 数字证书并使用有效的CA 数字证书参与整个招标活动。</w:t>
      </w:r>
    </w:p>
    <w:p w14:paraId="4D15F35F">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D7D0AA6">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（4）投标人需要在具备摄像头及语音功能且互联网网络状况良好的电脑登录广西政府采购云平台远程开标大厅参与本次开标，否则后果自负。</w:t>
      </w:r>
    </w:p>
    <w:p w14:paraId="65FE1585">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b/>
          <w:bCs/>
          <w:snapToGrid/>
          <w:color w:val="auto"/>
          <w:kern w:val="2"/>
          <w:sz w:val="21"/>
          <w:szCs w:val="21"/>
          <w:highlight w:val="none"/>
          <w:lang w:val="en-US" w:eastAsia="zh-CN" w:bidi="ar-SA"/>
        </w:rPr>
      </w:pPr>
      <w:r>
        <w:rPr>
          <w:rFonts w:hint="eastAsia" w:ascii="宋体" w:hAnsi="宋体" w:eastAsia="宋体" w:cs="Times New Roman"/>
          <w:b/>
          <w:bCs/>
          <w:snapToGrid/>
          <w:color w:val="auto"/>
          <w:kern w:val="2"/>
          <w:sz w:val="21"/>
          <w:szCs w:val="21"/>
          <w:highlight w:val="none"/>
          <w:lang w:val="en-US" w:eastAsia="zh-CN" w:bidi="ar-SA"/>
        </w:rPr>
        <w:t>7.特别说明：为便于项目管理，确保项目服务的进度及质量，一个投标人(含联合体）只能参与1个分标（含标段）的投标，不允许同时参与多个分标（含标段），否则按无效投标处理。</w:t>
      </w:r>
    </w:p>
    <w:p w14:paraId="1EC66559">
      <w:pPr>
        <w:pStyle w:val="8"/>
        <w:keepNext w:val="0"/>
        <w:keepLines w:val="0"/>
        <w:pageBreakBefore w:val="0"/>
        <w:wordWrap/>
        <w:overflowPunct/>
        <w:topLinePunct w:val="0"/>
        <w:bidi w:val="0"/>
        <w:spacing w:line="440" w:lineRule="exact"/>
        <w:ind w:left="12" w:right="35" w:firstLine="424"/>
        <w:jc w:val="both"/>
        <w:rPr>
          <w:rFonts w:hint="eastAsia" w:ascii="宋体" w:hAnsi="宋体" w:eastAsia="宋体" w:cs="Times New Roman"/>
          <w:b/>
          <w:bCs/>
          <w:snapToGrid/>
          <w:color w:val="auto"/>
          <w:kern w:val="2"/>
          <w:sz w:val="21"/>
          <w:szCs w:val="21"/>
          <w:highlight w:val="none"/>
          <w:lang w:val="en-US" w:eastAsia="zh-CN" w:bidi="ar-SA"/>
        </w:rPr>
      </w:pPr>
      <w:r>
        <w:rPr>
          <w:rFonts w:hint="eastAsia" w:ascii="宋体" w:hAnsi="宋体" w:eastAsia="宋体" w:cs="Times New Roman"/>
          <w:b/>
          <w:bCs/>
          <w:snapToGrid/>
          <w:color w:val="auto"/>
          <w:kern w:val="2"/>
          <w:sz w:val="21"/>
          <w:szCs w:val="21"/>
          <w:highlight w:val="none"/>
          <w:lang w:val="en-US" w:eastAsia="zh-CN" w:bidi="ar-SA"/>
        </w:rPr>
        <w:t>七、对本次招标提出询问，请按以下方式联系。</w:t>
      </w:r>
    </w:p>
    <w:p w14:paraId="68C5A684">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1.采购人信息：</w:t>
      </w:r>
    </w:p>
    <w:p w14:paraId="75C595F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名称：广西壮族自治区生态环境厅</w:t>
      </w:r>
    </w:p>
    <w:p w14:paraId="2F5B3733">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 xml:space="preserve">地址：广西南宁市青秀区佛子岭路 16 号 </w:t>
      </w:r>
    </w:p>
    <w:p w14:paraId="000DF48A">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项目联系人：田艳</w:t>
      </w:r>
    </w:p>
    <w:p w14:paraId="23A26F07">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联系方式：0771-5313068</w:t>
      </w:r>
    </w:p>
    <w:p w14:paraId="60D00C6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2.采购代理机构信息：</w:t>
      </w:r>
    </w:p>
    <w:p w14:paraId="3D6D03B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名称：广西德胜工程项目管理有限公司</w:t>
      </w:r>
    </w:p>
    <w:p w14:paraId="6BD3837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地址：广西南宁市经开区盘岭路1号J栋J-12号</w:t>
      </w:r>
    </w:p>
    <w:p w14:paraId="0B73BF27">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联系方式：0771-5709676</w:t>
      </w:r>
    </w:p>
    <w:p w14:paraId="6F1D88C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3.项目联系方式：</w:t>
      </w:r>
    </w:p>
    <w:p w14:paraId="78A2C4A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联系人：梁翠菊</w:t>
      </w:r>
    </w:p>
    <w:p w14:paraId="5FE387A0">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1" w:right="34" w:firstLine="425"/>
        <w:jc w:val="both"/>
        <w:textAlignment w:val="baseline"/>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联系方式：0771-5709676</w:t>
      </w:r>
    </w:p>
    <w:p w14:paraId="169623DE">
      <w:pPr>
        <w:keepNext w:val="0"/>
        <w:keepLines w:val="0"/>
        <w:pageBreakBefore w:val="0"/>
        <w:wordWrap/>
        <w:overflowPunct/>
        <w:topLinePunct w:val="0"/>
        <w:bidi w:val="0"/>
        <w:spacing w:line="440" w:lineRule="exact"/>
        <w:rPr>
          <w:rFonts w:ascii="Arial"/>
          <w:color w:val="auto"/>
          <w:sz w:val="21"/>
          <w:highlight w:val="none"/>
        </w:rPr>
      </w:pPr>
    </w:p>
    <w:p w14:paraId="11DBFEF0">
      <w:pPr>
        <w:keepNext w:val="0"/>
        <w:keepLines w:val="0"/>
        <w:pageBreakBefore w:val="0"/>
        <w:wordWrap/>
        <w:overflowPunct/>
        <w:topLinePunct w:val="0"/>
        <w:bidi w:val="0"/>
        <w:spacing w:line="440" w:lineRule="exact"/>
        <w:rPr>
          <w:rFonts w:ascii="Arial"/>
          <w:color w:val="auto"/>
          <w:sz w:val="21"/>
          <w:highlight w:val="none"/>
        </w:rPr>
      </w:pPr>
    </w:p>
    <w:p w14:paraId="11AFBF3E">
      <w:pPr>
        <w:pStyle w:val="8"/>
        <w:keepNext w:val="0"/>
        <w:keepLines w:val="0"/>
        <w:pageBreakBefore w:val="0"/>
        <w:wordWrap/>
        <w:overflowPunct/>
        <w:topLinePunct w:val="0"/>
        <w:bidi w:val="0"/>
        <w:spacing w:line="440" w:lineRule="exact"/>
        <w:ind w:left="12" w:right="35" w:firstLine="424"/>
        <w:jc w:val="right"/>
        <w:rPr>
          <w:rFonts w:hint="eastAsia" w:ascii="宋体" w:hAnsi="宋体" w:eastAsia="宋体" w:cs="Times New Roman"/>
          <w:snapToGrid/>
          <w:color w:val="auto"/>
          <w:kern w:val="2"/>
          <w:sz w:val="21"/>
          <w:szCs w:val="21"/>
          <w:highlight w:val="none"/>
          <w:lang w:val="en-US" w:eastAsia="zh-CN" w:bidi="ar-SA"/>
        </w:rPr>
        <w:sectPr>
          <w:headerReference r:id="rId7" w:type="default"/>
          <w:footerReference r:id="rId8" w:type="default"/>
          <w:pgSz w:w="11906" w:h="16839"/>
          <w:pgMar w:top="1474" w:right="1361" w:bottom="1474" w:left="1361" w:header="963" w:footer="675" w:gutter="0"/>
          <w:pgNumType w:fmt="decimal" w:start="1"/>
          <w:cols w:space="0" w:num="1"/>
          <w:rtlGutter w:val="0"/>
          <w:docGrid w:linePitch="0" w:charSpace="0"/>
        </w:sectPr>
      </w:pPr>
      <w:r>
        <w:rPr>
          <w:rFonts w:hint="eastAsia" w:ascii="宋体" w:hAnsi="宋体" w:eastAsia="宋体" w:cs="Times New Roman"/>
          <w:snapToGrid/>
          <w:color w:val="auto"/>
          <w:kern w:val="2"/>
          <w:sz w:val="21"/>
          <w:szCs w:val="21"/>
          <w:highlight w:val="none"/>
          <w:lang w:val="en-US" w:eastAsia="zh-CN" w:bidi="ar-SA"/>
        </w:rPr>
        <w:t>日期：</w:t>
      </w:r>
      <w:bookmarkStart w:id="67" w:name="_GoBack"/>
      <w:bookmarkEnd w:id="67"/>
      <w:r>
        <w:rPr>
          <w:rFonts w:hint="eastAsia" w:ascii="宋体" w:hAnsi="宋体" w:eastAsia="宋体" w:cs="Times New Roman"/>
          <w:snapToGrid/>
          <w:color w:val="auto"/>
          <w:kern w:val="2"/>
          <w:sz w:val="21"/>
          <w:szCs w:val="21"/>
          <w:highlight w:val="none"/>
          <w:lang w:val="en-US" w:eastAsia="zh-CN" w:bidi="ar-SA"/>
        </w:rPr>
        <w:t>2024</w:t>
      </w:r>
      <w:r>
        <w:rPr>
          <w:rFonts w:hint="eastAsia" w:cs="Times New Roman"/>
          <w:snapToGrid/>
          <w:color w:val="auto"/>
          <w:kern w:val="2"/>
          <w:sz w:val="21"/>
          <w:szCs w:val="21"/>
          <w:highlight w:val="none"/>
          <w:lang w:val="en-US" w:eastAsia="zh-CN" w:bidi="ar-SA"/>
        </w:rPr>
        <w:t xml:space="preserve"> </w:t>
      </w:r>
      <w:r>
        <w:rPr>
          <w:rFonts w:hint="eastAsia" w:ascii="宋体" w:hAnsi="宋体" w:eastAsia="宋体" w:cs="Times New Roman"/>
          <w:snapToGrid/>
          <w:color w:val="auto"/>
          <w:kern w:val="2"/>
          <w:sz w:val="21"/>
          <w:szCs w:val="21"/>
          <w:highlight w:val="none"/>
          <w:lang w:val="en-US" w:eastAsia="zh-CN" w:bidi="ar-SA"/>
        </w:rPr>
        <w:t>年</w:t>
      </w:r>
      <w:r>
        <w:rPr>
          <w:rFonts w:hint="eastAsia" w:cs="Times New Roman"/>
          <w:snapToGrid/>
          <w:color w:val="auto"/>
          <w:kern w:val="2"/>
          <w:sz w:val="21"/>
          <w:szCs w:val="21"/>
          <w:highlight w:val="none"/>
          <w:lang w:val="en-US" w:eastAsia="zh-CN" w:bidi="ar-SA"/>
        </w:rPr>
        <w:t xml:space="preserve"> 11 </w:t>
      </w:r>
      <w:r>
        <w:rPr>
          <w:rFonts w:hint="eastAsia" w:ascii="宋体" w:hAnsi="宋体" w:eastAsia="宋体" w:cs="Times New Roman"/>
          <w:snapToGrid/>
          <w:color w:val="auto"/>
          <w:kern w:val="2"/>
          <w:sz w:val="21"/>
          <w:szCs w:val="21"/>
          <w:highlight w:val="none"/>
          <w:lang w:val="en-US" w:eastAsia="zh-CN" w:bidi="ar-SA"/>
        </w:rPr>
        <w:t>月</w:t>
      </w:r>
      <w:r>
        <w:rPr>
          <w:rFonts w:hint="eastAsia" w:cs="Times New Roman"/>
          <w:snapToGrid/>
          <w:color w:val="auto"/>
          <w:kern w:val="2"/>
          <w:sz w:val="21"/>
          <w:szCs w:val="21"/>
          <w:highlight w:val="none"/>
          <w:lang w:val="en-US" w:eastAsia="zh-CN" w:bidi="ar-SA"/>
        </w:rPr>
        <w:t xml:space="preserve"> 14 </w:t>
      </w:r>
      <w:r>
        <w:rPr>
          <w:rFonts w:hint="eastAsia" w:ascii="宋体" w:hAnsi="宋体" w:eastAsia="宋体" w:cs="Times New Roman"/>
          <w:snapToGrid/>
          <w:color w:val="auto"/>
          <w:kern w:val="2"/>
          <w:sz w:val="21"/>
          <w:szCs w:val="21"/>
          <w:highlight w:val="none"/>
          <w:lang w:val="en-US" w:eastAsia="zh-CN" w:bidi="ar-SA"/>
        </w:rPr>
        <w:t>日</w:t>
      </w:r>
    </w:p>
    <w:p w14:paraId="72A82FEC">
      <w:pPr>
        <w:pStyle w:val="8"/>
        <w:keepNext w:val="0"/>
        <w:keepLines w:val="0"/>
        <w:pageBreakBefore w:val="0"/>
        <w:widowControl/>
        <w:wordWrap/>
        <w:overflowPunct/>
        <w:topLinePunct w:val="0"/>
        <w:bidi w:val="0"/>
        <w:spacing w:line="440" w:lineRule="exact"/>
        <w:jc w:val="center"/>
        <w:outlineLvl w:val="0"/>
        <w:rPr>
          <w:color w:val="auto"/>
          <w:sz w:val="35"/>
          <w:szCs w:val="35"/>
          <w:highlight w:val="none"/>
        </w:rPr>
      </w:pPr>
      <w:bookmarkStart w:id="11" w:name="bookmark3"/>
      <w:bookmarkEnd w:id="11"/>
      <w:bookmarkStart w:id="12" w:name="bookmark4"/>
      <w:bookmarkEnd w:id="12"/>
      <w:r>
        <w:rPr>
          <w:b/>
          <w:bCs/>
          <w:color w:val="auto"/>
          <w:spacing w:val="5"/>
          <w:sz w:val="35"/>
          <w:szCs w:val="35"/>
          <w:highlight w:val="none"/>
        </w:rPr>
        <w:t>第二章</w:t>
      </w:r>
      <w:r>
        <w:rPr>
          <w:color w:val="auto"/>
          <w:spacing w:val="5"/>
          <w:sz w:val="35"/>
          <w:szCs w:val="35"/>
          <w:highlight w:val="none"/>
        </w:rPr>
        <w:t xml:space="preserve"> </w:t>
      </w:r>
      <w:r>
        <w:rPr>
          <w:b/>
          <w:bCs/>
          <w:color w:val="auto"/>
          <w:spacing w:val="5"/>
          <w:sz w:val="35"/>
          <w:szCs w:val="35"/>
          <w:highlight w:val="none"/>
        </w:rPr>
        <w:t>采购需求</w:t>
      </w:r>
    </w:p>
    <w:p w14:paraId="2C6A15CC">
      <w:pPr>
        <w:pStyle w:val="8"/>
        <w:keepNext w:val="0"/>
        <w:keepLines w:val="0"/>
        <w:pageBreakBefore w:val="0"/>
        <w:widowControl/>
        <w:wordWrap/>
        <w:overflowPunct/>
        <w:topLinePunct w:val="0"/>
        <w:bidi w:val="0"/>
        <w:spacing w:line="440" w:lineRule="exact"/>
        <w:ind w:right="35"/>
        <w:jc w:val="both"/>
        <w:rPr>
          <w:rFonts w:hint="eastAsia" w:ascii="宋体" w:hAnsi="宋体" w:eastAsia="宋体" w:cs="Times New Roman"/>
          <w:snapToGrid/>
          <w:color w:val="auto"/>
          <w:kern w:val="2"/>
          <w:sz w:val="21"/>
          <w:szCs w:val="21"/>
          <w:highlight w:val="none"/>
          <w:lang w:val="en-US" w:eastAsia="zh-CN" w:bidi="ar-SA"/>
        </w:rPr>
      </w:pPr>
    </w:p>
    <w:p w14:paraId="68A8CFB4">
      <w:pPr>
        <w:pStyle w:val="8"/>
        <w:keepNext w:val="0"/>
        <w:keepLines w:val="0"/>
        <w:pageBreakBefore w:val="0"/>
        <w:widowControl/>
        <w:wordWrap/>
        <w:overflowPunct/>
        <w:topLinePunct w:val="0"/>
        <w:bidi w:val="0"/>
        <w:spacing w:line="440" w:lineRule="exact"/>
        <w:ind w:right="35"/>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说明：</w:t>
      </w:r>
    </w:p>
    <w:p w14:paraId="3E05CA67">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1. 为落实政府采购政策需满足的要求：</w:t>
      </w:r>
    </w:p>
    <w:p w14:paraId="3F6A6C3C">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（1）本招标文件所称中小企业必须符合《政府采购促进中小企业发展管理办法》（财库</w:t>
      </w:r>
    </w:p>
    <w:p w14:paraId="6F18383A">
      <w:pPr>
        <w:pStyle w:val="8"/>
        <w:keepNext w:val="0"/>
        <w:keepLines w:val="0"/>
        <w:pageBreakBefore w:val="0"/>
        <w:widowControl/>
        <w:wordWrap/>
        <w:overflowPunct/>
        <w:topLinePunct w:val="0"/>
        <w:bidi w:val="0"/>
        <w:spacing w:line="440" w:lineRule="exact"/>
        <w:ind w:right="35"/>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〔2020〕46 号）的规定。</w:t>
      </w:r>
    </w:p>
    <w:p w14:paraId="3BBAF2F2">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（2）服务项目中伴随货物的，根据《财政部发展改革委生态环境部市场监管总局关于调整优化节能产品、环境标志产品政府采购执行机制的通知》（财库〔2019〕9 号）和《关于印发节能产品政府采 购品目清单的通知》（财库〔2019〕19 号）的规定，采购需求中的产品属于节能产品政府采购品目清单内标注“★ ”的（详见本章后附的节能产品政府采购品目清单），投标人的投标货物必须使用政府强制采购的节能产品，投标人必须在投标文件中提供所投标产品的节能产品认证证书复印件（加盖投标人电子签章），</w:t>
      </w:r>
      <w:r>
        <w:rPr>
          <w:rFonts w:hint="eastAsia" w:ascii="宋体" w:hAnsi="宋体" w:eastAsia="宋体" w:cs="Times New Roman"/>
          <w:b/>
          <w:bCs/>
          <w:snapToGrid/>
          <w:color w:val="auto"/>
          <w:kern w:val="2"/>
          <w:sz w:val="21"/>
          <w:szCs w:val="21"/>
          <w:highlight w:val="none"/>
          <w:lang w:val="en-US" w:eastAsia="zh-CN" w:bidi="ar-SA"/>
        </w:rPr>
        <w:t>否则按无效投标处理</w:t>
      </w:r>
      <w:r>
        <w:rPr>
          <w:rFonts w:hint="eastAsia" w:ascii="宋体" w:hAnsi="宋体" w:eastAsia="宋体" w:cs="Times New Roman"/>
          <w:snapToGrid/>
          <w:color w:val="auto"/>
          <w:kern w:val="2"/>
          <w:sz w:val="21"/>
          <w:szCs w:val="21"/>
          <w:highlight w:val="none"/>
          <w:lang w:val="en-US" w:eastAsia="zh-CN" w:bidi="ar-SA"/>
        </w:rPr>
        <w:t>。如本项目包含的货物属于品目清单内非标注“★ ”的产品时，应优先采购，具体详见“第四章评标方法及评标标准 ”。</w:t>
      </w:r>
    </w:p>
    <w:p w14:paraId="2CBE22F7">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3）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供应商公章），否则响应文件作无效处理。</w:t>
      </w:r>
    </w:p>
    <w:p w14:paraId="77637F16">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2.“实质性要求 ”是指招标文件中已经指明不满足则投标无效的条款，或者不能偏离的条款，或者采购需求中带“▲ ”的条款。</w:t>
      </w:r>
    </w:p>
    <w:p w14:paraId="28C99E47">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3.服务项目中伴随货物的，采购需求中出现的品牌、型号或者生产厂家仅起参考作用，不属于指 定品牌、型号或者生产厂家的情形。投标人可参照或者选用其他相当的品牌、型号或者生产厂家替代，但选用的投标产品参数性能必须满足实质性要求。</w:t>
      </w:r>
    </w:p>
    <w:p w14:paraId="6951D5C4">
      <w:pPr>
        <w:pStyle w:val="8"/>
        <w:keepNext w:val="0"/>
        <w:keepLines w:val="0"/>
        <w:pageBreakBefore w:val="0"/>
        <w:widowControl/>
        <w:wordWrap/>
        <w:overflowPunct/>
        <w:topLinePunct w:val="0"/>
        <w:bidi w:val="0"/>
        <w:spacing w:line="440" w:lineRule="exact"/>
        <w:ind w:right="35" w:firstLine="420" w:firstLineChars="200"/>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4.投标人必须自行为其投标产品侵犯他人的知识产权或者专利成果的行为承担相应法律责任。</w:t>
      </w:r>
    </w:p>
    <w:p w14:paraId="7D8D04C2">
      <w:pPr>
        <w:pStyle w:val="8"/>
        <w:keepNext w:val="0"/>
        <w:keepLines w:val="0"/>
        <w:pageBreakBefore w:val="0"/>
        <w:widowControl/>
        <w:wordWrap/>
        <w:overflowPunct/>
        <w:topLinePunct w:val="0"/>
        <w:bidi w:val="0"/>
        <w:spacing w:line="440" w:lineRule="exact"/>
        <w:ind w:right="35" w:firstLine="420" w:firstLineChars="200"/>
        <w:jc w:val="both"/>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5.本服务需求一览表中内容如与第五章“合同条款及格式 ”相关条款不一致的，以本表为准。</w:t>
      </w:r>
    </w:p>
    <w:p w14:paraId="461BCFDD">
      <w:pPr>
        <w:pStyle w:val="8"/>
        <w:keepNext w:val="0"/>
        <w:keepLines w:val="0"/>
        <w:pageBreakBefore w:val="0"/>
        <w:widowControl/>
        <w:wordWrap/>
        <w:overflowPunct/>
        <w:topLinePunct w:val="0"/>
        <w:bidi w:val="0"/>
        <w:spacing w:line="440" w:lineRule="exact"/>
        <w:ind w:right="35"/>
        <w:jc w:val="both"/>
        <w:rPr>
          <w:color w:val="auto"/>
          <w:spacing w:val="8"/>
          <w:sz w:val="20"/>
          <w:szCs w:val="20"/>
          <w:highlight w:val="none"/>
          <w:u w:val="single" w:color="auto"/>
        </w:rPr>
      </w:pPr>
      <w:r>
        <w:rPr>
          <w:rFonts w:hint="eastAsia" w:ascii="宋体" w:hAnsi="宋体" w:eastAsia="宋体" w:cs="Times New Roman"/>
          <w:snapToGrid/>
          <w:color w:val="auto"/>
          <w:kern w:val="2"/>
          <w:sz w:val="21"/>
          <w:szCs w:val="21"/>
          <w:highlight w:val="none"/>
          <w:lang w:val="en-US" w:eastAsia="zh-CN" w:bidi="ar-SA"/>
        </w:rPr>
        <w:t xml:space="preserve"> </w:t>
      </w:r>
      <w:r>
        <w:rPr>
          <w:rFonts w:hint="eastAsia" w:cs="Times New Roman"/>
          <w:snapToGrid/>
          <w:color w:val="auto"/>
          <w:kern w:val="2"/>
          <w:sz w:val="21"/>
          <w:szCs w:val="21"/>
          <w:highlight w:val="none"/>
          <w:lang w:val="en-US" w:eastAsia="zh-CN" w:bidi="ar-SA"/>
        </w:rPr>
        <w:t xml:space="preserve">   </w:t>
      </w:r>
      <w:r>
        <w:rPr>
          <w:rFonts w:hint="eastAsia" w:ascii="宋体" w:hAnsi="宋体" w:eastAsia="宋体" w:cs="Times New Roman"/>
          <w:snapToGrid/>
          <w:color w:val="auto"/>
          <w:kern w:val="2"/>
          <w:sz w:val="21"/>
          <w:szCs w:val="21"/>
          <w:highlight w:val="none"/>
          <w:lang w:val="en-US" w:eastAsia="zh-CN" w:bidi="ar-SA"/>
        </w:rPr>
        <w:t>6.项目标的所属行业为：</w:t>
      </w:r>
      <w:r>
        <w:rPr>
          <w:rFonts w:hint="eastAsia" w:ascii="宋体" w:hAnsi="宋体" w:eastAsia="宋体" w:cs="Times New Roman"/>
          <w:b/>
          <w:bCs/>
          <w:snapToGrid/>
          <w:color w:val="auto"/>
          <w:kern w:val="2"/>
          <w:sz w:val="21"/>
          <w:szCs w:val="21"/>
          <w:highlight w:val="none"/>
          <w:u w:val="single"/>
          <w:lang w:val="en-US" w:eastAsia="zh-CN" w:bidi="ar-SA"/>
        </w:rPr>
        <w:t>其他未列明行业</w:t>
      </w:r>
      <w:r>
        <w:rPr>
          <w:rFonts w:hint="eastAsia" w:cs="Times New Roman"/>
          <w:b/>
          <w:bCs/>
          <w:snapToGrid/>
          <w:color w:val="auto"/>
          <w:kern w:val="2"/>
          <w:sz w:val="21"/>
          <w:szCs w:val="21"/>
          <w:highlight w:val="none"/>
          <w:u w:val="single"/>
          <w:lang w:val="en-US" w:eastAsia="zh-CN" w:bidi="ar-SA"/>
        </w:rPr>
        <w:t>；</w:t>
      </w:r>
    </w:p>
    <w:p w14:paraId="46AD12CC">
      <w:pPr>
        <w:pStyle w:val="8"/>
        <w:keepNext w:val="0"/>
        <w:keepLines w:val="0"/>
        <w:pageBreakBefore w:val="0"/>
        <w:widowControl/>
        <w:wordWrap/>
        <w:overflowPunct/>
        <w:topLinePunct w:val="0"/>
        <w:bidi w:val="0"/>
        <w:spacing w:line="440" w:lineRule="exact"/>
        <w:ind w:left="12" w:right="35" w:firstLine="424"/>
        <w:jc w:val="both"/>
        <w:rPr>
          <w:rFonts w:hint="eastAsia" w:ascii="宋体" w:hAnsi="宋体" w:eastAsia="宋体" w:cs="Times New Roman"/>
          <w:b/>
          <w:bCs/>
          <w:snapToGrid/>
          <w:color w:val="auto"/>
          <w:kern w:val="2"/>
          <w:sz w:val="21"/>
          <w:szCs w:val="21"/>
          <w:highlight w:val="none"/>
          <w:lang w:val="en-US" w:eastAsia="zh-CN" w:bidi="ar-SA"/>
        </w:rPr>
        <w:sectPr>
          <w:headerReference r:id="rId9" w:type="default"/>
          <w:footerReference r:id="rId10" w:type="default"/>
          <w:pgSz w:w="11906" w:h="16839"/>
          <w:pgMar w:top="1474" w:right="1474" w:bottom="1474" w:left="1587" w:header="963" w:footer="675" w:gutter="0"/>
          <w:pgNumType w:fmt="decimal"/>
          <w:cols w:space="0" w:num="1"/>
          <w:rtlGutter w:val="0"/>
          <w:docGrid w:linePitch="0" w:charSpace="0"/>
        </w:sectPr>
      </w:pPr>
      <w:r>
        <w:rPr>
          <w:rFonts w:hint="eastAsia" w:ascii="宋体" w:hAnsi="宋体" w:eastAsia="宋体" w:cs="Times New Roman"/>
          <w:b/>
          <w:bCs/>
          <w:snapToGrid/>
          <w:color w:val="auto"/>
          <w:kern w:val="2"/>
          <w:sz w:val="21"/>
          <w:szCs w:val="21"/>
          <w:highlight w:val="none"/>
          <w:lang w:val="en-US" w:eastAsia="zh-CN" w:bidi="ar-SA"/>
        </w:rPr>
        <w:t>7.特别说明：为便于项目管理，确保项目服务的进度及质量，一个投标人(含联合体）只能参与1个分标（含标段）的投标，不允许同时参与多个分标（含标段），否则按无效投标处理</w:t>
      </w:r>
      <w:r>
        <w:rPr>
          <w:rFonts w:hint="eastAsia" w:cs="Times New Roman"/>
          <w:b/>
          <w:bCs/>
          <w:snapToGrid/>
          <w:color w:val="auto"/>
          <w:kern w:val="2"/>
          <w:sz w:val="21"/>
          <w:szCs w:val="21"/>
          <w:highlight w:val="none"/>
          <w:lang w:val="en-US" w:eastAsia="zh-CN" w:bidi="ar-SA"/>
        </w:rPr>
        <w:t>。</w:t>
      </w:r>
    </w:p>
    <w:tbl>
      <w:tblPr>
        <w:tblStyle w:val="12"/>
        <w:tblW w:w="8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063"/>
        <w:gridCol w:w="672"/>
        <w:gridCol w:w="672"/>
        <w:gridCol w:w="5935"/>
      </w:tblGrid>
      <w:tr w14:paraId="05398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992" w:type="dxa"/>
            <w:gridSpan w:val="5"/>
            <w:vAlign w:val="top"/>
          </w:tcPr>
          <w:p w14:paraId="259DE4C6">
            <w:pPr>
              <w:pStyle w:val="13"/>
              <w:keepNext w:val="0"/>
              <w:keepLines w:val="0"/>
              <w:pageBreakBefore w:val="0"/>
              <w:widowControl/>
              <w:wordWrap/>
              <w:overflowPunct/>
              <w:topLinePunct w:val="0"/>
              <w:bidi w:val="0"/>
              <w:spacing w:line="440" w:lineRule="exact"/>
              <w:ind w:firstLine="2741" w:firstLineChars="1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snapToGrid/>
                <w:color w:val="auto"/>
                <w:kern w:val="2"/>
                <w:sz w:val="21"/>
                <w:szCs w:val="21"/>
                <w:highlight w:val="none"/>
                <w:lang w:val="en-US" w:eastAsia="zh-CN" w:bidi="ar-SA"/>
              </w:rPr>
              <w:t>包 1（调查评估与成果集成包） 服务需求一览表</w:t>
            </w:r>
          </w:p>
        </w:tc>
      </w:tr>
      <w:tr w14:paraId="72DE1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92" w:type="dxa"/>
            <w:gridSpan w:val="5"/>
            <w:vAlign w:val="top"/>
          </w:tcPr>
          <w:p w14:paraId="4D8A997B">
            <w:pPr>
              <w:pStyle w:val="13"/>
              <w:keepNext w:val="0"/>
              <w:keepLines w:val="0"/>
              <w:pageBreakBefore w:val="0"/>
              <w:widowControl/>
              <w:wordWrap/>
              <w:overflowPunct/>
              <w:topLinePunct w:val="0"/>
              <w:bidi w:val="0"/>
              <w:spacing w:line="440" w:lineRule="exact"/>
              <w:ind w:left="1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（1）技术要求</w:t>
            </w:r>
          </w:p>
        </w:tc>
      </w:tr>
      <w:tr w14:paraId="21AB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50" w:type="dxa"/>
            <w:vAlign w:val="top"/>
          </w:tcPr>
          <w:p w14:paraId="140F48D7">
            <w:pPr>
              <w:pStyle w:val="13"/>
              <w:keepNext w:val="0"/>
              <w:keepLines w:val="0"/>
              <w:pageBreakBefore w:val="0"/>
              <w:widowControl/>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序号</w:t>
            </w:r>
          </w:p>
        </w:tc>
        <w:tc>
          <w:tcPr>
            <w:tcW w:w="1063" w:type="dxa"/>
            <w:vAlign w:val="top"/>
          </w:tcPr>
          <w:p w14:paraId="0B2867AA">
            <w:pPr>
              <w:pStyle w:val="13"/>
              <w:keepNext w:val="0"/>
              <w:keepLines w:val="0"/>
              <w:pageBreakBefore w:val="0"/>
              <w:widowControl/>
              <w:wordWrap/>
              <w:overflowPunct/>
              <w:topLinePunct w:val="0"/>
              <w:bidi w:val="0"/>
              <w:spacing w:line="440" w:lineRule="exact"/>
              <w:ind w:left="1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标的名称</w:t>
            </w:r>
          </w:p>
        </w:tc>
        <w:tc>
          <w:tcPr>
            <w:tcW w:w="672" w:type="dxa"/>
            <w:vAlign w:val="top"/>
          </w:tcPr>
          <w:p w14:paraId="52529138">
            <w:pPr>
              <w:pStyle w:val="13"/>
              <w:keepNext w:val="0"/>
              <w:keepLines w:val="0"/>
              <w:pageBreakBefore w:val="0"/>
              <w:widowControl/>
              <w:wordWrap/>
              <w:overflowPunct/>
              <w:topLinePunct w:val="0"/>
              <w:bidi w:val="0"/>
              <w:spacing w:line="440" w:lineRule="exact"/>
              <w:ind w:left="1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数量</w:t>
            </w:r>
          </w:p>
        </w:tc>
        <w:tc>
          <w:tcPr>
            <w:tcW w:w="672" w:type="dxa"/>
            <w:vAlign w:val="top"/>
          </w:tcPr>
          <w:p w14:paraId="6FA08B7E">
            <w:pPr>
              <w:pStyle w:val="13"/>
              <w:keepNext w:val="0"/>
              <w:keepLines w:val="0"/>
              <w:pageBreakBefore w:val="0"/>
              <w:widowControl/>
              <w:wordWrap/>
              <w:overflowPunct/>
              <w:topLinePunct w:val="0"/>
              <w:bidi w:val="0"/>
              <w:spacing w:line="440" w:lineRule="exact"/>
              <w:ind w:left="1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单位</w:t>
            </w:r>
          </w:p>
        </w:tc>
        <w:tc>
          <w:tcPr>
            <w:tcW w:w="5935" w:type="dxa"/>
            <w:vAlign w:val="top"/>
          </w:tcPr>
          <w:p w14:paraId="1517DD4C">
            <w:pPr>
              <w:pStyle w:val="13"/>
              <w:keepNext w:val="0"/>
              <w:keepLines w:val="0"/>
              <w:pageBreakBefore w:val="0"/>
              <w:widowControl/>
              <w:wordWrap/>
              <w:overflowPunct/>
              <w:topLinePunct w:val="0"/>
              <w:bidi w:val="0"/>
              <w:spacing w:line="440" w:lineRule="exact"/>
              <w:ind w:left="257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服务内容及要求</w:t>
            </w:r>
          </w:p>
        </w:tc>
      </w:tr>
      <w:tr w14:paraId="5C58B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0" w:type="dxa"/>
            <w:vAlign w:val="top"/>
          </w:tcPr>
          <w:p w14:paraId="6A1F579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AF45E5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B2D307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49C7C3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CC0B9E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1CA97B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D3DA2D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04BB44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26FD5F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1EA594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7E0AAA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232CE5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150FBA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7E7A11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203BC6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CC0AC1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A7C2C5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E7EB97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140F62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1B6E1D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B165D7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441020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7B4DA7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35026B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787934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162E55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F64AD90">
            <w:pPr>
              <w:pStyle w:val="13"/>
              <w:keepNext w:val="0"/>
              <w:keepLines w:val="0"/>
              <w:pageBreakBefore w:val="0"/>
              <w:widowControl/>
              <w:wordWrap/>
              <w:overflowPunct/>
              <w:topLinePunct w:val="0"/>
              <w:bidi w:val="0"/>
              <w:spacing w:line="440" w:lineRule="exact"/>
              <w:ind w:left="2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63" w:type="dxa"/>
            <w:vAlign w:val="top"/>
          </w:tcPr>
          <w:p w14:paraId="7ECCDCD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4B8EBB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D2047B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F056FB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BA5D65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F15ECD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5103AF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69579F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6ADE2D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6CD7B7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7AD821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401493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F6993B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C39A6D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E10C27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6218B5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7351F0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A82DB7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C3E313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7DC1B07">
            <w:pPr>
              <w:pStyle w:val="13"/>
              <w:keepNext w:val="0"/>
              <w:keepLines w:val="0"/>
              <w:pageBreakBefore w:val="0"/>
              <w:widowControl/>
              <w:wordWrap/>
              <w:overflowPunct/>
              <w:topLinePunct w:val="0"/>
              <w:bidi w:val="0"/>
              <w:spacing w:line="440" w:lineRule="exact"/>
              <w:jc w:val="left"/>
              <w:rPr>
                <w:rFonts w:hint="eastAsia" w:asciiTheme="minorEastAsia" w:hAnsiTheme="minorEastAsia" w:eastAsiaTheme="minorEastAsia" w:cstheme="minorEastAsia"/>
                <w:color w:val="auto"/>
                <w:sz w:val="21"/>
                <w:szCs w:val="21"/>
                <w:highlight w:val="none"/>
                <w:lang w:eastAsia="zh-CN"/>
              </w:rPr>
            </w:pPr>
          </w:p>
          <w:p w14:paraId="65E22F20">
            <w:pPr>
              <w:pStyle w:val="13"/>
              <w:keepNext w:val="0"/>
              <w:keepLines w:val="0"/>
              <w:pageBreakBefore w:val="0"/>
              <w:widowControl/>
              <w:wordWrap/>
              <w:overflowPunct/>
              <w:topLinePunct w:val="0"/>
              <w:bidi w:val="0"/>
              <w:spacing w:line="44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bidi="ar-SA"/>
              </w:rPr>
              <w:t>广西壮族自治区尾矿库和矿山开采区地下水环境状况调查评估项目（二期）</w:t>
            </w:r>
          </w:p>
        </w:tc>
        <w:tc>
          <w:tcPr>
            <w:tcW w:w="672" w:type="dxa"/>
            <w:vAlign w:val="top"/>
          </w:tcPr>
          <w:p w14:paraId="5BED8BD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E84911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B2CB2A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344F12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1419CC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6DC1CE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04ED33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43646B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271481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FA2255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0C09CB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A4C52B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96C8C1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0A9244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BE7BFD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6A3EF9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63D434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BED8C8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91F77A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9A94DC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CB7D6A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D0B899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76D8DB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7EDF74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62D4C9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0206FE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A4FB09A">
            <w:pPr>
              <w:pStyle w:val="13"/>
              <w:keepNext w:val="0"/>
              <w:keepLines w:val="0"/>
              <w:pageBreakBefore w:val="0"/>
              <w:widowControl/>
              <w:wordWrap/>
              <w:overflowPunct/>
              <w:topLinePunct w:val="0"/>
              <w:bidi w:val="0"/>
              <w:spacing w:line="440" w:lineRule="exact"/>
              <w:ind w:left="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72" w:type="dxa"/>
            <w:vAlign w:val="top"/>
          </w:tcPr>
          <w:p w14:paraId="4B07A78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3E6797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D602D9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7E8AD2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2355E7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99AC36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9B14D3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293EB3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95DBDD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C604E6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A552B2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444CB1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963CD9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AA5ED6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6902A1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3EEE34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FEBCE0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A93B7B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F3E2FA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6CB6CF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35A4A9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8BEA10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11EFE2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490886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19980E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1BAC8DF">
            <w:pPr>
              <w:pStyle w:val="13"/>
              <w:keepNext w:val="0"/>
              <w:keepLines w:val="0"/>
              <w:pageBreakBefore w:val="0"/>
              <w:widowControl/>
              <w:wordWrap/>
              <w:overflowPunct/>
              <w:topLinePunct w:val="0"/>
              <w:bidi w:val="0"/>
              <w:spacing w:line="440" w:lineRule="exact"/>
              <w:ind w:left="2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5935" w:type="dxa"/>
            <w:vAlign w:val="top"/>
          </w:tcPr>
          <w:p w14:paraId="2CAA3FC9">
            <w:pPr>
              <w:pStyle w:val="8"/>
              <w:keepNext w:val="0"/>
              <w:keepLines w:val="0"/>
              <w:pageBreakBefore w:val="0"/>
              <w:widowControl/>
              <w:wordWrap/>
              <w:overflowPunct/>
              <w:topLinePunct w:val="0"/>
              <w:bidi w:val="0"/>
              <w:spacing w:line="440" w:lineRule="exact"/>
              <w:ind w:left="12" w:right="35" w:firstLine="424"/>
              <w:jc w:val="both"/>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snapToGrid/>
                <w:color w:val="auto"/>
                <w:kern w:val="2"/>
                <w:sz w:val="21"/>
                <w:szCs w:val="21"/>
                <w:highlight w:val="none"/>
                <w:lang w:val="en-US" w:eastAsia="zh-CN" w:bidi="ar-SA"/>
              </w:rPr>
              <w:t>（一）▲总体要求</w:t>
            </w:r>
          </w:p>
          <w:p w14:paraId="33E52BD7">
            <w:pPr>
              <w:pStyle w:val="8"/>
              <w:keepNext w:val="0"/>
              <w:keepLines w:val="0"/>
              <w:pageBreakBefore w:val="0"/>
              <w:widowControl/>
              <w:wordWrap/>
              <w:overflowPunct/>
              <w:topLinePunct w:val="0"/>
              <w:bidi w:val="0"/>
              <w:spacing w:line="440" w:lineRule="exact"/>
              <w:ind w:left="12" w:right="35" w:firstLine="424"/>
              <w:jc w:val="both"/>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snapToGrid/>
                <w:color w:val="auto"/>
                <w:kern w:val="2"/>
                <w:sz w:val="21"/>
                <w:szCs w:val="21"/>
                <w:highlight w:val="none"/>
                <w:lang w:val="en-US" w:eastAsia="zh-CN" w:bidi="ar-SA"/>
              </w:rPr>
              <w:t xml:space="preserve">根据《中共中央国务院关于深入打好污染防治攻坚战的意见》《中共中央国务院关于全面推进美丽中国建设的意见》《地下水管理条例》《水污染防治行动计划》（国发〔2015〕17号）《土壤污染防治行动计划》（国发〔2016〕31号）《地下水污染防治实施方案》（环土壤〔2019〕25号）《广西地下水污染防治实施方案》（桂环发〔2020〕8号）《尾矿污染环境防治管理办法》等要求，依据《地下水环境状况调查评价工作指南》（环办土壤函〔2019〕770号）《地下水环境监测技术规范》（HJ164-2020）等技术规范，编制科学、完善、针对性强、符合国家要求的成果报告。   </w:t>
            </w:r>
          </w:p>
          <w:p w14:paraId="319C9FC8">
            <w:pPr>
              <w:pStyle w:val="13"/>
              <w:keepNext w:val="0"/>
              <w:keepLines w:val="0"/>
              <w:pageBreakBefore w:val="0"/>
              <w:widowControl/>
              <w:numPr>
                <w:ilvl w:val="0"/>
                <w:numId w:val="0"/>
              </w:numPr>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服务标准</w:t>
            </w:r>
          </w:p>
          <w:p w14:paraId="2BD607E1">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2.1主要服务</w:t>
            </w:r>
          </w:p>
          <w:p w14:paraId="431568C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收集整理梧州、钦州、贵港、玉林、贺州、来宾、崇左等7个设区市尾矿库及矿山开采区（不少于22个矿山开采区、57个尾矿库）基本信息、建设项目情况、环境管理信息、污染防治设施建设和运行情况、周边敏感点等资料；</w:t>
            </w:r>
          </w:p>
          <w:p w14:paraId="63CE5C07">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2.1.2开展7个设区市尾矿库和矿山开采区现场踏勘和人员访谈工作，进一步核查尾矿库及矿山开采区分布范围等特征，结合现场踏勘及水文地质分析，编制7个设区市《尾矿库及矿山开采区地下水环境状况调查评估技术方案》（包括调查区域新建监测井点位布设、样品采集点位布设和样品测试因子）；</w:t>
            </w:r>
          </w:p>
          <w:p w14:paraId="7AFEA852">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2.1.3结合土壤（表层样）、地下水、敏感点（农田、水源地、村庄、河流等）及渗滤液样品检测结果，分析项目区域尾矿库及矿山开采区地下水质量状况和污染状况，分析地下水中超标特征指标的种类、浓度、分布特征以及对敏感受体的影响情况；</w:t>
            </w:r>
          </w:p>
          <w:p w14:paraId="767F0DB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2.1.4根据地下水中污染物类型、污染来源和污染途径，结合尾矿库和矿山开采区及周边含水层结构、地下水流场等特征，提出重点尾矿库及矿山开采区地下水污染风险管控修复措施建议；</w:t>
            </w:r>
          </w:p>
          <w:p w14:paraId="3EFBDAFC">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2.1.5开展地下水环境监测井建设、样品采集与测试分析质控工作、编制《新建地下水监测井及样品采集与测试分析质控报告》；</w:t>
            </w:r>
          </w:p>
          <w:p w14:paraId="5BA24A45">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2.1.6完成7个设区市《尾矿库和矿山开采区地下水环境状况调查评估报告》，汇总7个设区市尾矿库及矿山开采区调查成果，形成广西壮族自治区尾矿库和矿山开采区地下水环境状况调查评估（二期）报告集及相关图件集；</w:t>
            </w:r>
          </w:p>
          <w:p w14:paraId="31012273">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2.1.7 按要求将相关成果上传成果集成系统。</w:t>
            </w:r>
          </w:p>
          <w:p w14:paraId="1174DB97">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2.1.8按照甲方要求完成其他项目相关工作。</w:t>
            </w:r>
          </w:p>
          <w:p w14:paraId="4EB78EFA">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2.2工作质量控制要求</w:t>
            </w:r>
          </w:p>
          <w:p w14:paraId="3F309DC4">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需严格执行《地下水环境状况调查评价工作指南》（环办土壤函〔2019〕770号）《地下水环境监测技术规范》（HJ164-2020）《地下水污染健康风险评估工作指南》《重点铅锌矿区地下水环境状况调查评估工作方案》等文件要求，经采购人验收备案。</w:t>
            </w:r>
          </w:p>
          <w:p w14:paraId="035EFC1B">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2.3数据资料归属及保管</w:t>
            </w:r>
          </w:p>
          <w:p w14:paraId="310FD22B">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本项目所形成的数据和报告归采购人所有。未经采购人同意，不得将数据和报告提供给任何第三方。工作过程中形成的光盘、录音带、录像和照片等材料，应附文字说明和唯一标识随材料一并归档。</w:t>
            </w:r>
          </w:p>
          <w:p w14:paraId="692111F5">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2.4成果提交及项目验收</w:t>
            </w:r>
          </w:p>
          <w:p w14:paraId="47BB5455">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所提交成果需满足“2.2工作质量控制要求”，并通过采购人验收备案：</w:t>
            </w:r>
          </w:p>
          <w:p w14:paraId="0DF350E0">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（1）7个设区市《尾矿库及矿山开采区地下水环境状况调查评估技术方案》各1份；</w:t>
            </w:r>
          </w:p>
          <w:p w14:paraId="6AE4976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（2）《新建地下水监测井及样品采集与测试分析质控报告》；</w:t>
            </w:r>
          </w:p>
          <w:p w14:paraId="7FF5E649">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（3）《重点尾矿库及矿山开采区地下水污染风险管控修复措施建议》；</w:t>
            </w:r>
          </w:p>
          <w:p w14:paraId="3C80756C">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（4）7个设区市《尾矿库和矿山开采区地下水环境状况调查评估报告》及相关图件集（至少应包括尾矿库及矿山开采区敏感点分布图、尾矿库及矿山开采区点位布设图、尾矿库及矿山开采区评价结果图）各1份。</w:t>
            </w:r>
          </w:p>
          <w:p w14:paraId="4EDB4EFF">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2.5现场安全与防护要求</w:t>
            </w:r>
          </w:p>
          <w:p w14:paraId="72147EB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投标人需按照相关要求做好矿山及尾矿库地下水环境状况调查安全防护，制定安全防护计划及应急预案，加强安全培训。</w:t>
            </w:r>
          </w:p>
          <w:p w14:paraId="3444BB8A">
            <w:pPr>
              <w:pStyle w:val="13"/>
              <w:keepNext w:val="0"/>
              <w:keepLines w:val="0"/>
              <w:pageBreakBefore w:val="0"/>
              <w:widowControl/>
              <w:numPr>
                <w:ilvl w:val="0"/>
                <w:numId w:val="0"/>
              </w:numPr>
              <w:wordWrap/>
              <w:overflowPunct/>
              <w:topLinePunct w:val="0"/>
              <w:bidi w:val="0"/>
              <w:spacing w:line="440" w:lineRule="exact"/>
              <w:ind w:left="114"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lang w:val="en-US" w:eastAsia="zh-CN"/>
              </w:rPr>
              <w:t>项目服务团队要求</w:t>
            </w:r>
          </w:p>
          <w:p w14:paraId="29D26D6D">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应具备土壤地下水等环境相关的科技能力以支撑技术服务工作，其中项目负责人1人需为正高级职称（职称专业为环境类、地质类、化学类相关专业），同时配备与其承担技术服务工作的相关专业技术人员，项目主要专业技术人员的人员数量和能力应满足技术服务工作任务的需要，拟投入本项目专业技术人员不少于20人，其中高级职称不少于3人。</w:t>
            </w:r>
          </w:p>
          <w:p w14:paraId="65AB7B80">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注：拟投入本项目的以上人员是投标人在职在岗正式员工（非退休），投标文件需提供人员职称证书证明材料复印件并</w:t>
            </w:r>
            <w:r>
              <w:rPr>
                <w:rFonts w:hint="eastAsia" w:asciiTheme="minorEastAsia" w:hAnsiTheme="minorEastAsia" w:eastAsiaTheme="minorEastAsia" w:cstheme="minorEastAsia"/>
                <w:snapToGrid/>
                <w:color w:val="auto"/>
                <w:kern w:val="2"/>
                <w:sz w:val="21"/>
                <w:szCs w:val="21"/>
                <w:highlight w:val="none"/>
                <w:lang w:val="en-US" w:eastAsia="zh-CN"/>
              </w:rPr>
              <w:t>加盖投标人公章（或 CA电子签章）</w:t>
            </w:r>
            <w:r>
              <w:rPr>
                <w:rFonts w:hint="eastAsia" w:asciiTheme="minorEastAsia" w:hAnsiTheme="minorEastAsia" w:eastAsiaTheme="minorEastAsia" w:cstheme="minorEastAsia"/>
                <w:color w:val="auto"/>
                <w:sz w:val="21"/>
                <w:szCs w:val="21"/>
                <w:highlight w:val="none"/>
                <w:lang w:val="en-US" w:eastAsia="zh-CN"/>
              </w:rPr>
              <w:t>。</w:t>
            </w:r>
          </w:p>
          <w:p w14:paraId="77788238">
            <w:pPr>
              <w:pStyle w:val="13"/>
              <w:keepNext w:val="0"/>
              <w:keepLines w:val="0"/>
              <w:pageBreakBefore w:val="0"/>
              <w:widowControl/>
              <w:numPr>
                <w:ilvl w:val="0"/>
                <w:numId w:val="0"/>
              </w:numPr>
              <w:wordWrap/>
              <w:overflowPunct/>
              <w:topLinePunct w:val="0"/>
              <w:bidi w:val="0"/>
              <w:spacing w:line="440" w:lineRule="exact"/>
              <w:ind w:left="114"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lang w:val="en-US" w:eastAsia="zh-CN"/>
              </w:rPr>
              <w:t>项目服务期限</w:t>
            </w:r>
          </w:p>
          <w:p w14:paraId="10624D56">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项目预计2024年12月开始实施，所有服务和成果提交时间在2025年12月31日前。</w:t>
            </w:r>
          </w:p>
        </w:tc>
      </w:tr>
      <w:tr w14:paraId="08CE6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92" w:type="dxa"/>
            <w:gridSpan w:val="5"/>
            <w:vAlign w:val="top"/>
          </w:tcPr>
          <w:p w14:paraId="0153EAE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snapToGrid/>
                <w:color w:val="auto"/>
                <w:kern w:val="0"/>
                <w:sz w:val="21"/>
                <w:szCs w:val="21"/>
                <w:highlight w:val="none"/>
              </w:rPr>
              <w:t>（2）▲商务要求</w:t>
            </w:r>
          </w:p>
        </w:tc>
      </w:tr>
      <w:tr w14:paraId="08A57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13" w:type="dxa"/>
            <w:gridSpan w:val="2"/>
            <w:vAlign w:val="center"/>
          </w:tcPr>
          <w:p w14:paraId="6281749B">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合同签订</w:t>
            </w:r>
          </w:p>
        </w:tc>
        <w:tc>
          <w:tcPr>
            <w:tcW w:w="7279" w:type="dxa"/>
            <w:gridSpan w:val="3"/>
            <w:vAlign w:val="center"/>
          </w:tcPr>
          <w:p w14:paraId="3ADCA8C3">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自中标通知书发出之日起</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日内。</w:t>
            </w:r>
          </w:p>
        </w:tc>
      </w:tr>
      <w:tr w14:paraId="3F831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713" w:type="dxa"/>
            <w:gridSpan w:val="2"/>
            <w:vAlign w:val="center"/>
          </w:tcPr>
          <w:p w14:paraId="1B7D4EE2">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（二）</w:t>
            </w:r>
            <w:r>
              <w:rPr>
                <w:rFonts w:hint="eastAsia" w:asciiTheme="minorEastAsia" w:hAnsiTheme="minorEastAsia" w:eastAsiaTheme="minorEastAsia" w:cstheme="minorEastAsia"/>
                <w:color w:val="auto"/>
                <w:sz w:val="21"/>
                <w:szCs w:val="21"/>
                <w:highlight w:val="none"/>
              </w:rPr>
              <w:t>服务标准</w:t>
            </w:r>
          </w:p>
        </w:tc>
        <w:tc>
          <w:tcPr>
            <w:tcW w:w="7279" w:type="dxa"/>
            <w:gridSpan w:val="3"/>
            <w:vAlign w:val="center"/>
          </w:tcPr>
          <w:p w14:paraId="383A09A1">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符合现行国家相关标准、行业标准、地方标准及本项目要求。</w:t>
            </w:r>
          </w:p>
        </w:tc>
      </w:tr>
      <w:tr w14:paraId="19D87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13" w:type="dxa"/>
            <w:gridSpan w:val="2"/>
            <w:vAlign w:val="center"/>
          </w:tcPr>
          <w:p w14:paraId="505AD841">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交付时间</w:t>
            </w:r>
          </w:p>
        </w:tc>
        <w:tc>
          <w:tcPr>
            <w:tcW w:w="7279" w:type="dxa"/>
            <w:gridSpan w:val="3"/>
            <w:vAlign w:val="center"/>
          </w:tcPr>
          <w:p w14:paraId="38B02AE0">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所有服务和成果提交时间在202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rPr>
              <w:t>日前。</w:t>
            </w:r>
          </w:p>
        </w:tc>
      </w:tr>
      <w:tr w14:paraId="2571C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13" w:type="dxa"/>
            <w:gridSpan w:val="2"/>
            <w:vAlign w:val="center"/>
          </w:tcPr>
          <w:p w14:paraId="45A89997">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交付地点</w:t>
            </w:r>
          </w:p>
        </w:tc>
        <w:tc>
          <w:tcPr>
            <w:tcW w:w="7279" w:type="dxa"/>
            <w:gridSpan w:val="3"/>
            <w:vAlign w:val="center"/>
          </w:tcPr>
          <w:p w14:paraId="4B83DE5E">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00038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1713" w:type="dxa"/>
            <w:gridSpan w:val="2"/>
            <w:vAlign w:val="center"/>
          </w:tcPr>
          <w:p w14:paraId="1755F77E">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付款方式</w:t>
            </w:r>
          </w:p>
        </w:tc>
        <w:tc>
          <w:tcPr>
            <w:tcW w:w="7279" w:type="dxa"/>
            <w:gridSpan w:val="3"/>
            <w:vAlign w:val="center"/>
          </w:tcPr>
          <w:p w14:paraId="24DEEAD0">
            <w:pPr>
              <w:pStyle w:val="14"/>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1.合同签订后10个工作日内，采购人向中标人支付50%合同款；</w:t>
            </w:r>
          </w:p>
          <w:p w14:paraId="27E7A09D">
            <w:pPr>
              <w:pStyle w:val="14"/>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2.乙方按照合同要求向甲方提交项目地下水环境状况调查评估技术方案并经采购人确认合格后，甲方于10个工作日内支付40%合同款；</w:t>
            </w:r>
          </w:p>
          <w:p w14:paraId="3048B79B">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.中标人按照合同要求提交所有服务成果并经采购人验收合格后，采购人于10个工作日内支付剩余10%合同款；</w:t>
            </w:r>
          </w:p>
          <w:p w14:paraId="10089CC5">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.中标人于每次收到合同款10个工作日内开具等额发票给采购人；</w:t>
            </w:r>
          </w:p>
          <w:p w14:paraId="08DBEBB3">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.中标人未在规定时间内完成任务，或经抽查发现服务质量不符合要求的，按照合同约定扣减相应费用。</w:t>
            </w:r>
          </w:p>
        </w:tc>
      </w:tr>
      <w:tr w14:paraId="3F077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13" w:type="dxa"/>
            <w:gridSpan w:val="2"/>
            <w:vAlign w:val="center"/>
          </w:tcPr>
          <w:p w14:paraId="0CA19FF0">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（六）</w:t>
            </w:r>
            <w:r>
              <w:rPr>
                <w:rFonts w:hint="eastAsia" w:asciiTheme="minorEastAsia" w:hAnsiTheme="minorEastAsia" w:eastAsiaTheme="minorEastAsia" w:cstheme="minorEastAsia"/>
                <w:color w:val="auto"/>
                <w:sz w:val="21"/>
                <w:szCs w:val="21"/>
                <w:highlight w:val="none"/>
              </w:rPr>
              <w:t>投标报价</w:t>
            </w:r>
          </w:p>
          <w:p w14:paraId="2D26AC98">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w:t>
            </w:r>
          </w:p>
        </w:tc>
        <w:tc>
          <w:tcPr>
            <w:tcW w:w="7279" w:type="dxa"/>
            <w:gridSpan w:val="3"/>
            <w:vAlign w:val="center"/>
          </w:tcPr>
          <w:p w14:paraId="51952991">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为交钥匙工程，实行总承包报价；包括现场勘察、协调、实验研究、技术处理、方案编制、报批、项目评审费等工作所需的一切人工、机械、材料、利润、税金、保险等相关的费用。除合同约定的变更以外，该费用不予增减。</w:t>
            </w:r>
          </w:p>
          <w:p w14:paraId="4712C3F4">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了确保采购质量和维护公平的竞争，根据《中华人民共和国政府采购法》第七十七条和中华人民共和国反不正当竞争法第十一条，经营者不得以排挤对手为目的，以低于成本的价格销售商品（服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6F453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1713" w:type="dxa"/>
            <w:gridSpan w:val="2"/>
            <w:vAlign w:val="center"/>
          </w:tcPr>
          <w:p w14:paraId="04F7E783">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）其他要求</w:t>
            </w:r>
          </w:p>
        </w:tc>
        <w:tc>
          <w:tcPr>
            <w:tcW w:w="7279" w:type="dxa"/>
            <w:gridSpan w:val="3"/>
            <w:vAlign w:val="center"/>
          </w:tcPr>
          <w:p w14:paraId="0AE4A633">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1.数据资料归属及保密：本项目所形成的数据和报告归采购人所有。未经采购人授权，不得将数据和报告提供给任何第三方。</w:t>
            </w:r>
          </w:p>
          <w:p w14:paraId="50BBC79C">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2.如果中标人队伍发生重大变更导致无法按要求开展项目任务或者发生重大责任事故的，采购人将上报政府采购监督管理部门同时追究中标单位相应责任。</w:t>
            </w:r>
          </w:p>
          <w:p w14:paraId="51BCD10C">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3.其他要求：</w:t>
            </w:r>
          </w:p>
          <w:p w14:paraId="196ED44B">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应包括中标人为完成该项目而发生的全部相关费用，包括差旅费、劳务费、专家咨询费、培训费、手续费、包装费、运输费、保险费和各项税金、安装费及由于市场价格波动增加的费用、不可预见费以及验收费用相关费用等全部费用。</w:t>
            </w:r>
          </w:p>
          <w:p w14:paraId="76F6952B">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（2）本项目不得转包</w:t>
            </w:r>
            <w:r>
              <w:rPr>
                <w:rFonts w:hint="eastAsia" w:asciiTheme="minorEastAsia" w:hAnsiTheme="minorEastAsia" w:eastAsiaTheme="minorEastAsia" w:cstheme="minorEastAsia"/>
                <w:color w:val="auto"/>
                <w:sz w:val="21"/>
                <w:szCs w:val="21"/>
                <w:highlight w:val="none"/>
                <w:lang w:eastAsia="zh-CN"/>
              </w:rPr>
              <w:t>、分包</w:t>
            </w:r>
            <w:r>
              <w:rPr>
                <w:rFonts w:hint="eastAsia" w:asciiTheme="minorEastAsia" w:hAnsiTheme="minorEastAsia" w:eastAsiaTheme="minorEastAsia" w:cstheme="minorEastAsia"/>
                <w:color w:val="auto"/>
                <w:sz w:val="21"/>
                <w:szCs w:val="21"/>
                <w:highlight w:val="none"/>
              </w:rPr>
              <w:t>。</w:t>
            </w:r>
          </w:p>
          <w:p w14:paraId="06B0ED30">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注：“▲”是指不能负偏离的条款。</w:t>
            </w:r>
          </w:p>
        </w:tc>
      </w:tr>
    </w:tbl>
    <w:p w14:paraId="777815F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0"/>
          <w:szCs w:val="20"/>
          <w:highlight w:val="none"/>
        </w:rPr>
      </w:pPr>
    </w:p>
    <w:p w14:paraId="075C2F76">
      <w:pPr>
        <w:keepNext w:val="0"/>
        <w:keepLines w:val="0"/>
        <w:pageBreakBefore w:val="0"/>
        <w:widowControl/>
        <w:wordWrap/>
        <w:overflowPunct/>
        <w:topLinePunct w:val="0"/>
        <w:bidi w:val="0"/>
        <w:spacing w:line="440" w:lineRule="exact"/>
        <w:rPr>
          <w:rFonts w:ascii="Arial" w:hAnsi="Arial" w:eastAsia="Arial" w:cs="Arial"/>
          <w:color w:val="auto"/>
          <w:sz w:val="21"/>
          <w:szCs w:val="21"/>
          <w:highlight w:val="none"/>
        </w:rPr>
        <w:sectPr>
          <w:headerReference r:id="rId11" w:type="default"/>
          <w:footerReference r:id="rId12" w:type="default"/>
          <w:pgSz w:w="11906" w:h="16839"/>
          <w:pgMar w:top="1474" w:right="1417" w:bottom="1474" w:left="1474" w:header="0" w:footer="677" w:gutter="0"/>
          <w:pgNumType w:fmt="decimal"/>
          <w:cols w:space="720" w:num="1"/>
          <w:rtlGutter w:val="0"/>
          <w:docGrid w:linePitch="0" w:charSpace="0"/>
        </w:sectPr>
      </w:pPr>
    </w:p>
    <w:tbl>
      <w:tblPr>
        <w:tblStyle w:val="12"/>
        <w:tblW w:w="9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019"/>
        <w:gridCol w:w="114"/>
        <w:gridCol w:w="658"/>
        <w:gridCol w:w="672"/>
        <w:gridCol w:w="6270"/>
      </w:tblGrid>
      <w:tr w14:paraId="75CCC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9427" w:type="dxa"/>
            <w:gridSpan w:val="6"/>
            <w:vAlign w:val="top"/>
          </w:tcPr>
          <w:p w14:paraId="78DAC9BD">
            <w:pPr>
              <w:pStyle w:val="13"/>
              <w:keepNext w:val="0"/>
              <w:keepLines w:val="0"/>
              <w:pageBreakBefore w:val="0"/>
              <w:widowControl/>
              <w:wordWrap/>
              <w:overflowPunct/>
              <w:topLinePunct w:val="0"/>
              <w:bidi w:val="0"/>
              <w:spacing w:line="440" w:lineRule="exact"/>
              <w:ind w:firstLine="2530" w:firstLineChars="1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包 2</w:t>
            </w:r>
            <w:r>
              <w:rPr>
                <w:rFonts w:hint="eastAsia" w:asciiTheme="minorEastAsia" w:hAnsiTheme="minorEastAsia" w:eastAsiaTheme="minorEastAsia" w:cstheme="minorEastAsia"/>
                <w:b/>
                <w:bCs/>
                <w:color w:val="auto"/>
                <w:sz w:val="21"/>
                <w:szCs w:val="21"/>
                <w:highlight w:val="none"/>
                <w:lang w:eastAsia="zh-CN"/>
              </w:rPr>
              <w:t>（水文地质调查与监测井建设包）</w:t>
            </w:r>
            <w:r>
              <w:rPr>
                <w:rFonts w:hint="eastAsia" w:asciiTheme="minorEastAsia" w:hAnsiTheme="minorEastAsia" w:eastAsiaTheme="minorEastAsia" w:cstheme="minorEastAsia"/>
                <w:b/>
                <w:bCs/>
                <w:color w:val="auto"/>
                <w:sz w:val="21"/>
                <w:szCs w:val="21"/>
                <w:highlight w:val="none"/>
              </w:rPr>
              <w:t>服务需求一览表</w:t>
            </w:r>
          </w:p>
        </w:tc>
      </w:tr>
      <w:tr w14:paraId="7CFE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427" w:type="dxa"/>
            <w:gridSpan w:val="6"/>
            <w:vAlign w:val="top"/>
          </w:tcPr>
          <w:p w14:paraId="51425B8E">
            <w:pPr>
              <w:pStyle w:val="13"/>
              <w:keepNext w:val="0"/>
              <w:keepLines w:val="0"/>
              <w:pageBreakBefore w:val="0"/>
              <w:widowControl/>
              <w:wordWrap/>
              <w:overflowPunct/>
              <w:topLinePunct w:val="0"/>
              <w:bidi w:val="0"/>
              <w:spacing w:line="440" w:lineRule="exact"/>
              <w:ind w:left="1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（1）技术要求</w:t>
            </w:r>
          </w:p>
        </w:tc>
      </w:tr>
      <w:tr w14:paraId="7239A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4" w:type="dxa"/>
            <w:vAlign w:val="top"/>
          </w:tcPr>
          <w:p w14:paraId="68F86AE4">
            <w:pPr>
              <w:pStyle w:val="13"/>
              <w:keepNext w:val="0"/>
              <w:keepLines w:val="0"/>
              <w:pageBreakBefore w:val="0"/>
              <w:widowControl/>
              <w:wordWrap/>
              <w:overflowPunct/>
              <w:topLinePunct w:val="0"/>
              <w:bidi w:val="0"/>
              <w:spacing w:line="440" w:lineRule="exact"/>
              <w:ind w:left="14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序号</w:t>
            </w:r>
          </w:p>
        </w:tc>
        <w:tc>
          <w:tcPr>
            <w:tcW w:w="1133" w:type="dxa"/>
            <w:gridSpan w:val="2"/>
            <w:vAlign w:val="top"/>
          </w:tcPr>
          <w:p w14:paraId="28937354">
            <w:pPr>
              <w:pStyle w:val="13"/>
              <w:keepNext w:val="0"/>
              <w:keepLines w:val="0"/>
              <w:pageBreakBefore w:val="0"/>
              <w:widowControl/>
              <w:wordWrap/>
              <w:overflowPunct/>
              <w:topLinePunct w:val="0"/>
              <w:bidi w:val="0"/>
              <w:spacing w:line="440" w:lineRule="exact"/>
              <w:ind w:left="14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标的名称</w:t>
            </w:r>
          </w:p>
        </w:tc>
        <w:tc>
          <w:tcPr>
            <w:tcW w:w="658" w:type="dxa"/>
            <w:vAlign w:val="top"/>
          </w:tcPr>
          <w:p w14:paraId="6EAA32B7">
            <w:pPr>
              <w:pStyle w:val="13"/>
              <w:keepNext w:val="0"/>
              <w:keepLines w:val="0"/>
              <w:pageBreakBefore w:val="0"/>
              <w:widowControl/>
              <w:wordWrap/>
              <w:overflowPunct/>
              <w:topLinePunct w:val="0"/>
              <w:bidi w:val="0"/>
              <w:spacing w:line="440" w:lineRule="exact"/>
              <w:ind w:left="1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数量</w:t>
            </w:r>
          </w:p>
        </w:tc>
        <w:tc>
          <w:tcPr>
            <w:tcW w:w="672" w:type="dxa"/>
            <w:vAlign w:val="top"/>
          </w:tcPr>
          <w:p w14:paraId="6FDE146E">
            <w:pPr>
              <w:pStyle w:val="13"/>
              <w:keepNext w:val="0"/>
              <w:keepLines w:val="0"/>
              <w:pageBreakBefore w:val="0"/>
              <w:widowControl/>
              <w:wordWrap/>
              <w:overflowPunct/>
              <w:topLinePunct w:val="0"/>
              <w:bidi w:val="0"/>
              <w:spacing w:line="440" w:lineRule="exact"/>
              <w:ind w:left="1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单位</w:t>
            </w:r>
          </w:p>
        </w:tc>
        <w:tc>
          <w:tcPr>
            <w:tcW w:w="6270" w:type="dxa"/>
            <w:vAlign w:val="top"/>
          </w:tcPr>
          <w:p w14:paraId="388753AA">
            <w:pPr>
              <w:pStyle w:val="13"/>
              <w:keepNext w:val="0"/>
              <w:keepLines w:val="0"/>
              <w:pageBreakBefore w:val="0"/>
              <w:widowControl/>
              <w:wordWrap/>
              <w:overflowPunct/>
              <w:topLinePunct w:val="0"/>
              <w:bidi w:val="0"/>
              <w:spacing w:line="440" w:lineRule="exact"/>
              <w:ind w:left="235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服务内容及要求</w:t>
            </w:r>
          </w:p>
        </w:tc>
      </w:tr>
      <w:tr w14:paraId="40D22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4" w:type="dxa"/>
            <w:vAlign w:val="top"/>
          </w:tcPr>
          <w:p w14:paraId="5A9FEF3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B7A0EA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F0CFAC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C8DB6B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39AF1C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87F5983">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2405437">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5F79E73">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DFBFD2F">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6538C0C">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B93D5C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F1EE81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3B4B9F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245972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936E857">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0C61E46">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B648291">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DF17701">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040B86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57CB1DF">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F32E429">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E4B6D63">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26F65D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9302F24">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C6223B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C62B19C">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3F7A88B">
            <w:pPr>
              <w:pStyle w:val="13"/>
              <w:keepNext w:val="0"/>
              <w:keepLines w:val="0"/>
              <w:pageBreakBefore w:val="0"/>
              <w:widowControl/>
              <w:wordWrap/>
              <w:overflowPunct/>
              <w:topLinePunct w:val="0"/>
              <w:bidi w:val="0"/>
              <w:spacing w:line="420" w:lineRule="exact"/>
              <w:ind w:left="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3" w:type="dxa"/>
            <w:gridSpan w:val="2"/>
            <w:vAlign w:val="top"/>
          </w:tcPr>
          <w:p w14:paraId="0DEA5C19">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EA2C5E7">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D58927C">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2B6B3D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487409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A6F3DF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5E272A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75E5EF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8D09BF8">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3A62324">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D3B3AA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430B99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F350380">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5F335E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311481F">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C52CA7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ECF5C86">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12309A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E4D1B5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3A69C1A">
            <w:pPr>
              <w:pStyle w:val="13"/>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lang w:eastAsia="zh-CN"/>
              </w:rPr>
            </w:pPr>
          </w:p>
          <w:p w14:paraId="0794E0F3">
            <w:pPr>
              <w:pStyle w:val="13"/>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广西壮族自治区尾矿库和矿山开采区地下水环境状况调查评估项目（二期）</w:t>
            </w:r>
          </w:p>
        </w:tc>
        <w:tc>
          <w:tcPr>
            <w:tcW w:w="658" w:type="dxa"/>
            <w:vAlign w:val="top"/>
          </w:tcPr>
          <w:p w14:paraId="0448DD54">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29C41E6">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B15626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E3612C4">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450AE9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FD839F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FD6C0E0">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2721CD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5780509">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B769E8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8199563">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7DE9CF6">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3ECD92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549E5C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9EE572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97BFF9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6CFC7F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6333DB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B9FA016">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679F741">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2DC99A4">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E5D78E3">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7E52D0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1743E2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F1298F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33DFDE0">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617D8E5">
            <w:pPr>
              <w:pStyle w:val="13"/>
              <w:keepNext w:val="0"/>
              <w:keepLines w:val="0"/>
              <w:pageBreakBefore w:val="0"/>
              <w:widowControl/>
              <w:wordWrap/>
              <w:overflowPunct/>
              <w:topLinePunct w:val="0"/>
              <w:bidi w:val="0"/>
              <w:spacing w:line="420" w:lineRule="exact"/>
              <w:ind w:left="29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72" w:type="dxa"/>
            <w:vAlign w:val="top"/>
          </w:tcPr>
          <w:p w14:paraId="6006B374">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974328D">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EA6837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5EF8BE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C6C3232">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5E4C727">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6B99BDC">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52BBD68">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DF51B9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2BF9888">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C4E20E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298D9D5B">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FB70513">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E86C5B0">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7C1C53A">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5730BA86">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C2F56B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C082621">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9B983E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330042FE">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1618941">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42CAFD45">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02FA60FC">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78116739">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17BDE117">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p>
          <w:p w14:paraId="6FD9F8CB">
            <w:pPr>
              <w:pStyle w:val="13"/>
              <w:keepNext w:val="0"/>
              <w:keepLines w:val="0"/>
              <w:pageBreakBefore w:val="0"/>
              <w:widowControl/>
              <w:wordWrap/>
              <w:overflowPunct/>
              <w:topLinePunct w:val="0"/>
              <w:bidi w:val="0"/>
              <w:spacing w:line="420" w:lineRule="exact"/>
              <w:ind w:left="2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6270" w:type="dxa"/>
            <w:vAlign w:val="top"/>
          </w:tcPr>
          <w:p w14:paraId="6600041C">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lang w:val="en-US" w:eastAsia="zh-CN"/>
              </w:rPr>
              <w:t>总体要求</w:t>
            </w:r>
          </w:p>
          <w:p w14:paraId="4012F9F2">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根据《中共中央国务院关于深入打好污染防治攻坚战的意见》</w:t>
            </w:r>
            <w:r>
              <w:rPr>
                <w:rFonts w:hint="eastAsia" w:asciiTheme="minorEastAsia" w:hAnsiTheme="minorEastAsia" w:eastAsiaTheme="minorEastAsia" w:cstheme="minorEastAsia"/>
                <w:color w:val="auto"/>
                <w:sz w:val="21"/>
                <w:szCs w:val="21"/>
                <w:highlight w:val="none"/>
                <w:lang w:val="en-US" w:eastAsia="zh-CN"/>
              </w:rPr>
              <w:t>《中共中央国务院关于全面推进美丽中国建设的意见》</w:t>
            </w:r>
            <w:r>
              <w:rPr>
                <w:rFonts w:hint="eastAsia" w:asciiTheme="minorEastAsia" w:hAnsiTheme="minorEastAsia" w:eastAsiaTheme="minorEastAsia" w:cstheme="minorEastAsia"/>
                <w:color w:val="auto"/>
                <w:sz w:val="21"/>
                <w:szCs w:val="21"/>
                <w:highlight w:val="none"/>
              </w:rPr>
              <w:t>《地下水管理条例》《水污染防治行动计划》（国发〔2015〕17号）《土壤污染防治行动计划》（国发〔2016〕31号）《地下水污染防治实施方案》（环土壤〔2019〕25号）《广西地下水污染防治实施方案》（桂环发〔2020〕8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尾矿污染环境防治管理办法》</w:t>
            </w:r>
            <w:r>
              <w:rPr>
                <w:rFonts w:hint="eastAsia" w:asciiTheme="minorEastAsia" w:hAnsiTheme="minorEastAsia" w:eastAsiaTheme="minorEastAsia" w:cstheme="minorEastAsia"/>
                <w:color w:val="auto"/>
                <w:sz w:val="21"/>
                <w:szCs w:val="21"/>
                <w:highlight w:val="none"/>
              </w:rPr>
              <w:t>等要求，</w:t>
            </w:r>
            <w:r>
              <w:rPr>
                <w:rFonts w:hint="eastAsia" w:asciiTheme="minorEastAsia" w:hAnsiTheme="minorEastAsia" w:eastAsiaTheme="minorEastAsia" w:cstheme="minorEastAsia"/>
                <w:color w:val="auto"/>
                <w:sz w:val="21"/>
                <w:szCs w:val="21"/>
                <w:highlight w:val="none"/>
                <w:lang w:eastAsia="zh-CN"/>
              </w:rPr>
              <w:t>依据</w:t>
            </w:r>
            <w:r>
              <w:rPr>
                <w:rFonts w:hint="eastAsia" w:asciiTheme="minorEastAsia" w:hAnsiTheme="minorEastAsia" w:eastAsiaTheme="minorEastAsia" w:cstheme="minorEastAsia"/>
                <w:color w:val="auto"/>
                <w:sz w:val="21"/>
                <w:szCs w:val="21"/>
                <w:highlight w:val="none"/>
                <w:lang w:val="en-US" w:eastAsia="zh-CN"/>
              </w:rPr>
              <w:t>《地下水环境监测井建设规范》HJ 164-2020）</w:t>
            </w:r>
            <w:r>
              <w:rPr>
                <w:rFonts w:hint="eastAsia" w:asciiTheme="minorEastAsia" w:hAnsiTheme="minorEastAsia" w:eastAsiaTheme="minorEastAsia" w:cstheme="minorEastAsia"/>
                <w:color w:val="auto"/>
                <w:sz w:val="21"/>
                <w:szCs w:val="21"/>
                <w:highlight w:val="none"/>
              </w:rPr>
              <w:t>《水文地质调查规范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1：50000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》（DZ</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0282-2015）</w:t>
            </w:r>
            <w:r>
              <w:rPr>
                <w:rFonts w:hint="eastAsia" w:asciiTheme="minorEastAsia" w:hAnsiTheme="minorEastAsia" w:eastAsiaTheme="minorEastAsia" w:cstheme="minorEastAsia"/>
                <w:color w:val="auto"/>
                <w:sz w:val="21"/>
                <w:szCs w:val="21"/>
                <w:highlight w:val="none"/>
                <w:lang w:val="en-US" w:eastAsia="zh-CN"/>
              </w:rPr>
              <w:t>《地下水污染地球物理探测技术指南（试行）》</w:t>
            </w:r>
            <w:r>
              <w:rPr>
                <w:rFonts w:hint="eastAsia" w:asciiTheme="minorEastAsia" w:hAnsiTheme="minorEastAsia" w:eastAsiaTheme="minorEastAsia" w:cstheme="minorEastAsia"/>
                <w:color w:val="auto"/>
                <w:sz w:val="21"/>
                <w:szCs w:val="21"/>
                <w:highlight w:val="none"/>
                <w:lang w:eastAsia="zh-CN"/>
              </w:rPr>
              <w:t>等技术规范，</w:t>
            </w:r>
            <w:r>
              <w:rPr>
                <w:rFonts w:hint="eastAsia" w:asciiTheme="minorEastAsia" w:hAnsiTheme="minorEastAsia" w:eastAsiaTheme="minorEastAsia" w:cstheme="minorEastAsia"/>
                <w:color w:val="auto"/>
                <w:sz w:val="21"/>
                <w:szCs w:val="21"/>
                <w:highlight w:val="none"/>
              </w:rPr>
              <w:t>编制科学、完善、针对性强、符合国家要求的成果报告。</w:t>
            </w:r>
          </w:p>
          <w:p w14:paraId="05E8B086">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（二）▲服务标准</w:t>
            </w:r>
          </w:p>
          <w:p w14:paraId="25BF246D">
            <w:pPr>
              <w:pStyle w:val="14"/>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2.1主要服务</w:t>
            </w:r>
          </w:p>
          <w:p w14:paraId="6F3606F2">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2.1.1</w:t>
            </w:r>
            <w:r>
              <w:rPr>
                <w:rFonts w:hint="eastAsia" w:asciiTheme="minorEastAsia" w:hAnsiTheme="minorEastAsia" w:eastAsiaTheme="minorEastAsia" w:cstheme="minorEastAsia"/>
                <w:color w:val="auto"/>
                <w:sz w:val="21"/>
                <w:szCs w:val="21"/>
                <w:highlight w:val="none"/>
                <w:lang w:val="en-US" w:eastAsia="zh-CN"/>
              </w:rPr>
              <w:t>根据前期收集的资料，开展梧州、钦州、贵港、玉林、贺州、来宾、崇左等7个设区市不少于22个矿山开采区、57个尾矿库的水文地质资料收集及补充调查，明确尾矿库和矿山开采区含水层结构、补给来源、补给方式、地下水流场等特征；完成1:10000水文地质调查，编制水文地质调查报告及绘制相关水文地质图件；</w:t>
            </w:r>
          </w:p>
          <w:p w14:paraId="54A80996">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2.1.2对每个矿山及尾矿库所处的水文地质单元开展遥感解译（矿山开采区布设1:5万遥感解译，尾矿库布设1:1万遥感解译），利用遥感解译手段对调查区域土地利用类型、污染源、水文地质等进行解译；完成1:5000地形图数字化，提交相关矢量文件；</w:t>
            </w:r>
          </w:p>
          <w:p w14:paraId="11D6A411">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2.1.3负责开展7个设区市不少于22个矿山开采区的地球物理勘探工作，按要求布设物理勘探线（点）并绘制物探剖面，编制矿山开采区地球物理勘探报告及相关图件； </w:t>
            </w:r>
          </w:p>
          <w:p w14:paraId="7D94416B">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2.1.4开展尾矿库和矿山开采区及周边现有监测井可利用、水位、坐标等相关信息核查；在利用现有井的基础上，结合水文地质条件，协助新建井点位布点，开展现场点位确认；制定新建地下水环境监测井建设方案；按照相关要求，建设尾矿库和矿山开采区不少于160口长期地下水环境监测井；</w:t>
            </w:r>
          </w:p>
          <w:p w14:paraId="0809EC6C">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2.1.5 按要求将相关成果上传成果集成系统。</w:t>
            </w:r>
          </w:p>
          <w:p w14:paraId="3887242C">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2.1.6按照甲方要求完成其他项目相关工作。</w:t>
            </w:r>
          </w:p>
          <w:p w14:paraId="15761223">
            <w:pPr>
              <w:pStyle w:val="14"/>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2.2工作质量控制要求</w:t>
            </w:r>
          </w:p>
          <w:p w14:paraId="430F0CBA">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2.2.1投标人需严格执行《地下水环境监测技术规范》（HJ 164-2020）《水文地质调查规范（1：50000）》（DZ/T 0282-2015）《水文水井地质钻探规程》（DZ/T0148-2014）《地下水污染地球物理探测技术指南（试行）》 等要求，经采购人验收备案。</w:t>
            </w:r>
          </w:p>
          <w:p w14:paraId="42AEB0F7">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2.2.2地下水环境监测井建设应遵循一井一设计，一井一编码，所有监测井统一编码的原则。在充分搜集掌握拟建监测井地区有关资料和现场踏勘基础上，因地制宜，科学设计。相关技术参数要求：监测井滤水管在丰水期间需要有1m的滤水管位于历史最低地下水面以上；枯水期需有1m的滤水管位于历史最低地下水面以下。成井管口径不小于110mm，中围填石英砂粒，上封膨润土及混凝土止水材料等。地下水环境监测井建设工作包括钻孔、成井、填砾、止水、洗井、抽水试验、井口保护装置、井台建设、警示牌等，具体要求按照《地下水环境监测技术规范》（HJ164-2020）执行。建井工作记录完善，包括现场记录、分析记录、质控资料、数据资料汇总收集并出具岩芯编录报告、一井一档（成井档案）。</w:t>
            </w:r>
          </w:p>
          <w:p w14:paraId="6F40364B">
            <w:pPr>
              <w:pStyle w:val="14"/>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2.3数据资料归属及保管</w:t>
            </w:r>
          </w:p>
          <w:p w14:paraId="1E10AC64">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本项目所形成的数据和报告归采购人所有。未经采购人同意，不得将数据和报告提供给任何第三方。工作过程中形成的光盘、录音带、录像和照片等材料，应附文字说明和唯一标识随材料一并归档。</w:t>
            </w:r>
          </w:p>
          <w:p w14:paraId="59A215AC">
            <w:pPr>
              <w:pStyle w:val="14"/>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2.4成果提交及项目验收</w:t>
            </w:r>
          </w:p>
          <w:p w14:paraId="25415140">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所提交成果需满足“2.2工作质量控制要求”，并通过采购人验收备案：</w:t>
            </w:r>
          </w:p>
          <w:p w14:paraId="2953817F">
            <w:pPr>
              <w:pStyle w:val="14"/>
              <w:keepNext w:val="0"/>
              <w:keepLines w:val="0"/>
              <w:pageBreakBefore w:val="0"/>
              <w:widowControl/>
              <w:numPr>
                <w:ilvl w:val="0"/>
                <w:numId w:val="1"/>
              </w:numPr>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7个设区市《水文地质调查报告》及相关水文地质图件各1套；</w:t>
            </w:r>
          </w:p>
          <w:p w14:paraId="7B7EE037">
            <w:pPr>
              <w:pStyle w:val="14"/>
              <w:keepNext w:val="0"/>
              <w:keepLines w:val="0"/>
              <w:pageBreakBefore w:val="0"/>
              <w:widowControl/>
              <w:numPr>
                <w:ilvl w:val="0"/>
                <w:numId w:val="1"/>
              </w:numPr>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7个设区市《矿山开采区地球物理勘探报告》及相关图件各1套；</w:t>
            </w:r>
          </w:p>
          <w:p w14:paraId="757E03AB">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(3)7个设区市《遥感调查报告》及相关矢量文件各1套；</w:t>
            </w:r>
          </w:p>
          <w:p w14:paraId="35A9030A">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(4)《地下水环境监测井建设成井档案》（一井一档）；</w:t>
            </w:r>
          </w:p>
          <w:p w14:paraId="6B7D192D">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(5)生态环境部或自治区生态环境厅要求提供本项目的其他服务成果。</w:t>
            </w:r>
          </w:p>
          <w:p w14:paraId="09110253">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如任务承担单位对基础信息调查、点位布设、样品采集、分析测试等各环节收集和产生的所有原始调查数据、背景资料、土壤污染相关历史数据、工作方案、工作记录、照片及影像资料、说明材料、成果报告等数据资料，按照相关档案管理规范要求（例如包括且不局限于电子目录、装订成册、分件排列等）整理提交至采购人，由采购人组织验收。</w:t>
            </w:r>
          </w:p>
          <w:p w14:paraId="01493A70">
            <w:pPr>
              <w:pStyle w:val="14"/>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2.5现场安全与防护要求</w:t>
            </w:r>
          </w:p>
          <w:p w14:paraId="0B0CA8EC">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投标人需按照相关要求做好矿山及尾矿库地下水环境状况调查安全防护，制定安全防护计划及应急预案，加强安全培训。</w:t>
            </w:r>
          </w:p>
          <w:p w14:paraId="4B259BAE">
            <w:pPr>
              <w:pStyle w:val="13"/>
              <w:keepNext w:val="0"/>
              <w:keepLines w:val="0"/>
              <w:pageBreakBefore w:val="0"/>
              <w:widowControl/>
              <w:numPr>
                <w:ilvl w:val="0"/>
                <w:numId w:val="0"/>
              </w:numPr>
              <w:wordWrap/>
              <w:overflowPunct/>
              <w:topLinePunct w:val="0"/>
              <w:bidi w:val="0"/>
              <w:spacing w:line="420" w:lineRule="exact"/>
              <w:ind w:leftChars="0" w:right="108"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项目服务团队要求</w:t>
            </w:r>
          </w:p>
          <w:p w14:paraId="4F8771CE">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投标人应同时具备</w:t>
            </w:r>
            <w:r>
              <w:rPr>
                <w:rFonts w:hint="eastAsia" w:ascii="宋体" w:hAnsi="宋体" w:eastAsia="宋体" w:cs="Times New Roman"/>
                <w:snapToGrid/>
                <w:color w:val="auto"/>
                <w:kern w:val="2"/>
                <w:szCs w:val="21"/>
                <w:highlight w:val="none"/>
                <w:lang w:eastAsia="zh-CN"/>
              </w:rPr>
              <w:t>丙级及以上（含丙级）</w:t>
            </w:r>
            <w:r>
              <w:rPr>
                <w:rFonts w:hint="eastAsia" w:asciiTheme="minorEastAsia" w:hAnsiTheme="minorEastAsia" w:eastAsiaTheme="minorEastAsia" w:cstheme="minorEastAsia"/>
                <w:color w:val="auto"/>
                <w:sz w:val="21"/>
                <w:szCs w:val="21"/>
                <w:highlight w:val="none"/>
                <w:lang w:val="en-US" w:eastAsia="zh-CN"/>
              </w:rPr>
              <w:t>水文地质勘察专业资质和乙级及以上（含乙级）测绘资质。</w:t>
            </w:r>
          </w:p>
          <w:p w14:paraId="1F64F711">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投标人配备与其承担技术服务工作的相关专业技术人员，其中项目负责人需为副高级职称（职称专业为环境类、地质类、测绘类相关专业），同时项目主要专业技术人员的人员数量和能力应满足技术服务工作任务的需要，拟投入本项目专业技术人员不少于20人，其中高级职称不少于3人。 </w:t>
            </w:r>
          </w:p>
          <w:p w14:paraId="766FA8EA">
            <w:pPr>
              <w:pStyle w:val="14"/>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注：拟投入本项目的以上人员是投标人在职在岗正式员工（非退休），投标文件需提供人员职称证书证明材料复印件并</w:t>
            </w:r>
            <w:r>
              <w:rPr>
                <w:rFonts w:hint="eastAsia" w:asciiTheme="minorEastAsia" w:hAnsiTheme="minorEastAsia" w:eastAsiaTheme="minorEastAsia" w:cstheme="minorEastAsia"/>
                <w:snapToGrid/>
                <w:color w:val="auto"/>
                <w:kern w:val="2"/>
                <w:sz w:val="21"/>
                <w:szCs w:val="21"/>
                <w:highlight w:val="none"/>
                <w:lang w:val="en-US" w:eastAsia="zh-CN"/>
              </w:rPr>
              <w:t>加盖投标人公章（或 CA电子签章）</w:t>
            </w:r>
            <w:r>
              <w:rPr>
                <w:rFonts w:hint="eastAsia" w:asciiTheme="minorEastAsia" w:hAnsiTheme="minorEastAsia" w:eastAsiaTheme="minorEastAsia" w:cstheme="minorEastAsia"/>
                <w:color w:val="auto"/>
                <w:sz w:val="21"/>
                <w:szCs w:val="21"/>
                <w:highlight w:val="none"/>
                <w:lang w:val="en-US" w:eastAsia="zh-CN"/>
              </w:rPr>
              <w:t>。</w:t>
            </w:r>
          </w:p>
          <w:p w14:paraId="362FAB6F">
            <w:pPr>
              <w:pStyle w:val="13"/>
              <w:keepNext w:val="0"/>
              <w:keepLines w:val="0"/>
              <w:pageBreakBefore w:val="0"/>
              <w:widowControl/>
              <w:numPr>
                <w:ilvl w:val="0"/>
                <w:numId w:val="0"/>
              </w:numPr>
              <w:wordWrap/>
              <w:overflowPunct/>
              <w:topLinePunct w:val="0"/>
              <w:bidi w:val="0"/>
              <w:spacing w:line="420" w:lineRule="exact"/>
              <w:ind w:leftChars="0" w:right="108"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（四）▲项目服务期限</w:t>
            </w:r>
          </w:p>
          <w:p w14:paraId="2E5AB40F">
            <w:pPr>
              <w:pStyle w:val="13"/>
              <w:keepNext w:val="0"/>
              <w:keepLines w:val="0"/>
              <w:pageBreakBefore w:val="0"/>
              <w:widowControl/>
              <w:numPr>
                <w:ilvl w:val="0"/>
                <w:numId w:val="0"/>
              </w:numPr>
              <w:wordWrap/>
              <w:overflowPunct/>
              <w:topLinePunct w:val="0"/>
              <w:bidi w:val="0"/>
              <w:spacing w:line="420" w:lineRule="exact"/>
              <w:ind w:leftChars="0" w:right="108"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项目预计2024年12月开始实施，所有服务和成果提交时间在2025年7月31日前。</w:t>
            </w:r>
          </w:p>
        </w:tc>
      </w:tr>
      <w:tr w14:paraId="3B413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27" w:type="dxa"/>
            <w:gridSpan w:val="6"/>
            <w:vAlign w:val="top"/>
          </w:tcPr>
          <w:p w14:paraId="76EE6B00">
            <w:pPr>
              <w:keepNext w:val="0"/>
              <w:keepLines w:val="0"/>
              <w:pageBreakBefore w:val="0"/>
              <w:widowControl/>
              <w:wordWrap/>
              <w:overflowPunct/>
              <w:topLinePunct w:val="0"/>
              <w:bidi w:val="0"/>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snapToGrid/>
                <w:color w:val="auto"/>
                <w:kern w:val="0"/>
                <w:sz w:val="21"/>
                <w:szCs w:val="21"/>
                <w:highlight w:val="none"/>
                <w:lang w:val="en-US" w:eastAsia="zh-CN"/>
              </w:rPr>
              <w:t>（2）▲商务要求</w:t>
            </w:r>
          </w:p>
        </w:tc>
      </w:tr>
      <w:tr w14:paraId="28109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13" w:type="dxa"/>
            <w:gridSpan w:val="2"/>
            <w:vAlign w:val="center"/>
          </w:tcPr>
          <w:p w14:paraId="11AB5F6E">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合同签订</w:t>
            </w:r>
          </w:p>
        </w:tc>
        <w:tc>
          <w:tcPr>
            <w:tcW w:w="7714" w:type="dxa"/>
            <w:gridSpan w:val="4"/>
            <w:vAlign w:val="center"/>
          </w:tcPr>
          <w:p w14:paraId="602512AC">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自中标通知书发出之日起</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日内。</w:t>
            </w:r>
          </w:p>
        </w:tc>
      </w:tr>
      <w:tr w14:paraId="51089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713" w:type="dxa"/>
            <w:gridSpan w:val="2"/>
            <w:vAlign w:val="center"/>
          </w:tcPr>
          <w:p w14:paraId="764CDE7B">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（二）</w:t>
            </w:r>
            <w:r>
              <w:rPr>
                <w:rFonts w:hint="eastAsia" w:asciiTheme="minorEastAsia" w:hAnsiTheme="minorEastAsia" w:eastAsiaTheme="minorEastAsia" w:cstheme="minorEastAsia"/>
                <w:color w:val="auto"/>
                <w:sz w:val="21"/>
                <w:szCs w:val="21"/>
                <w:highlight w:val="none"/>
              </w:rPr>
              <w:t>服务标准</w:t>
            </w:r>
          </w:p>
        </w:tc>
        <w:tc>
          <w:tcPr>
            <w:tcW w:w="7714" w:type="dxa"/>
            <w:gridSpan w:val="4"/>
            <w:vAlign w:val="center"/>
          </w:tcPr>
          <w:p w14:paraId="118EA6B9">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符合现行国家相关标准、行业标准、地方标准及本项目要求。</w:t>
            </w:r>
          </w:p>
        </w:tc>
      </w:tr>
      <w:tr w14:paraId="449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13" w:type="dxa"/>
            <w:gridSpan w:val="2"/>
            <w:vAlign w:val="center"/>
          </w:tcPr>
          <w:p w14:paraId="19544B82">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交付时间</w:t>
            </w:r>
          </w:p>
        </w:tc>
        <w:tc>
          <w:tcPr>
            <w:tcW w:w="7714" w:type="dxa"/>
            <w:gridSpan w:val="4"/>
            <w:vAlign w:val="center"/>
          </w:tcPr>
          <w:p w14:paraId="294F55E9">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b w:val="0"/>
                <w:bCs w:val="0"/>
                <w:color w:val="auto"/>
                <w:sz w:val="21"/>
                <w:szCs w:val="21"/>
                <w:highlight w:val="none"/>
              </w:rPr>
              <w:t>所有服务和成果提交时间在202</w:t>
            </w: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年</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月</w:t>
            </w:r>
            <w:r>
              <w:rPr>
                <w:rFonts w:hint="eastAsia" w:asciiTheme="minorEastAsia" w:hAnsiTheme="minorEastAsia" w:eastAsiaTheme="minorEastAsia" w:cstheme="minorEastAsia"/>
                <w:b w:val="0"/>
                <w:bCs w:val="0"/>
                <w:color w:val="auto"/>
                <w:sz w:val="21"/>
                <w:szCs w:val="21"/>
                <w:highlight w:val="none"/>
                <w:lang w:val="en-US" w:eastAsia="zh-CN"/>
              </w:rPr>
              <w:t>31</w:t>
            </w:r>
            <w:r>
              <w:rPr>
                <w:rFonts w:hint="eastAsia" w:asciiTheme="minorEastAsia" w:hAnsiTheme="minorEastAsia" w:eastAsiaTheme="minorEastAsia" w:cstheme="minorEastAsia"/>
                <w:b w:val="0"/>
                <w:bCs w:val="0"/>
                <w:color w:val="auto"/>
                <w:sz w:val="21"/>
                <w:szCs w:val="21"/>
                <w:highlight w:val="none"/>
              </w:rPr>
              <w:t>日前。</w:t>
            </w:r>
          </w:p>
        </w:tc>
      </w:tr>
      <w:tr w14:paraId="25F7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13" w:type="dxa"/>
            <w:gridSpan w:val="2"/>
            <w:vAlign w:val="center"/>
          </w:tcPr>
          <w:p w14:paraId="254D110C">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交付地点</w:t>
            </w:r>
          </w:p>
        </w:tc>
        <w:tc>
          <w:tcPr>
            <w:tcW w:w="7714" w:type="dxa"/>
            <w:gridSpan w:val="4"/>
            <w:vAlign w:val="center"/>
          </w:tcPr>
          <w:p w14:paraId="5DE40028">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30329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13" w:type="dxa"/>
            <w:gridSpan w:val="2"/>
            <w:vAlign w:val="center"/>
          </w:tcPr>
          <w:p w14:paraId="2AC201FE">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付款方式</w:t>
            </w:r>
          </w:p>
        </w:tc>
        <w:tc>
          <w:tcPr>
            <w:tcW w:w="7714" w:type="dxa"/>
            <w:gridSpan w:val="4"/>
            <w:vAlign w:val="center"/>
          </w:tcPr>
          <w:p w14:paraId="00918F61">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1.合同签订后10个工作日内，采购人向中标人支付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0%合同款；</w:t>
            </w:r>
          </w:p>
          <w:p w14:paraId="602FCD6E">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2.乙方按照合同要求向甲方提交项目水文地质调查与地球物理勘探技术方案并经采购人确认合格后，甲方于10个工作日内支付40%合同款</w:t>
            </w:r>
            <w:r>
              <w:rPr>
                <w:rFonts w:hint="eastAsia" w:asciiTheme="minorEastAsia" w:hAnsiTheme="minorEastAsia" w:eastAsiaTheme="minorEastAsia" w:cstheme="minorEastAsia"/>
                <w:color w:val="auto"/>
                <w:sz w:val="21"/>
                <w:szCs w:val="21"/>
                <w:highlight w:val="none"/>
                <w:lang w:eastAsia="zh-CN"/>
              </w:rPr>
              <w:t>；</w:t>
            </w:r>
          </w:p>
          <w:p w14:paraId="2F81385D">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.中标人按照合同要求提交所有服务成果并经采购人验收合格后，采购人于10个工作日内支付剩余10%合同款；</w:t>
            </w:r>
          </w:p>
          <w:p w14:paraId="254F236D">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.中标人于每次收到合同款10个工作日内开具等额发票给采购人；</w:t>
            </w:r>
          </w:p>
          <w:p w14:paraId="67810882">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.中标人未在规定时间内完成任务，或经抽查发现服务质量不符合要求的，按照合同约定扣减相应费用。</w:t>
            </w:r>
          </w:p>
        </w:tc>
      </w:tr>
      <w:tr w14:paraId="535CA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13" w:type="dxa"/>
            <w:gridSpan w:val="2"/>
            <w:vAlign w:val="center"/>
          </w:tcPr>
          <w:p w14:paraId="7796542B">
            <w:pPr>
              <w:pStyle w:val="14"/>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（六）</w:t>
            </w:r>
            <w:r>
              <w:rPr>
                <w:rFonts w:hint="eastAsia" w:asciiTheme="minorEastAsia" w:hAnsiTheme="minorEastAsia" w:eastAsiaTheme="minorEastAsia" w:cstheme="minorEastAsia"/>
                <w:color w:val="auto"/>
                <w:sz w:val="21"/>
                <w:szCs w:val="21"/>
                <w:highlight w:val="none"/>
              </w:rPr>
              <w:t>投标报价</w:t>
            </w:r>
          </w:p>
          <w:p w14:paraId="5F54386B">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w:t>
            </w:r>
          </w:p>
        </w:tc>
        <w:tc>
          <w:tcPr>
            <w:tcW w:w="7714" w:type="dxa"/>
            <w:gridSpan w:val="4"/>
            <w:vAlign w:val="center"/>
          </w:tcPr>
          <w:p w14:paraId="7A9C1700">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为交钥匙工程，实行总承包报价；包括现场勘察、协调、实验研究、技术处理、方案编制、报批、项目评审费等工作所需的一切人工、机械、材料、利润、税金、保险等相关的费用。除合同约定的变更以外，该费用不予增减。</w:t>
            </w:r>
          </w:p>
          <w:p w14:paraId="730EF967">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了确保采购质量和维护公平的竞争，根据《中华人民共和国政府采购法》第七十七条和中华人民共和国反不正当竞争法第十一条，经营者不得以排挤对手为目的，以低于成本的价格销售商品（服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C51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5" w:hRule="atLeast"/>
        </w:trPr>
        <w:tc>
          <w:tcPr>
            <w:tcW w:w="1713" w:type="dxa"/>
            <w:gridSpan w:val="2"/>
            <w:vAlign w:val="center"/>
          </w:tcPr>
          <w:p w14:paraId="0940CCDE">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）其他要求</w:t>
            </w:r>
          </w:p>
        </w:tc>
        <w:tc>
          <w:tcPr>
            <w:tcW w:w="7714" w:type="dxa"/>
            <w:gridSpan w:val="4"/>
            <w:vAlign w:val="center"/>
          </w:tcPr>
          <w:p w14:paraId="4152363E">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数据资料归属及保密：本项目所形成的数据和报告归采购人所有。未经采购人授权，不得将数据和报告提供给任何第三方。</w:t>
            </w:r>
          </w:p>
          <w:p w14:paraId="77C88733">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2.如果中标人队伍发生重大变更导致无法按要求开展项目任务或者发生重大责任事故的，采购人将上报政府采购监督管理部门同时追究中标单位相应责任。</w:t>
            </w:r>
          </w:p>
          <w:p w14:paraId="47CA0C97">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3.其他要求：</w:t>
            </w:r>
          </w:p>
          <w:p w14:paraId="4B9FC5B4">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应包括中标人为完成该项目而发生的全部相关费用，包括差旅费、劳务费、专家咨询费、培训费、手续费、包装费、运输费、保险费和各项税金、安装费及由于市场价格波动增加的费用、不可预见费以及验收费用相关费用等全部费用。</w:t>
            </w:r>
          </w:p>
          <w:p w14:paraId="69BD73B5">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（2）本项目不得转包</w:t>
            </w:r>
            <w:r>
              <w:rPr>
                <w:rFonts w:hint="eastAsia" w:asciiTheme="minorEastAsia" w:hAnsiTheme="minorEastAsia" w:eastAsiaTheme="minorEastAsia" w:cstheme="minorEastAsia"/>
                <w:color w:val="auto"/>
                <w:sz w:val="21"/>
                <w:szCs w:val="21"/>
                <w:highlight w:val="none"/>
                <w:lang w:eastAsia="zh-CN"/>
              </w:rPr>
              <w:t>、分包</w:t>
            </w:r>
            <w:r>
              <w:rPr>
                <w:rFonts w:hint="eastAsia" w:asciiTheme="minorEastAsia" w:hAnsiTheme="minorEastAsia" w:eastAsiaTheme="minorEastAsia" w:cstheme="minorEastAsia"/>
                <w:color w:val="auto"/>
                <w:sz w:val="21"/>
                <w:szCs w:val="21"/>
                <w:highlight w:val="none"/>
              </w:rPr>
              <w:t>。</w:t>
            </w:r>
          </w:p>
          <w:p w14:paraId="3F4C2C15">
            <w:pPr>
              <w:pStyle w:val="14"/>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注：“▲”是指不能负偏离的条款。</w:t>
            </w:r>
          </w:p>
        </w:tc>
      </w:tr>
    </w:tbl>
    <w:p w14:paraId="6EBDD503">
      <w:pPr>
        <w:keepNext w:val="0"/>
        <w:keepLines w:val="0"/>
        <w:pageBreakBefore w:val="0"/>
        <w:widowControl/>
        <w:wordWrap/>
        <w:overflowPunct/>
        <w:topLinePunct w:val="0"/>
        <w:bidi w:val="0"/>
        <w:spacing w:line="440" w:lineRule="exact"/>
        <w:rPr>
          <w:color w:val="auto"/>
          <w:sz w:val="20"/>
          <w:szCs w:val="20"/>
          <w:highlight w:val="none"/>
        </w:rPr>
        <w:sectPr>
          <w:footerReference r:id="rId13" w:type="default"/>
          <w:pgSz w:w="11906" w:h="16839"/>
          <w:pgMar w:top="1474" w:right="1474" w:bottom="1474" w:left="1587" w:header="0" w:footer="675" w:gutter="0"/>
          <w:pgNumType w:fmt="decimal"/>
          <w:cols w:space="0" w:num="1"/>
          <w:rtlGutter w:val="0"/>
          <w:docGrid w:linePitch="0" w:charSpace="0"/>
        </w:sectPr>
      </w:pPr>
    </w:p>
    <w:p w14:paraId="3D32EB37">
      <w:pPr>
        <w:pStyle w:val="8"/>
        <w:keepNext w:val="0"/>
        <w:keepLines w:val="0"/>
        <w:pageBreakBefore w:val="0"/>
        <w:widowControl/>
        <w:wordWrap/>
        <w:overflowPunct/>
        <w:topLinePunct w:val="0"/>
        <w:bidi w:val="0"/>
        <w:spacing w:line="440" w:lineRule="exact"/>
        <w:rPr>
          <w:b/>
          <w:bCs/>
          <w:color w:val="auto"/>
          <w:spacing w:val="-17"/>
          <w:sz w:val="24"/>
          <w:szCs w:val="24"/>
          <w:highlight w:val="none"/>
        </w:rPr>
      </w:pPr>
    </w:p>
    <w:tbl>
      <w:tblPr>
        <w:tblStyle w:val="12"/>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063"/>
        <w:gridCol w:w="44"/>
        <w:gridCol w:w="644"/>
        <w:gridCol w:w="672"/>
        <w:gridCol w:w="6261"/>
        <w:gridCol w:w="5"/>
      </w:tblGrid>
      <w:tr w14:paraId="6B39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9339" w:type="dxa"/>
            <w:gridSpan w:val="7"/>
            <w:vAlign w:val="top"/>
          </w:tcPr>
          <w:p w14:paraId="05569FFC">
            <w:pPr>
              <w:pStyle w:val="13"/>
              <w:keepNext w:val="0"/>
              <w:keepLines w:val="0"/>
              <w:pageBreakBefore w:val="0"/>
              <w:widowControl/>
              <w:wordWrap/>
              <w:overflowPunct/>
              <w:topLinePunct w:val="0"/>
              <w:bidi w:val="0"/>
              <w:spacing w:line="440" w:lineRule="exact"/>
              <w:ind w:firstLine="2741" w:firstLineChars="1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包 3 （样品采集与测试分析包）服务需求一览表</w:t>
            </w:r>
          </w:p>
        </w:tc>
      </w:tr>
      <w:tr w14:paraId="00C1F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339" w:type="dxa"/>
            <w:gridSpan w:val="7"/>
            <w:vAlign w:val="top"/>
          </w:tcPr>
          <w:p w14:paraId="4C5865CD">
            <w:pPr>
              <w:pStyle w:val="13"/>
              <w:keepNext w:val="0"/>
              <w:keepLines w:val="0"/>
              <w:pageBreakBefore w:val="0"/>
              <w:widowControl/>
              <w:wordWrap/>
              <w:overflowPunct/>
              <w:topLinePunct w:val="0"/>
              <w:bidi w:val="0"/>
              <w:spacing w:line="440" w:lineRule="exact"/>
              <w:ind w:left="1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（1）技术要求</w:t>
            </w:r>
          </w:p>
        </w:tc>
      </w:tr>
      <w:tr w14:paraId="4AE57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0" w:type="dxa"/>
            <w:vAlign w:val="top"/>
          </w:tcPr>
          <w:p w14:paraId="3FC177CF">
            <w:pPr>
              <w:pStyle w:val="13"/>
              <w:keepNext w:val="0"/>
              <w:keepLines w:val="0"/>
              <w:pageBreakBefore w:val="0"/>
              <w:widowControl/>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序号</w:t>
            </w:r>
          </w:p>
        </w:tc>
        <w:tc>
          <w:tcPr>
            <w:tcW w:w="1107" w:type="dxa"/>
            <w:gridSpan w:val="2"/>
            <w:vAlign w:val="top"/>
          </w:tcPr>
          <w:p w14:paraId="3F816AA5">
            <w:pPr>
              <w:pStyle w:val="13"/>
              <w:keepNext w:val="0"/>
              <w:keepLines w:val="0"/>
              <w:pageBreakBefore w:val="0"/>
              <w:widowControl/>
              <w:wordWrap/>
              <w:overflowPunct/>
              <w:topLinePunct w:val="0"/>
              <w:bidi w:val="0"/>
              <w:spacing w:line="440" w:lineRule="exact"/>
              <w:ind w:left="1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标的名称</w:t>
            </w:r>
          </w:p>
        </w:tc>
        <w:tc>
          <w:tcPr>
            <w:tcW w:w="644" w:type="dxa"/>
            <w:vAlign w:val="top"/>
          </w:tcPr>
          <w:p w14:paraId="0A0E41D8">
            <w:pPr>
              <w:pStyle w:val="13"/>
              <w:keepNext w:val="0"/>
              <w:keepLines w:val="0"/>
              <w:pageBreakBefore w:val="0"/>
              <w:widowControl/>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数量</w:t>
            </w:r>
          </w:p>
        </w:tc>
        <w:tc>
          <w:tcPr>
            <w:tcW w:w="672" w:type="dxa"/>
            <w:vAlign w:val="top"/>
          </w:tcPr>
          <w:p w14:paraId="4C1F66D3">
            <w:pPr>
              <w:pStyle w:val="13"/>
              <w:keepNext w:val="0"/>
              <w:keepLines w:val="0"/>
              <w:pageBreakBefore w:val="0"/>
              <w:widowControl/>
              <w:wordWrap/>
              <w:overflowPunct/>
              <w:topLinePunct w:val="0"/>
              <w:bidi w:val="0"/>
              <w:spacing w:line="440" w:lineRule="exact"/>
              <w:ind w:left="1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单位</w:t>
            </w:r>
          </w:p>
        </w:tc>
        <w:tc>
          <w:tcPr>
            <w:tcW w:w="6266" w:type="dxa"/>
            <w:gridSpan w:val="2"/>
            <w:vAlign w:val="top"/>
          </w:tcPr>
          <w:p w14:paraId="630EE840">
            <w:pPr>
              <w:pStyle w:val="13"/>
              <w:keepNext w:val="0"/>
              <w:keepLines w:val="0"/>
              <w:pageBreakBefore w:val="0"/>
              <w:widowControl/>
              <w:wordWrap/>
              <w:overflowPunct/>
              <w:topLinePunct w:val="0"/>
              <w:bidi w:val="0"/>
              <w:spacing w:line="440" w:lineRule="exact"/>
              <w:ind w:left="23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服务内容及要求</w:t>
            </w:r>
          </w:p>
        </w:tc>
      </w:tr>
      <w:tr w14:paraId="1B1DD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50" w:type="dxa"/>
            <w:vAlign w:val="top"/>
          </w:tcPr>
          <w:p w14:paraId="0C12627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1DD290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D8F87C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E47A31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C233C6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114534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8246B7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512DAD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24C040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DEEE0D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5B030E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37B423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7D710E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9484C0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467ECE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9E4DA9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4BDF06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A071B7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36893C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B32E5D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E067DB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A4A33A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96BD59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B1CA6C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44D7D2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75FF1E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E95CBD8">
            <w:pPr>
              <w:pStyle w:val="13"/>
              <w:keepNext w:val="0"/>
              <w:keepLines w:val="0"/>
              <w:pageBreakBefore w:val="0"/>
              <w:widowControl/>
              <w:wordWrap/>
              <w:overflowPunct/>
              <w:topLinePunct w:val="0"/>
              <w:bidi w:val="0"/>
              <w:spacing w:line="440" w:lineRule="exact"/>
              <w:ind w:left="29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07" w:type="dxa"/>
            <w:gridSpan w:val="2"/>
            <w:vAlign w:val="top"/>
          </w:tcPr>
          <w:p w14:paraId="2E86C43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D195CE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C154F2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5A2BFD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90ADD8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6840AD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9827B6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786131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000666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61A4A2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739732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A9276A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9A9920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CA5876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9471A8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79257B5">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3B2125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DFAC8F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F799FC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2323DDB">
            <w:pPr>
              <w:pStyle w:val="13"/>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lang w:eastAsia="zh-CN"/>
              </w:rPr>
            </w:pPr>
          </w:p>
          <w:p w14:paraId="0BE966EB">
            <w:pPr>
              <w:pStyle w:val="13"/>
              <w:keepNext w:val="0"/>
              <w:keepLines w:val="0"/>
              <w:pageBreakBefore w:val="0"/>
              <w:widowControl/>
              <w:wordWrap/>
              <w:overflowPunct/>
              <w:topLinePunct w:val="0"/>
              <w:bidi w:val="0"/>
              <w:spacing w:line="44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广西壮族自治区尾矿库和矿山开采区地下水环境状况调查评估项目（二期）</w:t>
            </w:r>
          </w:p>
        </w:tc>
        <w:tc>
          <w:tcPr>
            <w:tcW w:w="644" w:type="dxa"/>
            <w:vAlign w:val="top"/>
          </w:tcPr>
          <w:p w14:paraId="4FA7D75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1C8321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BA3D86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FEE314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C3BDDA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E08F26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CBDF29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03B662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28DD52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8A5C90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FE12E0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010ECF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7B3EE6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0CE6C2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099BEA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DDCCEF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BB3C92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FE0AD0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8CC232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D87D0C3">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7B582F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9BF166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189AA4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89003B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3CE987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DF4263C">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67E0FDA">
            <w:pPr>
              <w:pStyle w:val="13"/>
              <w:keepNext w:val="0"/>
              <w:keepLines w:val="0"/>
              <w:pageBreakBefore w:val="0"/>
              <w:widowControl/>
              <w:wordWrap/>
              <w:overflowPunct/>
              <w:topLinePunct w:val="0"/>
              <w:bidi w:val="0"/>
              <w:spacing w:line="440" w:lineRule="exact"/>
              <w:ind w:left="28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72" w:type="dxa"/>
            <w:vAlign w:val="top"/>
          </w:tcPr>
          <w:p w14:paraId="369A20A7">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E4210A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FB2391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11D0DD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7E5EB20">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3F7BCB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F0B9DF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A748D84">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CFD6059">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634BE8E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A0BE40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CD4F87F">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BF3315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76C20E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5144A8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EBFD46A">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C50FB1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5F8B7D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14303EBD">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F15F6EE">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B3F2088">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0690482">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F8AF60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8B027CB">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E1CC396">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C76236B">
            <w:pPr>
              <w:pStyle w:val="13"/>
              <w:keepNext w:val="0"/>
              <w:keepLines w:val="0"/>
              <w:pageBreakBefore w:val="0"/>
              <w:widowControl/>
              <w:wordWrap/>
              <w:overflowPunct/>
              <w:topLinePunct w:val="0"/>
              <w:bidi w:val="0"/>
              <w:spacing w:line="440" w:lineRule="exact"/>
              <w:ind w:left="2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6266" w:type="dxa"/>
            <w:gridSpan w:val="2"/>
            <w:vAlign w:val="top"/>
          </w:tcPr>
          <w:p w14:paraId="61E4A59A">
            <w:pPr>
              <w:pStyle w:val="13"/>
              <w:keepNext w:val="0"/>
              <w:keepLines w:val="0"/>
              <w:pageBreakBefore w:val="0"/>
              <w:widowControl/>
              <w:numPr>
                <w:ilvl w:val="0"/>
                <w:numId w:val="2"/>
              </w:numPr>
              <w:wordWrap/>
              <w:overflowPunct/>
              <w:topLinePunct w:val="0"/>
              <w:bidi w:val="0"/>
              <w:spacing w:line="440" w:lineRule="exact"/>
              <w:ind w:left="121"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总体要求</w:t>
            </w:r>
          </w:p>
          <w:p w14:paraId="3CDF6B0A">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根据《中共中央国务院关于深入打好污染防治攻坚战的意见》</w:t>
            </w:r>
            <w:r>
              <w:rPr>
                <w:rFonts w:hint="eastAsia" w:asciiTheme="minorEastAsia" w:hAnsiTheme="minorEastAsia" w:eastAsiaTheme="minorEastAsia" w:cstheme="minorEastAsia"/>
                <w:color w:val="auto"/>
                <w:sz w:val="21"/>
                <w:szCs w:val="21"/>
                <w:highlight w:val="none"/>
                <w:lang w:val="en-US" w:eastAsia="zh-CN"/>
              </w:rPr>
              <w:t>《中共中央国务院关于全面推进美丽中国建设的意见》</w:t>
            </w:r>
            <w:r>
              <w:rPr>
                <w:rFonts w:hint="eastAsia" w:asciiTheme="minorEastAsia" w:hAnsiTheme="minorEastAsia" w:eastAsiaTheme="minorEastAsia" w:cstheme="minorEastAsia"/>
                <w:color w:val="auto"/>
                <w:sz w:val="21"/>
                <w:szCs w:val="21"/>
                <w:highlight w:val="none"/>
              </w:rPr>
              <w:t>《地下水管理条例》《水污染防治行动计划》（国发〔2015〕17号）《土壤污染防治行动计划》（国发〔2016〕31号）《地下水污染防治实施方案》（环土壤〔2019〕25号）《广西地下水污染防治实施方案》（桂环发〔2020〕8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尾矿污染环境防治管理办法》</w:t>
            </w:r>
            <w:r>
              <w:rPr>
                <w:rFonts w:hint="eastAsia" w:asciiTheme="minorEastAsia" w:hAnsiTheme="minorEastAsia" w:eastAsiaTheme="minorEastAsia" w:cstheme="minorEastAsia"/>
                <w:color w:val="auto"/>
                <w:sz w:val="21"/>
                <w:szCs w:val="21"/>
                <w:highlight w:val="none"/>
              </w:rPr>
              <w:t>等要求，</w:t>
            </w:r>
            <w:r>
              <w:rPr>
                <w:rFonts w:hint="eastAsia" w:asciiTheme="minorEastAsia" w:hAnsiTheme="minorEastAsia" w:eastAsiaTheme="minorEastAsia" w:cstheme="minorEastAsia"/>
                <w:color w:val="auto"/>
                <w:sz w:val="21"/>
                <w:szCs w:val="21"/>
                <w:highlight w:val="none"/>
                <w:lang w:eastAsia="zh-CN"/>
              </w:rPr>
              <w:t>依据《地下水环境状况调查评价工作指南》（环办土壤函〔2019〕770号）《地下水环境监测技术规范》（HJ164-2020）《地表水环境质量监测技术规范》（HJ91.2-2022）等技术规范，</w:t>
            </w:r>
            <w:r>
              <w:rPr>
                <w:rFonts w:hint="eastAsia" w:asciiTheme="minorEastAsia" w:hAnsiTheme="minorEastAsia" w:eastAsiaTheme="minorEastAsia" w:cstheme="minorEastAsia"/>
                <w:color w:val="auto"/>
                <w:sz w:val="21"/>
                <w:szCs w:val="21"/>
                <w:highlight w:val="none"/>
              </w:rPr>
              <w:t>编制科学、完善、针对性强、符合国家要求的成果报告。</w:t>
            </w:r>
          </w:p>
          <w:p w14:paraId="16F33791">
            <w:pPr>
              <w:pStyle w:val="13"/>
              <w:keepNext w:val="0"/>
              <w:keepLines w:val="0"/>
              <w:pageBreakBefore w:val="0"/>
              <w:widowControl/>
              <w:numPr>
                <w:ilvl w:val="0"/>
                <w:numId w:val="2"/>
              </w:numPr>
              <w:wordWrap/>
              <w:overflowPunct/>
              <w:topLinePunct w:val="0"/>
              <w:bidi w:val="0"/>
              <w:spacing w:line="440" w:lineRule="exact"/>
              <w:ind w:left="121"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服务标准</w:t>
            </w:r>
          </w:p>
          <w:p w14:paraId="4306742C">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2.1主要服务</w:t>
            </w:r>
          </w:p>
          <w:p w14:paraId="47F634C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2.1.1</w:t>
            </w:r>
            <w:r>
              <w:rPr>
                <w:rFonts w:hint="eastAsia" w:asciiTheme="minorEastAsia" w:hAnsiTheme="minorEastAsia" w:eastAsiaTheme="minorEastAsia" w:cstheme="minorEastAsia"/>
                <w:color w:val="auto"/>
                <w:sz w:val="21"/>
                <w:szCs w:val="21"/>
                <w:highlight w:val="none"/>
                <w:lang w:val="en-US" w:eastAsia="zh-CN"/>
              </w:rPr>
              <w:t>制定详细土壤、地下水、渗滤液样品采集计划；协助制定7个设区市尾矿库及矿山开采区土壤、地下水及渗滤液采样点位布设方案</w:t>
            </w:r>
            <w:r>
              <w:rPr>
                <w:rFonts w:hint="eastAsia" w:asciiTheme="minorEastAsia" w:hAnsiTheme="minorEastAsia" w:eastAsiaTheme="minorEastAsia" w:cstheme="minorEastAsia"/>
                <w:color w:val="auto"/>
                <w:sz w:val="21"/>
                <w:szCs w:val="21"/>
                <w:highlight w:val="none"/>
                <w:lang w:eastAsia="zh-CN"/>
              </w:rPr>
              <w:t>；</w:t>
            </w:r>
          </w:p>
          <w:p w14:paraId="6B1D26A5">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2.1.2</w:t>
            </w:r>
            <w:r>
              <w:rPr>
                <w:rFonts w:hint="eastAsia" w:asciiTheme="minorEastAsia" w:hAnsiTheme="minorEastAsia" w:eastAsiaTheme="minorEastAsia" w:cstheme="minorEastAsia"/>
                <w:color w:val="auto"/>
                <w:sz w:val="21"/>
                <w:szCs w:val="21"/>
                <w:highlight w:val="none"/>
                <w:lang w:val="en-US" w:eastAsia="zh-CN"/>
              </w:rPr>
              <w:t>开展不少于22个矿山开采区、57个尾矿库的土壤、地下水、渗滤液及敏感点共计不少于800个样品采集与测试分析，完成样品检测报告编制，并出具CMA章检测报告及内部质控报告。</w:t>
            </w:r>
          </w:p>
          <w:p w14:paraId="2052F9E2">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2.1.3 按要求将分析数据上传成果集成系统。</w:t>
            </w:r>
          </w:p>
          <w:p w14:paraId="5D1DF3D4">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2.2工作质量控制要求</w:t>
            </w:r>
          </w:p>
          <w:p w14:paraId="6FE86EE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2.2.1投标人需严格执行《地下水环境状况调查评价工作指南》（环办土壤函〔2019〕770号）《地下水环境监测技术规范》（HJ164-2020）《地表水环境质量监测技术规范》（HJ91.2-2022）《水质样品的保存和管理技术规定》（HJ493-2009）等要求，经采购人验收备案。</w:t>
            </w:r>
          </w:p>
          <w:p w14:paraId="73712DF9">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2.2.2分析测试指标</w:t>
            </w:r>
          </w:p>
          <w:p w14:paraId="19638A99">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（1）地下水分析测试项目：</w:t>
            </w:r>
          </w:p>
          <w:p w14:paraId="0FA84E0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必测指标：钾、钙、钠、镁、硫酸盐、氯离子、碳酸根、碳酸氢根、pH、溶解氧、氧化还原电位、电导率、色、嗅和味、浑浊度、肉眼可见物、总硬度、溶解性总固体、铁、锰、铜、锌、挥发性酚类、阴离子合成洗涤剂、高锰酸盐指数、硝酸盐氮、亚硝酸盐氮、氨氮、氟化物、氰化物、汞、砷、硒、镉、铬（六价）、铅、总大肠菌群。</w:t>
            </w:r>
          </w:p>
          <w:p w14:paraId="12A7DD22">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2）特征指标：偏硅酸、镍、总铬、总磷、溴化物、铝、铍、钡、锑、硼、银、铊、金、总铬。</w:t>
            </w:r>
          </w:p>
          <w:p w14:paraId="4A5A0B3C">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3）增测指标：根据实际情况增加特征污染物检测指标。</w:t>
            </w:r>
          </w:p>
          <w:p w14:paraId="78D3DB5F">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（2）土壤分析测试项目：应包括地下水测试指标中具有土壤污染物分析测试方法的指标。</w:t>
            </w:r>
          </w:p>
          <w:p w14:paraId="7412013F">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（3）地表水（渗滤液）分析测试项目：同地下水项目，增加化学需氧量、生化需氧量，具体按照监测采样布设方案执行。</w:t>
            </w:r>
          </w:p>
          <w:p w14:paraId="0A75F310">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2.3数据资料归属及保管</w:t>
            </w:r>
          </w:p>
          <w:p w14:paraId="228BD91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本项目所形成的数据和报告归采购人所有。未经采购人同意，不得将数据和报告提供给任何第三方。工作过程中形成的光盘、录音带、录像和照片等材料，应附文字说明和唯一标识随材料一并归档。</w:t>
            </w:r>
          </w:p>
          <w:p w14:paraId="1C2BC340">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2.4成果提交及项目验收</w:t>
            </w:r>
          </w:p>
          <w:p w14:paraId="6CB938D1">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所提交成果需满足“2.2工作质量控制要求”，并通过采购人验收备案：</w:t>
            </w:r>
          </w:p>
          <w:p w14:paraId="4F0A2C60">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样品采集及分析测试方案</w:t>
            </w:r>
            <w:r>
              <w:rPr>
                <w:rFonts w:hint="eastAsia" w:asciiTheme="minorEastAsia" w:hAnsiTheme="minorEastAsia" w:eastAsiaTheme="minorEastAsia" w:cstheme="minorEastAsia"/>
                <w:color w:val="auto"/>
                <w:sz w:val="21"/>
                <w:szCs w:val="21"/>
                <w:highlight w:val="none"/>
                <w:lang w:val="en-US" w:eastAsia="zh-CN"/>
              </w:rPr>
              <w:t>》；</w:t>
            </w:r>
          </w:p>
          <w:p w14:paraId="35842058">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（2）7个设区市《</w:t>
            </w:r>
            <w:r>
              <w:rPr>
                <w:rFonts w:hint="eastAsia" w:asciiTheme="minorEastAsia" w:hAnsiTheme="minorEastAsia" w:eastAsiaTheme="minorEastAsia" w:cstheme="minorEastAsia"/>
                <w:color w:val="auto"/>
                <w:sz w:val="21"/>
                <w:szCs w:val="21"/>
                <w:highlight w:val="none"/>
              </w:rPr>
              <w:t>广西壮族自治区尾矿库和矿山开采区地下水环境状况调查评估项目（</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期</w:t>
            </w:r>
            <w:r>
              <w:rPr>
                <w:rFonts w:hint="eastAsia" w:asciiTheme="minorEastAsia" w:hAnsiTheme="minorEastAsia" w:eastAsiaTheme="minorEastAsia" w:cstheme="minorEastAsia"/>
                <w:color w:val="auto"/>
                <w:sz w:val="21"/>
                <w:szCs w:val="21"/>
                <w:highlight w:val="none"/>
                <w:lang w:eastAsia="zh-CN"/>
              </w:rPr>
              <w:t>）监测报告</w:t>
            </w:r>
            <w:r>
              <w:rPr>
                <w:rFonts w:hint="eastAsia" w:asciiTheme="minorEastAsia" w:hAnsiTheme="minorEastAsia" w:eastAsiaTheme="minorEastAsia" w:cstheme="minorEastAsia"/>
                <w:color w:val="auto"/>
                <w:sz w:val="21"/>
                <w:szCs w:val="21"/>
                <w:highlight w:val="none"/>
                <w:lang w:val="en-US" w:eastAsia="zh-CN"/>
              </w:rPr>
              <w:t>》（一市一册），包括采样测试过程中的原始记录单（表）、照片、视频等全过程材料。</w:t>
            </w:r>
          </w:p>
          <w:p w14:paraId="4082B294">
            <w:pPr>
              <w:pStyle w:val="14"/>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2.5现场安全与防护要求</w:t>
            </w:r>
          </w:p>
          <w:p w14:paraId="4262553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投标人需按照相关要求做好矿山及尾矿库地下水环境状况调查安全防护，制定安全防护计划及应急预案，加强安全培训。</w:t>
            </w:r>
          </w:p>
          <w:p w14:paraId="1ABC19CD">
            <w:pPr>
              <w:pStyle w:val="13"/>
              <w:keepNext w:val="0"/>
              <w:keepLines w:val="0"/>
              <w:pageBreakBefore w:val="0"/>
              <w:widowControl/>
              <w:numPr>
                <w:ilvl w:val="0"/>
                <w:numId w:val="2"/>
              </w:numPr>
              <w:wordWrap/>
              <w:overflowPunct/>
              <w:topLinePunct w:val="0"/>
              <w:bidi w:val="0"/>
              <w:spacing w:line="440" w:lineRule="exact"/>
              <w:ind w:left="121"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项目服务团队要求</w:t>
            </w:r>
          </w:p>
          <w:p w14:paraId="1154AB4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投标人具备有效的检验检测机构资质认定证书（CMA证书）。</w:t>
            </w:r>
          </w:p>
          <w:p w14:paraId="6A8EEC5E">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配备与其承担技术服务工作的相关专业技术人员，其中项目负责人需为副高级职称（职称专业为环境监测/环境工程/检测/化学等相关专业），同时项目主要专业技术人员的人员数量和能力应满足技术服务工作任务的需要，拟投入本项目专业技术人员不少于15人，其中高级职称不少于1人。</w:t>
            </w:r>
          </w:p>
          <w:p w14:paraId="0EE0FAB0">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注：拟投入本项目的以上人员是投标人在职在岗正式员工（非退休），投标文件需提供人员职称证书证明材料复印件并</w:t>
            </w:r>
            <w:r>
              <w:rPr>
                <w:rFonts w:hint="eastAsia" w:asciiTheme="minorEastAsia" w:hAnsiTheme="minorEastAsia" w:eastAsiaTheme="minorEastAsia" w:cstheme="minorEastAsia"/>
                <w:snapToGrid/>
                <w:color w:val="auto"/>
                <w:kern w:val="2"/>
                <w:sz w:val="21"/>
                <w:szCs w:val="21"/>
                <w:highlight w:val="none"/>
                <w:lang w:val="en-US" w:eastAsia="zh-CN"/>
              </w:rPr>
              <w:t>加盖投标人公章（或 CA电子签章）</w:t>
            </w:r>
            <w:r>
              <w:rPr>
                <w:rFonts w:hint="eastAsia" w:asciiTheme="minorEastAsia" w:hAnsiTheme="minorEastAsia" w:eastAsiaTheme="minorEastAsia" w:cstheme="minorEastAsia"/>
                <w:color w:val="auto"/>
                <w:sz w:val="21"/>
                <w:szCs w:val="21"/>
                <w:highlight w:val="none"/>
                <w:lang w:val="en-US" w:eastAsia="zh-CN"/>
              </w:rPr>
              <w:t>。</w:t>
            </w:r>
          </w:p>
          <w:p w14:paraId="571BBB2D">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（四）▲项目服务期限</w:t>
            </w:r>
          </w:p>
          <w:p w14:paraId="0B9856DD">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项目预计2024年12月开始实施，所有服务和成果提交时间在2025年10月15日前。</w:t>
            </w:r>
          </w:p>
        </w:tc>
      </w:tr>
      <w:tr w14:paraId="35D13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05" w:hRule="atLeast"/>
        </w:trPr>
        <w:tc>
          <w:tcPr>
            <w:tcW w:w="9334" w:type="dxa"/>
            <w:gridSpan w:val="6"/>
            <w:vAlign w:val="top"/>
          </w:tcPr>
          <w:p w14:paraId="41134451">
            <w:pPr>
              <w:keepNext w:val="0"/>
              <w:keepLines w:val="0"/>
              <w:pageBreakBefore w:val="0"/>
              <w:widowControl/>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（2）▲商务要求</w:t>
            </w:r>
          </w:p>
        </w:tc>
      </w:tr>
      <w:tr w14:paraId="0389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07" w:hRule="atLeast"/>
        </w:trPr>
        <w:tc>
          <w:tcPr>
            <w:tcW w:w="1713" w:type="dxa"/>
            <w:gridSpan w:val="2"/>
            <w:vAlign w:val="center"/>
          </w:tcPr>
          <w:p w14:paraId="0C401841">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合同签订</w:t>
            </w:r>
          </w:p>
        </w:tc>
        <w:tc>
          <w:tcPr>
            <w:tcW w:w="7621" w:type="dxa"/>
            <w:gridSpan w:val="4"/>
            <w:vAlign w:val="center"/>
          </w:tcPr>
          <w:p w14:paraId="649FE9E3">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自中标通知书发出之日起</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日内。</w:t>
            </w:r>
          </w:p>
        </w:tc>
      </w:tr>
      <w:tr w14:paraId="4F6F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48" w:hRule="atLeast"/>
        </w:trPr>
        <w:tc>
          <w:tcPr>
            <w:tcW w:w="1713" w:type="dxa"/>
            <w:gridSpan w:val="2"/>
            <w:vAlign w:val="center"/>
          </w:tcPr>
          <w:p w14:paraId="56376862">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（二）</w:t>
            </w:r>
            <w:r>
              <w:rPr>
                <w:rFonts w:hint="eastAsia" w:asciiTheme="minorEastAsia" w:hAnsiTheme="minorEastAsia" w:eastAsiaTheme="minorEastAsia" w:cstheme="minorEastAsia"/>
                <w:color w:val="auto"/>
                <w:sz w:val="21"/>
                <w:szCs w:val="21"/>
                <w:highlight w:val="none"/>
              </w:rPr>
              <w:t>服务标准</w:t>
            </w:r>
          </w:p>
        </w:tc>
        <w:tc>
          <w:tcPr>
            <w:tcW w:w="7621" w:type="dxa"/>
            <w:gridSpan w:val="4"/>
            <w:vAlign w:val="center"/>
          </w:tcPr>
          <w:p w14:paraId="60641BA5">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符合现行国家相关标准、行业标准、地方标准及本项目要求。</w:t>
            </w:r>
          </w:p>
        </w:tc>
      </w:tr>
      <w:tr w14:paraId="2162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05" w:hRule="atLeast"/>
        </w:trPr>
        <w:tc>
          <w:tcPr>
            <w:tcW w:w="1713" w:type="dxa"/>
            <w:gridSpan w:val="2"/>
            <w:vAlign w:val="center"/>
          </w:tcPr>
          <w:p w14:paraId="6E5F3714">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交付时间</w:t>
            </w:r>
          </w:p>
        </w:tc>
        <w:tc>
          <w:tcPr>
            <w:tcW w:w="7621" w:type="dxa"/>
            <w:gridSpan w:val="4"/>
            <w:vAlign w:val="center"/>
          </w:tcPr>
          <w:p w14:paraId="1C639E8B">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所有服务和成果提交时间在202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日前。</w:t>
            </w:r>
          </w:p>
        </w:tc>
      </w:tr>
      <w:tr w14:paraId="7B20A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05" w:hRule="atLeast"/>
        </w:trPr>
        <w:tc>
          <w:tcPr>
            <w:tcW w:w="1713" w:type="dxa"/>
            <w:gridSpan w:val="2"/>
            <w:vAlign w:val="center"/>
          </w:tcPr>
          <w:p w14:paraId="4119D355">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交付地点</w:t>
            </w:r>
          </w:p>
        </w:tc>
        <w:tc>
          <w:tcPr>
            <w:tcW w:w="7621" w:type="dxa"/>
            <w:gridSpan w:val="4"/>
            <w:vAlign w:val="center"/>
          </w:tcPr>
          <w:p w14:paraId="73A36F3B">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6D409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2431" w:hRule="atLeast"/>
        </w:trPr>
        <w:tc>
          <w:tcPr>
            <w:tcW w:w="1713" w:type="dxa"/>
            <w:gridSpan w:val="2"/>
            <w:vAlign w:val="center"/>
          </w:tcPr>
          <w:p w14:paraId="695E532A">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付款方式</w:t>
            </w:r>
          </w:p>
        </w:tc>
        <w:tc>
          <w:tcPr>
            <w:tcW w:w="7621" w:type="dxa"/>
            <w:gridSpan w:val="4"/>
            <w:vAlign w:val="center"/>
          </w:tcPr>
          <w:p w14:paraId="610BDCDC">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1.合同签订后10个工作日内，采购人向中标人支付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0%合同款；</w:t>
            </w:r>
          </w:p>
          <w:p w14:paraId="0302D7E5">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2.乙方按照合同要求向甲方提交项目样品采集与分析测试技术方案并经甲方确认合格后，甲方于10个工作日内支付40%合同款</w:t>
            </w:r>
            <w:r>
              <w:rPr>
                <w:rFonts w:hint="eastAsia" w:asciiTheme="minorEastAsia" w:hAnsiTheme="minorEastAsia" w:eastAsiaTheme="minorEastAsia" w:cstheme="minorEastAsia"/>
                <w:color w:val="auto"/>
                <w:sz w:val="21"/>
                <w:szCs w:val="21"/>
                <w:highlight w:val="none"/>
                <w:lang w:eastAsia="zh-CN"/>
              </w:rPr>
              <w:t>；</w:t>
            </w:r>
          </w:p>
          <w:p w14:paraId="3CA66022">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.中标人按照合同要求提交所有服务成果并经采购人验收合格后，采购人于10个工作日内支付剩余10%合同款；</w:t>
            </w:r>
          </w:p>
          <w:p w14:paraId="32CCD403">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.中标人于每次收到合同款10个工作日内开具等额发票给采购人；</w:t>
            </w:r>
          </w:p>
          <w:p w14:paraId="7C7542F5">
            <w:pPr>
              <w:pStyle w:val="14"/>
              <w:keepNext w:val="0"/>
              <w:keepLines w:val="0"/>
              <w:pageBreakBefore w:val="0"/>
              <w:widowControl/>
              <w:shd w:val="clear" w:color="auto" w:fill="auto"/>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.中标人未在规定时间内完成任务，或经抽查发现服务质量不符合要求的，按照合同约定扣减相应费用。</w:t>
            </w:r>
          </w:p>
        </w:tc>
      </w:tr>
      <w:tr w14:paraId="406E1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1713" w:type="dxa"/>
            <w:gridSpan w:val="2"/>
            <w:vAlign w:val="center"/>
          </w:tcPr>
          <w:p w14:paraId="67CA5114">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（六）</w:t>
            </w:r>
            <w:r>
              <w:rPr>
                <w:rFonts w:hint="eastAsia" w:asciiTheme="minorEastAsia" w:hAnsiTheme="minorEastAsia" w:eastAsiaTheme="minorEastAsia" w:cstheme="minorEastAsia"/>
                <w:color w:val="auto"/>
                <w:sz w:val="21"/>
                <w:szCs w:val="21"/>
                <w:highlight w:val="none"/>
              </w:rPr>
              <w:t>投标报价</w:t>
            </w:r>
          </w:p>
          <w:p w14:paraId="5A113CEA">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w:t>
            </w:r>
          </w:p>
        </w:tc>
        <w:tc>
          <w:tcPr>
            <w:tcW w:w="7621" w:type="dxa"/>
            <w:gridSpan w:val="4"/>
            <w:vAlign w:val="center"/>
          </w:tcPr>
          <w:p w14:paraId="7675BEC7">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为交钥匙工程，实行总承包报价；包括现场勘察、协调、实验研究、技术处理、方案编制、报批、项目评审费等工作所需的一切人工、机械、材料、利润、税金、保险等相关的费用。除合同约定的变更以外，该费用不予增减。</w:t>
            </w:r>
          </w:p>
          <w:p w14:paraId="0AE4E20E">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了确保采购质量和维护公平的竞争，根据《中华人民共和国政府采购法》第七十七条和中华人民共和国反不正当竞争法第十一条，经营者不得以排挤对手为目的，以低于成本的价格销售商品（服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ACCE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1713" w:type="dxa"/>
            <w:gridSpan w:val="2"/>
            <w:vAlign w:val="center"/>
          </w:tcPr>
          <w:p w14:paraId="54102413">
            <w:pPr>
              <w:pStyle w:val="14"/>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）其他要求</w:t>
            </w:r>
          </w:p>
        </w:tc>
        <w:tc>
          <w:tcPr>
            <w:tcW w:w="7621" w:type="dxa"/>
            <w:gridSpan w:val="4"/>
            <w:vAlign w:val="center"/>
          </w:tcPr>
          <w:p w14:paraId="28197ABA">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1.数据资料归属及保密：本项目所形成的数据和报告归采购人所有。未经采购人授权，不得将数据和报告提供给任何第三方。</w:t>
            </w:r>
          </w:p>
          <w:p w14:paraId="59EB81F2">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2.如果中标人队伍发生重大变更导致无法按要求开展项目任务或者发生重大责任事故的，采购人将上报政府采购监督管理部门同时追究中标单位相应责任。</w:t>
            </w:r>
          </w:p>
          <w:p w14:paraId="7EEB250E">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3.其他要求：</w:t>
            </w:r>
          </w:p>
          <w:p w14:paraId="63B072D8">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应包括中标人为完成该项目而发生的全部相关费用，包括差旅费、劳务费、专家咨询费、培训费、手续费、包装费、运输费、保险费和各项税金、安装费及由于市场价格波动增加的费用、不可预见费以及验收费用相关费用等全部费用。</w:t>
            </w:r>
          </w:p>
          <w:p w14:paraId="4861A2CA">
            <w:pPr>
              <w:pStyle w:val="14"/>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（2）本项目不得转包</w:t>
            </w:r>
            <w:r>
              <w:rPr>
                <w:rFonts w:hint="eastAsia" w:asciiTheme="minorEastAsia" w:hAnsiTheme="minorEastAsia" w:eastAsiaTheme="minorEastAsia" w:cstheme="minorEastAsia"/>
                <w:color w:val="auto"/>
                <w:sz w:val="21"/>
                <w:szCs w:val="21"/>
                <w:highlight w:val="none"/>
                <w:lang w:eastAsia="zh-CN"/>
              </w:rPr>
              <w:t>、分包</w:t>
            </w:r>
            <w:r>
              <w:rPr>
                <w:rFonts w:hint="eastAsia" w:asciiTheme="minorEastAsia" w:hAnsiTheme="minorEastAsia" w:eastAsiaTheme="minorEastAsia" w:cstheme="minorEastAsia"/>
                <w:color w:val="auto"/>
                <w:sz w:val="21"/>
                <w:szCs w:val="21"/>
                <w:highlight w:val="none"/>
              </w:rPr>
              <w:t>。</w:t>
            </w:r>
          </w:p>
          <w:p w14:paraId="2A0EF362">
            <w:pPr>
              <w:pStyle w:val="14"/>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注：“▲”是指不能负偏离的条款。</w:t>
            </w:r>
          </w:p>
        </w:tc>
      </w:tr>
    </w:tbl>
    <w:p w14:paraId="4452E6ED">
      <w:pPr>
        <w:pStyle w:val="8"/>
        <w:spacing w:before="78" w:line="219" w:lineRule="auto"/>
        <w:rPr>
          <w:b/>
          <w:bCs/>
          <w:color w:val="auto"/>
          <w:spacing w:val="-17"/>
          <w:sz w:val="24"/>
          <w:szCs w:val="24"/>
          <w:highlight w:val="none"/>
        </w:rPr>
      </w:pPr>
    </w:p>
    <w:p w14:paraId="78C4B06A">
      <w:pPr>
        <w:pStyle w:val="8"/>
        <w:spacing w:before="78" w:line="219" w:lineRule="auto"/>
        <w:rPr>
          <w:b/>
          <w:bCs/>
          <w:color w:val="auto"/>
          <w:spacing w:val="-17"/>
          <w:sz w:val="24"/>
          <w:szCs w:val="24"/>
          <w:highlight w:val="none"/>
        </w:rPr>
      </w:pPr>
    </w:p>
    <w:p w14:paraId="31054C72">
      <w:pPr>
        <w:pStyle w:val="8"/>
        <w:spacing w:before="78" w:line="219" w:lineRule="auto"/>
        <w:rPr>
          <w:b/>
          <w:bCs/>
          <w:color w:val="auto"/>
          <w:spacing w:val="-17"/>
          <w:sz w:val="24"/>
          <w:szCs w:val="24"/>
          <w:highlight w:val="none"/>
        </w:rPr>
      </w:pPr>
    </w:p>
    <w:p w14:paraId="1F45DED3">
      <w:pPr>
        <w:pStyle w:val="8"/>
        <w:spacing w:before="78" w:line="219" w:lineRule="auto"/>
        <w:rPr>
          <w:b/>
          <w:bCs/>
          <w:color w:val="auto"/>
          <w:spacing w:val="-17"/>
          <w:sz w:val="24"/>
          <w:szCs w:val="24"/>
          <w:highlight w:val="none"/>
        </w:rPr>
      </w:pPr>
    </w:p>
    <w:p w14:paraId="7439C19C">
      <w:pPr>
        <w:pStyle w:val="8"/>
        <w:spacing w:before="78" w:line="219" w:lineRule="auto"/>
        <w:rPr>
          <w:b/>
          <w:bCs/>
          <w:color w:val="auto"/>
          <w:spacing w:val="-17"/>
          <w:sz w:val="24"/>
          <w:szCs w:val="24"/>
          <w:highlight w:val="none"/>
        </w:rPr>
      </w:pPr>
    </w:p>
    <w:p w14:paraId="2E6633CE">
      <w:pPr>
        <w:pStyle w:val="8"/>
        <w:spacing w:before="78" w:line="219" w:lineRule="auto"/>
        <w:rPr>
          <w:b/>
          <w:bCs/>
          <w:color w:val="auto"/>
          <w:spacing w:val="-17"/>
          <w:sz w:val="24"/>
          <w:szCs w:val="24"/>
          <w:highlight w:val="none"/>
        </w:rPr>
      </w:pPr>
    </w:p>
    <w:p w14:paraId="3F152C15">
      <w:pPr>
        <w:pStyle w:val="8"/>
        <w:spacing w:before="78" w:line="219" w:lineRule="auto"/>
        <w:rPr>
          <w:b/>
          <w:bCs/>
          <w:color w:val="auto"/>
          <w:spacing w:val="-17"/>
          <w:sz w:val="24"/>
          <w:szCs w:val="24"/>
          <w:highlight w:val="none"/>
        </w:rPr>
      </w:pPr>
    </w:p>
    <w:p w14:paraId="687B86B3">
      <w:pPr>
        <w:pStyle w:val="8"/>
        <w:spacing w:before="78" w:line="219" w:lineRule="auto"/>
        <w:rPr>
          <w:b/>
          <w:bCs/>
          <w:color w:val="auto"/>
          <w:spacing w:val="-17"/>
          <w:sz w:val="24"/>
          <w:szCs w:val="24"/>
          <w:highlight w:val="none"/>
        </w:rPr>
      </w:pPr>
    </w:p>
    <w:p w14:paraId="02E77917">
      <w:pPr>
        <w:pStyle w:val="8"/>
        <w:spacing w:before="78" w:line="219" w:lineRule="auto"/>
        <w:rPr>
          <w:b/>
          <w:bCs/>
          <w:color w:val="auto"/>
          <w:spacing w:val="-17"/>
          <w:sz w:val="24"/>
          <w:szCs w:val="24"/>
          <w:highlight w:val="none"/>
        </w:rPr>
      </w:pPr>
    </w:p>
    <w:p w14:paraId="25DDECA1">
      <w:pPr>
        <w:pStyle w:val="8"/>
        <w:spacing w:before="78" w:line="219" w:lineRule="auto"/>
        <w:rPr>
          <w:b/>
          <w:bCs/>
          <w:color w:val="auto"/>
          <w:spacing w:val="-17"/>
          <w:sz w:val="24"/>
          <w:szCs w:val="24"/>
          <w:highlight w:val="none"/>
        </w:rPr>
      </w:pPr>
    </w:p>
    <w:p w14:paraId="244AD07A">
      <w:pPr>
        <w:pStyle w:val="8"/>
        <w:spacing w:before="78" w:line="219" w:lineRule="auto"/>
        <w:rPr>
          <w:b/>
          <w:bCs/>
          <w:color w:val="auto"/>
          <w:spacing w:val="-17"/>
          <w:sz w:val="24"/>
          <w:szCs w:val="24"/>
          <w:highlight w:val="none"/>
        </w:rPr>
      </w:pPr>
    </w:p>
    <w:p w14:paraId="1FC33D79">
      <w:pPr>
        <w:pStyle w:val="8"/>
        <w:spacing w:before="78" w:line="219" w:lineRule="auto"/>
        <w:rPr>
          <w:b/>
          <w:bCs/>
          <w:color w:val="auto"/>
          <w:spacing w:val="-17"/>
          <w:sz w:val="24"/>
          <w:szCs w:val="24"/>
          <w:highlight w:val="none"/>
        </w:rPr>
      </w:pPr>
    </w:p>
    <w:p w14:paraId="0C14DC2C">
      <w:pPr>
        <w:pStyle w:val="8"/>
        <w:spacing w:before="78" w:line="219" w:lineRule="auto"/>
        <w:rPr>
          <w:b/>
          <w:bCs/>
          <w:color w:val="auto"/>
          <w:spacing w:val="-17"/>
          <w:sz w:val="24"/>
          <w:szCs w:val="24"/>
          <w:highlight w:val="none"/>
        </w:rPr>
      </w:pPr>
    </w:p>
    <w:p w14:paraId="2B17A721">
      <w:pPr>
        <w:pStyle w:val="8"/>
        <w:spacing w:before="78" w:line="219" w:lineRule="auto"/>
        <w:rPr>
          <w:b/>
          <w:bCs/>
          <w:color w:val="auto"/>
          <w:spacing w:val="-17"/>
          <w:sz w:val="24"/>
          <w:szCs w:val="24"/>
          <w:highlight w:val="none"/>
        </w:rPr>
      </w:pPr>
    </w:p>
    <w:p w14:paraId="0D44E447">
      <w:pPr>
        <w:pStyle w:val="8"/>
        <w:spacing w:before="78" w:line="219" w:lineRule="auto"/>
        <w:rPr>
          <w:b/>
          <w:bCs/>
          <w:color w:val="auto"/>
          <w:spacing w:val="-17"/>
          <w:sz w:val="24"/>
          <w:szCs w:val="24"/>
          <w:highlight w:val="none"/>
        </w:rPr>
      </w:pPr>
    </w:p>
    <w:p w14:paraId="7ABA17BE">
      <w:pPr>
        <w:pStyle w:val="8"/>
        <w:spacing w:before="78" w:line="219" w:lineRule="auto"/>
        <w:rPr>
          <w:b/>
          <w:bCs/>
          <w:color w:val="auto"/>
          <w:spacing w:val="-17"/>
          <w:sz w:val="24"/>
          <w:szCs w:val="24"/>
          <w:highlight w:val="none"/>
        </w:rPr>
      </w:pPr>
    </w:p>
    <w:p w14:paraId="19643BC9">
      <w:pPr>
        <w:pStyle w:val="8"/>
        <w:spacing w:before="78" w:line="219" w:lineRule="auto"/>
        <w:rPr>
          <w:b/>
          <w:bCs/>
          <w:color w:val="auto"/>
          <w:spacing w:val="-17"/>
          <w:sz w:val="24"/>
          <w:szCs w:val="24"/>
          <w:highlight w:val="none"/>
        </w:rPr>
      </w:pPr>
    </w:p>
    <w:p w14:paraId="17F46B28">
      <w:pPr>
        <w:pStyle w:val="8"/>
        <w:spacing w:before="78" w:line="219" w:lineRule="auto"/>
        <w:rPr>
          <w:b/>
          <w:bCs/>
          <w:color w:val="auto"/>
          <w:spacing w:val="-17"/>
          <w:sz w:val="24"/>
          <w:szCs w:val="24"/>
          <w:highlight w:val="none"/>
        </w:rPr>
      </w:pPr>
    </w:p>
    <w:p w14:paraId="7FEEFD09">
      <w:pPr>
        <w:pStyle w:val="8"/>
        <w:spacing w:before="78" w:line="219" w:lineRule="auto"/>
        <w:rPr>
          <w:b/>
          <w:bCs/>
          <w:color w:val="auto"/>
          <w:spacing w:val="-17"/>
          <w:sz w:val="24"/>
          <w:szCs w:val="24"/>
          <w:highlight w:val="none"/>
        </w:rPr>
      </w:pPr>
    </w:p>
    <w:p w14:paraId="529D344F">
      <w:pPr>
        <w:pStyle w:val="8"/>
        <w:spacing w:before="78" w:line="219" w:lineRule="auto"/>
        <w:rPr>
          <w:b/>
          <w:bCs/>
          <w:color w:val="auto"/>
          <w:spacing w:val="-17"/>
          <w:sz w:val="24"/>
          <w:szCs w:val="24"/>
          <w:highlight w:val="none"/>
        </w:rPr>
      </w:pPr>
    </w:p>
    <w:p w14:paraId="66744F24">
      <w:pPr>
        <w:pStyle w:val="8"/>
        <w:spacing w:before="78" w:line="219" w:lineRule="auto"/>
        <w:rPr>
          <w:b/>
          <w:bCs/>
          <w:color w:val="auto"/>
          <w:spacing w:val="-17"/>
          <w:sz w:val="24"/>
          <w:szCs w:val="24"/>
          <w:highlight w:val="none"/>
        </w:rPr>
      </w:pPr>
    </w:p>
    <w:p w14:paraId="40D361A0">
      <w:pPr>
        <w:pStyle w:val="8"/>
        <w:spacing w:before="78" w:line="219" w:lineRule="auto"/>
        <w:rPr>
          <w:b/>
          <w:bCs/>
          <w:color w:val="auto"/>
          <w:spacing w:val="-17"/>
          <w:sz w:val="24"/>
          <w:szCs w:val="24"/>
          <w:highlight w:val="none"/>
        </w:rPr>
      </w:pPr>
    </w:p>
    <w:p w14:paraId="0D0811AD">
      <w:pPr>
        <w:pStyle w:val="8"/>
        <w:spacing w:before="78" w:line="219" w:lineRule="auto"/>
        <w:rPr>
          <w:b/>
          <w:bCs/>
          <w:color w:val="auto"/>
          <w:spacing w:val="-17"/>
          <w:sz w:val="24"/>
          <w:szCs w:val="24"/>
          <w:highlight w:val="none"/>
        </w:rPr>
      </w:pPr>
    </w:p>
    <w:p w14:paraId="75C6D887">
      <w:pPr>
        <w:pStyle w:val="8"/>
        <w:spacing w:before="78" w:line="219" w:lineRule="auto"/>
        <w:rPr>
          <w:color w:val="auto"/>
          <w:sz w:val="24"/>
          <w:szCs w:val="24"/>
          <w:highlight w:val="none"/>
        </w:rPr>
      </w:pPr>
      <w:r>
        <w:rPr>
          <w:b/>
          <w:bCs/>
          <w:color w:val="auto"/>
          <w:spacing w:val="-17"/>
          <w:sz w:val="24"/>
          <w:szCs w:val="24"/>
          <w:highlight w:val="none"/>
        </w:rPr>
        <w:t>附件</w:t>
      </w:r>
      <w:r>
        <w:rPr>
          <w:color w:val="auto"/>
          <w:spacing w:val="-32"/>
          <w:sz w:val="24"/>
          <w:szCs w:val="24"/>
          <w:highlight w:val="none"/>
        </w:rPr>
        <w:t xml:space="preserve"> </w:t>
      </w:r>
      <w:r>
        <w:rPr>
          <w:b/>
          <w:bCs/>
          <w:color w:val="auto"/>
          <w:spacing w:val="-17"/>
          <w:sz w:val="24"/>
          <w:szCs w:val="24"/>
          <w:highlight w:val="none"/>
        </w:rPr>
        <w:t>1：</w:t>
      </w:r>
    </w:p>
    <w:p w14:paraId="43C5517F">
      <w:pPr>
        <w:pStyle w:val="8"/>
        <w:spacing w:before="182" w:line="219" w:lineRule="auto"/>
        <w:ind w:left="2987"/>
        <w:rPr>
          <w:color w:val="auto"/>
          <w:sz w:val="28"/>
          <w:szCs w:val="28"/>
          <w:highlight w:val="none"/>
        </w:rPr>
      </w:pPr>
      <w:r>
        <w:rPr>
          <w:b/>
          <w:bCs/>
          <w:color w:val="auto"/>
          <w:spacing w:val="-3"/>
          <w:sz w:val="28"/>
          <w:szCs w:val="28"/>
          <w:highlight w:val="none"/>
        </w:rPr>
        <w:t>节能产品政府采购品目清单</w:t>
      </w:r>
    </w:p>
    <w:p w14:paraId="4E38F94F">
      <w:pPr>
        <w:spacing w:line="14" w:lineRule="exact"/>
        <w:rPr>
          <w:color w:val="auto"/>
          <w:highlight w:val="none"/>
        </w:rPr>
      </w:pPr>
    </w:p>
    <w:tbl>
      <w:tblPr>
        <w:tblStyle w:val="12"/>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165"/>
        <w:gridCol w:w="1799"/>
        <w:gridCol w:w="1612"/>
        <w:gridCol w:w="4165"/>
      </w:tblGrid>
      <w:tr w14:paraId="2C6A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79" w:type="dxa"/>
            <w:vAlign w:val="top"/>
          </w:tcPr>
          <w:p w14:paraId="31A5D27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07" w:right="14" w:hanging="169"/>
              <w:jc w:val="center"/>
              <w:textAlignment w:val="baseline"/>
              <w:rPr>
                <w:b/>
                <w:bCs/>
                <w:color w:val="auto"/>
                <w:spacing w:val="-9"/>
                <w:sz w:val="18"/>
                <w:szCs w:val="18"/>
                <w:highlight w:val="none"/>
              </w:rPr>
            </w:pPr>
            <w:r>
              <w:rPr>
                <w:b/>
                <w:bCs/>
                <w:color w:val="auto"/>
                <w:spacing w:val="-9"/>
                <w:sz w:val="18"/>
                <w:szCs w:val="18"/>
                <w:highlight w:val="none"/>
              </w:rPr>
              <w:t>品目</w:t>
            </w:r>
          </w:p>
          <w:p w14:paraId="5F3626E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07" w:right="14" w:hanging="169"/>
              <w:jc w:val="center"/>
              <w:textAlignment w:val="baseline"/>
              <w:rPr>
                <w:color w:val="auto"/>
                <w:sz w:val="18"/>
                <w:szCs w:val="18"/>
                <w:highlight w:val="none"/>
              </w:rPr>
            </w:pPr>
            <w:r>
              <w:rPr>
                <w:b/>
                <w:bCs/>
                <w:color w:val="auto"/>
                <w:spacing w:val="-9"/>
                <w:sz w:val="18"/>
                <w:szCs w:val="18"/>
                <w:highlight w:val="none"/>
              </w:rPr>
              <w:t>序</w:t>
            </w:r>
            <w:r>
              <w:rPr>
                <w:b/>
                <w:bCs/>
                <w:color w:val="auto"/>
                <w:spacing w:val="-2"/>
                <w:sz w:val="18"/>
                <w:szCs w:val="18"/>
                <w:highlight w:val="none"/>
              </w:rPr>
              <w:t>号</w:t>
            </w:r>
          </w:p>
        </w:tc>
        <w:tc>
          <w:tcPr>
            <w:tcW w:w="4576" w:type="dxa"/>
            <w:gridSpan w:val="3"/>
            <w:vAlign w:val="top"/>
          </w:tcPr>
          <w:p w14:paraId="768399F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10"/>
              <w:jc w:val="center"/>
              <w:textAlignment w:val="baseline"/>
              <w:rPr>
                <w:color w:val="auto"/>
                <w:sz w:val="18"/>
                <w:szCs w:val="18"/>
                <w:highlight w:val="none"/>
              </w:rPr>
            </w:pPr>
            <w:r>
              <w:rPr>
                <w:b/>
                <w:bCs/>
                <w:color w:val="auto"/>
                <w:spacing w:val="-7"/>
                <w:sz w:val="18"/>
                <w:szCs w:val="18"/>
                <w:highlight w:val="none"/>
              </w:rPr>
              <w:t>名称</w:t>
            </w:r>
          </w:p>
        </w:tc>
        <w:tc>
          <w:tcPr>
            <w:tcW w:w="4165" w:type="dxa"/>
            <w:vAlign w:val="top"/>
          </w:tcPr>
          <w:p w14:paraId="13B4F05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33"/>
              <w:jc w:val="center"/>
              <w:textAlignment w:val="baseline"/>
              <w:rPr>
                <w:color w:val="auto"/>
                <w:sz w:val="18"/>
                <w:szCs w:val="18"/>
                <w:highlight w:val="none"/>
              </w:rPr>
            </w:pPr>
            <w:r>
              <w:rPr>
                <w:b/>
                <w:bCs/>
                <w:color w:val="auto"/>
                <w:spacing w:val="-4"/>
                <w:sz w:val="18"/>
                <w:szCs w:val="18"/>
                <w:highlight w:val="none"/>
              </w:rPr>
              <w:t>依据的标准</w:t>
            </w:r>
          </w:p>
        </w:tc>
      </w:tr>
      <w:tr w14:paraId="4823E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9" w:type="dxa"/>
            <w:vMerge w:val="restart"/>
            <w:tcBorders>
              <w:bottom w:val="nil"/>
            </w:tcBorders>
            <w:vAlign w:val="top"/>
          </w:tcPr>
          <w:p w14:paraId="4378AF8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69040D4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EBDFE1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62"/>
              <w:textAlignment w:val="baseline"/>
              <w:rPr>
                <w:color w:val="auto"/>
                <w:sz w:val="18"/>
                <w:szCs w:val="18"/>
                <w:highlight w:val="none"/>
              </w:rPr>
            </w:pPr>
            <w:r>
              <w:rPr>
                <w:color w:val="auto"/>
                <w:sz w:val="18"/>
                <w:szCs w:val="18"/>
                <w:highlight w:val="none"/>
              </w:rPr>
              <w:t>1</w:t>
            </w:r>
          </w:p>
        </w:tc>
        <w:tc>
          <w:tcPr>
            <w:tcW w:w="1165" w:type="dxa"/>
            <w:vMerge w:val="restart"/>
            <w:tcBorders>
              <w:bottom w:val="nil"/>
            </w:tcBorders>
            <w:vAlign w:val="top"/>
          </w:tcPr>
          <w:p w14:paraId="48D96CC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32B9E98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20A345F6">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4" w:right="126" w:hanging="4"/>
              <w:textAlignment w:val="baseline"/>
              <w:rPr>
                <w:color w:val="auto"/>
                <w:sz w:val="18"/>
                <w:szCs w:val="18"/>
                <w:highlight w:val="none"/>
              </w:rPr>
            </w:pPr>
            <w:r>
              <w:rPr>
                <w:color w:val="auto"/>
                <w:spacing w:val="-1"/>
                <w:sz w:val="18"/>
                <w:szCs w:val="18"/>
                <w:highlight w:val="none"/>
              </w:rPr>
              <w:t>A020101</w:t>
            </w:r>
            <w:r>
              <w:rPr>
                <w:color w:val="auto"/>
                <w:spacing w:val="-39"/>
                <w:sz w:val="18"/>
                <w:szCs w:val="18"/>
                <w:highlight w:val="none"/>
              </w:rPr>
              <w:t xml:space="preserve"> </w:t>
            </w:r>
            <w:r>
              <w:rPr>
                <w:color w:val="auto"/>
                <w:spacing w:val="-1"/>
                <w:sz w:val="18"/>
                <w:szCs w:val="18"/>
                <w:highlight w:val="none"/>
              </w:rPr>
              <w:t>计算</w:t>
            </w:r>
            <w:r>
              <w:rPr>
                <w:color w:val="auto"/>
                <w:sz w:val="18"/>
                <w:szCs w:val="18"/>
                <w:highlight w:val="none"/>
              </w:rPr>
              <w:t xml:space="preserve"> </w:t>
            </w:r>
            <w:r>
              <w:rPr>
                <w:color w:val="auto"/>
                <w:spacing w:val="-3"/>
                <w:sz w:val="18"/>
                <w:szCs w:val="18"/>
                <w:highlight w:val="none"/>
              </w:rPr>
              <w:t>机设备</w:t>
            </w:r>
          </w:p>
        </w:tc>
        <w:tc>
          <w:tcPr>
            <w:tcW w:w="1799" w:type="dxa"/>
            <w:vAlign w:val="top"/>
          </w:tcPr>
          <w:p w14:paraId="0E95558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38" w:firstLine="3"/>
              <w:textAlignment w:val="baseline"/>
              <w:rPr>
                <w:color w:val="auto"/>
                <w:sz w:val="18"/>
                <w:szCs w:val="18"/>
                <w:highlight w:val="none"/>
              </w:rPr>
            </w:pPr>
            <w:r>
              <w:rPr>
                <w:color w:val="auto"/>
                <w:spacing w:val="-3"/>
                <w:sz w:val="18"/>
                <w:szCs w:val="18"/>
                <w:highlight w:val="none"/>
              </w:rPr>
              <w:t>★A02010104</w:t>
            </w:r>
            <w:r>
              <w:rPr>
                <w:color w:val="auto"/>
                <w:spacing w:val="-15"/>
                <w:sz w:val="18"/>
                <w:szCs w:val="18"/>
                <w:highlight w:val="none"/>
              </w:rPr>
              <w:t xml:space="preserve"> </w:t>
            </w:r>
            <w:r>
              <w:rPr>
                <w:color w:val="auto"/>
                <w:spacing w:val="-3"/>
                <w:sz w:val="18"/>
                <w:szCs w:val="18"/>
                <w:highlight w:val="none"/>
              </w:rPr>
              <w:t>台式计算</w:t>
            </w:r>
            <w:r>
              <w:rPr>
                <w:color w:val="auto"/>
                <w:sz w:val="18"/>
                <w:szCs w:val="18"/>
                <w:highlight w:val="none"/>
              </w:rPr>
              <w:t xml:space="preserve"> 机</w:t>
            </w:r>
          </w:p>
        </w:tc>
        <w:tc>
          <w:tcPr>
            <w:tcW w:w="1612" w:type="dxa"/>
            <w:vAlign w:val="top"/>
          </w:tcPr>
          <w:p w14:paraId="6CF0223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29D6C57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textAlignment w:val="baseline"/>
              <w:rPr>
                <w:color w:val="auto"/>
                <w:sz w:val="18"/>
                <w:szCs w:val="18"/>
                <w:highlight w:val="none"/>
              </w:rPr>
            </w:pPr>
            <w:r>
              <w:rPr>
                <w:color w:val="auto"/>
                <w:spacing w:val="-1"/>
                <w:sz w:val="18"/>
                <w:szCs w:val="18"/>
                <w:highlight w:val="none"/>
              </w:rPr>
              <w:t>《微型计算机能效限定值及能效等级》（GB28380）</w:t>
            </w:r>
          </w:p>
        </w:tc>
      </w:tr>
      <w:tr w14:paraId="5F74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79" w:type="dxa"/>
            <w:vMerge w:val="continue"/>
            <w:tcBorders>
              <w:top w:val="nil"/>
              <w:bottom w:val="nil"/>
            </w:tcBorders>
            <w:vAlign w:val="top"/>
          </w:tcPr>
          <w:p w14:paraId="271ECE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5AD2665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21FA54A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right="38" w:firstLine="1"/>
              <w:textAlignment w:val="baseline"/>
              <w:rPr>
                <w:color w:val="auto"/>
                <w:sz w:val="18"/>
                <w:szCs w:val="18"/>
                <w:highlight w:val="none"/>
              </w:rPr>
            </w:pPr>
            <w:r>
              <w:rPr>
                <w:color w:val="auto"/>
                <w:spacing w:val="-2"/>
                <w:sz w:val="18"/>
                <w:szCs w:val="18"/>
                <w:highlight w:val="none"/>
              </w:rPr>
              <w:t>★A02010105</w:t>
            </w:r>
            <w:r>
              <w:rPr>
                <w:color w:val="auto"/>
                <w:spacing w:val="-29"/>
                <w:sz w:val="18"/>
                <w:szCs w:val="18"/>
                <w:highlight w:val="none"/>
              </w:rPr>
              <w:t xml:space="preserve"> </w:t>
            </w:r>
            <w:r>
              <w:rPr>
                <w:color w:val="auto"/>
                <w:spacing w:val="-2"/>
                <w:sz w:val="18"/>
                <w:szCs w:val="18"/>
                <w:highlight w:val="none"/>
              </w:rPr>
              <w:t>便携式计</w:t>
            </w:r>
            <w:r>
              <w:rPr>
                <w:color w:val="auto"/>
                <w:sz w:val="18"/>
                <w:szCs w:val="18"/>
                <w:highlight w:val="none"/>
              </w:rPr>
              <w:t xml:space="preserve"> </w:t>
            </w:r>
            <w:r>
              <w:rPr>
                <w:color w:val="auto"/>
                <w:spacing w:val="-5"/>
                <w:sz w:val="18"/>
                <w:szCs w:val="18"/>
                <w:highlight w:val="none"/>
              </w:rPr>
              <w:t>算机</w:t>
            </w:r>
          </w:p>
        </w:tc>
        <w:tc>
          <w:tcPr>
            <w:tcW w:w="1612" w:type="dxa"/>
            <w:vAlign w:val="top"/>
          </w:tcPr>
          <w:p w14:paraId="416FEF3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630C84A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textAlignment w:val="baseline"/>
              <w:rPr>
                <w:color w:val="auto"/>
                <w:sz w:val="18"/>
                <w:szCs w:val="18"/>
                <w:highlight w:val="none"/>
              </w:rPr>
            </w:pPr>
            <w:r>
              <w:rPr>
                <w:color w:val="auto"/>
                <w:spacing w:val="-1"/>
                <w:sz w:val="18"/>
                <w:szCs w:val="18"/>
                <w:highlight w:val="none"/>
              </w:rPr>
              <w:t>《微型计算机能效限定值及能效等级》（GB28380）</w:t>
            </w:r>
          </w:p>
        </w:tc>
      </w:tr>
      <w:tr w14:paraId="7BAC2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79" w:type="dxa"/>
            <w:vMerge w:val="continue"/>
            <w:tcBorders>
              <w:top w:val="nil"/>
            </w:tcBorders>
            <w:vAlign w:val="top"/>
          </w:tcPr>
          <w:p w14:paraId="765420B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tcBorders>
            <w:vAlign w:val="top"/>
          </w:tcPr>
          <w:p w14:paraId="25D2E51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332530C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38" w:hanging="2"/>
              <w:textAlignment w:val="baseline"/>
              <w:rPr>
                <w:color w:val="auto"/>
                <w:sz w:val="18"/>
                <w:szCs w:val="18"/>
                <w:highlight w:val="none"/>
              </w:rPr>
            </w:pPr>
            <w:r>
              <w:rPr>
                <w:color w:val="auto"/>
                <w:spacing w:val="-2"/>
                <w:sz w:val="18"/>
                <w:szCs w:val="18"/>
                <w:highlight w:val="none"/>
              </w:rPr>
              <w:t>★A02010107</w:t>
            </w:r>
            <w:r>
              <w:rPr>
                <w:color w:val="auto"/>
                <w:spacing w:val="-29"/>
                <w:sz w:val="18"/>
                <w:szCs w:val="18"/>
                <w:highlight w:val="none"/>
              </w:rPr>
              <w:t xml:space="preserve"> </w:t>
            </w:r>
            <w:r>
              <w:rPr>
                <w:color w:val="auto"/>
                <w:spacing w:val="-2"/>
                <w:sz w:val="18"/>
                <w:szCs w:val="18"/>
                <w:highlight w:val="none"/>
              </w:rPr>
              <w:t>平板式微</w:t>
            </w:r>
            <w:r>
              <w:rPr>
                <w:color w:val="auto"/>
                <w:sz w:val="18"/>
                <w:szCs w:val="18"/>
                <w:highlight w:val="none"/>
              </w:rPr>
              <w:t xml:space="preserve"> </w:t>
            </w:r>
            <w:r>
              <w:rPr>
                <w:color w:val="auto"/>
                <w:spacing w:val="-4"/>
                <w:sz w:val="18"/>
                <w:szCs w:val="18"/>
                <w:highlight w:val="none"/>
              </w:rPr>
              <w:t>型计算机</w:t>
            </w:r>
          </w:p>
        </w:tc>
        <w:tc>
          <w:tcPr>
            <w:tcW w:w="1612" w:type="dxa"/>
            <w:vAlign w:val="top"/>
          </w:tcPr>
          <w:p w14:paraId="56CA0F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6A71C9B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textAlignment w:val="baseline"/>
              <w:rPr>
                <w:color w:val="auto"/>
                <w:sz w:val="18"/>
                <w:szCs w:val="18"/>
                <w:highlight w:val="none"/>
              </w:rPr>
            </w:pPr>
            <w:r>
              <w:rPr>
                <w:color w:val="auto"/>
                <w:spacing w:val="-1"/>
                <w:sz w:val="18"/>
                <w:szCs w:val="18"/>
                <w:highlight w:val="none"/>
              </w:rPr>
              <w:t>《微型计算机能效限定值及能效等级》（GB28380）</w:t>
            </w:r>
          </w:p>
        </w:tc>
      </w:tr>
      <w:tr w14:paraId="2A45B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79" w:type="dxa"/>
            <w:vMerge w:val="restart"/>
            <w:tcBorders>
              <w:bottom w:val="nil"/>
            </w:tcBorders>
            <w:vAlign w:val="top"/>
          </w:tcPr>
          <w:p w14:paraId="0968BB5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14A0D9E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3F3992C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764DBE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1FB570D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17D58A5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1"/>
              <w:textAlignment w:val="baseline"/>
              <w:rPr>
                <w:color w:val="auto"/>
                <w:sz w:val="18"/>
                <w:szCs w:val="18"/>
                <w:highlight w:val="none"/>
              </w:rPr>
            </w:pPr>
            <w:r>
              <w:rPr>
                <w:color w:val="auto"/>
                <w:sz w:val="18"/>
                <w:szCs w:val="18"/>
                <w:highlight w:val="none"/>
              </w:rPr>
              <w:t>2</w:t>
            </w:r>
          </w:p>
        </w:tc>
        <w:tc>
          <w:tcPr>
            <w:tcW w:w="1165" w:type="dxa"/>
            <w:vMerge w:val="restart"/>
            <w:tcBorders>
              <w:bottom w:val="nil"/>
            </w:tcBorders>
            <w:vAlign w:val="top"/>
          </w:tcPr>
          <w:p w14:paraId="599464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AE5EB1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3F30D5D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F9F0D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3094DC5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4" w:right="126" w:hanging="4"/>
              <w:textAlignment w:val="baseline"/>
              <w:rPr>
                <w:color w:val="auto"/>
                <w:sz w:val="18"/>
                <w:szCs w:val="18"/>
                <w:highlight w:val="none"/>
              </w:rPr>
            </w:pPr>
            <w:r>
              <w:rPr>
                <w:color w:val="auto"/>
                <w:spacing w:val="-1"/>
                <w:sz w:val="18"/>
                <w:szCs w:val="18"/>
                <w:highlight w:val="none"/>
              </w:rPr>
              <w:t>A020106</w:t>
            </w:r>
            <w:r>
              <w:rPr>
                <w:color w:val="auto"/>
                <w:spacing w:val="-40"/>
                <w:sz w:val="18"/>
                <w:szCs w:val="18"/>
                <w:highlight w:val="none"/>
              </w:rPr>
              <w:t xml:space="preserve"> </w:t>
            </w:r>
            <w:r>
              <w:rPr>
                <w:color w:val="auto"/>
                <w:spacing w:val="-1"/>
                <w:sz w:val="18"/>
                <w:szCs w:val="18"/>
                <w:highlight w:val="none"/>
              </w:rPr>
              <w:t>输入</w:t>
            </w:r>
            <w:r>
              <w:rPr>
                <w:color w:val="auto"/>
                <w:sz w:val="18"/>
                <w:szCs w:val="18"/>
                <w:highlight w:val="none"/>
              </w:rPr>
              <w:t xml:space="preserve"> </w:t>
            </w:r>
            <w:r>
              <w:rPr>
                <w:color w:val="auto"/>
                <w:spacing w:val="-2"/>
                <w:sz w:val="18"/>
                <w:szCs w:val="18"/>
                <w:highlight w:val="none"/>
              </w:rPr>
              <w:t>输出设备</w:t>
            </w:r>
          </w:p>
        </w:tc>
        <w:tc>
          <w:tcPr>
            <w:tcW w:w="1799" w:type="dxa"/>
            <w:vMerge w:val="restart"/>
            <w:tcBorders>
              <w:bottom w:val="nil"/>
            </w:tcBorders>
            <w:vAlign w:val="top"/>
          </w:tcPr>
          <w:p w14:paraId="4E7ACB8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CEA7B5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E849C3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
              <w:textAlignment w:val="baseline"/>
              <w:rPr>
                <w:color w:val="auto"/>
                <w:sz w:val="18"/>
                <w:szCs w:val="18"/>
                <w:highlight w:val="none"/>
              </w:rPr>
            </w:pPr>
            <w:r>
              <w:rPr>
                <w:color w:val="auto"/>
                <w:spacing w:val="-1"/>
                <w:sz w:val="18"/>
                <w:szCs w:val="18"/>
                <w:highlight w:val="none"/>
              </w:rPr>
              <w:t>A02010601</w:t>
            </w:r>
            <w:r>
              <w:rPr>
                <w:color w:val="auto"/>
                <w:spacing w:val="-36"/>
                <w:sz w:val="18"/>
                <w:szCs w:val="18"/>
                <w:highlight w:val="none"/>
              </w:rPr>
              <w:t xml:space="preserve"> </w:t>
            </w:r>
            <w:r>
              <w:rPr>
                <w:color w:val="auto"/>
                <w:spacing w:val="-1"/>
                <w:sz w:val="18"/>
                <w:szCs w:val="18"/>
                <w:highlight w:val="none"/>
              </w:rPr>
              <w:t>打印设备</w:t>
            </w:r>
          </w:p>
        </w:tc>
        <w:tc>
          <w:tcPr>
            <w:tcW w:w="1612" w:type="dxa"/>
            <w:vAlign w:val="top"/>
          </w:tcPr>
          <w:p w14:paraId="6ADF87B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2" w:right="30" w:hanging="19"/>
              <w:textAlignment w:val="baseline"/>
              <w:rPr>
                <w:color w:val="auto"/>
                <w:sz w:val="18"/>
                <w:szCs w:val="18"/>
                <w:highlight w:val="none"/>
              </w:rPr>
            </w:pPr>
            <w:r>
              <w:rPr>
                <w:color w:val="auto"/>
                <w:spacing w:val="-2"/>
                <w:sz w:val="18"/>
                <w:szCs w:val="18"/>
                <w:highlight w:val="none"/>
              </w:rPr>
              <w:t>A0201060101</w:t>
            </w:r>
            <w:r>
              <w:rPr>
                <w:color w:val="auto"/>
                <w:spacing w:val="-21"/>
                <w:sz w:val="18"/>
                <w:szCs w:val="18"/>
                <w:highlight w:val="none"/>
              </w:rPr>
              <w:t xml:space="preserve"> </w:t>
            </w:r>
            <w:r>
              <w:rPr>
                <w:color w:val="auto"/>
                <w:spacing w:val="-2"/>
                <w:sz w:val="18"/>
                <w:szCs w:val="18"/>
                <w:highlight w:val="none"/>
              </w:rPr>
              <w:t>喷墨打</w:t>
            </w:r>
            <w:r>
              <w:rPr>
                <w:color w:val="auto"/>
                <w:sz w:val="18"/>
                <w:szCs w:val="18"/>
                <w:highlight w:val="none"/>
              </w:rPr>
              <w:t xml:space="preserve"> </w:t>
            </w:r>
            <w:r>
              <w:rPr>
                <w:color w:val="auto"/>
                <w:spacing w:val="-11"/>
                <w:sz w:val="18"/>
                <w:szCs w:val="18"/>
                <w:highlight w:val="none"/>
              </w:rPr>
              <w:t>印机</w:t>
            </w:r>
          </w:p>
        </w:tc>
        <w:tc>
          <w:tcPr>
            <w:tcW w:w="4165" w:type="dxa"/>
            <w:vAlign w:val="top"/>
          </w:tcPr>
          <w:p w14:paraId="7F413E8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31" w:hanging="4"/>
              <w:textAlignment w:val="baseline"/>
              <w:rPr>
                <w:color w:val="auto"/>
                <w:sz w:val="18"/>
                <w:szCs w:val="18"/>
                <w:highlight w:val="none"/>
              </w:rPr>
            </w:pPr>
            <w:r>
              <w:rPr>
                <w:color w:val="auto"/>
                <w:spacing w:val="-1"/>
                <w:sz w:val="18"/>
                <w:szCs w:val="18"/>
                <w:highlight w:val="none"/>
              </w:rPr>
              <w:t>《复印机、打印机和传真机能效限定值及能效</w:t>
            </w:r>
            <w:r>
              <w:rPr>
                <w:color w:val="auto"/>
                <w:spacing w:val="-2"/>
                <w:sz w:val="18"/>
                <w:szCs w:val="18"/>
                <w:highlight w:val="none"/>
              </w:rPr>
              <w:t>等级》</w:t>
            </w:r>
            <w:r>
              <w:rPr>
                <w:color w:val="auto"/>
                <w:sz w:val="18"/>
                <w:szCs w:val="18"/>
                <w:highlight w:val="none"/>
              </w:rPr>
              <w:t xml:space="preserve"> </w:t>
            </w:r>
            <w:r>
              <w:rPr>
                <w:color w:val="auto"/>
                <w:spacing w:val="-2"/>
                <w:sz w:val="18"/>
                <w:szCs w:val="18"/>
                <w:highlight w:val="none"/>
              </w:rPr>
              <w:t>（GB21521）</w:t>
            </w:r>
          </w:p>
        </w:tc>
      </w:tr>
      <w:tr w14:paraId="161E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9" w:type="dxa"/>
            <w:vMerge w:val="continue"/>
            <w:tcBorders>
              <w:top w:val="nil"/>
              <w:bottom w:val="nil"/>
            </w:tcBorders>
            <w:vAlign w:val="top"/>
          </w:tcPr>
          <w:p w14:paraId="2FC925F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204D588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Merge w:val="continue"/>
            <w:tcBorders>
              <w:top w:val="nil"/>
              <w:bottom w:val="nil"/>
            </w:tcBorders>
            <w:vAlign w:val="top"/>
          </w:tcPr>
          <w:p w14:paraId="6DD39C1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2F664AC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1" w:right="30"/>
              <w:textAlignment w:val="baseline"/>
              <w:rPr>
                <w:color w:val="auto"/>
                <w:sz w:val="18"/>
                <w:szCs w:val="18"/>
                <w:highlight w:val="none"/>
              </w:rPr>
            </w:pPr>
            <w:r>
              <w:rPr>
                <w:color w:val="auto"/>
                <w:spacing w:val="-2"/>
                <w:sz w:val="18"/>
                <w:szCs w:val="18"/>
                <w:highlight w:val="none"/>
              </w:rPr>
              <w:t>★A0201060102</w:t>
            </w:r>
            <w:r>
              <w:rPr>
                <w:color w:val="auto"/>
                <w:spacing w:val="-29"/>
                <w:sz w:val="18"/>
                <w:szCs w:val="18"/>
                <w:highlight w:val="none"/>
              </w:rPr>
              <w:t xml:space="preserve"> </w:t>
            </w:r>
            <w:r>
              <w:rPr>
                <w:color w:val="auto"/>
                <w:spacing w:val="-2"/>
                <w:sz w:val="18"/>
                <w:szCs w:val="18"/>
                <w:highlight w:val="none"/>
              </w:rPr>
              <w:t>激光</w:t>
            </w:r>
            <w:r>
              <w:rPr>
                <w:color w:val="auto"/>
                <w:sz w:val="18"/>
                <w:szCs w:val="18"/>
                <w:highlight w:val="none"/>
              </w:rPr>
              <w:t xml:space="preserve"> </w:t>
            </w:r>
            <w:r>
              <w:rPr>
                <w:color w:val="auto"/>
                <w:spacing w:val="-4"/>
                <w:sz w:val="18"/>
                <w:szCs w:val="18"/>
                <w:highlight w:val="none"/>
              </w:rPr>
              <w:t>打印机</w:t>
            </w:r>
          </w:p>
        </w:tc>
        <w:tc>
          <w:tcPr>
            <w:tcW w:w="4165" w:type="dxa"/>
            <w:vAlign w:val="top"/>
          </w:tcPr>
          <w:p w14:paraId="1496C087">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31" w:hanging="4"/>
              <w:textAlignment w:val="baseline"/>
              <w:rPr>
                <w:color w:val="auto"/>
                <w:sz w:val="18"/>
                <w:szCs w:val="18"/>
                <w:highlight w:val="none"/>
              </w:rPr>
            </w:pPr>
            <w:r>
              <w:rPr>
                <w:color w:val="auto"/>
                <w:spacing w:val="-1"/>
                <w:sz w:val="18"/>
                <w:szCs w:val="18"/>
                <w:highlight w:val="none"/>
              </w:rPr>
              <w:t>《复印机、打印机和传真机能效限定值及能效</w:t>
            </w:r>
            <w:r>
              <w:rPr>
                <w:color w:val="auto"/>
                <w:spacing w:val="-2"/>
                <w:sz w:val="18"/>
                <w:szCs w:val="18"/>
                <w:highlight w:val="none"/>
              </w:rPr>
              <w:t>等级》</w:t>
            </w:r>
            <w:r>
              <w:rPr>
                <w:color w:val="auto"/>
                <w:sz w:val="18"/>
                <w:szCs w:val="18"/>
                <w:highlight w:val="none"/>
              </w:rPr>
              <w:t xml:space="preserve"> </w:t>
            </w:r>
            <w:r>
              <w:rPr>
                <w:color w:val="auto"/>
                <w:spacing w:val="-2"/>
                <w:sz w:val="18"/>
                <w:szCs w:val="18"/>
                <w:highlight w:val="none"/>
              </w:rPr>
              <w:t>（GB21521）</w:t>
            </w:r>
          </w:p>
        </w:tc>
      </w:tr>
      <w:tr w14:paraId="70522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79" w:type="dxa"/>
            <w:vMerge w:val="continue"/>
            <w:tcBorders>
              <w:top w:val="nil"/>
              <w:bottom w:val="nil"/>
            </w:tcBorders>
            <w:vAlign w:val="top"/>
          </w:tcPr>
          <w:p w14:paraId="617D47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0DED20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Merge w:val="continue"/>
            <w:tcBorders>
              <w:top w:val="nil"/>
            </w:tcBorders>
            <w:vAlign w:val="top"/>
          </w:tcPr>
          <w:p w14:paraId="3351F81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04E4EADB">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1" w:right="30"/>
              <w:textAlignment w:val="baseline"/>
              <w:rPr>
                <w:color w:val="auto"/>
                <w:sz w:val="18"/>
                <w:szCs w:val="18"/>
                <w:highlight w:val="none"/>
              </w:rPr>
            </w:pPr>
            <w:r>
              <w:rPr>
                <w:color w:val="auto"/>
                <w:spacing w:val="-2"/>
                <w:sz w:val="18"/>
                <w:szCs w:val="18"/>
                <w:highlight w:val="none"/>
              </w:rPr>
              <w:t>★A0201060104</w:t>
            </w:r>
            <w:r>
              <w:rPr>
                <w:color w:val="auto"/>
                <w:spacing w:val="-29"/>
                <w:sz w:val="18"/>
                <w:szCs w:val="18"/>
                <w:highlight w:val="none"/>
              </w:rPr>
              <w:t xml:space="preserve"> </w:t>
            </w:r>
            <w:r>
              <w:rPr>
                <w:color w:val="auto"/>
                <w:spacing w:val="-2"/>
                <w:sz w:val="18"/>
                <w:szCs w:val="18"/>
                <w:highlight w:val="none"/>
              </w:rPr>
              <w:t>针式</w:t>
            </w:r>
            <w:r>
              <w:rPr>
                <w:color w:val="auto"/>
                <w:sz w:val="18"/>
                <w:szCs w:val="18"/>
                <w:highlight w:val="none"/>
              </w:rPr>
              <w:t xml:space="preserve"> </w:t>
            </w:r>
            <w:r>
              <w:rPr>
                <w:color w:val="auto"/>
                <w:spacing w:val="-4"/>
                <w:sz w:val="18"/>
                <w:szCs w:val="18"/>
                <w:highlight w:val="none"/>
              </w:rPr>
              <w:t>打印机</w:t>
            </w:r>
          </w:p>
        </w:tc>
        <w:tc>
          <w:tcPr>
            <w:tcW w:w="4165" w:type="dxa"/>
            <w:vAlign w:val="top"/>
          </w:tcPr>
          <w:p w14:paraId="72A904E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31" w:hanging="4"/>
              <w:textAlignment w:val="baseline"/>
              <w:rPr>
                <w:color w:val="auto"/>
                <w:sz w:val="18"/>
                <w:szCs w:val="18"/>
                <w:highlight w:val="none"/>
              </w:rPr>
            </w:pPr>
            <w:r>
              <w:rPr>
                <w:color w:val="auto"/>
                <w:spacing w:val="-1"/>
                <w:sz w:val="18"/>
                <w:szCs w:val="18"/>
                <w:highlight w:val="none"/>
              </w:rPr>
              <w:t>《复印机、打印机和传真机能效限定值及能效</w:t>
            </w:r>
            <w:r>
              <w:rPr>
                <w:color w:val="auto"/>
                <w:spacing w:val="-2"/>
                <w:sz w:val="18"/>
                <w:szCs w:val="18"/>
                <w:highlight w:val="none"/>
              </w:rPr>
              <w:t>等级》</w:t>
            </w:r>
            <w:r>
              <w:rPr>
                <w:color w:val="auto"/>
                <w:sz w:val="18"/>
                <w:szCs w:val="18"/>
                <w:highlight w:val="none"/>
              </w:rPr>
              <w:t xml:space="preserve"> </w:t>
            </w:r>
            <w:r>
              <w:rPr>
                <w:color w:val="auto"/>
                <w:spacing w:val="-2"/>
                <w:sz w:val="18"/>
                <w:szCs w:val="18"/>
                <w:highlight w:val="none"/>
              </w:rPr>
              <w:t>（GB21521）</w:t>
            </w:r>
          </w:p>
        </w:tc>
      </w:tr>
      <w:tr w14:paraId="67B7F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79" w:type="dxa"/>
            <w:vMerge w:val="continue"/>
            <w:tcBorders>
              <w:top w:val="nil"/>
              <w:bottom w:val="nil"/>
            </w:tcBorders>
            <w:vAlign w:val="top"/>
          </w:tcPr>
          <w:p w14:paraId="6D563B0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5DE9C6F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16DB4A9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
              <w:textAlignment w:val="baseline"/>
              <w:rPr>
                <w:color w:val="auto"/>
                <w:sz w:val="18"/>
                <w:szCs w:val="18"/>
                <w:highlight w:val="none"/>
              </w:rPr>
            </w:pPr>
            <w:r>
              <w:rPr>
                <w:color w:val="auto"/>
                <w:spacing w:val="-1"/>
                <w:sz w:val="18"/>
                <w:szCs w:val="18"/>
                <w:highlight w:val="none"/>
              </w:rPr>
              <w:t>A02010604</w:t>
            </w:r>
            <w:r>
              <w:rPr>
                <w:color w:val="auto"/>
                <w:spacing w:val="-35"/>
                <w:sz w:val="18"/>
                <w:szCs w:val="18"/>
                <w:highlight w:val="none"/>
              </w:rPr>
              <w:t xml:space="preserve"> </w:t>
            </w:r>
            <w:r>
              <w:rPr>
                <w:color w:val="auto"/>
                <w:spacing w:val="-1"/>
                <w:sz w:val="18"/>
                <w:szCs w:val="18"/>
                <w:highlight w:val="none"/>
              </w:rPr>
              <w:t>显示设备</w:t>
            </w:r>
          </w:p>
        </w:tc>
        <w:tc>
          <w:tcPr>
            <w:tcW w:w="1612" w:type="dxa"/>
            <w:vAlign w:val="top"/>
          </w:tcPr>
          <w:p w14:paraId="2785C976">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30" w:hanging="1"/>
              <w:textAlignment w:val="baseline"/>
              <w:rPr>
                <w:color w:val="auto"/>
                <w:sz w:val="18"/>
                <w:szCs w:val="18"/>
                <w:highlight w:val="none"/>
              </w:rPr>
            </w:pPr>
            <w:r>
              <w:rPr>
                <w:color w:val="auto"/>
                <w:spacing w:val="-2"/>
                <w:sz w:val="18"/>
                <w:szCs w:val="18"/>
                <w:highlight w:val="none"/>
              </w:rPr>
              <w:t>★A0201060401</w:t>
            </w:r>
            <w:r>
              <w:rPr>
                <w:color w:val="auto"/>
                <w:spacing w:val="-29"/>
                <w:sz w:val="18"/>
                <w:szCs w:val="18"/>
                <w:highlight w:val="none"/>
              </w:rPr>
              <w:t xml:space="preserve"> </w:t>
            </w:r>
            <w:r>
              <w:rPr>
                <w:color w:val="auto"/>
                <w:spacing w:val="-2"/>
                <w:sz w:val="18"/>
                <w:szCs w:val="18"/>
                <w:highlight w:val="none"/>
              </w:rPr>
              <w:t>液晶</w:t>
            </w:r>
            <w:r>
              <w:rPr>
                <w:color w:val="auto"/>
                <w:sz w:val="18"/>
                <w:szCs w:val="18"/>
                <w:highlight w:val="none"/>
              </w:rPr>
              <w:t xml:space="preserve"> </w:t>
            </w:r>
            <w:r>
              <w:rPr>
                <w:color w:val="auto"/>
                <w:spacing w:val="-4"/>
                <w:sz w:val="18"/>
                <w:szCs w:val="18"/>
                <w:highlight w:val="none"/>
              </w:rPr>
              <w:t>显示器</w:t>
            </w:r>
          </w:p>
        </w:tc>
        <w:tc>
          <w:tcPr>
            <w:tcW w:w="4165" w:type="dxa"/>
            <w:vAlign w:val="top"/>
          </w:tcPr>
          <w:p w14:paraId="7B40B07A">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3"/>
                <w:sz w:val="18"/>
                <w:szCs w:val="18"/>
                <w:highlight w:val="none"/>
              </w:rPr>
              <w:t>《计算机显示器能效限定值及能效等级》（GB215</w:t>
            </w:r>
            <w:r>
              <w:rPr>
                <w:color w:val="auto"/>
                <w:spacing w:val="-4"/>
                <w:sz w:val="18"/>
                <w:szCs w:val="18"/>
                <w:highlight w:val="none"/>
              </w:rPr>
              <w:t>20）</w:t>
            </w:r>
          </w:p>
        </w:tc>
      </w:tr>
      <w:tr w14:paraId="591A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79" w:type="dxa"/>
            <w:vMerge w:val="continue"/>
            <w:tcBorders>
              <w:top w:val="nil"/>
            </w:tcBorders>
            <w:vAlign w:val="top"/>
          </w:tcPr>
          <w:p w14:paraId="0F4E5F5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tcBorders>
            <w:vAlign w:val="top"/>
          </w:tcPr>
          <w:p w14:paraId="08B64A1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12E1B6A6">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right="38" w:hanging="4"/>
              <w:textAlignment w:val="baseline"/>
              <w:rPr>
                <w:color w:val="auto"/>
                <w:sz w:val="18"/>
                <w:szCs w:val="18"/>
                <w:highlight w:val="none"/>
              </w:rPr>
            </w:pPr>
            <w:r>
              <w:rPr>
                <w:color w:val="auto"/>
                <w:spacing w:val="-2"/>
                <w:sz w:val="18"/>
                <w:szCs w:val="18"/>
                <w:highlight w:val="none"/>
              </w:rPr>
              <w:t>A02010609</w:t>
            </w:r>
            <w:r>
              <w:rPr>
                <w:color w:val="auto"/>
                <w:spacing w:val="-21"/>
                <w:sz w:val="18"/>
                <w:szCs w:val="18"/>
                <w:highlight w:val="none"/>
              </w:rPr>
              <w:t xml:space="preserve"> </w:t>
            </w:r>
            <w:r>
              <w:rPr>
                <w:color w:val="auto"/>
                <w:spacing w:val="-2"/>
                <w:sz w:val="18"/>
                <w:szCs w:val="18"/>
                <w:highlight w:val="none"/>
              </w:rPr>
              <w:t>图形图像输</w:t>
            </w:r>
            <w:r>
              <w:rPr>
                <w:color w:val="auto"/>
                <w:sz w:val="18"/>
                <w:szCs w:val="18"/>
                <w:highlight w:val="none"/>
              </w:rPr>
              <w:t xml:space="preserve"> </w:t>
            </w:r>
            <w:r>
              <w:rPr>
                <w:color w:val="auto"/>
                <w:spacing w:val="-3"/>
                <w:sz w:val="18"/>
                <w:szCs w:val="18"/>
                <w:highlight w:val="none"/>
              </w:rPr>
              <w:t>入设备</w:t>
            </w:r>
          </w:p>
        </w:tc>
        <w:tc>
          <w:tcPr>
            <w:tcW w:w="1612" w:type="dxa"/>
            <w:vAlign w:val="top"/>
          </w:tcPr>
          <w:p w14:paraId="2A4C9B6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381877D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3"/>
              <w:textAlignment w:val="baseline"/>
              <w:rPr>
                <w:color w:val="auto"/>
                <w:sz w:val="18"/>
                <w:szCs w:val="18"/>
                <w:highlight w:val="none"/>
              </w:rPr>
            </w:pPr>
            <w:r>
              <w:rPr>
                <w:color w:val="auto"/>
                <w:spacing w:val="-1"/>
                <w:sz w:val="18"/>
                <w:szCs w:val="18"/>
                <w:highlight w:val="none"/>
              </w:rPr>
              <w:t>A0201060901</w:t>
            </w:r>
            <w:r>
              <w:rPr>
                <w:color w:val="auto"/>
                <w:spacing w:val="-35"/>
                <w:sz w:val="18"/>
                <w:szCs w:val="18"/>
                <w:highlight w:val="none"/>
              </w:rPr>
              <w:t xml:space="preserve"> </w:t>
            </w:r>
            <w:r>
              <w:rPr>
                <w:color w:val="auto"/>
                <w:spacing w:val="-1"/>
                <w:sz w:val="18"/>
                <w:szCs w:val="18"/>
                <w:highlight w:val="none"/>
              </w:rPr>
              <w:t>扫描仪</w:t>
            </w:r>
          </w:p>
        </w:tc>
        <w:tc>
          <w:tcPr>
            <w:tcW w:w="4165" w:type="dxa"/>
            <w:vAlign w:val="top"/>
          </w:tcPr>
          <w:p w14:paraId="6D20103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5" w:firstLine="1"/>
              <w:jc w:val="both"/>
              <w:textAlignment w:val="baseline"/>
              <w:rPr>
                <w:color w:val="auto"/>
                <w:sz w:val="18"/>
                <w:szCs w:val="18"/>
                <w:highlight w:val="none"/>
              </w:rPr>
            </w:pPr>
            <w:r>
              <w:rPr>
                <w:color w:val="auto"/>
                <w:spacing w:val="-1"/>
                <w:sz w:val="18"/>
                <w:szCs w:val="18"/>
                <w:highlight w:val="none"/>
              </w:rPr>
              <w:t>参照《复印机、打印机和传真机能效限定值及能效等</w:t>
            </w:r>
            <w:r>
              <w:rPr>
                <w:color w:val="auto"/>
                <w:spacing w:val="13"/>
                <w:sz w:val="18"/>
                <w:szCs w:val="18"/>
                <w:highlight w:val="none"/>
              </w:rPr>
              <w:t xml:space="preserve"> </w:t>
            </w:r>
            <w:r>
              <w:rPr>
                <w:color w:val="auto"/>
                <w:spacing w:val="-4"/>
                <w:sz w:val="18"/>
                <w:szCs w:val="18"/>
                <w:highlight w:val="none"/>
              </w:rPr>
              <w:t>级》（GB21521）中打印速度为</w:t>
            </w:r>
            <w:r>
              <w:rPr>
                <w:color w:val="auto"/>
                <w:spacing w:val="-24"/>
                <w:sz w:val="18"/>
                <w:szCs w:val="18"/>
                <w:highlight w:val="none"/>
              </w:rPr>
              <w:t xml:space="preserve"> </w:t>
            </w:r>
            <w:r>
              <w:rPr>
                <w:color w:val="auto"/>
                <w:spacing w:val="-4"/>
                <w:sz w:val="18"/>
                <w:szCs w:val="18"/>
                <w:highlight w:val="none"/>
              </w:rPr>
              <w:t>15</w:t>
            </w:r>
            <w:r>
              <w:rPr>
                <w:color w:val="auto"/>
                <w:spacing w:val="-34"/>
                <w:sz w:val="18"/>
                <w:szCs w:val="18"/>
                <w:highlight w:val="none"/>
              </w:rPr>
              <w:t xml:space="preserve"> </w:t>
            </w:r>
            <w:r>
              <w:rPr>
                <w:color w:val="auto"/>
                <w:spacing w:val="-4"/>
                <w:sz w:val="18"/>
                <w:szCs w:val="18"/>
                <w:highlight w:val="none"/>
              </w:rPr>
              <w:t>页/分的针</w:t>
            </w:r>
            <w:r>
              <w:rPr>
                <w:color w:val="auto"/>
                <w:spacing w:val="-5"/>
                <w:sz w:val="18"/>
                <w:szCs w:val="18"/>
                <w:highlight w:val="none"/>
              </w:rPr>
              <w:t>式打印机</w:t>
            </w:r>
            <w:r>
              <w:rPr>
                <w:color w:val="auto"/>
                <w:sz w:val="18"/>
                <w:szCs w:val="18"/>
                <w:highlight w:val="none"/>
              </w:rPr>
              <w:t xml:space="preserve"> </w:t>
            </w:r>
            <w:r>
              <w:rPr>
                <w:color w:val="auto"/>
                <w:spacing w:val="-2"/>
                <w:sz w:val="18"/>
                <w:szCs w:val="18"/>
                <w:highlight w:val="none"/>
              </w:rPr>
              <w:t>相关要求</w:t>
            </w:r>
          </w:p>
        </w:tc>
      </w:tr>
      <w:tr w14:paraId="20884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79" w:type="dxa"/>
            <w:vAlign w:val="top"/>
          </w:tcPr>
          <w:p w14:paraId="76AB22B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3"/>
              <w:textAlignment w:val="baseline"/>
              <w:rPr>
                <w:color w:val="auto"/>
                <w:sz w:val="18"/>
                <w:szCs w:val="18"/>
                <w:highlight w:val="none"/>
              </w:rPr>
            </w:pPr>
            <w:r>
              <w:rPr>
                <w:color w:val="auto"/>
                <w:sz w:val="18"/>
                <w:szCs w:val="18"/>
                <w:highlight w:val="none"/>
              </w:rPr>
              <w:t>3</w:t>
            </w:r>
          </w:p>
        </w:tc>
        <w:tc>
          <w:tcPr>
            <w:tcW w:w="1165" w:type="dxa"/>
            <w:vAlign w:val="top"/>
          </w:tcPr>
          <w:p w14:paraId="04DCC56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right="126" w:hanging="6"/>
              <w:textAlignment w:val="baseline"/>
              <w:rPr>
                <w:color w:val="auto"/>
                <w:sz w:val="18"/>
                <w:szCs w:val="18"/>
                <w:highlight w:val="none"/>
              </w:rPr>
            </w:pPr>
            <w:r>
              <w:rPr>
                <w:color w:val="auto"/>
                <w:spacing w:val="-2"/>
                <w:sz w:val="18"/>
                <w:szCs w:val="18"/>
                <w:highlight w:val="none"/>
              </w:rPr>
              <w:t>A020202</w:t>
            </w:r>
            <w:r>
              <w:rPr>
                <w:color w:val="auto"/>
                <w:spacing w:val="-31"/>
                <w:sz w:val="18"/>
                <w:szCs w:val="18"/>
                <w:highlight w:val="none"/>
              </w:rPr>
              <w:t xml:space="preserve"> </w:t>
            </w:r>
            <w:r>
              <w:rPr>
                <w:color w:val="auto"/>
                <w:spacing w:val="-2"/>
                <w:sz w:val="18"/>
                <w:szCs w:val="18"/>
                <w:highlight w:val="none"/>
              </w:rPr>
              <w:t>投影</w:t>
            </w:r>
            <w:r>
              <w:rPr>
                <w:color w:val="auto"/>
                <w:sz w:val="18"/>
                <w:szCs w:val="18"/>
                <w:highlight w:val="none"/>
              </w:rPr>
              <w:t xml:space="preserve"> 仪</w:t>
            </w:r>
          </w:p>
        </w:tc>
        <w:tc>
          <w:tcPr>
            <w:tcW w:w="1799" w:type="dxa"/>
            <w:vAlign w:val="top"/>
          </w:tcPr>
          <w:p w14:paraId="5BC6840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09709A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3C954CD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1471" w:hanging="4"/>
              <w:textAlignment w:val="baseline"/>
              <w:rPr>
                <w:color w:val="auto"/>
                <w:sz w:val="18"/>
                <w:szCs w:val="18"/>
                <w:highlight w:val="none"/>
              </w:rPr>
            </w:pPr>
            <w:r>
              <w:rPr>
                <w:color w:val="auto"/>
                <w:spacing w:val="-2"/>
                <w:sz w:val="18"/>
                <w:szCs w:val="18"/>
                <w:highlight w:val="none"/>
              </w:rPr>
              <w:t>《投影机能效限定值及能效等级》</w:t>
            </w:r>
            <w:r>
              <w:rPr>
                <w:color w:val="auto"/>
                <w:spacing w:val="4"/>
                <w:sz w:val="18"/>
                <w:szCs w:val="18"/>
                <w:highlight w:val="none"/>
              </w:rPr>
              <w:t xml:space="preserve"> </w:t>
            </w:r>
            <w:r>
              <w:rPr>
                <w:color w:val="auto"/>
                <w:spacing w:val="-2"/>
                <w:sz w:val="18"/>
                <w:szCs w:val="18"/>
                <w:highlight w:val="none"/>
              </w:rPr>
              <w:t>（GB32028）</w:t>
            </w:r>
          </w:p>
        </w:tc>
      </w:tr>
      <w:tr w14:paraId="779D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79" w:type="dxa"/>
            <w:vAlign w:val="top"/>
          </w:tcPr>
          <w:p w14:paraId="3F25243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48"/>
              <w:textAlignment w:val="baseline"/>
              <w:rPr>
                <w:color w:val="auto"/>
                <w:sz w:val="18"/>
                <w:szCs w:val="18"/>
                <w:highlight w:val="none"/>
              </w:rPr>
            </w:pPr>
            <w:r>
              <w:rPr>
                <w:color w:val="auto"/>
                <w:sz w:val="18"/>
                <w:szCs w:val="18"/>
                <w:highlight w:val="none"/>
              </w:rPr>
              <w:t>4</w:t>
            </w:r>
          </w:p>
        </w:tc>
        <w:tc>
          <w:tcPr>
            <w:tcW w:w="1165" w:type="dxa"/>
            <w:vAlign w:val="top"/>
          </w:tcPr>
          <w:p w14:paraId="14FAAE2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126" w:hanging="12"/>
              <w:textAlignment w:val="baseline"/>
              <w:rPr>
                <w:color w:val="auto"/>
                <w:sz w:val="18"/>
                <w:szCs w:val="18"/>
                <w:highlight w:val="none"/>
              </w:rPr>
            </w:pPr>
            <w:r>
              <w:rPr>
                <w:color w:val="auto"/>
                <w:spacing w:val="-2"/>
                <w:sz w:val="18"/>
                <w:szCs w:val="18"/>
                <w:highlight w:val="none"/>
              </w:rPr>
              <w:t>A020204</w:t>
            </w:r>
            <w:r>
              <w:rPr>
                <w:color w:val="auto"/>
                <w:spacing w:val="-31"/>
                <w:sz w:val="18"/>
                <w:szCs w:val="18"/>
                <w:highlight w:val="none"/>
              </w:rPr>
              <w:t xml:space="preserve"> </w:t>
            </w:r>
            <w:r>
              <w:rPr>
                <w:color w:val="auto"/>
                <w:spacing w:val="-2"/>
                <w:sz w:val="18"/>
                <w:szCs w:val="18"/>
                <w:highlight w:val="none"/>
              </w:rPr>
              <w:t>多功</w:t>
            </w:r>
            <w:r>
              <w:rPr>
                <w:color w:val="auto"/>
                <w:sz w:val="18"/>
                <w:szCs w:val="18"/>
                <w:highlight w:val="none"/>
              </w:rPr>
              <w:t xml:space="preserve"> </w:t>
            </w:r>
            <w:r>
              <w:rPr>
                <w:color w:val="auto"/>
                <w:spacing w:val="-4"/>
                <w:sz w:val="18"/>
                <w:szCs w:val="18"/>
                <w:highlight w:val="none"/>
              </w:rPr>
              <w:t>能一体机</w:t>
            </w:r>
          </w:p>
        </w:tc>
        <w:tc>
          <w:tcPr>
            <w:tcW w:w="1799" w:type="dxa"/>
            <w:vAlign w:val="top"/>
          </w:tcPr>
          <w:p w14:paraId="66973A2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0788B62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1D4BC118">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31" w:hanging="4"/>
              <w:textAlignment w:val="baseline"/>
              <w:rPr>
                <w:color w:val="auto"/>
                <w:sz w:val="18"/>
                <w:szCs w:val="18"/>
                <w:highlight w:val="none"/>
              </w:rPr>
            </w:pPr>
            <w:r>
              <w:rPr>
                <w:color w:val="auto"/>
                <w:spacing w:val="-1"/>
                <w:sz w:val="18"/>
                <w:szCs w:val="18"/>
                <w:highlight w:val="none"/>
              </w:rPr>
              <w:t>《复印机、打印机和传真机能效限定值及能效</w:t>
            </w:r>
            <w:r>
              <w:rPr>
                <w:color w:val="auto"/>
                <w:spacing w:val="-2"/>
                <w:sz w:val="18"/>
                <w:szCs w:val="18"/>
                <w:highlight w:val="none"/>
              </w:rPr>
              <w:t>等级》</w:t>
            </w:r>
            <w:r>
              <w:rPr>
                <w:color w:val="auto"/>
                <w:sz w:val="18"/>
                <w:szCs w:val="18"/>
                <w:highlight w:val="none"/>
              </w:rPr>
              <w:t xml:space="preserve"> </w:t>
            </w:r>
            <w:r>
              <w:rPr>
                <w:color w:val="auto"/>
                <w:spacing w:val="-2"/>
                <w:sz w:val="18"/>
                <w:szCs w:val="18"/>
                <w:highlight w:val="none"/>
              </w:rPr>
              <w:t>（GB21521）</w:t>
            </w:r>
          </w:p>
        </w:tc>
      </w:tr>
      <w:tr w14:paraId="70732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9" w:type="dxa"/>
            <w:vAlign w:val="top"/>
          </w:tcPr>
          <w:p w14:paraId="6F3787A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3"/>
              <w:textAlignment w:val="baseline"/>
              <w:rPr>
                <w:color w:val="auto"/>
                <w:sz w:val="18"/>
                <w:szCs w:val="18"/>
                <w:highlight w:val="none"/>
              </w:rPr>
            </w:pPr>
            <w:r>
              <w:rPr>
                <w:color w:val="auto"/>
                <w:sz w:val="18"/>
                <w:szCs w:val="18"/>
                <w:highlight w:val="none"/>
              </w:rPr>
              <w:t>5</w:t>
            </w:r>
          </w:p>
        </w:tc>
        <w:tc>
          <w:tcPr>
            <w:tcW w:w="1165" w:type="dxa"/>
            <w:vAlign w:val="top"/>
          </w:tcPr>
          <w:p w14:paraId="73D0DB24">
            <w:pPr>
              <w:pStyle w:val="13"/>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color w:val="auto"/>
                <w:sz w:val="18"/>
                <w:szCs w:val="18"/>
                <w:highlight w:val="none"/>
              </w:rPr>
            </w:pPr>
            <w:r>
              <w:rPr>
                <w:color w:val="auto"/>
                <w:spacing w:val="-1"/>
                <w:sz w:val="18"/>
                <w:szCs w:val="18"/>
                <w:highlight w:val="none"/>
              </w:rPr>
              <w:t>A020519</w:t>
            </w:r>
            <w:r>
              <w:rPr>
                <w:color w:val="auto"/>
                <w:spacing w:val="-33"/>
                <w:sz w:val="18"/>
                <w:szCs w:val="18"/>
                <w:highlight w:val="none"/>
              </w:rPr>
              <w:t xml:space="preserve"> </w:t>
            </w:r>
            <w:r>
              <w:rPr>
                <w:color w:val="auto"/>
                <w:spacing w:val="-1"/>
                <w:sz w:val="18"/>
                <w:szCs w:val="18"/>
                <w:highlight w:val="none"/>
              </w:rPr>
              <w:t>泵</w:t>
            </w:r>
          </w:p>
        </w:tc>
        <w:tc>
          <w:tcPr>
            <w:tcW w:w="1799" w:type="dxa"/>
            <w:vAlign w:val="top"/>
          </w:tcPr>
          <w:p w14:paraId="655EFEF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
              <w:textAlignment w:val="baseline"/>
              <w:rPr>
                <w:color w:val="auto"/>
                <w:sz w:val="18"/>
                <w:szCs w:val="18"/>
                <w:highlight w:val="none"/>
              </w:rPr>
            </w:pPr>
            <w:r>
              <w:rPr>
                <w:color w:val="auto"/>
                <w:spacing w:val="-1"/>
                <w:sz w:val="18"/>
                <w:szCs w:val="18"/>
                <w:highlight w:val="none"/>
              </w:rPr>
              <w:t>A02051901</w:t>
            </w:r>
            <w:r>
              <w:rPr>
                <w:color w:val="auto"/>
                <w:spacing w:val="-36"/>
                <w:sz w:val="18"/>
                <w:szCs w:val="18"/>
                <w:highlight w:val="none"/>
              </w:rPr>
              <w:t xml:space="preserve"> </w:t>
            </w:r>
            <w:r>
              <w:rPr>
                <w:color w:val="auto"/>
                <w:spacing w:val="-1"/>
                <w:sz w:val="18"/>
                <w:szCs w:val="18"/>
                <w:highlight w:val="none"/>
              </w:rPr>
              <w:t>离心泵</w:t>
            </w:r>
          </w:p>
        </w:tc>
        <w:tc>
          <w:tcPr>
            <w:tcW w:w="1612" w:type="dxa"/>
            <w:vAlign w:val="top"/>
          </w:tcPr>
          <w:p w14:paraId="2C7D730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7E3F62C3">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3"/>
                <w:sz w:val="18"/>
                <w:szCs w:val="18"/>
                <w:highlight w:val="none"/>
              </w:rPr>
              <w:t>《清水离心泵能效限定值及节能评价值》（GB197</w:t>
            </w:r>
            <w:r>
              <w:rPr>
                <w:color w:val="auto"/>
                <w:spacing w:val="-4"/>
                <w:sz w:val="18"/>
                <w:szCs w:val="18"/>
                <w:highlight w:val="none"/>
              </w:rPr>
              <w:t>62）</w:t>
            </w:r>
          </w:p>
        </w:tc>
      </w:tr>
      <w:tr w14:paraId="473EA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9" w:type="dxa"/>
            <w:vMerge w:val="restart"/>
            <w:tcBorders>
              <w:bottom w:val="nil"/>
            </w:tcBorders>
            <w:vAlign w:val="top"/>
          </w:tcPr>
          <w:p w14:paraId="3C3AC9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260C8FD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6ED5435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E78ECB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D46DE2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2535A41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26CC29F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6510DD2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203EE4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0"/>
              <w:textAlignment w:val="baseline"/>
              <w:rPr>
                <w:color w:val="auto"/>
                <w:sz w:val="18"/>
                <w:szCs w:val="18"/>
                <w:highlight w:val="none"/>
              </w:rPr>
            </w:pPr>
            <w:r>
              <w:rPr>
                <w:color w:val="auto"/>
                <w:sz w:val="18"/>
                <w:szCs w:val="18"/>
                <w:highlight w:val="none"/>
              </w:rPr>
              <w:t>6</w:t>
            </w:r>
          </w:p>
        </w:tc>
        <w:tc>
          <w:tcPr>
            <w:tcW w:w="1165" w:type="dxa"/>
            <w:vMerge w:val="restart"/>
            <w:tcBorders>
              <w:bottom w:val="nil"/>
            </w:tcBorders>
            <w:vAlign w:val="top"/>
          </w:tcPr>
          <w:p w14:paraId="7D904A6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7BE1D6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1BD16CB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5FDBD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271BA1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7D92E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F74781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4551CA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829A43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1" w:right="126" w:hanging="11"/>
              <w:textAlignment w:val="baseline"/>
              <w:rPr>
                <w:color w:val="auto"/>
                <w:sz w:val="18"/>
                <w:szCs w:val="18"/>
                <w:highlight w:val="none"/>
              </w:rPr>
            </w:pPr>
            <w:r>
              <w:rPr>
                <w:color w:val="auto"/>
                <w:spacing w:val="-2"/>
                <w:sz w:val="18"/>
                <w:szCs w:val="18"/>
                <w:highlight w:val="none"/>
              </w:rPr>
              <w:t>A020523</w:t>
            </w:r>
            <w:r>
              <w:rPr>
                <w:color w:val="auto"/>
                <w:spacing w:val="-31"/>
                <w:sz w:val="18"/>
                <w:szCs w:val="18"/>
                <w:highlight w:val="none"/>
              </w:rPr>
              <w:t xml:space="preserve"> </w:t>
            </w:r>
            <w:r>
              <w:rPr>
                <w:color w:val="auto"/>
                <w:spacing w:val="-2"/>
                <w:sz w:val="18"/>
                <w:szCs w:val="18"/>
                <w:highlight w:val="none"/>
              </w:rPr>
              <w:t>制冷</w:t>
            </w:r>
            <w:r>
              <w:rPr>
                <w:color w:val="auto"/>
                <w:sz w:val="18"/>
                <w:szCs w:val="18"/>
                <w:highlight w:val="none"/>
              </w:rPr>
              <w:t xml:space="preserve"> </w:t>
            </w:r>
            <w:r>
              <w:rPr>
                <w:color w:val="auto"/>
                <w:spacing w:val="-4"/>
                <w:sz w:val="18"/>
                <w:szCs w:val="18"/>
                <w:highlight w:val="none"/>
              </w:rPr>
              <w:t>空调设备</w:t>
            </w:r>
          </w:p>
        </w:tc>
        <w:tc>
          <w:tcPr>
            <w:tcW w:w="1799" w:type="dxa"/>
            <w:vMerge w:val="restart"/>
            <w:tcBorders>
              <w:bottom w:val="nil"/>
            </w:tcBorders>
            <w:vAlign w:val="top"/>
          </w:tcPr>
          <w:p w14:paraId="246494C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71B2E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A5BA4A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38" w:firstLine="3"/>
              <w:textAlignment w:val="baseline"/>
              <w:rPr>
                <w:color w:val="auto"/>
                <w:sz w:val="18"/>
                <w:szCs w:val="18"/>
                <w:highlight w:val="none"/>
              </w:rPr>
            </w:pPr>
            <w:r>
              <w:rPr>
                <w:color w:val="auto"/>
                <w:spacing w:val="-2"/>
                <w:sz w:val="18"/>
                <w:szCs w:val="18"/>
                <w:highlight w:val="none"/>
              </w:rPr>
              <w:t>★A02052301</w:t>
            </w:r>
            <w:r>
              <w:rPr>
                <w:color w:val="auto"/>
                <w:spacing w:val="-29"/>
                <w:sz w:val="18"/>
                <w:szCs w:val="18"/>
                <w:highlight w:val="none"/>
              </w:rPr>
              <w:t xml:space="preserve"> </w:t>
            </w:r>
            <w:r>
              <w:rPr>
                <w:color w:val="auto"/>
                <w:spacing w:val="-2"/>
                <w:sz w:val="18"/>
                <w:szCs w:val="18"/>
                <w:highlight w:val="none"/>
              </w:rPr>
              <w:t>制冷压缩</w:t>
            </w:r>
            <w:r>
              <w:rPr>
                <w:color w:val="auto"/>
                <w:sz w:val="18"/>
                <w:szCs w:val="18"/>
                <w:highlight w:val="none"/>
              </w:rPr>
              <w:t xml:space="preserve"> 机</w:t>
            </w:r>
          </w:p>
        </w:tc>
        <w:tc>
          <w:tcPr>
            <w:tcW w:w="1612" w:type="dxa"/>
            <w:vAlign w:val="top"/>
          </w:tcPr>
          <w:p w14:paraId="09B52DD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3"/>
                <w:sz w:val="18"/>
                <w:szCs w:val="18"/>
                <w:highlight w:val="none"/>
              </w:rPr>
              <w:t>冷水机组</w:t>
            </w:r>
          </w:p>
        </w:tc>
        <w:tc>
          <w:tcPr>
            <w:tcW w:w="4165" w:type="dxa"/>
            <w:vAlign w:val="top"/>
          </w:tcPr>
          <w:p w14:paraId="5DF3C3D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5" w:firstLine="5"/>
              <w:jc w:val="both"/>
              <w:textAlignment w:val="baseline"/>
              <w:rPr>
                <w:color w:val="auto"/>
                <w:sz w:val="18"/>
                <w:szCs w:val="18"/>
                <w:highlight w:val="none"/>
              </w:rPr>
            </w:pPr>
            <w:r>
              <w:rPr>
                <w:color w:val="auto"/>
                <w:spacing w:val="-9"/>
                <w:sz w:val="18"/>
                <w:szCs w:val="18"/>
                <w:highlight w:val="none"/>
              </w:rPr>
              <w:t>《冷水机组能效限定值及能效等级》（GB19577</w:t>
            </w:r>
            <w:r>
              <w:rPr>
                <w:color w:val="auto"/>
                <w:spacing w:val="-18"/>
                <w:sz w:val="18"/>
                <w:szCs w:val="18"/>
                <w:highlight w:val="none"/>
              </w:rPr>
              <w:t>），</w:t>
            </w:r>
            <w:r>
              <w:rPr>
                <w:color w:val="auto"/>
                <w:spacing w:val="-9"/>
                <w:sz w:val="18"/>
                <w:szCs w:val="18"/>
                <w:highlight w:val="none"/>
              </w:rPr>
              <w:t>《低</w:t>
            </w:r>
            <w:r>
              <w:rPr>
                <w:color w:val="auto"/>
                <w:sz w:val="18"/>
                <w:szCs w:val="18"/>
                <w:highlight w:val="none"/>
              </w:rPr>
              <w:t xml:space="preserve"> </w:t>
            </w:r>
            <w:r>
              <w:rPr>
                <w:color w:val="auto"/>
                <w:spacing w:val="-1"/>
                <w:sz w:val="18"/>
                <w:szCs w:val="18"/>
                <w:highlight w:val="none"/>
              </w:rPr>
              <w:t>环境温度空气源热泵（冷水）机组能效限定值及能效</w:t>
            </w:r>
            <w:r>
              <w:rPr>
                <w:color w:val="auto"/>
                <w:spacing w:val="14"/>
                <w:sz w:val="18"/>
                <w:szCs w:val="18"/>
                <w:highlight w:val="none"/>
              </w:rPr>
              <w:t xml:space="preserve"> </w:t>
            </w:r>
            <w:r>
              <w:rPr>
                <w:color w:val="auto"/>
                <w:spacing w:val="-1"/>
                <w:sz w:val="18"/>
                <w:szCs w:val="18"/>
                <w:highlight w:val="none"/>
              </w:rPr>
              <w:t>等级》（GB37480）</w:t>
            </w:r>
          </w:p>
        </w:tc>
      </w:tr>
      <w:tr w14:paraId="10438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79" w:type="dxa"/>
            <w:vMerge w:val="continue"/>
            <w:tcBorders>
              <w:top w:val="nil"/>
              <w:bottom w:val="nil"/>
            </w:tcBorders>
            <w:vAlign w:val="top"/>
          </w:tcPr>
          <w:p w14:paraId="7F402EF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1E35B2C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Merge w:val="continue"/>
            <w:tcBorders>
              <w:top w:val="nil"/>
              <w:bottom w:val="nil"/>
            </w:tcBorders>
            <w:vAlign w:val="top"/>
          </w:tcPr>
          <w:p w14:paraId="0EB89B1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7272EC4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2"/>
                <w:sz w:val="18"/>
                <w:szCs w:val="18"/>
                <w:highlight w:val="none"/>
              </w:rPr>
              <w:t>水源热泵机组</w:t>
            </w:r>
          </w:p>
        </w:tc>
        <w:tc>
          <w:tcPr>
            <w:tcW w:w="4165" w:type="dxa"/>
            <w:vAlign w:val="top"/>
          </w:tcPr>
          <w:p w14:paraId="550973F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391" w:hanging="4"/>
              <w:textAlignment w:val="baseline"/>
              <w:rPr>
                <w:color w:val="auto"/>
                <w:sz w:val="18"/>
                <w:szCs w:val="18"/>
                <w:highlight w:val="none"/>
              </w:rPr>
            </w:pPr>
            <w:r>
              <w:rPr>
                <w:color w:val="auto"/>
                <w:spacing w:val="-2"/>
                <w:sz w:val="18"/>
                <w:szCs w:val="18"/>
                <w:highlight w:val="none"/>
              </w:rPr>
              <w:t>《水（地）源热泵机组能效限定值及能效等级》</w:t>
            </w:r>
            <w:r>
              <w:rPr>
                <w:color w:val="auto"/>
                <w:spacing w:val="16"/>
                <w:sz w:val="18"/>
                <w:szCs w:val="18"/>
                <w:highlight w:val="none"/>
              </w:rPr>
              <w:t xml:space="preserve"> </w:t>
            </w:r>
            <w:r>
              <w:rPr>
                <w:color w:val="auto"/>
                <w:spacing w:val="-2"/>
                <w:sz w:val="18"/>
                <w:szCs w:val="18"/>
                <w:highlight w:val="none"/>
              </w:rPr>
              <w:t>（GB30721）</w:t>
            </w:r>
          </w:p>
        </w:tc>
      </w:tr>
      <w:tr w14:paraId="201E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79" w:type="dxa"/>
            <w:vMerge w:val="continue"/>
            <w:tcBorders>
              <w:top w:val="nil"/>
              <w:bottom w:val="nil"/>
            </w:tcBorders>
            <w:vAlign w:val="top"/>
          </w:tcPr>
          <w:p w14:paraId="0D71892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5C442B9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Merge w:val="continue"/>
            <w:tcBorders>
              <w:top w:val="nil"/>
            </w:tcBorders>
            <w:vAlign w:val="top"/>
          </w:tcPr>
          <w:p w14:paraId="77B7E66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3512C93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8" w:right="165" w:firstLine="4"/>
              <w:textAlignment w:val="baseline"/>
              <w:rPr>
                <w:color w:val="auto"/>
                <w:sz w:val="18"/>
                <w:szCs w:val="18"/>
                <w:highlight w:val="none"/>
              </w:rPr>
            </w:pPr>
            <w:r>
              <w:rPr>
                <w:color w:val="auto"/>
                <w:spacing w:val="-2"/>
                <w:sz w:val="18"/>
                <w:szCs w:val="18"/>
                <w:highlight w:val="none"/>
              </w:rPr>
              <w:t>溴化锂吸收式冷水</w:t>
            </w:r>
            <w:r>
              <w:rPr>
                <w:color w:val="auto"/>
                <w:spacing w:val="4"/>
                <w:sz w:val="18"/>
                <w:szCs w:val="18"/>
                <w:highlight w:val="none"/>
              </w:rPr>
              <w:t xml:space="preserve"> </w:t>
            </w:r>
            <w:r>
              <w:rPr>
                <w:color w:val="auto"/>
                <w:spacing w:val="-4"/>
                <w:sz w:val="18"/>
                <w:szCs w:val="18"/>
                <w:highlight w:val="none"/>
              </w:rPr>
              <w:t>机组</w:t>
            </w:r>
          </w:p>
        </w:tc>
        <w:tc>
          <w:tcPr>
            <w:tcW w:w="4165" w:type="dxa"/>
            <w:vAlign w:val="top"/>
          </w:tcPr>
          <w:p w14:paraId="7FFB0EDB">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211" w:hanging="4"/>
              <w:textAlignment w:val="baseline"/>
              <w:rPr>
                <w:color w:val="auto"/>
                <w:sz w:val="18"/>
                <w:szCs w:val="18"/>
                <w:highlight w:val="none"/>
              </w:rPr>
            </w:pPr>
            <w:r>
              <w:rPr>
                <w:color w:val="auto"/>
                <w:spacing w:val="-2"/>
                <w:sz w:val="18"/>
                <w:szCs w:val="18"/>
                <w:highlight w:val="none"/>
              </w:rPr>
              <w:t>《溴化锂吸收式冷水机组能效限定值及能效等级》</w:t>
            </w:r>
            <w:r>
              <w:rPr>
                <w:color w:val="auto"/>
                <w:spacing w:val="18"/>
                <w:sz w:val="18"/>
                <w:szCs w:val="18"/>
                <w:highlight w:val="none"/>
              </w:rPr>
              <w:t xml:space="preserve"> </w:t>
            </w:r>
            <w:r>
              <w:rPr>
                <w:color w:val="auto"/>
                <w:spacing w:val="-2"/>
                <w:sz w:val="18"/>
                <w:szCs w:val="18"/>
                <w:highlight w:val="none"/>
              </w:rPr>
              <w:t>（GB29540）</w:t>
            </w:r>
          </w:p>
        </w:tc>
      </w:tr>
      <w:tr w14:paraId="39DE4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79" w:type="dxa"/>
            <w:vMerge w:val="continue"/>
            <w:tcBorders>
              <w:top w:val="nil"/>
              <w:bottom w:val="nil"/>
            </w:tcBorders>
            <w:vAlign w:val="top"/>
          </w:tcPr>
          <w:p w14:paraId="49C3020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1C8E524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05DFCC1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2"/>
                <w:sz w:val="18"/>
                <w:szCs w:val="18"/>
                <w:highlight w:val="none"/>
              </w:rPr>
              <w:t>★A02052305</w:t>
            </w:r>
            <w:r>
              <w:rPr>
                <w:color w:val="auto"/>
                <w:spacing w:val="-29"/>
                <w:sz w:val="18"/>
                <w:szCs w:val="18"/>
                <w:highlight w:val="none"/>
              </w:rPr>
              <w:t xml:space="preserve"> </w:t>
            </w:r>
            <w:r>
              <w:rPr>
                <w:color w:val="auto"/>
                <w:spacing w:val="-2"/>
                <w:sz w:val="18"/>
                <w:szCs w:val="18"/>
                <w:highlight w:val="none"/>
              </w:rPr>
              <w:t>空调机组</w:t>
            </w:r>
          </w:p>
        </w:tc>
        <w:tc>
          <w:tcPr>
            <w:tcW w:w="1612" w:type="dxa"/>
            <w:vAlign w:val="top"/>
          </w:tcPr>
          <w:p w14:paraId="07B67650">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4"/>
                <w:sz w:val="18"/>
                <w:szCs w:val="18"/>
                <w:highlight w:val="none"/>
              </w:rPr>
              <w:t>多联式空调（热泵）</w:t>
            </w:r>
          </w:p>
          <w:p w14:paraId="030D7E5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2" w:right="458" w:hanging="14"/>
              <w:textAlignment w:val="baseline"/>
              <w:rPr>
                <w:color w:val="auto"/>
                <w:sz w:val="18"/>
                <w:szCs w:val="18"/>
                <w:highlight w:val="none"/>
              </w:rPr>
            </w:pPr>
            <w:r>
              <w:rPr>
                <w:color w:val="auto"/>
                <w:spacing w:val="-5"/>
                <w:sz w:val="18"/>
                <w:szCs w:val="18"/>
                <w:highlight w:val="none"/>
              </w:rPr>
              <w:t>机组(制冷量＞</w:t>
            </w:r>
            <w:r>
              <w:rPr>
                <w:color w:val="auto"/>
                <w:spacing w:val="4"/>
                <w:sz w:val="18"/>
                <w:szCs w:val="18"/>
                <w:highlight w:val="none"/>
              </w:rPr>
              <w:t xml:space="preserve"> </w:t>
            </w:r>
            <w:r>
              <w:rPr>
                <w:color w:val="auto"/>
                <w:spacing w:val="-3"/>
                <w:sz w:val="18"/>
                <w:szCs w:val="18"/>
                <w:highlight w:val="none"/>
              </w:rPr>
              <w:t>14000W)</w:t>
            </w:r>
          </w:p>
        </w:tc>
        <w:tc>
          <w:tcPr>
            <w:tcW w:w="4165" w:type="dxa"/>
            <w:vAlign w:val="top"/>
          </w:tcPr>
          <w:p w14:paraId="4B24676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right="19" w:firstLine="2"/>
              <w:textAlignment w:val="baseline"/>
              <w:rPr>
                <w:color w:val="auto"/>
                <w:sz w:val="18"/>
                <w:szCs w:val="18"/>
                <w:highlight w:val="none"/>
              </w:rPr>
            </w:pPr>
            <w:r>
              <w:rPr>
                <w:color w:val="auto"/>
                <w:spacing w:val="-1"/>
                <w:sz w:val="18"/>
                <w:szCs w:val="18"/>
                <w:highlight w:val="none"/>
              </w:rPr>
              <w:t>《多联式空调（热泵）机组能效限定值及能源效率等</w:t>
            </w:r>
            <w:r>
              <w:rPr>
                <w:color w:val="auto"/>
                <w:spacing w:val="9"/>
                <w:sz w:val="18"/>
                <w:szCs w:val="18"/>
                <w:highlight w:val="none"/>
              </w:rPr>
              <w:t xml:space="preserve"> </w:t>
            </w:r>
            <w:r>
              <w:rPr>
                <w:color w:val="auto"/>
                <w:spacing w:val="-1"/>
                <w:sz w:val="18"/>
                <w:szCs w:val="18"/>
                <w:highlight w:val="none"/>
              </w:rPr>
              <w:t>级》（GB21454）</w:t>
            </w:r>
          </w:p>
        </w:tc>
      </w:tr>
      <w:tr w14:paraId="4CB43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79" w:type="dxa"/>
            <w:vMerge w:val="continue"/>
            <w:tcBorders>
              <w:top w:val="nil"/>
              <w:bottom w:val="nil"/>
            </w:tcBorders>
            <w:vAlign w:val="top"/>
          </w:tcPr>
          <w:p w14:paraId="5C1DC7C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23198C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65828C6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473E50B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40" w:right="165" w:hanging="30"/>
              <w:textAlignment w:val="baseline"/>
              <w:rPr>
                <w:color w:val="auto"/>
                <w:sz w:val="18"/>
                <w:szCs w:val="18"/>
                <w:highlight w:val="none"/>
              </w:rPr>
            </w:pPr>
            <w:r>
              <w:rPr>
                <w:color w:val="auto"/>
                <w:spacing w:val="-2"/>
                <w:sz w:val="18"/>
                <w:szCs w:val="18"/>
                <w:highlight w:val="none"/>
              </w:rPr>
              <w:t>单元式空气调节机</w:t>
            </w:r>
            <w:r>
              <w:rPr>
                <w:color w:val="auto"/>
                <w:spacing w:val="6"/>
                <w:sz w:val="18"/>
                <w:szCs w:val="18"/>
                <w:highlight w:val="none"/>
              </w:rPr>
              <w:t xml:space="preserve"> </w:t>
            </w:r>
            <w:r>
              <w:rPr>
                <w:color w:val="auto"/>
                <w:spacing w:val="-4"/>
                <w:sz w:val="18"/>
                <w:szCs w:val="18"/>
                <w:highlight w:val="none"/>
              </w:rPr>
              <w:t>(制冷量＞14000W)</w:t>
            </w:r>
          </w:p>
        </w:tc>
        <w:tc>
          <w:tcPr>
            <w:tcW w:w="4165" w:type="dxa"/>
            <w:vAlign w:val="top"/>
          </w:tcPr>
          <w:p w14:paraId="17076AC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textAlignment w:val="baseline"/>
              <w:rPr>
                <w:color w:val="auto"/>
                <w:sz w:val="18"/>
                <w:szCs w:val="18"/>
                <w:highlight w:val="none"/>
              </w:rPr>
            </w:pPr>
            <w:r>
              <w:rPr>
                <w:color w:val="auto"/>
                <w:spacing w:val="-1"/>
                <w:sz w:val="18"/>
                <w:szCs w:val="18"/>
                <w:highlight w:val="none"/>
              </w:rPr>
              <w:t>《单元式空气调节机能效限定值及能效等级》</w:t>
            </w:r>
          </w:p>
          <w:p w14:paraId="204B588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8" w:right="5" w:firstLine="8"/>
              <w:textAlignment w:val="baseline"/>
              <w:rPr>
                <w:color w:val="auto"/>
                <w:sz w:val="18"/>
                <w:szCs w:val="18"/>
                <w:highlight w:val="none"/>
              </w:rPr>
            </w:pPr>
            <w:r>
              <w:rPr>
                <w:color w:val="auto"/>
                <w:spacing w:val="-4"/>
                <w:sz w:val="18"/>
                <w:szCs w:val="18"/>
                <w:highlight w:val="none"/>
              </w:rPr>
              <w:t>（GB19576）《风管送风式空调机组能效限定值及能效</w:t>
            </w:r>
            <w:r>
              <w:rPr>
                <w:color w:val="auto"/>
                <w:spacing w:val="14"/>
                <w:sz w:val="18"/>
                <w:szCs w:val="18"/>
                <w:highlight w:val="none"/>
              </w:rPr>
              <w:t xml:space="preserve"> </w:t>
            </w:r>
            <w:r>
              <w:rPr>
                <w:color w:val="auto"/>
                <w:spacing w:val="-1"/>
                <w:sz w:val="18"/>
                <w:szCs w:val="18"/>
                <w:highlight w:val="none"/>
              </w:rPr>
              <w:t>等级》（GB37479）</w:t>
            </w:r>
          </w:p>
        </w:tc>
      </w:tr>
      <w:tr w14:paraId="06C4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79" w:type="dxa"/>
            <w:vMerge w:val="continue"/>
            <w:tcBorders>
              <w:top w:val="nil"/>
              <w:bottom w:val="nil"/>
            </w:tcBorders>
            <w:vAlign w:val="top"/>
          </w:tcPr>
          <w:p w14:paraId="757A2D1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bottom w:val="nil"/>
            </w:tcBorders>
            <w:vAlign w:val="top"/>
          </w:tcPr>
          <w:p w14:paraId="79A11A5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15257DF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right="218" w:firstLine="1"/>
              <w:textAlignment w:val="baseline"/>
              <w:rPr>
                <w:color w:val="auto"/>
                <w:sz w:val="18"/>
                <w:szCs w:val="18"/>
                <w:highlight w:val="none"/>
              </w:rPr>
            </w:pPr>
            <w:r>
              <w:rPr>
                <w:color w:val="auto"/>
                <w:spacing w:val="-2"/>
                <w:sz w:val="18"/>
                <w:szCs w:val="18"/>
                <w:highlight w:val="none"/>
              </w:rPr>
              <w:t>★A02052309</w:t>
            </w:r>
            <w:r>
              <w:rPr>
                <w:color w:val="auto"/>
                <w:spacing w:val="-31"/>
                <w:sz w:val="18"/>
                <w:szCs w:val="18"/>
                <w:highlight w:val="none"/>
              </w:rPr>
              <w:t xml:space="preserve"> </w:t>
            </w:r>
            <w:r>
              <w:rPr>
                <w:color w:val="auto"/>
                <w:spacing w:val="-2"/>
                <w:sz w:val="18"/>
                <w:szCs w:val="18"/>
                <w:highlight w:val="none"/>
              </w:rPr>
              <w:t>专用制</w:t>
            </w:r>
            <w:r>
              <w:rPr>
                <w:color w:val="auto"/>
                <w:sz w:val="18"/>
                <w:szCs w:val="18"/>
                <w:highlight w:val="none"/>
              </w:rPr>
              <w:t xml:space="preserve"> </w:t>
            </w:r>
            <w:r>
              <w:rPr>
                <w:color w:val="auto"/>
                <w:spacing w:val="-2"/>
                <w:sz w:val="18"/>
                <w:szCs w:val="18"/>
                <w:highlight w:val="none"/>
              </w:rPr>
              <w:t>冷、空调设备</w:t>
            </w:r>
          </w:p>
        </w:tc>
        <w:tc>
          <w:tcPr>
            <w:tcW w:w="1612" w:type="dxa"/>
            <w:vAlign w:val="top"/>
          </w:tcPr>
          <w:p w14:paraId="29F3443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8"/>
              <w:textAlignment w:val="baseline"/>
              <w:rPr>
                <w:color w:val="auto"/>
                <w:sz w:val="18"/>
                <w:szCs w:val="18"/>
                <w:highlight w:val="none"/>
              </w:rPr>
            </w:pPr>
            <w:r>
              <w:rPr>
                <w:color w:val="auto"/>
                <w:spacing w:val="-2"/>
                <w:sz w:val="18"/>
                <w:szCs w:val="18"/>
                <w:highlight w:val="none"/>
              </w:rPr>
              <w:t>机房空调</w:t>
            </w:r>
          </w:p>
        </w:tc>
        <w:tc>
          <w:tcPr>
            <w:tcW w:w="4165" w:type="dxa"/>
            <w:vAlign w:val="top"/>
          </w:tcPr>
          <w:p w14:paraId="50C547A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6" w:right="1630" w:firstLine="6"/>
              <w:textAlignment w:val="baseline"/>
              <w:rPr>
                <w:color w:val="auto"/>
                <w:sz w:val="18"/>
                <w:szCs w:val="18"/>
                <w:highlight w:val="none"/>
              </w:rPr>
            </w:pPr>
            <w:r>
              <w:rPr>
                <w:color w:val="auto"/>
                <w:spacing w:val="-1"/>
                <w:sz w:val="18"/>
                <w:szCs w:val="18"/>
                <w:highlight w:val="none"/>
              </w:rPr>
              <w:t>《单元式空气调节机能效限定值</w:t>
            </w:r>
            <w:r>
              <w:rPr>
                <w:color w:val="auto"/>
                <w:sz w:val="18"/>
                <w:szCs w:val="18"/>
                <w:highlight w:val="none"/>
              </w:rPr>
              <w:t xml:space="preserve"> </w:t>
            </w:r>
            <w:r>
              <w:rPr>
                <w:color w:val="auto"/>
                <w:spacing w:val="-1"/>
                <w:sz w:val="18"/>
                <w:szCs w:val="18"/>
                <w:highlight w:val="none"/>
              </w:rPr>
              <w:t>及能效等级》（GB19576）</w:t>
            </w:r>
          </w:p>
        </w:tc>
      </w:tr>
      <w:tr w14:paraId="52C83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579" w:type="dxa"/>
            <w:vMerge w:val="continue"/>
            <w:tcBorders>
              <w:top w:val="nil"/>
            </w:tcBorders>
            <w:vAlign w:val="top"/>
          </w:tcPr>
          <w:p w14:paraId="03F495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5" w:type="dxa"/>
            <w:vMerge w:val="continue"/>
            <w:tcBorders>
              <w:top w:val="nil"/>
            </w:tcBorders>
            <w:vAlign w:val="top"/>
          </w:tcPr>
          <w:p w14:paraId="11CD68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799" w:type="dxa"/>
            <w:vAlign w:val="top"/>
          </w:tcPr>
          <w:p w14:paraId="4E9CFD0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right="2" w:hanging="7"/>
              <w:textAlignment w:val="baseline"/>
              <w:rPr>
                <w:color w:val="auto"/>
                <w:sz w:val="18"/>
                <w:szCs w:val="18"/>
                <w:highlight w:val="none"/>
              </w:rPr>
            </w:pPr>
            <w:r>
              <w:rPr>
                <w:color w:val="auto"/>
                <w:spacing w:val="1"/>
                <w:sz w:val="18"/>
                <w:szCs w:val="18"/>
                <w:highlight w:val="none"/>
              </w:rPr>
              <w:t>A02052399</w:t>
            </w:r>
            <w:r>
              <w:rPr>
                <w:color w:val="auto"/>
                <w:spacing w:val="-27"/>
                <w:sz w:val="18"/>
                <w:szCs w:val="18"/>
                <w:highlight w:val="none"/>
              </w:rPr>
              <w:t xml:space="preserve"> </w:t>
            </w:r>
            <w:r>
              <w:rPr>
                <w:color w:val="auto"/>
                <w:spacing w:val="1"/>
                <w:sz w:val="18"/>
                <w:szCs w:val="18"/>
                <w:highlight w:val="none"/>
              </w:rPr>
              <w:t>其他制冷空</w:t>
            </w:r>
            <w:r>
              <w:rPr>
                <w:color w:val="auto"/>
                <w:sz w:val="18"/>
                <w:szCs w:val="18"/>
                <w:highlight w:val="none"/>
              </w:rPr>
              <w:t xml:space="preserve"> </w:t>
            </w:r>
            <w:r>
              <w:rPr>
                <w:color w:val="auto"/>
                <w:spacing w:val="-3"/>
                <w:sz w:val="18"/>
                <w:szCs w:val="18"/>
                <w:highlight w:val="none"/>
              </w:rPr>
              <w:t>调设备</w:t>
            </w:r>
          </w:p>
        </w:tc>
        <w:tc>
          <w:tcPr>
            <w:tcW w:w="1612" w:type="dxa"/>
            <w:vAlign w:val="top"/>
          </w:tcPr>
          <w:p w14:paraId="4ADE1B6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3"/>
                <w:sz w:val="18"/>
                <w:szCs w:val="18"/>
                <w:highlight w:val="none"/>
              </w:rPr>
              <w:t>冷却塔</w:t>
            </w:r>
          </w:p>
        </w:tc>
        <w:tc>
          <w:tcPr>
            <w:tcW w:w="4165" w:type="dxa"/>
            <w:vAlign w:val="top"/>
          </w:tcPr>
          <w:p w14:paraId="00B3A50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2"/>
              <w:textAlignment w:val="baseline"/>
              <w:rPr>
                <w:color w:val="auto"/>
                <w:sz w:val="18"/>
                <w:szCs w:val="18"/>
                <w:highlight w:val="none"/>
              </w:rPr>
            </w:pPr>
            <w:r>
              <w:rPr>
                <w:color w:val="auto"/>
                <w:spacing w:val="-2"/>
                <w:sz w:val="18"/>
                <w:szCs w:val="18"/>
                <w:highlight w:val="none"/>
              </w:rPr>
              <w:t>《机械通风冷却塔第</w:t>
            </w:r>
            <w:r>
              <w:rPr>
                <w:color w:val="auto"/>
                <w:spacing w:val="-24"/>
                <w:sz w:val="18"/>
                <w:szCs w:val="18"/>
                <w:highlight w:val="none"/>
              </w:rPr>
              <w:t xml:space="preserve"> </w:t>
            </w:r>
            <w:r>
              <w:rPr>
                <w:color w:val="auto"/>
                <w:spacing w:val="-2"/>
                <w:sz w:val="18"/>
                <w:szCs w:val="18"/>
                <w:highlight w:val="none"/>
              </w:rPr>
              <w:t>1</w:t>
            </w:r>
            <w:r>
              <w:rPr>
                <w:color w:val="auto"/>
                <w:spacing w:val="-36"/>
                <w:sz w:val="18"/>
                <w:szCs w:val="18"/>
                <w:highlight w:val="none"/>
              </w:rPr>
              <w:t xml:space="preserve"> </w:t>
            </w:r>
            <w:r>
              <w:rPr>
                <w:color w:val="auto"/>
                <w:spacing w:val="-2"/>
                <w:sz w:val="18"/>
                <w:szCs w:val="18"/>
                <w:highlight w:val="none"/>
              </w:rPr>
              <w:t>部分：中小型开式冷却塔》</w:t>
            </w:r>
          </w:p>
          <w:p w14:paraId="3A3C1C1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0" w:right="17" w:firstLine="6"/>
              <w:textAlignment w:val="baseline"/>
              <w:rPr>
                <w:color w:val="auto"/>
                <w:sz w:val="18"/>
                <w:szCs w:val="18"/>
                <w:highlight w:val="none"/>
              </w:rPr>
            </w:pPr>
            <w:r>
              <w:rPr>
                <w:color w:val="auto"/>
                <w:spacing w:val="-2"/>
                <w:sz w:val="18"/>
                <w:szCs w:val="18"/>
                <w:highlight w:val="none"/>
              </w:rPr>
              <w:t>（GB/T7190.1）《机械通风冷却塔第</w:t>
            </w:r>
            <w:r>
              <w:rPr>
                <w:color w:val="auto"/>
                <w:spacing w:val="-23"/>
                <w:sz w:val="18"/>
                <w:szCs w:val="18"/>
                <w:highlight w:val="none"/>
              </w:rPr>
              <w:t xml:space="preserve"> </w:t>
            </w:r>
            <w:r>
              <w:rPr>
                <w:color w:val="auto"/>
                <w:spacing w:val="-2"/>
                <w:sz w:val="18"/>
                <w:szCs w:val="18"/>
                <w:highlight w:val="none"/>
              </w:rPr>
              <w:t>2</w:t>
            </w:r>
            <w:r>
              <w:rPr>
                <w:color w:val="auto"/>
                <w:spacing w:val="-37"/>
                <w:sz w:val="18"/>
                <w:szCs w:val="18"/>
                <w:highlight w:val="none"/>
              </w:rPr>
              <w:t xml:space="preserve"> </w:t>
            </w:r>
            <w:r>
              <w:rPr>
                <w:color w:val="auto"/>
                <w:spacing w:val="-2"/>
                <w:sz w:val="18"/>
                <w:szCs w:val="18"/>
                <w:highlight w:val="none"/>
              </w:rPr>
              <w:t>部分：大型开</w:t>
            </w:r>
            <w:r>
              <w:rPr>
                <w:color w:val="auto"/>
                <w:sz w:val="18"/>
                <w:szCs w:val="18"/>
                <w:highlight w:val="none"/>
              </w:rPr>
              <w:t xml:space="preserve"> </w:t>
            </w:r>
            <w:r>
              <w:rPr>
                <w:color w:val="auto"/>
                <w:spacing w:val="-1"/>
                <w:sz w:val="18"/>
                <w:szCs w:val="18"/>
                <w:highlight w:val="none"/>
              </w:rPr>
              <w:t>式冷却塔》（GB/T7190.2）</w:t>
            </w:r>
          </w:p>
        </w:tc>
      </w:tr>
      <w:tr w14:paraId="333FB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79" w:type="dxa"/>
            <w:vAlign w:val="top"/>
          </w:tcPr>
          <w:p w14:paraId="264EBFB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3"/>
              <w:textAlignment w:val="baseline"/>
              <w:rPr>
                <w:color w:val="auto"/>
                <w:sz w:val="18"/>
                <w:szCs w:val="18"/>
                <w:highlight w:val="none"/>
              </w:rPr>
            </w:pPr>
            <w:r>
              <w:rPr>
                <w:color w:val="auto"/>
                <w:sz w:val="18"/>
                <w:szCs w:val="18"/>
                <w:highlight w:val="none"/>
              </w:rPr>
              <w:t>7</w:t>
            </w:r>
          </w:p>
        </w:tc>
        <w:tc>
          <w:tcPr>
            <w:tcW w:w="1165" w:type="dxa"/>
            <w:vAlign w:val="top"/>
          </w:tcPr>
          <w:p w14:paraId="0800F147">
            <w:pPr>
              <w:pStyle w:val="13"/>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color w:val="auto"/>
                <w:sz w:val="18"/>
                <w:szCs w:val="18"/>
                <w:highlight w:val="none"/>
              </w:rPr>
            </w:pPr>
            <w:r>
              <w:rPr>
                <w:color w:val="auto"/>
                <w:spacing w:val="-4"/>
                <w:sz w:val="18"/>
                <w:szCs w:val="18"/>
                <w:highlight w:val="none"/>
              </w:rPr>
              <w:t>A020601</w:t>
            </w:r>
            <w:r>
              <w:rPr>
                <w:color w:val="auto"/>
                <w:spacing w:val="-13"/>
                <w:sz w:val="18"/>
                <w:szCs w:val="18"/>
                <w:highlight w:val="none"/>
              </w:rPr>
              <w:t xml:space="preserve"> </w:t>
            </w:r>
            <w:r>
              <w:rPr>
                <w:color w:val="auto"/>
                <w:spacing w:val="-4"/>
                <w:sz w:val="18"/>
                <w:szCs w:val="18"/>
                <w:highlight w:val="none"/>
              </w:rPr>
              <w:t>电机</w:t>
            </w:r>
          </w:p>
        </w:tc>
        <w:tc>
          <w:tcPr>
            <w:tcW w:w="1799" w:type="dxa"/>
            <w:vAlign w:val="top"/>
          </w:tcPr>
          <w:p w14:paraId="0BB45B0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12" w:type="dxa"/>
            <w:vAlign w:val="top"/>
          </w:tcPr>
          <w:p w14:paraId="16A3036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33EB3FB7">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6" w:right="202" w:hanging="4"/>
              <w:textAlignment w:val="baseline"/>
              <w:rPr>
                <w:color w:val="auto"/>
                <w:sz w:val="18"/>
                <w:szCs w:val="18"/>
                <w:highlight w:val="none"/>
              </w:rPr>
            </w:pPr>
            <w:r>
              <w:rPr>
                <w:color w:val="auto"/>
                <w:spacing w:val="-2"/>
                <w:sz w:val="18"/>
                <w:szCs w:val="18"/>
                <w:highlight w:val="none"/>
              </w:rPr>
              <w:t>《中小型三相异步电动机能效限定值及能效等级》</w:t>
            </w:r>
            <w:r>
              <w:rPr>
                <w:color w:val="auto"/>
                <w:spacing w:val="18"/>
                <w:sz w:val="18"/>
                <w:szCs w:val="18"/>
                <w:highlight w:val="none"/>
              </w:rPr>
              <w:t xml:space="preserve"> </w:t>
            </w:r>
            <w:r>
              <w:rPr>
                <w:color w:val="auto"/>
                <w:spacing w:val="-2"/>
                <w:sz w:val="18"/>
                <w:szCs w:val="18"/>
                <w:highlight w:val="none"/>
              </w:rPr>
              <w:t>（GB18613）</w:t>
            </w:r>
          </w:p>
        </w:tc>
      </w:tr>
      <w:tr w14:paraId="49D98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9" w:type="dxa"/>
            <w:vAlign w:val="top"/>
          </w:tcPr>
          <w:p w14:paraId="7FE1DFA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0"/>
              <w:textAlignment w:val="baseline"/>
              <w:rPr>
                <w:color w:val="auto"/>
                <w:sz w:val="18"/>
                <w:szCs w:val="18"/>
                <w:highlight w:val="none"/>
              </w:rPr>
            </w:pPr>
            <w:r>
              <w:rPr>
                <w:color w:val="auto"/>
                <w:sz w:val="18"/>
                <w:szCs w:val="18"/>
                <w:highlight w:val="none"/>
              </w:rPr>
              <w:t>8</w:t>
            </w:r>
          </w:p>
        </w:tc>
        <w:tc>
          <w:tcPr>
            <w:tcW w:w="1165" w:type="dxa"/>
            <w:vAlign w:val="top"/>
          </w:tcPr>
          <w:p w14:paraId="1923FAD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5" w:right="126" w:hanging="5"/>
              <w:textAlignment w:val="baseline"/>
              <w:rPr>
                <w:color w:val="auto"/>
                <w:sz w:val="18"/>
                <w:szCs w:val="18"/>
                <w:highlight w:val="none"/>
              </w:rPr>
            </w:pPr>
            <w:r>
              <w:rPr>
                <w:color w:val="auto"/>
                <w:spacing w:val="-1"/>
                <w:sz w:val="18"/>
                <w:szCs w:val="18"/>
                <w:highlight w:val="none"/>
              </w:rPr>
              <w:t>A020602</w:t>
            </w:r>
            <w:r>
              <w:rPr>
                <w:color w:val="auto"/>
                <w:spacing w:val="-39"/>
                <w:sz w:val="18"/>
                <w:szCs w:val="18"/>
                <w:highlight w:val="none"/>
              </w:rPr>
              <w:t xml:space="preserve"> </w:t>
            </w:r>
            <w:r>
              <w:rPr>
                <w:color w:val="auto"/>
                <w:spacing w:val="-1"/>
                <w:sz w:val="18"/>
                <w:szCs w:val="18"/>
                <w:highlight w:val="none"/>
              </w:rPr>
              <w:t>变压</w:t>
            </w:r>
            <w:r>
              <w:rPr>
                <w:color w:val="auto"/>
                <w:sz w:val="18"/>
                <w:szCs w:val="18"/>
                <w:highlight w:val="none"/>
              </w:rPr>
              <w:t xml:space="preserve"> 器</w:t>
            </w:r>
          </w:p>
        </w:tc>
        <w:tc>
          <w:tcPr>
            <w:tcW w:w="1799" w:type="dxa"/>
            <w:vAlign w:val="top"/>
          </w:tcPr>
          <w:p w14:paraId="4CC5DD0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textAlignment w:val="baseline"/>
              <w:rPr>
                <w:color w:val="auto"/>
                <w:sz w:val="18"/>
                <w:szCs w:val="18"/>
                <w:highlight w:val="none"/>
              </w:rPr>
            </w:pPr>
            <w:r>
              <w:rPr>
                <w:color w:val="auto"/>
                <w:spacing w:val="-2"/>
                <w:sz w:val="18"/>
                <w:szCs w:val="18"/>
                <w:highlight w:val="none"/>
              </w:rPr>
              <w:t>配电变压器</w:t>
            </w:r>
          </w:p>
        </w:tc>
        <w:tc>
          <w:tcPr>
            <w:tcW w:w="1612" w:type="dxa"/>
            <w:vAlign w:val="top"/>
          </w:tcPr>
          <w:p w14:paraId="1858786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33BCE238">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6" w:right="742" w:hanging="4"/>
              <w:textAlignment w:val="baseline"/>
              <w:rPr>
                <w:color w:val="auto"/>
                <w:sz w:val="18"/>
                <w:szCs w:val="18"/>
                <w:highlight w:val="none"/>
              </w:rPr>
            </w:pPr>
            <w:r>
              <w:rPr>
                <w:color w:val="auto"/>
                <w:spacing w:val="-2"/>
                <w:sz w:val="18"/>
                <w:szCs w:val="18"/>
                <w:highlight w:val="none"/>
              </w:rPr>
              <w:t>《三相配电变压器能效限定值及能效等级》</w:t>
            </w:r>
            <w:r>
              <w:rPr>
                <w:color w:val="auto"/>
                <w:spacing w:val="12"/>
                <w:sz w:val="18"/>
                <w:szCs w:val="18"/>
                <w:highlight w:val="none"/>
              </w:rPr>
              <w:t xml:space="preserve"> </w:t>
            </w:r>
            <w:r>
              <w:rPr>
                <w:color w:val="auto"/>
                <w:spacing w:val="-2"/>
                <w:sz w:val="18"/>
                <w:szCs w:val="18"/>
                <w:highlight w:val="none"/>
              </w:rPr>
              <w:t>（GB20052）</w:t>
            </w:r>
          </w:p>
        </w:tc>
      </w:tr>
      <w:tr w14:paraId="6758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79" w:type="dxa"/>
            <w:vAlign w:val="top"/>
          </w:tcPr>
          <w:p w14:paraId="1A7EAAB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50"/>
              <w:textAlignment w:val="baseline"/>
              <w:rPr>
                <w:color w:val="auto"/>
                <w:sz w:val="18"/>
                <w:szCs w:val="18"/>
                <w:highlight w:val="none"/>
              </w:rPr>
            </w:pPr>
            <w:r>
              <w:rPr>
                <w:color w:val="auto"/>
                <w:sz w:val="18"/>
                <w:szCs w:val="18"/>
                <w:highlight w:val="none"/>
              </w:rPr>
              <w:t>9</w:t>
            </w:r>
          </w:p>
        </w:tc>
        <w:tc>
          <w:tcPr>
            <w:tcW w:w="1165" w:type="dxa"/>
            <w:vAlign w:val="top"/>
          </w:tcPr>
          <w:p w14:paraId="7563733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126" w:firstLine="2"/>
              <w:textAlignment w:val="baseline"/>
              <w:rPr>
                <w:color w:val="auto"/>
                <w:sz w:val="18"/>
                <w:szCs w:val="18"/>
                <w:highlight w:val="none"/>
              </w:rPr>
            </w:pPr>
            <w:r>
              <w:rPr>
                <w:color w:val="auto"/>
                <w:spacing w:val="-2"/>
                <w:sz w:val="18"/>
                <w:szCs w:val="18"/>
                <w:highlight w:val="none"/>
              </w:rPr>
              <w:t>★A020609</w:t>
            </w:r>
            <w:r>
              <w:rPr>
                <w:color w:val="auto"/>
                <w:spacing w:val="-39"/>
                <w:sz w:val="18"/>
                <w:szCs w:val="18"/>
                <w:highlight w:val="none"/>
              </w:rPr>
              <w:t xml:space="preserve"> </w:t>
            </w:r>
            <w:r>
              <w:rPr>
                <w:color w:val="auto"/>
                <w:spacing w:val="-2"/>
                <w:sz w:val="18"/>
                <w:szCs w:val="18"/>
                <w:highlight w:val="none"/>
              </w:rPr>
              <w:t>镇</w:t>
            </w:r>
            <w:r>
              <w:rPr>
                <w:color w:val="auto"/>
                <w:sz w:val="18"/>
                <w:szCs w:val="18"/>
                <w:highlight w:val="none"/>
              </w:rPr>
              <w:t xml:space="preserve"> </w:t>
            </w:r>
            <w:r>
              <w:rPr>
                <w:color w:val="auto"/>
                <w:spacing w:val="-4"/>
                <w:sz w:val="18"/>
                <w:szCs w:val="18"/>
                <w:highlight w:val="none"/>
              </w:rPr>
              <w:t>流器</w:t>
            </w:r>
          </w:p>
        </w:tc>
        <w:tc>
          <w:tcPr>
            <w:tcW w:w="1799" w:type="dxa"/>
            <w:vAlign w:val="top"/>
          </w:tcPr>
          <w:p w14:paraId="56E3AEE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textAlignment w:val="baseline"/>
              <w:rPr>
                <w:color w:val="auto"/>
                <w:sz w:val="18"/>
                <w:szCs w:val="18"/>
                <w:highlight w:val="none"/>
              </w:rPr>
            </w:pPr>
            <w:r>
              <w:rPr>
                <w:color w:val="auto"/>
                <w:spacing w:val="-2"/>
                <w:sz w:val="18"/>
                <w:szCs w:val="18"/>
                <w:highlight w:val="none"/>
              </w:rPr>
              <w:t>管型荧光灯镇流器</w:t>
            </w:r>
          </w:p>
        </w:tc>
        <w:tc>
          <w:tcPr>
            <w:tcW w:w="1612" w:type="dxa"/>
            <w:vAlign w:val="top"/>
          </w:tcPr>
          <w:p w14:paraId="6F2C8D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5983290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6" w:right="562" w:hanging="4"/>
              <w:textAlignment w:val="baseline"/>
              <w:rPr>
                <w:color w:val="auto"/>
                <w:sz w:val="18"/>
                <w:szCs w:val="18"/>
                <w:highlight w:val="none"/>
              </w:rPr>
            </w:pPr>
            <w:r>
              <w:rPr>
                <w:color w:val="auto"/>
                <w:spacing w:val="-2"/>
                <w:sz w:val="18"/>
                <w:szCs w:val="18"/>
                <w:highlight w:val="none"/>
              </w:rPr>
              <w:t>《管形荧光灯镇流器能效限定值及能效等级》</w:t>
            </w:r>
            <w:r>
              <w:rPr>
                <w:color w:val="auto"/>
                <w:spacing w:val="14"/>
                <w:sz w:val="18"/>
                <w:szCs w:val="18"/>
                <w:highlight w:val="none"/>
              </w:rPr>
              <w:t xml:space="preserve"> </w:t>
            </w:r>
            <w:r>
              <w:rPr>
                <w:color w:val="auto"/>
                <w:spacing w:val="-2"/>
                <w:sz w:val="18"/>
                <w:szCs w:val="18"/>
                <w:highlight w:val="none"/>
              </w:rPr>
              <w:t>（GB17896）</w:t>
            </w:r>
          </w:p>
        </w:tc>
      </w:tr>
      <w:tr w14:paraId="73FF9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79" w:type="dxa"/>
            <w:vAlign w:val="top"/>
          </w:tcPr>
          <w:p w14:paraId="527DFEA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10</w:t>
            </w:r>
          </w:p>
        </w:tc>
        <w:tc>
          <w:tcPr>
            <w:tcW w:w="1165" w:type="dxa"/>
            <w:vAlign w:val="top"/>
          </w:tcPr>
          <w:p w14:paraId="3AD05E77">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126" w:hanging="7"/>
              <w:textAlignment w:val="baseline"/>
              <w:rPr>
                <w:color w:val="auto"/>
                <w:sz w:val="18"/>
                <w:szCs w:val="18"/>
                <w:highlight w:val="none"/>
              </w:rPr>
            </w:pPr>
            <w:r>
              <w:rPr>
                <w:color w:val="auto"/>
                <w:spacing w:val="-2"/>
                <w:sz w:val="18"/>
                <w:szCs w:val="18"/>
                <w:highlight w:val="none"/>
              </w:rPr>
              <w:t>A020618</w:t>
            </w:r>
            <w:r>
              <w:rPr>
                <w:color w:val="auto"/>
                <w:spacing w:val="-31"/>
                <w:sz w:val="18"/>
                <w:szCs w:val="18"/>
                <w:highlight w:val="none"/>
              </w:rPr>
              <w:t xml:space="preserve"> </w:t>
            </w:r>
            <w:r>
              <w:rPr>
                <w:color w:val="auto"/>
                <w:spacing w:val="-2"/>
                <w:sz w:val="18"/>
                <w:szCs w:val="18"/>
                <w:highlight w:val="none"/>
              </w:rPr>
              <w:t>生活</w:t>
            </w:r>
            <w:r>
              <w:rPr>
                <w:color w:val="auto"/>
                <w:sz w:val="18"/>
                <w:szCs w:val="18"/>
                <w:highlight w:val="none"/>
              </w:rPr>
              <w:t xml:space="preserve"> </w:t>
            </w:r>
            <w:r>
              <w:rPr>
                <w:color w:val="auto"/>
                <w:spacing w:val="-3"/>
                <w:sz w:val="18"/>
                <w:szCs w:val="18"/>
                <w:highlight w:val="none"/>
              </w:rPr>
              <w:t>用电器</w:t>
            </w:r>
          </w:p>
        </w:tc>
        <w:tc>
          <w:tcPr>
            <w:tcW w:w="1799" w:type="dxa"/>
            <w:vAlign w:val="top"/>
          </w:tcPr>
          <w:p w14:paraId="7DD9572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
              <w:textAlignment w:val="baseline"/>
              <w:rPr>
                <w:color w:val="auto"/>
                <w:sz w:val="18"/>
                <w:szCs w:val="18"/>
                <w:highlight w:val="none"/>
              </w:rPr>
            </w:pPr>
            <w:r>
              <w:rPr>
                <w:color w:val="auto"/>
                <w:spacing w:val="-3"/>
                <w:sz w:val="18"/>
                <w:szCs w:val="18"/>
                <w:highlight w:val="none"/>
              </w:rPr>
              <w:t>A0206180101</w:t>
            </w:r>
            <w:r>
              <w:rPr>
                <w:color w:val="auto"/>
                <w:spacing w:val="-7"/>
                <w:sz w:val="18"/>
                <w:szCs w:val="18"/>
                <w:highlight w:val="none"/>
              </w:rPr>
              <w:t xml:space="preserve"> </w:t>
            </w:r>
            <w:r>
              <w:rPr>
                <w:color w:val="auto"/>
                <w:spacing w:val="-3"/>
                <w:sz w:val="18"/>
                <w:szCs w:val="18"/>
                <w:highlight w:val="none"/>
              </w:rPr>
              <w:t>电冰箱</w:t>
            </w:r>
          </w:p>
        </w:tc>
        <w:tc>
          <w:tcPr>
            <w:tcW w:w="1612" w:type="dxa"/>
            <w:vAlign w:val="top"/>
          </w:tcPr>
          <w:p w14:paraId="6C59ABD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65" w:type="dxa"/>
            <w:vAlign w:val="top"/>
          </w:tcPr>
          <w:p w14:paraId="6A63093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6" w:right="922" w:hanging="4"/>
              <w:textAlignment w:val="baseline"/>
              <w:rPr>
                <w:color w:val="auto"/>
                <w:sz w:val="18"/>
                <w:szCs w:val="18"/>
                <w:highlight w:val="none"/>
              </w:rPr>
            </w:pPr>
            <w:r>
              <w:rPr>
                <w:color w:val="auto"/>
                <w:spacing w:val="-2"/>
                <w:sz w:val="18"/>
                <w:szCs w:val="18"/>
                <w:highlight w:val="none"/>
              </w:rPr>
              <w:t>《家用电冰箱耗电量限定值及能效等级》</w:t>
            </w:r>
            <w:r>
              <w:rPr>
                <w:color w:val="auto"/>
                <w:spacing w:val="10"/>
                <w:sz w:val="18"/>
                <w:szCs w:val="18"/>
                <w:highlight w:val="none"/>
              </w:rPr>
              <w:t xml:space="preserve"> </w:t>
            </w:r>
            <w:r>
              <w:rPr>
                <w:color w:val="auto"/>
                <w:spacing w:val="-2"/>
                <w:sz w:val="18"/>
                <w:szCs w:val="18"/>
                <w:highlight w:val="none"/>
              </w:rPr>
              <w:t>（GB12021.2）</w:t>
            </w:r>
          </w:p>
        </w:tc>
      </w:tr>
    </w:tbl>
    <w:p w14:paraId="2F48C5F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color w:val="auto"/>
          <w:sz w:val="21"/>
          <w:szCs w:val="21"/>
          <w:highlight w:val="none"/>
        </w:rPr>
        <w:sectPr>
          <w:footerReference r:id="rId14" w:type="default"/>
          <w:pgSz w:w="11906" w:h="16839"/>
          <w:pgMar w:top="1474" w:right="1474" w:bottom="1474" w:left="1474" w:header="0" w:footer="677" w:gutter="0"/>
          <w:pgNumType w:fmt="decimal"/>
          <w:cols w:space="720" w:num="1"/>
        </w:sectPr>
      </w:pPr>
    </w:p>
    <w:p w14:paraId="09CCCBC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color w:val="auto"/>
          <w:highlight w:val="none"/>
        </w:rPr>
      </w:pPr>
    </w:p>
    <w:tbl>
      <w:tblPr>
        <w:tblStyle w:val="12"/>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160"/>
        <w:gridCol w:w="1803"/>
        <w:gridCol w:w="1620"/>
        <w:gridCol w:w="4158"/>
      </w:tblGrid>
      <w:tr w14:paraId="7C021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79" w:type="dxa"/>
            <w:vMerge w:val="restart"/>
            <w:tcBorders>
              <w:bottom w:val="nil"/>
            </w:tcBorders>
            <w:vAlign w:val="top"/>
          </w:tcPr>
          <w:p w14:paraId="0418803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restart"/>
            <w:tcBorders>
              <w:bottom w:val="nil"/>
            </w:tcBorders>
            <w:vAlign w:val="top"/>
          </w:tcPr>
          <w:p w14:paraId="7E0453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restart"/>
            <w:tcBorders>
              <w:bottom w:val="nil"/>
            </w:tcBorders>
            <w:vAlign w:val="top"/>
          </w:tcPr>
          <w:p w14:paraId="47B217D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400C56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630CD8A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CE1F25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CCE861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5"/>
              <w:textAlignment w:val="baseline"/>
              <w:rPr>
                <w:color w:val="auto"/>
                <w:sz w:val="18"/>
                <w:szCs w:val="18"/>
                <w:highlight w:val="none"/>
              </w:rPr>
            </w:pPr>
            <w:r>
              <w:rPr>
                <w:color w:val="auto"/>
                <w:spacing w:val="-2"/>
                <w:sz w:val="18"/>
                <w:szCs w:val="18"/>
                <w:highlight w:val="none"/>
              </w:rPr>
              <w:t>★A0206180203</w:t>
            </w:r>
            <w:r>
              <w:rPr>
                <w:color w:val="auto"/>
                <w:spacing w:val="-27"/>
                <w:sz w:val="18"/>
                <w:szCs w:val="18"/>
                <w:highlight w:val="none"/>
              </w:rPr>
              <w:t xml:space="preserve"> </w:t>
            </w:r>
            <w:r>
              <w:rPr>
                <w:color w:val="auto"/>
                <w:spacing w:val="-2"/>
                <w:sz w:val="18"/>
                <w:szCs w:val="18"/>
                <w:highlight w:val="none"/>
              </w:rPr>
              <w:t>空调机</w:t>
            </w:r>
          </w:p>
        </w:tc>
        <w:tc>
          <w:tcPr>
            <w:tcW w:w="1620" w:type="dxa"/>
            <w:vAlign w:val="top"/>
          </w:tcPr>
          <w:p w14:paraId="00BC6C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1728AC2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2"/>
                <w:sz w:val="18"/>
                <w:szCs w:val="18"/>
                <w:highlight w:val="none"/>
              </w:rPr>
              <w:t>房间空气调节器</w:t>
            </w:r>
          </w:p>
        </w:tc>
        <w:tc>
          <w:tcPr>
            <w:tcW w:w="4158" w:type="dxa"/>
            <w:vAlign w:val="top"/>
          </w:tcPr>
          <w:p w14:paraId="2EDEA96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99" w:firstLine="2"/>
              <w:textAlignment w:val="baseline"/>
              <w:rPr>
                <w:color w:val="auto"/>
                <w:sz w:val="18"/>
                <w:szCs w:val="18"/>
                <w:highlight w:val="none"/>
              </w:rPr>
            </w:pPr>
            <w:r>
              <w:rPr>
                <w:color w:val="auto"/>
                <w:spacing w:val="-1"/>
                <w:sz w:val="18"/>
                <w:szCs w:val="18"/>
                <w:highlight w:val="none"/>
              </w:rPr>
              <w:t>《转速可控型房间空气调节器能效限定值及能效等</w:t>
            </w:r>
            <w:r>
              <w:rPr>
                <w:color w:val="auto"/>
                <w:spacing w:val="4"/>
                <w:sz w:val="18"/>
                <w:szCs w:val="18"/>
                <w:highlight w:val="none"/>
              </w:rPr>
              <w:t xml:space="preserve">  </w:t>
            </w:r>
            <w:r>
              <w:rPr>
                <w:color w:val="auto"/>
                <w:spacing w:val="-1"/>
                <w:sz w:val="18"/>
                <w:szCs w:val="18"/>
                <w:highlight w:val="none"/>
              </w:rPr>
              <w:t>级》（GB21455-2013</w:t>
            </w:r>
            <w:r>
              <w:rPr>
                <w:color w:val="auto"/>
                <w:spacing w:val="3"/>
                <w:sz w:val="18"/>
                <w:szCs w:val="18"/>
                <w:highlight w:val="none"/>
              </w:rPr>
              <w:t>），</w:t>
            </w:r>
            <w:r>
              <w:rPr>
                <w:color w:val="auto"/>
                <w:spacing w:val="-1"/>
                <w:sz w:val="18"/>
                <w:szCs w:val="18"/>
                <w:highlight w:val="none"/>
              </w:rPr>
              <w:t>待</w:t>
            </w:r>
            <w:r>
              <w:rPr>
                <w:color w:val="auto"/>
                <w:spacing w:val="-34"/>
                <w:sz w:val="18"/>
                <w:szCs w:val="18"/>
                <w:highlight w:val="none"/>
              </w:rPr>
              <w:t xml:space="preserve"> </w:t>
            </w:r>
            <w:r>
              <w:rPr>
                <w:color w:val="auto"/>
                <w:spacing w:val="-1"/>
                <w:sz w:val="18"/>
                <w:szCs w:val="18"/>
                <w:highlight w:val="none"/>
              </w:rPr>
              <w:t>2019</w:t>
            </w:r>
            <w:r>
              <w:rPr>
                <w:color w:val="auto"/>
                <w:spacing w:val="-38"/>
                <w:sz w:val="18"/>
                <w:szCs w:val="18"/>
                <w:highlight w:val="none"/>
              </w:rPr>
              <w:t xml:space="preserve"> </w:t>
            </w:r>
            <w:r>
              <w:rPr>
                <w:color w:val="auto"/>
                <w:spacing w:val="-1"/>
                <w:sz w:val="18"/>
                <w:szCs w:val="18"/>
                <w:highlight w:val="none"/>
              </w:rPr>
              <w:t>年修</w:t>
            </w:r>
            <w:r>
              <w:rPr>
                <w:color w:val="auto"/>
                <w:spacing w:val="-2"/>
                <w:sz w:val="18"/>
                <w:szCs w:val="18"/>
                <w:highlight w:val="none"/>
              </w:rPr>
              <w:t>订发布后，按</w:t>
            </w:r>
            <w:r>
              <w:rPr>
                <w:color w:val="auto"/>
                <w:sz w:val="18"/>
                <w:szCs w:val="18"/>
                <w:highlight w:val="none"/>
              </w:rPr>
              <w:t xml:space="preserve"> </w:t>
            </w:r>
            <w:r>
              <w:rPr>
                <w:color w:val="auto"/>
                <w:spacing w:val="-1"/>
                <w:sz w:val="18"/>
                <w:szCs w:val="18"/>
                <w:highlight w:val="none"/>
              </w:rPr>
              <w:t>《房间空气调节器能效限定值及能效等级》</w:t>
            </w:r>
          </w:p>
          <w:p w14:paraId="361E547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textAlignment w:val="baseline"/>
              <w:rPr>
                <w:color w:val="auto"/>
                <w:sz w:val="18"/>
                <w:szCs w:val="18"/>
                <w:highlight w:val="none"/>
              </w:rPr>
            </w:pPr>
            <w:r>
              <w:rPr>
                <w:color w:val="auto"/>
                <w:spacing w:val="-2"/>
                <w:sz w:val="18"/>
                <w:szCs w:val="18"/>
                <w:highlight w:val="none"/>
              </w:rPr>
              <w:t>（GB21455-2019</w:t>
            </w:r>
            <w:r>
              <w:rPr>
                <w:color w:val="auto"/>
                <w:spacing w:val="-31"/>
                <w:sz w:val="18"/>
                <w:szCs w:val="18"/>
                <w:highlight w:val="none"/>
              </w:rPr>
              <w:t xml:space="preserve"> </w:t>
            </w:r>
            <w:r>
              <w:rPr>
                <w:color w:val="auto"/>
                <w:spacing w:val="-2"/>
                <w:sz w:val="18"/>
                <w:szCs w:val="18"/>
                <w:highlight w:val="none"/>
              </w:rPr>
              <w:t>实施。</w:t>
            </w:r>
          </w:p>
        </w:tc>
      </w:tr>
      <w:tr w14:paraId="29F16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79" w:type="dxa"/>
            <w:vMerge w:val="continue"/>
            <w:tcBorders>
              <w:top w:val="nil"/>
              <w:bottom w:val="nil"/>
            </w:tcBorders>
            <w:vAlign w:val="top"/>
          </w:tcPr>
          <w:p w14:paraId="2795DFF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4A63D8A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continue"/>
            <w:tcBorders>
              <w:top w:val="nil"/>
              <w:bottom w:val="nil"/>
            </w:tcBorders>
            <w:vAlign w:val="top"/>
          </w:tcPr>
          <w:p w14:paraId="4A04451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611BF02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right="9" w:firstLine="9"/>
              <w:textAlignment w:val="baseline"/>
              <w:rPr>
                <w:color w:val="auto"/>
                <w:sz w:val="18"/>
                <w:szCs w:val="18"/>
                <w:highlight w:val="none"/>
              </w:rPr>
            </w:pPr>
            <w:r>
              <w:rPr>
                <w:color w:val="auto"/>
                <w:spacing w:val="-4"/>
                <w:sz w:val="18"/>
                <w:szCs w:val="18"/>
                <w:highlight w:val="none"/>
              </w:rPr>
              <w:t>多联式空调（热泵）</w:t>
            </w:r>
            <w:r>
              <w:rPr>
                <w:color w:val="auto"/>
                <w:spacing w:val="2"/>
                <w:sz w:val="18"/>
                <w:szCs w:val="18"/>
                <w:highlight w:val="none"/>
              </w:rPr>
              <w:t xml:space="preserve"> </w:t>
            </w:r>
            <w:r>
              <w:rPr>
                <w:color w:val="auto"/>
                <w:spacing w:val="-1"/>
                <w:sz w:val="18"/>
                <w:szCs w:val="18"/>
                <w:highlight w:val="none"/>
              </w:rPr>
              <w:t>机组（制冷量≤</w:t>
            </w:r>
          </w:p>
          <w:p w14:paraId="3116478B">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3"/>
              <w:textAlignment w:val="baseline"/>
              <w:rPr>
                <w:color w:val="auto"/>
                <w:sz w:val="18"/>
                <w:szCs w:val="18"/>
                <w:highlight w:val="none"/>
              </w:rPr>
            </w:pPr>
            <w:r>
              <w:rPr>
                <w:color w:val="auto"/>
                <w:spacing w:val="-3"/>
                <w:sz w:val="18"/>
                <w:szCs w:val="18"/>
                <w:highlight w:val="none"/>
              </w:rPr>
              <w:t>14000W）</w:t>
            </w:r>
          </w:p>
        </w:tc>
        <w:tc>
          <w:tcPr>
            <w:tcW w:w="4158" w:type="dxa"/>
            <w:vAlign w:val="top"/>
          </w:tcPr>
          <w:p w14:paraId="015CF57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17" w:firstLine="2"/>
              <w:textAlignment w:val="baseline"/>
              <w:rPr>
                <w:color w:val="auto"/>
                <w:sz w:val="18"/>
                <w:szCs w:val="18"/>
                <w:highlight w:val="none"/>
              </w:rPr>
            </w:pPr>
            <w:r>
              <w:rPr>
                <w:color w:val="auto"/>
                <w:spacing w:val="-1"/>
                <w:sz w:val="18"/>
                <w:szCs w:val="18"/>
                <w:highlight w:val="none"/>
              </w:rPr>
              <w:t>《多联式空调（热泵）机组能效限定值及能源效率等</w:t>
            </w:r>
            <w:r>
              <w:rPr>
                <w:color w:val="auto"/>
                <w:spacing w:val="2"/>
                <w:sz w:val="18"/>
                <w:szCs w:val="18"/>
                <w:highlight w:val="none"/>
              </w:rPr>
              <w:t xml:space="preserve"> </w:t>
            </w:r>
            <w:r>
              <w:rPr>
                <w:color w:val="auto"/>
                <w:spacing w:val="-1"/>
                <w:sz w:val="18"/>
                <w:szCs w:val="18"/>
                <w:highlight w:val="none"/>
              </w:rPr>
              <w:t>级》（GB21454）</w:t>
            </w:r>
          </w:p>
        </w:tc>
      </w:tr>
      <w:tr w14:paraId="71BD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79" w:type="dxa"/>
            <w:vMerge w:val="continue"/>
            <w:tcBorders>
              <w:top w:val="nil"/>
              <w:bottom w:val="nil"/>
            </w:tcBorders>
            <w:vAlign w:val="top"/>
          </w:tcPr>
          <w:p w14:paraId="4B227E3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2DE842C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continue"/>
            <w:tcBorders>
              <w:top w:val="nil"/>
              <w:bottom w:val="nil"/>
            </w:tcBorders>
            <w:vAlign w:val="top"/>
          </w:tcPr>
          <w:p w14:paraId="7CF6F08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6B1A2D2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1"/>
              <w:textAlignment w:val="baseline"/>
              <w:rPr>
                <w:color w:val="auto"/>
                <w:sz w:val="18"/>
                <w:szCs w:val="18"/>
                <w:highlight w:val="none"/>
              </w:rPr>
            </w:pPr>
            <w:r>
              <w:rPr>
                <w:color w:val="auto"/>
                <w:spacing w:val="-2"/>
                <w:sz w:val="18"/>
                <w:szCs w:val="18"/>
                <w:highlight w:val="none"/>
              </w:rPr>
              <w:t>单元式空气调节机</w:t>
            </w:r>
          </w:p>
        </w:tc>
        <w:tc>
          <w:tcPr>
            <w:tcW w:w="4158" w:type="dxa"/>
            <w:vMerge w:val="restart"/>
            <w:tcBorders>
              <w:bottom w:val="nil"/>
            </w:tcBorders>
            <w:vAlign w:val="top"/>
          </w:tcPr>
          <w:p w14:paraId="0314B5D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5"/>
              <w:textAlignment w:val="baseline"/>
              <w:rPr>
                <w:color w:val="auto"/>
                <w:sz w:val="18"/>
                <w:szCs w:val="18"/>
                <w:highlight w:val="none"/>
              </w:rPr>
            </w:pPr>
            <w:r>
              <w:rPr>
                <w:color w:val="auto"/>
                <w:spacing w:val="-1"/>
                <w:sz w:val="18"/>
                <w:szCs w:val="18"/>
                <w:highlight w:val="none"/>
              </w:rPr>
              <w:t>《单元式空气调节机能效限定值及能源效率等级》</w:t>
            </w:r>
          </w:p>
          <w:p w14:paraId="3FB5030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4" w:right="99" w:firstLine="5"/>
              <w:jc w:val="both"/>
              <w:textAlignment w:val="baseline"/>
              <w:rPr>
                <w:color w:val="auto"/>
                <w:sz w:val="18"/>
                <w:szCs w:val="18"/>
                <w:highlight w:val="none"/>
              </w:rPr>
            </w:pPr>
            <w:r>
              <w:rPr>
                <w:color w:val="auto"/>
                <w:spacing w:val="-1"/>
                <w:sz w:val="18"/>
                <w:szCs w:val="18"/>
                <w:highlight w:val="none"/>
              </w:rPr>
              <w:t>（GB19576）《风管送风式空调机组能效限定值及能</w:t>
            </w:r>
            <w:r>
              <w:rPr>
                <w:color w:val="auto"/>
                <w:spacing w:val="9"/>
                <w:sz w:val="18"/>
                <w:szCs w:val="18"/>
                <w:highlight w:val="none"/>
              </w:rPr>
              <w:t xml:space="preserve"> </w:t>
            </w:r>
            <w:r>
              <w:rPr>
                <w:color w:val="auto"/>
                <w:spacing w:val="-1"/>
                <w:sz w:val="18"/>
                <w:szCs w:val="18"/>
                <w:highlight w:val="none"/>
              </w:rPr>
              <w:t>效等级》（GB37479）</w:t>
            </w:r>
          </w:p>
        </w:tc>
      </w:tr>
      <w:tr w14:paraId="006A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579" w:type="dxa"/>
            <w:vMerge w:val="continue"/>
            <w:tcBorders>
              <w:top w:val="nil"/>
              <w:bottom w:val="nil"/>
            </w:tcBorders>
            <w:vAlign w:val="top"/>
          </w:tcPr>
          <w:p w14:paraId="51A639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48B0ECC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continue"/>
            <w:tcBorders>
              <w:top w:val="nil"/>
            </w:tcBorders>
            <w:vAlign w:val="top"/>
          </w:tcPr>
          <w:p w14:paraId="32B3A04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57FB4C0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41"/>
              <w:textAlignment w:val="baseline"/>
              <w:rPr>
                <w:color w:val="auto"/>
                <w:sz w:val="18"/>
                <w:szCs w:val="18"/>
                <w:highlight w:val="none"/>
              </w:rPr>
            </w:pPr>
            <w:r>
              <w:rPr>
                <w:color w:val="auto"/>
                <w:spacing w:val="-4"/>
                <w:sz w:val="18"/>
                <w:szCs w:val="18"/>
                <w:highlight w:val="none"/>
              </w:rPr>
              <w:t>(制冷量≤14000W)</w:t>
            </w:r>
          </w:p>
        </w:tc>
        <w:tc>
          <w:tcPr>
            <w:tcW w:w="4158" w:type="dxa"/>
            <w:vMerge w:val="continue"/>
            <w:tcBorders>
              <w:top w:val="nil"/>
            </w:tcBorders>
            <w:vAlign w:val="top"/>
          </w:tcPr>
          <w:p w14:paraId="41552F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r>
      <w:tr w14:paraId="18313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79" w:type="dxa"/>
            <w:vMerge w:val="continue"/>
            <w:tcBorders>
              <w:top w:val="nil"/>
              <w:bottom w:val="nil"/>
            </w:tcBorders>
            <w:vAlign w:val="top"/>
          </w:tcPr>
          <w:p w14:paraId="017AF37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0063BA1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Align w:val="top"/>
          </w:tcPr>
          <w:p w14:paraId="009B9548">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textAlignment w:val="baseline"/>
              <w:rPr>
                <w:color w:val="auto"/>
                <w:sz w:val="18"/>
                <w:szCs w:val="18"/>
                <w:highlight w:val="none"/>
              </w:rPr>
            </w:pPr>
            <w:r>
              <w:rPr>
                <w:color w:val="auto"/>
                <w:spacing w:val="-1"/>
                <w:sz w:val="18"/>
                <w:szCs w:val="18"/>
                <w:highlight w:val="none"/>
              </w:rPr>
              <w:t>A0206180301</w:t>
            </w:r>
            <w:r>
              <w:rPr>
                <w:color w:val="auto"/>
                <w:spacing w:val="-35"/>
                <w:sz w:val="18"/>
                <w:szCs w:val="18"/>
                <w:highlight w:val="none"/>
              </w:rPr>
              <w:t xml:space="preserve"> </w:t>
            </w:r>
            <w:r>
              <w:rPr>
                <w:color w:val="auto"/>
                <w:spacing w:val="-1"/>
                <w:sz w:val="18"/>
                <w:szCs w:val="18"/>
                <w:highlight w:val="none"/>
              </w:rPr>
              <w:t>洗衣机</w:t>
            </w:r>
          </w:p>
        </w:tc>
        <w:tc>
          <w:tcPr>
            <w:tcW w:w="1620" w:type="dxa"/>
            <w:vAlign w:val="top"/>
          </w:tcPr>
          <w:p w14:paraId="3FBE646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048A8C49">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4"/>
                <w:sz w:val="18"/>
                <w:szCs w:val="18"/>
                <w:highlight w:val="none"/>
              </w:rPr>
              <w:t>《电动洗衣机能效水效限定值及等级》（GB12021.4）</w:t>
            </w:r>
          </w:p>
        </w:tc>
      </w:tr>
      <w:tr w14:paraId="6BB7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79" w:type="dxa"/>
            <w:vMerge w:val="continue"/>
            <w:tcBorders>
              <w:top w:val="nil"/>
              <w:bottom w:val="nil"/>
            </w:tcBorders>
            <w:vAlign w:val="top"/>
          </w:tcPr>
          <w:p w14:paraId="58F3B4C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661BF37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restart"/>
            <w:tcBorders>
              <w:bottom w:val="nil"/>
            </w:tcBorders>
            <w:vAlign w:val="top"/>
          </w:tcPr>
          <w:p w14:paraId="6790E2E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38612A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0F4737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62042A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3C74F8A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textAlignment w:val="baseline"/>
              <w:rPr>
                <w:color w:val="auto"/>
                <w:sz w:val="18"/>
                <w:szCs w:val="18"/>
                <w:highlight w:val="none"/>
              </w:rPr>
            </w:pPr>
            <w:r>
              <w:rPr>
                <w:color w:val="auto"/>
                <w:spacing w:val="-2"/>
                <w:sz w:val="18"/>
                <w:szCs w:val="18"/>
                <w:highlight w:val="none"/>
              </w:rPr>
              <w:t>A02061808</w:t>
            </w:r>
            <w:r>
              <w:rPr>
                <w:color w:val="auto"/>
                <w:spacing w:val="-25"/>
                <w:sz w:val="18"/>
                <w:szCs w:val="18"/>
                <w:highlight w:val="none"/>
              </w:rPr>
              <w:t xml:space="preserve"> </w:t>
            </w:r>
            <w:r>
              <w:rPr>
                <w:color w:val="auto"/>
                <w:spacing w:val="-2"/>
                <w:sz w:val="18"/>
                <w:szCs w:val="18"/>
                <w:highlight w:val="none"/>
              </w:rPr>
              <w:t>热水器</w:t>
            </w:r>
          </w:p>
        </w:tc>
        <w:tc>
          <w:tcPr>
            <w:tcW w:w="1620" w:type="dxa"/>
            <w:vAlign w:val="top"/>
          </w:tcPr>
          <w:p w14:paraId="26B417F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textAlignment w:val="baseline"/>
              <w:rPr>
                <w:color w:val="auto"/>
                <w:sz w:val="18"/>
                <w:szCs w:val="18"/>
                <w:highlight w:val="none"/>
              </w:rPr>
            </w:pPr>
            <w:r>
              <w:rPr>
                <w:color w:val="auto"/>
                <w:spacing w:val="-2"/>
                <w:sz w:val="18"/>
                <w:szCs w:val="18"/>
                <w:highlight w:val="none"/>
              </w:rPr>
              <w:t>★电热水器</w:t>
            </w:r>
          </w:p>
        </w:tc>
        <w:tc>
          <w:tcPr>
            <w:tcW w:w="4158" w:type="dxa"/>
            <w:vAlign w:val="top"/>
          </w:tcPr>
          <w:p w14:paraId="0F7F3C8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742" w:hanging="4"/>
              <w:textAlignment w:val="baseline"/>
              <w:rPr>
                <w:color w:val="auto"/>
                <w:sz w:val="18"/>
                <w:szCs w:val="18"/>
                <w:highlight w:val="none"/>
              </w:rPr>
            </w:pPr>
            <w:r>
              <w:rPr>
                <w:color w:val="auto"/>
                <w:spacing w:val="-2"/>
                <w:sz w:val="18"/>
                <w:szCs w:val="18"/>
                <w:highlight w:val="none"/>
              </w:rPr>
              <w:t>《储水式电热水器能效限定值及能效等级》</w:t>
            </w:r>
            <w:r>
              <w:rPr>
                <w:color w:val="auto"/>
                <w:spacing w:val="12"/>
                <w:sz w:val="18"/>
                <w:szCs w:val="18"/>
                <w:highlight w:val="none"/>
              </w:rPr>
              <w:t xml:space="preserve"> </w:t>
            </w:r>
            <w:r>
              <w:rPr>
                <w:color w:val="auto"/>
                <w:spacing w:val="-2"/>
                <w:sz w:val="18"/>
                <w:szCs w:val="18"/>
                <w:highlight w:val="none"/>
              </w:rPr>
              <w:t>（GB21519）</w:t>
            </w:r>
          </w:p>
        </w:tc>
      </w:tr>
      <w:tr w14:paraId="608C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79" w:type="dxa"/>
            <w:vMerge w:val="continue"/>
            <w:tcBorders>
              <w:top w:val="nil"/>
              <w:bottom w:val="nil"/>
            </w:tcBorders>
            <w:vAlign w:val="top"/>
          </w:tcPr>
          <w:p w14:paraId="20E3C4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0687CD2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continue"/>
            <w:tcBorders>
              <w:top w:val="nil"/>
              <w:bottom w:val="nil"/>
            </w:tcBorders>
            <w:vAlign w:val="top"/>
          </w:tcPr>
          <w:p w14:paraId="6D6218A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4443E02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336A3A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2"/>
                <w:sz w:val="18"/>
                <w:szCs w:val="18"/>
                <w:highlight w:val="none"/>
              </w:rPr>
              <w:t>燃气热水器</w:t>
            </w:r>
          </w:p>
        </w:tc>
        <w:tc>
          <w:tcPr>
            <w:tcW w:w="4158" w:type="dxa"/>
            <w:vAlign w:val="top"/>
          </w:tcPr>
          <w:p w14:paraId="6728EEF6">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right="190" w:firstLine="5"/>
              <w:textAlignment w:val="baseline"/>
              <w:rPr>
                <w:color w:val="auto"/>
                <w:sz w:val="18"/>
                <w:szCs w:val="18"/>
                <w:highlight w:val="none"/>
              </w:rPr>
            </w:pPr>
            <w:r>
              <w:rPr>
                <w:color w:val="auto"/>
                <w:spacing w:val="-1"/>
                <w:sz w:val="18"/>
                <w:szCs w:val="18"/>
                <w:highlight w:val="none"/>
              </w:rPr>
              <w:t>《家用燃气快速热水器和燃气采暖热水炉能效限定</w:t>
            </w:r>
            <w:r>
              <w:rPr>
                <w:color w:val="auto"/>
                <w:spacing w:val="8"/>
                <w:sz w:val="18"/>
                <w:szCs w:val="18"/>
                <w:highlight w:val="none"/>
              </w:rPr>
              <w:t xml:space="preserve"> </w:t>
            </w:r>
            <w:r>
              <w:rPr>
                <w:color w:val="auto"/>
                <w:spacing w:val="-2"/>
                <w:sz w:val="18"/>
                <w:szCs w:val="18"/>
                <w:highlight w:val="none"/>
              </w:rPr>
              <w:t>值及能效等级</w:t>
            </w:r>
          </w:p>
          <w:p w14:paraId="1EFCF69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textAlignment w:val="baseline"/>
              <w:rPr>
                <w:color w:val="auto"/>
                <w:sz w:val="18"/>
                <w:szCs w:val="18"/>
                <w:highlight w:val="none"/>
              </w:rPr>
            </w:pPr>
            <w:r>
              <w:rPr>
                <w:color w:val="auto"/>
                <w:spacing w:val="-2"/>
                <w:sz w:val="18"/>
                <w:szCs w:val="18"/>
                <w:highlight w:val="none"/>
              </w:rPr>
              <w:t>（GB20665）</w:t>
            </w:r>
          </w:p>
        </w:tc>
      </w:tr>
      <w:tr w14:paraId="06D1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9" w:type="dxa"/>
            <w:vMerge w:val="continue"/>
            <w:tcBorders>
              <w:top w:val="nil"/>
              <w:bottom w:val="nil"/>
            </w:tcBorders>
            <w:vAlign w:val="top"/>
          </w:tcPr>
          <w:p w14:paraId="2373081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088E8E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continue"/>
            <w:tcBorders>
              <w:top w:val="nil"/>
              <w:bottom w:val="nil"/>
            </w:tcBorders>
            <w:vAlign w:val="top"/>
          </w:tcPr>
          <w:p w14:paraId="38FB8AB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71CFCAA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3"/>
              <w:textAlignment w:val="baseline"/>
              <w:rPr>
                <w:color w:val="auto"/>
                <w:sz w:val="18"/>
                <w:szCs w:val="18"/>
                <w:highlight w:val="none"/>
              </w:rPr>
            </w:pPr>
            <w:r>
              <w:rPr>
                <w:color w:val="auto"/>
                <w:spacing w:val="-3"/>
                <w:sz w:val="18"/>
                <w:szCs w:val="18"/>
                <w:highlight w:val="none"/>
              </w:rPr>
              <w:t>热泵热水器</w:t>
            </w:r>
          </w:p>
        </w:tc>
        <w:tc>
          <w:tcPr>
            <w:tcW w:w="4158" w:type="dxa"/>
            <w:vAlign w:val="top"/>
          </w:tcPr>
          <w:p w14:paraId="56FE07BB">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562" w:hanging="4"/>
              <w:textAlignment w:val="baseline"/>
              <w:rPr>
                <w:color w:val="auto"/>
                <w:sz w:val="18"/>
                <w:szCs w:val="18"/>
                <w:highlight w:val="none"/>
              </w:rPr>
            </w:pPr>
            <w:r>
              <w:rPr>
                <w:color w:val="auto"/>
                <w:spacing w:val="-2"/>
                <w:sz w:val="18"/>
                <w:szCs w:val="18"/>
                <w:highlight w:val="none"/>
              </w:rPr>
              <w:t>《热泵热水机（器）能效限定值及能效等级》</w:t>
            </w:r>
            <w:r>
              <w:rPr>
                <w:color w:val="auto"/>
                <w:spacing w:val="14"/>
                <w:sz w:val="18"/>
                <w:szCs w:val="18"/>
                <w:highlight w:val="none"/>
              </w:rPr>
              <w:t xml:space="preserve"> </w:t>
            </w:r>
            <w:r>
              <w:rPr>
                <w:color w:val="auto"/>
                <w:spacing w:val="-2"/>
                <w:sz w:val="18"/>
                <w:szCs w:val="18"/>
                <w:highlight w:val="none"/>
              </w:rPr>
              <w:t>（GB29541）</w:t>
            </w:r>
          </w:p>
        </w:tc>
      </w:tr>
      <w:tr w14:paraId="36DA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79" w:type="dxa"/>
            <w:vMerge w:val="continue"/>
            <w:tcBorders>
              <w:top w:val="nil"/>
            </w:tcBorders>
            <w:vAlign w:val="top"/>
          </w:tcPr>
          <w:p w14:paraId="29D3445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tcBorders>
            <w:vAlign w:val="top"/>
          </w:tcPr>
          <w:p w14:paraId="5518B1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Merge w:val="continue"/>
            <w:tcBorders>
              <w:top w:val="nil"/>
            </w:tcBorders>
            <w:vAlign w:val="top"/>
          </w:tcPr>
          <w:p w14:paraId="66AC3A2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0D0AA6DC">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textAlignment w:val="baseline"/>
              <w:rPr>
                <w:color w:val="auto"/>
                <w:sz w:val="18"/>
                <w:szCs w:val="18"/>
                <w:highlight w:val="none"/>
              </w:rPr>
            </w:pPr>
            <w:r>
              <w:rPr>
                <w:color w:val="auto"/>
                <w:spacing w:val="-2"/>
                <w:sz w:val="18"/>
                <w:szCs w:val="18"/>
                <w:highlight w:val="none"/>
              </w:rPr>
              <w:t>太阳能热水系统</w:t>
            </w:r>
          </w:p>
        </w:tc>
        <w:tc>
          <w:tcPr>
            <w:tcW w:w="4158" w:type="dxa"/>
            <w:vAlign w:val="top"/>
          </w:tcPr>
          <w:p w14:paraId="2031E6E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382" w:hanging="4"/>
              <w:textAlignment w:val="baseline"/>
              <w:rPr>
                <w:color w:val="auto"/>
                <w:sz w:val="18"/>
                <w:szCs w:val="18"/>
                <w:highlight w:val="none"/>
              </w:rPr>
            </w:pPr>
            <w:r>
              <w:rPr>
                <w:color w:val="auto"/>
                <w:spacing w:val="-2"/>
                <w:sz w:val="18"/>
                <w:szCs w:val="18"/>
                <w:highlight w:val="none"/>
              </w:rPr>
              <w:t>《家用太阳能热水系统能效限定值及能效等级》</w:t>
            </w:r>
            <w:r>
              <w:rPr>
                <w:color w:val="auto"/>
                <w:spacing w:val="16"/>
                <w:sz w:val="18"/>
                <w:szCs w:val="18"/>
                <w:highlight w:val="none"/>
              </w:rPr>
              <w:t xml:space="preserve"> </w:t>
            </w:r>
            <w:r>
              <w:rPr>
                <w:color w:val="auto"/>
                <w:spacing w:val="-2"/>
                <w:sz w:val="18"/>
                <w:szCs w:val="18"/>
                <w:highlight w:val="none"/>
              </w:rPr>
              <w:t>（GB26969）</w:t>
            </w:r>
          </w:p>
        </w:tc>
      </w:tr>
      <w:tr w14:paraId="3924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9" w:type="dxa"/>
            <w:vMerge w:val="restart"/>
            <w:tcBorders>
              <w:bottom w:val="nil"/>
            </w:tcBorders>
            <w:vAlign w:val="top"/>
          </w:tcPr>
          <w:p w14:paraId="3B6C8D9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6B8FFF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2D725EB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4D1A15E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11</w:t>
            </w:r>
          </w:p>
        </w:tc>
        <w:tc>
          <w:tcPr>
            <w:tcW w:w="1160" w:type="dxa"/>
            <w:vMerge w:val="restart"/>
            <w:tcBorders>
              <w:bottom w:val="nil"/>
            </w:tcBorders>
            <w:vAlign w:val="top"/>
          </w:tcPr>
          <w:p w14:paraId="77FF1B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057786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233D7C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A4CC048">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8" w:right="121" w:hanging="8"/>
              <w:textAlignment w:val="baseline"/>
              <w:rPr>
                <w:color w:val="auto"/>
                <w:sz w:val="18"/>
                <w:szCs w:val="18"/>
                <w:highlight w:val="none"/>
              </w:rPr>
            </w:pPr>
            <w:r>
              <w:rPr>
                <w:color w:val="auto"/>
                <w:spacing w:val="-2"/>
                <w:sz w:val="18"/>
                <w:szCs w:val="18"/>
                <w:highlight w:val="none"/>
              </w:rPr>
              <w:t>A020619</w:t>
            </w:r>
            <w:r>
              <w:rPr>
                <w:color w:val="auto"/>
                <w:spacing w:val="-31"/>
                <w:sz w:val="18"/>
                <w:szCs w:val="18"/>
                <w:highlight w:val="none"/>
              </w:rPr>
              <w:t xml:space="preserve"> </w:t>
            </w:r>
            <w:r>
              <w:rPr>
                <w:color w:val="auto"/>
                <w:spacing w:val="-2"/>
                <w:sz w:val="18"/>
                <w:szCs w:val="18"/>
                <w:highlight w:val="none"/>
              </w:rPr>
              <w:t>照明</w:t>
            </w:r>
            <w:r>
              <w:rPr>
                <w:color w:val="auto"/>
                <w:sz w:val="18"/>
                <w:szCs w:val="18"/>
                <w:highlight w:val="none"/>
              </w:rPr>
              <w:t xml:space="preserve"> </w:t>
            </w:r>
            <w:r>
              <w:rPr>
                <w:color w:val="auto"/>
                <w:spacing w:val="-5"/>
                <w:sz w:val="18"/>
                <w:szCs w:val="18"/>
                <w:highlight w:val="none"/>
              </w:rPr>
              <w:t>设备</w:t>
            </w:r>
          </w:p>
        </w:tc>
        <w:tc>
          <w:tcPr>
            <w:tcW w:w="1803" w:type="dxa"/>
            <w:vAlign w:val="top"/>
          </w:tcPr>
          <w:p w14:paraId="2EE705E5">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4" w:right="172" w:firstLine="1"/>
              <w:textAlignment w:val="baseline"/>
              <w:rPr>
                <w:color w:val="auto"/>
                <w:sz w:val="18"/>
                <w:szCs w:val="18"/>
                <w:highlight w:val="none"/>
              </w:rPr>
            </w:pPr>
            <w:r>
              <w:rPr>
                <w:color w:val="auto"/>
                <w:spacing w:val="-2"/>
                <w:sz w:val="18"/>
                <w:szCs w:val="18"/>
                <w:highlight w:val="none"/>
              </w:rPr>
              <w:t>★普通照明用双端荧</w:t>
            </w:r>
            <w:r>
              <w:rPr>
                <w:color w:val="auto"/>
                <w:spacing w:val="7"/>
                <w:sz w:val="18"/>
                <w:szCs w:val="18"/>
                <w:highlight w:val="none"/>
              </w:rPr>
              <w:t xml:space="preserve"> </w:t>
            </w:r>
            <w:r>
              <w:rPr>
                <w:color w:val="auto"/>
                <w:spacing w:val="-5"/>
                <w:sz w:val="18"/>
                <w:szCs w:val="18"/>
                <w:highlight w:val="none"/>
              </w:rPr>
              <w:t>光灯</w:t>
            </w:r>
          </w:p>
        </w:tc>
        <w:tc>
          <w:tcPr>
            <w:tcW w:w="1620" w:type="dxa"/>
            <w:vAlign w:val="top"/>
          </w:tcPr>
          <w:p w14:paraId="7D17A1F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1DB4271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202" w:hanging="4"/>
              <w:textAlignment w:val="baseline"/>
              <w:rPr>
                <w:color w:val="auto"/>
                <w:sz w:val="18"/>
                <w:szCs w:val="18"/>
                <w:highlight w:val="none"/>
              </w:rPr>
            </w:pPr>
            <w:r>
              <w:rPr>
                <w:color w:val="auto"/>
                <w:spacing w:val="-2"/>
                <w:sz w:val="18"/>
                <w:szCs w:val="18"/>
                <w:highlight w:val="none"/>
              </w:rPr>
              <w:t>《普通照明用双端荧光灯能效限定值及能效等级》</w:t>
            </w:r>
            <w:r>
              <w:rPr>
                <w:color w:val="auto"/>
                <w:spacing w:val="18"/>
                <w:sz w:val="18"/>
                <w:szCs w:val="18"/>
                <w:highlight w:val="none"/>
              </w:rPr>
              <w:t xml:space="preserve"> </w:t>
            </w:r>
            <w:r>
              <w:rPr>
                <w:color w:val="auto"/>
                <w:spacing w:val="-2"/>
                <w:sz w:val="18"/>
                <w:szCs w:val="18"/>
                <w:highlight w:val="none"/>
              </w:rPr>
              <w:t>（GB19043）</w:t>
            </w:r>
          </w:p>
        </w:tc>
      </w:tr>
      <w:tr w14:paraId="7A52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9" w:type="dxa"/>
            <w:vMerge w:val="continue"/>
            <w:tcBorders>
              <w:top w:val="nil"/>
              <w:bottom w:val="nil"/>
            </w:tcBorders>
            <w:vAlign w:val="top"/>
          </w:tcPr>
          <w:p w14:paraId="21E47E1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66204E4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Align w:val="top"/>
          </w:tcPr>
          <w:p w14:paraId="58793C7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7" w:right="126" w:hanging="16"/>
              <w:textAlignment w:val="baseline"/>
              <w:rPr>
                <w:color w:val="auto"/>
                <w:sz w:val="18"/>
                <w:szCs w:val="18"/>
                <w:highlight w:val="none"/>
              </w:rPr>
            </w:pPr>
            <w:r>
              <w:rPr>
                <w:color w:val="auto"/>
                <w:spacing w:val="-1"/>
                <w:sz w:val="18"/>
                <w:szCs w:val="18"/>
                <w:highlight w:val="none"/>
              </w:rPr>
              <w:t>LED</w:t>
            </w:r>
            <w:r>
              <w:rPr>
                <w:color w:val="auto"/>
                <w:spacing w:val="-40"/>
                <w:sz w:val="18"/>
                <w:szCs w:val="18"/>
                <w:highlight w:val="none"/>
              </w:rPr>
              <w:t xml:space="preserve"> </w:t>
            </w:r>
            <w:r>
              <w:rPr>
                <w:color w:val="auto"/>
                <w:spacing w:val="-1"/>
                <w:sz w:val="18"/>
                <w:szCs w:val="18"/>
                <w:highlight w:val="none"/>
              </w:rPr>
              <w:t>道路/隧道照明产</w:t>
            </w:r>
            <w:r>
              <w:rPr>
                <w:color w:val="auto"/>
                <w:sz w:val="18"/>
                <w:szCs w:val="18"/>
                <w:highlight w:val="none"/>
              </w:rPr>
              <w:t xml:space="preserve"> 品</w:t>
            </w:r>
          </w:p>
        </w:tc>
        <w:tc>
          <w:tcPr>
            <w:tcW w:w="1620" w:type="dxa"/>
            <w:vAlign w:val="top"/>
          </w:tcPr>
          <w:p w14:paraId="7764BD6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1D202E9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190" w:firstLine="2"/>
              <w:textAlignment w:val="baseline"/>
              <w:rPr>
                <w:color w:val="auto"/>
                <w:sz w:val="18"/>
                <w:szCs w:val="18"/>
                <w:highlight w:val="none"/>
              </w:rPr>
            </w:pPr>
            <w:r>
              <w:rPr>
                <w:color w:val="auto"/>
                <w:spacing w:val="1"/>
                <w:sz w:val="18"/>
                <w:szCs w:val="18"/>
                <w:highlight w:val="none"/>
              </w:rPr>
              <w:t>《道路和隧道照明用</w:t>
            </w:r>
            <w:r>
              <w:rPr>
                <w:color w:val="auto"/>
                <w:sz w:val="18"/>
                <w:szCs w:val="18"/>
                <w:highlight w:val="none"/>
              </w:rPr>
              <w:t>LED</w:t>
            </w:r>
            <w:r>
              <w:rPr>
                <w:color w:val="auto"/>
                <w:spacing w:val="-34"/>
                <w:sz w:val="18"/>
                <w:szCs w:val="18"/>
                <w:highlight w:val="none"/>
              </w:rPr>
              <w:t xml:space="preserve"> </w:t>
            </w:r>
            <w:r>
              <w:rPr>
                <w:color w:val="auto"/>
                <w:spacing w:val="1"/>
                <w:sz w:val="18"/>
                <w:szCs w:val="18"/>
                <w:highlight w:val="none"/>
              </w:rPr>
              <w:t>灯具能效限定值及能效等</w:t>
            </w:r>
            <w:r>
              <w:rPr>
                <w:color w:val="auto"/>
                <w:sz w:val="18"/>
                <w:szCs w:val="18"/>
                <w:highlight w:val="none"/>
              </w:rPr>
              <w:t xml:space="preserve"> </w:t>
            </w:r>
            <w:r>
              <w:rPr>
                <w:color w:val="auto"/>
                <w:spacing w:val="-1"/>
                <w:sz w:val="18"/>
                <w:szCs w:val="18"/>
                <w:highlight w:val="none"/>
              </w:rPr>
              <w:t>级》（GB37478）</w:t>
            </w:r>
          </w:p>
        </w:tc>
      </w:tr>
      <w:tr w14:paraId="12518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79" w:type="dxa"/>
            <w:vMerge w:val="continue"/>
            <w:tcBorders>
              <w:top w:val="nil"/>
              <w:bottom w:val="nil"/>
            </w:tcBorders>
            <w:vAlign w:val="top"/>
          </w:tcPr>
          <w:p w14:paraId="590EC38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74E9B0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Align w:val="top"/>
          </w:tcPr>
          <w:p w14:paraId="5B54605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1"/>
              <w:textAlignment w:val="baseline"/>
              <w:rPr>
                <w:color w:val="auto"/>
                <w:sz w:val="18"/>
                <w:szCs w:val="18"/>
                <w:highlight w:val="none"/>
              </w:rPr>
            </w:pPr>
            <w:r>
              <w:rPr>
                <w:color w:val="auto"/>
                <w:spacing w:val="-4"/>
                <w:sz w:val="18"/>
                <w:szCs w:val="18"/>
                <w:highlight w:val="none"/>
              </w:rPr>
              <w:t>LED</w:t>
            </w:r>
            <w:r>
              <w:rPr>
                <w:color w:val="auto"/>
                <w:spacing w:val="-33"/>
                <w:sz w:val="18"/>
                <w:szCs w:val="18"/>
                <w:highlight w:val="none"/>
              </w:rPr>
              <w:t xml:space="preserve"> </w:t>
            </w:r>
            <w:r>
              <w:rPr>
                <w:color w:val="auto"/>
                <w:spacing w:val="-4"/>
                <w:sz w:val="18"/>
                <w:szCs w:val="18"/>
                <w:highlight w:val="none"/>
              </w:rPr>
              <w:t>筒灯</w:t>
            </w:r>
          </w:p>
        </w:tc>
        <w:tc>
          <w:tcPr>
            <w:tcW w:w="1620" w:type="dxa"/>
            <w:vAlign w:val="top"/>
          </w:tcPr>
          <w:p w14:paraId="218C4BD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36E83B7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382" w:hanging="4"/>
              <w:textAlignment w:val="baseline"/>
              <w:rPr>
                <w:color w:val="auto"/>
                <w:sz w:val="18"/>
                <w:szCs w:val="18"/>
                <w:highlight w:val="none"/>
              </w:rPr>
            </w:pPr>
            <w:r>
              <w:rPr>
                <w:color w:val="auto"/>
                <w:sz w:val="18"/>
                <w:szCs w:val="18"/>
                <w:highlight w:val="none"/>
              </w:rPr>
              <w:t>《室内照明用LED</w:t>
            </w:r>
            <w:r>
              <w:rPr>
                <w:color w:val="auto"/>
                <w:spacing w:val="-26"/>
                <w:sz w:val="18"/>
                <w:szCs w:val="18"/>
                <w:highlight w:val="none"/>
              </w:rPr>
              <w:t xml:space="preserve"> </w:t>
            </w:r>
            <w:r>
              <w:rPr>
                <w:color w:val="auto"/>
                <w:sz w:val="18"/>
                <w:szCs w:val="18"/>
                <w:highlight w:val="none"/>
              </w:rPr>
              <w:t xml:space="preserve">产品能效限定值及能效等级》 </w:t>
            </w:r>
            <w:r>
              <w:rPr>
                <w:color w:val="auto"/>
                <w:spacing w:val="-2"/>
                <w:sz w:val="18"/>
                <w:szCs w:val="18"/>
                <w:highlight w:val="none"/>
              </w:rPr>
              <w:t>（GB30255）</w:t>
            </w:r>
          </w:p>
        </w:tc>
      </w:tr>
      <w:tr w14:paraId="6632E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79" w:type="dxa"/>
            <w:vMerge w:val="continue"/>
            <w:tcBorders>
              <w:top w:val="nil"/>
            </w:tcBorders>
            <w:vAlign w:val="top"/>
          </w:tcPr>
          <w:p w14:paraId="7471D75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tcBorders>
            <w:vAlign w:val="top"/>
          </w:tcPr>
          <w:p w14:paraId="5BC2834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Align w:val="top"/>
          </w:tcPr>
          <w:p w14:paraId="5F6D69F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2" w:right="172"/>
              <w:textAlignment w:val="baseline"/>
              <w:rPr>
                <w:color w:val="auto"/>
                <w:sz w:val="18"/>
                <w:szCs w:val="18"/>
                <w:highlight w:val="none"/>
              </w:rPr>
            </w:pPr>
            <w:r>
              <w:rPr>
                <w:color w:val="auto"/>
                <w:spacing w:val="-1"/>
                <w:sz w:val="18"/>
                <w:szCs w:val="18"/>
                <w:highlight w:val="none"/>
              </w:rPr>
              <w:t>普通照明用非定向自</w:t>
            </w:r>
            <w:r>
              <w:rPr>
                <w:color w:val="auto"/>
                <w:spacing w:val="1"/>
                <w:sz w:val="18"/>
                <w:szCs w:val="18"/>
                <w:highlight w:val="none"/>
              </w:rPr>
              <w:t xml:space="preserve"> </w:t>
            </w:r>
            <w:r>
              <w:rPr>
                <w:color w:val="auto"/>
                <w:spacing w:val="-3"/>
                <w:sz w:val="18"/>
                <w:szCs w:val="18"/>
                <w:highlight w:val="none"/>
              </w:rPr>
              <w:t>镇流</w:t>
            </w:r>
            <w:r>
              <w:rPr>
                <w:color w:val="auto"/>
                <w:spacing w:val="-35"/>
                <w:sz w:val="18"/>
                <w:szCs w:val="18"/>
                <w:highlight w:val="none"/>
              </w:rPr>
              <w:t xml:space="preserve"> </w:t>
            </w:r>
            <w:r>
              <w:rPr>
                <w:color w:val="auto"/>
                <w:spacing w:val="-3"/>
                <w:sz w:val="18"/>
                <w:szCs w:val="18"/>
                <w:highlight w:val="none"/>
              </w:rPr>
              <w:t>LED</w:t>
            </w:r>
            <w:r>
              <w:rPr>
                <w:color w:val="auto"/>
                <w:spacing w:val="-38"/>
                <w:sz w:val="18"/>
                <w:szCs w:val="18"/>
                <w:highlight w:val="none"/>
              </w:rPr>
              <w:t xml:space="preserve"> </w:t>
            </w:r>
            <w:r>
              <w:rPr>
                <w:color w:val="auto"/>
                <w:spacing w:val="-3"/>
                <w:sz w:val="18"/>
                <w:szCs w:val="18"/>
                <w:highlight w:val="none"/>
              </w:rPr>
              <w:t>灯</w:t>
            </w:r>
          </w:p>
        </w:tc>
        <w:tc>
          <w:tcPr>
            <w:tcW w:w="1620" w:type="dxa"/>
            <w:vAlign w:val="top"/>
          </w:tcPr>
          <w:p w14:paraId="4A1C534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4A17705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382" w:hanging="4"/>
              <w:textAlignment w:val="baseline"/>
              <w:rPr>
                <w:color w:val="auto"/>
                <w:sz w:val="18"/>
                <w:szCs w:val="18"/>
                <w:highlight w:val="none"/>
              </w:rPr>
            </w:pPr>
            <w:r>
              <w:rPr>
                <w:color w:val="auto"/>
                <w:sz w:val="18"/>
                <w:szCs w:val="18"/>
                <w:highlight w:val="none"/>
              </w:rPr>
              <w:t>《室内照明用LED</w:t>
            </w:r>
            <w:r>
              <w:rPr>
                <w:color w:val="auto"/>
                <w:spacing w:val="-26"/>
                <w:sz w:val="18"/>
                <w:szCs w:val="18"/>
                <w:highlight w:val="none"/>
              </w:rPr>
              <w:t xml:space="preserve"> </w:t>
            </w:r>
            <w:r>
              <w:rPr>
                <w:color w:val="auto"/>
                <w:sz w:val="18"/>
                <w:szCs w:val="18"/>
                <w:highlight w:val="none"/>
              </w:rPr>
              <w:t xml:space="preserve">产品能效限定值及能效等级》 </w:t>
            </w:r>
            <w:r>
              <w:rPr>
                <w:color w:val="auto"/>
                <w:spacing w:val="-2"/>
                <w:sz w:val="18"/>
                <w:szCs w:val="18"/>
                <w:highlight w:val="none"/>
              </w:rPr>
              <w:t>（GB30255）</w:t>
            </w:r>
          </w:p>
        </w:tc>
      </w:tr>
      <w:tr w14:paraId="4318E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9" w:type="dxa"/>
            <w:vAlign w:val="top"/>
          </w:tcPr>
          <w:p w14:paraId="63C3C248">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12</w:t>
            </w:r>
          </w:p>
        </w:tc>
        <w:tc>
          <w:tcPr>
            <w:tcW w:w="1160" w:type="dxa"/>
            <w:vAlign w:val="top"/>
          </w:tcPr>
          <w:p w14:paraId="3A690D0E">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5" w:right="121" w:firstLine="3"/>
              <w:textAlignment w:val="baseline"/>
              <w:rPr>
                <w:color w:val="auto"/>
                <w:sz w:val="18"/>
                <w:szCs w:val="18"/>
                <w:highlight w:val="none"/>
              </w:rPr>
            </w:pPr>
            <w:r>
              <w:rPr>
                <w:color w:val="auto"/>
                <w:spacing w:val="-5"/>
                <w:sz w:val="18"/>
                <w:szCs w:val="18"/>
                <w:highlight w:val="none"/>
              </w:rPr>
              <w:t>★A020910</w:t>
            </w:r>
            <w:r>
              <w:rPr>
                <w:color w:val="auto"/>
                <w:spacing w:val="-12"/>
                <w:sz w:val="18"/>
                <w:szCs w:val="18"/>
                <w:highlight w:val="none"/>
              </w:rPr>
              <w:t xml:space="preserve"> </w:t>
            </w:r>
            <w:r>
              <w:rPr>
                <w:color w:val="auto"/>
                <w:spacing w:val="-5"/>
                <w:sz w:val="18"/>
                <w:szCs w:val="18"/>
                <w:highlight w:val="none"/>
              </w:rPr>
              <w:t>电</w:t>
            </w:r>
            <w:r>
              <w:rPr>
                <w:color w:val="auto"/>
                <w:sz w:val="18"/>
                <w:szCs w:val="18"/>
                <w:highlight w:val="none"/>
              </w:rPr>
              <w:t xml:space="preserve"> </w:t>
            </w:r>
            <w:r>
              <w:rPr>
                <w:color w:val="auto"/>
                <w:spacing w:val="-3"/>
                <w:sz w:val="18"/>
                <w:szCs w:val="18"/>
                <w:highlight w:val="none"/>
              </w:rPr>
              <w:t>视设备</w:t>
            </w:r>
          </w:p>
        </w:tc>
        <w:tc>
          <w:tcPr>
            <w:tcW w:w="1803" w:type="dxa"/>
            <w:vAlign w:val="top"/>
          </w:tcPr>
          <w:p w14:paraId="6921A306">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right="47" w:hanging="7"/>
              <w:textAlignment w:val="baseline"/>
              <w:rPr>
                <w:color w:val="auto"/>
                <w:sz w:val="18"/>
                <w:szCs w:val="18"/>
                <w:highlight w:val="none"/>
              </w:rPr>
            </w:pPr>
            <w:r>
              <w:rPr>
                <w:color w:val="auto"/>
                <w:spacing w:val="-1"/>
                <w:sz w:val="18"/>
                <w:szCs w:val="18"/>
                <w:highlight w:val="none"/>
              </w:rPr>
              <w:t>A02091001</w:t>
            </w:r>
            <w:r>
              <w:rPr>
                <w:color w:val="auto"/>
                <w:spacing w:val="-37"/>
                <w:sz w:val="18"/>
                <w:szCs w:val="18"/>
                <w:highlight w:val="none"/>
              </w:rPr>
              <w:t xml:space="preserve"> </w:t>
            </w:r>
            <w:r>
              <w:rPr>
                <w:color w:val="auto"/>
                <w:spacing w:val="-1"/>
                <w:sz w:val="18"/>
                <w:szCs w:val="18"/>
                <w:highlight w:val="none"/>
              </w:rPr>
              <w:t>普通电视设</w:t>
            </w:r>
            <w:r>
              <w:rPr>
                <w:color w:val="auto"/>
                <w:sz w:val="18"/>
                <w:szCs w:val="18"/>
                <w:highlight w:val="none"/>
              </w:rPr>
              <w:t xml:space="preserve"> </w:t>
            </w:r>
            <w:r>
              <w:rPr>
                <w:color w:val="auto"/>
                <w:spacing w:val="-2"/>
                <w:sz w:val="18"/>
                <w:szCs w:val="18"/>
                <w:highlight w:val="none"/>
              </w:rPr>
              <w:t>备（电视机）</w:t>
            </w:r>
          </w:p>
        </w:tc>
        <w:tc>
          <w:tcPr>
            <w:tcW w:w="1620" w:type="dxa"/>
            <w:vAlign w:val="top"/>
          </w:tcPr>
          <w:p w14:paraId="4A8C2F5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0EDF439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5"/>
              <w:textAlignment w:val="baseline"/>
              <w:rPr>
                <w:color w:val="auto"/>
                <w:sz w:val="18"/>
                <w:szCs w:val="18"/>
                <w:highlight w:val="none"/>
              </w:rPr>
            </w:pPr>
            <w:r>
              <w:rPr>
                <w:color w:val="auto"/>
                <w:spacing w:val="-1"/>
                <w:sz w:val="18"/>
                <w:szCs w:val="18"/>
                <w:highlight w:val="none"/>
              </w:rPr>
              <w:t>《平板电视能效限定值及能效等级》（GB24850）</w:t>
            </w:r>
          </w:p>
        </w:tc>
      </w:tr>
      <w:tr w14:paraId="6DFA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79" w:type="dxa"/>
            <w:vAlign w:val="top"/>
          </w:tcPr>
          <w:p w14:paraId="3A2612B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819CA5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13</w:t>
            </w:r>
          </w:p>
        </w:tc>
        <w:tc>
          <w:tcPr>
            <w:tcW w:w="1160" w:type="dxa"/>
            <w:vAlign w:val="top"/>
          </w:tcPr>
          <w:p w14:paraId="24C7E5E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7" w:right="121" w:firstLine="2"/>
              <w:textAlignment w:val="baseline"/>
              <w:rPr>
                <w:color w:val="auto"/>
                <w:sz w:val="18"/>
                <w:szCs w:val="18"/>
                <w:highlight w:val="none"/>
              </w:rPr>
            </w:pPr>
            <w:r>
              <w:rPr>
                <w:color w:val="auto"/>
                <w:spacing w:val="-2"/>
                <w:sz w:val="18"/>
                <w:szCs w:val="18"/>
                <w:highlight w:val="none"/>
              </w:rPr>
              <w:t>★A020911</w:t>
            </w:r>
            <w:r>
              <w:rPr>
                <w:color w:val="auto"/>
                <w:spacing w:val="-39"/>
                <w:sz w:val="18"/>
                <w:szCs w:val="18"/>
                <w:highlight w:val="none"/>
              </w:rPr>
              <w:t xml:space="preserve"> </w:t>
            </w:r>
            <w:r>
              <w:rPr>
                <w:color w:val="auto"/>
                <w:spacing w:val="-2"/>
                <w:sz w:val="18"/>
                <w:szCs w:val="18"/>
                <w:highlight w:val="none"/>
              </w:rPr>
              <w:t>视</w:t>
            </w:r>
            <w:r>
              <w:rPr>
                <w:color w:val="auto"/>
                <w:sz w:val="18"/>
                <w:szCs w:val="18"/>
                <w:highlight w:val="none"/>
              </w:rPr>
              <w:t xml:space="preserve"> </w:t>
            </w:r>
            <w:r>
              <w:rPr>
                <w:color w:val="auto"/>
                <w:spacing w:val="-3"/>
                <w:sz w:val="18"/>
                <w:szCs w:val="18"/>
                <w:highlight w:val="none"/>
              </w:rPr>
              <w:t>频设备</w:t>
            </w:r>
          </w:p>
        </w:tc>
        <w:tc>
          <w:tcPr>
            <w:tcW w:w="1803" w:type="dxa"/>
            <w:vAlign w:val="top"/>
          </w:tcPr>
          <w:p w14:paraId="23A685D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right="47" w:hanging="7"/>
              <w:textAlignment w:val="baseline"/>
              <w:rPr>
                <w:color w:val="auto"/>
                <w:sz w:val="18"/>
                <w:szCs w:val="18"/>
                <w:highlight w:val="none"/>
              </w:rPr>
            </w:pPr>
            <w:r>
              <w:rPr>
                <w:color w:val="auto"/>
                <w:spacing w:val="-1"/>
                <w:sz w:val="18"/>
                <w:szCs w:val="18"/>
                <w:highlight w:val="none"/>
              </w:rPr>
              <w:t>A02091107</w:t>
            </w:r>
            <w:r>
              <w:rPr>
                <w:color w:val="auto"/>
                <w:spacing w:val="-37"/>
                <w:sz w:val="18"/>
                <w:szCs w:val="18"/>
                <w:highlight w:val="none"/>
              </w:rPr>
              <w:t xml:space="preserve"> </w:t>
            </w:r>
            <w:r>
              <w:rPr>
                <w:color w:val="auto"/>
                <w:spacing w:val="-1"/>
                <w:sz w:val="18"/>
                <w:szCs w:val="18"/>
                <w:highlight w:val="none"/>
              </w:rPr>
              <w:t>视频监控设</w:t>
            </w:r>
            <w:r>
              <w:rPr>
                <w:color w:val="auto"/>
                <w:sz w:val="18"/>
                <w:szCs w:val="18"/>
                <w:highlight w:val="none"/>
              </w:rPr>
              <w:t xml:space="preserve"> 备</w:t>
            </w:r>
          </w:p>
        </w:tc>
        <w:tc>
          <w:tcPr>
            <w:tcW w:w="1620" w:type="dxa"/>
            <w:vAlign w:val="top"/>
          </w:tcPr>
          <w:p w14:paraId="1450930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72589F7A">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0"/>
              <w:textAlignment w:val="baseline"/>
              <w:rPr>
                <w:color w:val="auto"/>
                <w:sz w:val="18"/>
                <w:szCs w:val="18"/>
                <w:highlight w:val="none"/>
              </w:rPr>
            </w:pPr>
            <w:r>
              <w:rPr>
                <w:color w:val="auto"/>
                <w:spacing w:val="-3"/>
                <w:sz w:val="18"/>
                <w:szCs w:val="18"/>
                <w:highlight w:val="none"/>
              </w:rPr>
              <w:t>监视器</w:t>
            </w:r>
          </w:p>
        </w:tc>
        <w:tc>
          <w:tcPr>
            <w:tcW w:w="4158" w:type="dxa"/>
            <w:vAlign w:val="top"/>
          </w:tcPr>
          <w:p w14:paraId="1DBECB52">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9" w:right="5" w:firstLine="21"/>
              <w:jc w:val="both"/>
              <w:textAlignment w:val="baseline"/>
              <w:rPr>
                <w:color w:val="auto"/>
                <w:sz w:val="18"/>
                <w:szCs w:val="18"/>
                <w:highlight w:val="none"/>
              </w:rPr>
            </w:pPr>
            <w:r>
              <w:rPr>
                <w:color w:val="auto"/>
                <w:spacing w:val="-2"/>
                <w:sz w:val="18"/>
                <w:szCs w:val="18"/>
                <w:highlight w:val="none"/>
              </w:rPr>
              <w:t>以射频信号为主要信号输入的监视器应符合《平板电</w:t>
            </w:r>
            <w:r>
              <w:rPr>
                <w:color w:val="auto"/>
                <w:spacing w:val="17"/>
                <w:sz w:val="18"/>
                <w:szCs w:val="18"/>
                <w:highlight w:val="none"/>
              </w:rPr>
              <w:t xml:space="preserve"> </w:t>
            </w:r>
            <w:r>
              <w:rPr>
                <w:color w:val="auto"/>
                <w:spacing w:val="-3"/>
                <w:sz w:val="18"/>
                <w:szCs w:val="18"/>
                <w:highlight w:val="none"/>
              </w:rPr>
              <w:t>视能效限定值及能效等级》（GB24850</w:t>
            </w:r>
            <w:r>
              <w:rPr>
                <w:color w:val="auto"/>
                <w:spacing w:val="-8"/>
                <w:sz w:val="18"/>
                <w:szCs w:val="18"/>
                <w:highlight w:val="none"/>
              </w:rPr>
              <w:t>），</w:t>
            </w:r>
            <w:r>
              <w:rPr>
                <w:color w:val="auto"/>
                <w:spacing w:val="-3"/>
                <w:sz w:val="18"/>
                <w:szCs w:val="18"/>
                <w:highlight w:val="none"/>
              </w:rPr>
              <w:t>以数</w:t>
            </w:r>
            <w:r>
              <w:rPr>
                <w:color w:val="auto"/>
                <w:spacing w:val="-4"/>
                <w:sz w:val="18"/>
                <w:szCs w:val="18"/>
                <w:highlight w:val="none"/>
              </w:rPr>
              <w:t>字信号</w:t>
            </w:r>
            <w:r>
              <w:rPr>
                <w:color w:val="auto"/>
                <w:spacing w:val="1"/>
                <w:sz w:val="18"/>
                <w:szCs w:val="18"/>
                <w:highlight w:val="none"/>
              </w:rPr>
              <w:t xml:space="preserve"> </w:t>
            </w:r>
            <w:r>
              <w:rPr>
                <w:color w:val="auto"/>
                <w:spacing w:val="-1"/>
                <w:sz w:val="18"/>
                <w:szCs w:val="18"/>
                <w:highlight w:val="none"/>
              </w:rPr>
              <w:t>为主要信号输入的监视器应符合《计算机显示器能效</w:t>
            </w:r>
            <w:r>
              <w:rPr>
                <w:color w:val="auto"/>
                <w:spacing w:val="15"/>
                <w:sz w:val="18"/>
                <w:szCs w:val="18"/>
                <w:highlight w:val="none"/>
              </w:rPr>
              <w:t xml:space="preserve"> </w:t>
            </w:r>
            <w:r>
              <w:rPr>
                <w:color w:val="auto"/>
                <w:spacing w:val="-1"/>
                <w:sz w:val="18"/>
                <w:szCs w:val="18"/>
                <w:highlight w:val="none"/>
              </w:rPr>
              <w:t>限定值及能效等级》（GB21520）</w:t>
            </w:r>
          </w:p>
        </w:tc>
      </w:tr>
      <w:tr w14:paraId="34C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79" w:type="dxa"/>
            <w:vAlign w:val="top"/>
          </w:tcPr>
          <w:p w14:paraId="0118E8A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14</w:t>
            </w:r>
          </w:p>
        </w:tc>
        <w:tc>
          <w:tcPr>
            <w:tcW w:w="1160" w:type="dxa"/>
            <w:vAlign w:val="top"/>
          </w:tcPr>
          <w:p w14:paraId="19C9D8C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8" w:right="121" w:hanging="8"/>
              <w:textAlignment w:val="baseline"/>
              <w:rPr>
                <w:color w:val="auto"/>
                <w:sz w:val="18"/>
                <w:szCs w:val="18"/>
                <w:highlight w:val="none"/>
              </w:rPr>
            </w:pPr>
            <w:r>
              <w:rPr>
                <w:color w:val="auto"/>
                <w:spacing w:val="-1"/>
                <w:sz w:val="18"/>
                <w:szCs w:val="18"/>
                <w:highlight w:val="none"/>
              </w:rPr>
              <w:t>A031210</w:t>
            </w:r>
            <w:r>
              <w:rPr>
                <w:color w:val="auto"/>
                <w:spacing w:val="-39"/>
                <w:sz w:val="18"/>
                <w:szCs w:val="18"/>
                <w:highlight w:val="none"/>
              </w:rPr>
              <w:t xml:space="preserve"> </w:t>
            </w:r>
            <w:r>
              <w:rPr>
                <w:color w:val="auto"/>
                <w:spacing w:val="-1"/>
                <w:sz w:val="18"/>
                <w:szCs w:val="18"/>
                <w:highlight w:val="none"/>
              </w:rPr>
              <w:t>饮食</w:t>
            </w:r>
            <w:r>
              <w:rPr>
                <w:color w:val="auto"/>
                <w:sz w:val="18"/>
                <w:szCs w:val="18"/>
                <w:highlight w:val="none"/>
              </w:rPr>
              <w:t xml:space="preserve"> </w:t>
            </w:r>
            <w:r>
              <w:rPr>
                <w:color w:val="auto"/>
                <w:spacing w:val="-3"/>
                <w:sz w:val="18"/>
                <w:szCs w:val="18"/>
                <w:highlight w:val="none"/>
              </w:rPr>
              <w:t>炊事机械</w:t>
            </w:r>
          </w:p>
        </w:tc>
        <w:tc>
          <w:tcPr>
            <w:tcW w:w="1803" w:type="dxa"/>
            <w:vAlign w:val="top"/>
          </w:tcPr>
          <w:p w14:paraId="4DB5584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textAlignment w:val="baseline"/>
              <w:rPr>
                <w:color w:val="auto"/>
                <w:sz w:val="18"/>
                <w:szCs w:val="18"/>
                <w:highlight w:val="none"/>
              </w:rPr>
            </w:pPr>
            <w:r>
              <w:rPr>
                <w:color w:val="auto"/>
                <w:spacing w:val="-2"/>
                <w:sz w:val="18"/>
                <w:szCs w:val="18"/>
                <w:highlight w:val="none"/>
              </w:rPr>
              <w:t>商用燃气灶具</w:t>
            </w:r>
          </w:p>
        </w:tc>
        <w:tc>
          <w:tcPr>
            <w:tcW w:w="1620" w:type="dxa"/>
            <w:vAlign w:val="top"/>
          </w:tcPr>
          <w:p w14:paraId="29B792C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1FDBEEC7">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4"/>
                <w:sz w:val="18"/>
                <w:szCs w:val="18"/>
                <w:highlight w:val="none"/>
              </w:rPr>
              <w:t>《商用燃气灶具能效限定值及能效等级》（GB30531）</w:t>
            </w:r>
          </w:p>
        </w:tc>
      </w:tr>
      <w:tr w14:paraId="7FECA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9" w:type="dxa"/>
            <w:vMerge w:val="restart"/>
            <w:tcBorders>
              <w:bottom w:val="nil"/>
            </w:tcBorders>
            <w:vAlign w:val="top"/>
          </w:tcPr>
          <w:p w14:paraId="3CA1FD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1CD3782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555E832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15</w:t>
            </w:r>
          </w:p>
        </w:tc>
        <w:tc>
          <w:tcPr>
            <w:tcW w:w="1160" w:type="dxa"/>
            <w:vMerge w:val="restart"/>
            <w:tcBorders>
              <w:bottom w:val="nil"/>
            </w:tcBorders>
            <w:vAlign w:val="top"/>
          </w:tcPr>
          <w:p w14:paraId="4F441C0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p w14:paraId="0B97A169">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right="121" w:firstLine="2"/>
              <w:textAlignment w:val="baseline"/>
              <w:rPr>
                <w:color w:val="auto"/>
                <w:sz w:val="18"/>
                <w:szCs w:val="18"/>
                <w:highlight w:val="none"/>
              </w:rPr>
            </w:pPr>
            <w:r>
              <w:rPr>
                <w:color w:val="auto"/>
                <w:spacing w:val="-2"/>
                <w:sz w:val="18"/>
                <w:szCs w:val="18"/>
                <w:highlight w:val="none"/>
              </w:rPr>
              <w:t>★A060805</w:t>
            </w:r>
            <w:r>
              <w:rPr>
                <w:color w:val="auto"/>
                <w:spacing w:val="-38"/>
                <w:sz w:val="18"/>
                <w:szCs w:val="18"/>
                <w:highlight w:val="none"/>
              </w:rPr>
              <w:t xml:space="preserve"> </w:t>
            </w:r>
            <w:r>
              <w:rPr>
                <w:color w:val="auto"/>
                <w:spacing w:val="-2"/>
                <w:sz w:val="18"/>
                <w:szCs w:val="18"/>
                <w:highlight w:val="none"/>
              </w:rPr>
              <w:t>便</w:t>
            </w:r>
            <w:r>
              <w:rPr>
                <w:color w:val="auto"/>
                <w:sz w:val="18"/>
                <w:szCs w:val="18"/>
                <w:highlight w:val="none"/>
              </w:rPr>
              <w:t xml:space="preserve"> 器</w:t>
            </w:r>
          </w:p>
        </w:tc>
        <w:tc>
          <w:tcPr>
            <w:tcW w:w="1803" w:type="dxa"/>
            <w:vAlign w:val="top"/>
          </w:tcPr>
          <w:p w14:paraId="44BD2838">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3"/>
              <w:textAlignment w:val="baseline"/>
              <w:rPr>
                <w:color w:val="auto"/>
                <w:sz w:val="18"/>
                <w:szCs w:val="18"/>
                <w:highlight w:val="none"/>
              </w:rPr>
            </w:pPr>
            <w:r>
              <w:rPr>
                <w:color w:val="auto"/>
                <w:spacing w:val="-3"/>
                <w:sz w:val="18"/>
                <w:szCs w:val="18"/>
                <w:highlight w:val="none"/>
              </w:rPr>
              <w:t>坐便器</w:t>
            </w:r>
          </w:p>
        </w:tc>
        <w:tc>
          <w:tcPr>
            <w:tcW w:w="1620" w:type="dxa"/>
            <w:vAlign w:val="top"/>
          </w:tcPr>
          <w:p w14:paraId="5BB765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33DC728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1630" w:hanging="4"/>
              <w:textAlignment w:val="baseline"/>
              <w:rPr>
                <w:color w:val="auto"/>
                <w:sz w:val="18"/>
                <w:szCs w:val="18"/>
                <w:highlight w:val="none"/>
              </w:rPr>
            </w:pPr>
            <w:r>
              <w:rPr>
                <w:color w:val="auto"/>
                <w:spacing w:val="-1"/>
                <w:sz w:val="18"/>
                <w:szCs w:val="18"/>
                <w:highlight w:val="none"/>
              </w:rPr>
              <w:t>《坐便器水效限定值及水效等级</w:t>
            </w:r>
            <w:r>
              <w:rPr>
                <w:color w:val="auto"/>
                <w:sz w:val="18"/>
                <w:szCs w:val="18"/>
                <w:highlight w:val="none"/>
              </w:rPr>
              <w:t xml:space="preserve"> </w:t>
            </w:r>
            <w:r>
              <w:rPr>
                <w:color w:val="auto"/>
                <w:spacing w:val="-2"/>
                <w:sz w:val="18"/>
                <w:szCs w:val="18"/>
                <w:highlight w:val="none"/>
              </w:rPr>
              <w:t>（GB25502）</w:t>
            </w:r>
          </w:p>
        </w:tc>
      </w:tr>
      <w:tr w14:paraId="5F60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79" w:type="dxa"/>
            <w:vMerge w:val="continue"/>
            <w:tcBorders>
              <w:top w:val="nil"/>
              <w:bottom w:val="nil"/>
            </w:tcBorders>
            <w:vAlign w:val="top"/>
          </w:tcPr>
          <w:p w14:paraId="6E64A24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bottom w:val="nil"/>
            </w:tcBorders>
            <w:vAlign w:val="top"/>
          </w:tcPr>
          <w:p w14:paraId="4A0B939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Align w:val="top"/>
          </w:tcPr>
          <w:p w14:paraId="60F44B13">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
              <w:textAlignment w:val="baseline"/>
              <w:rPr>
                <w:color w:val="auto"/>
                <w:sz w:val="18"/>
                <w:szCs w:val="18"/>
                <w:highlight w:val="none"/>
              </w:rPr>
            </w:pPr>
            <w:r>
              <w:rPr>
                <w:color w:val="auto"/>
                <w:spacing w:val="-3"/>
                <w:sz w:val="18"/>
                <w:szCs w:val="18"/>
                <w:highlight w:val="none"/>
              </w:rPr>
              <w:t>蹲便器</w:t>
            </w:r>
          </w:p>
        </w:tc>
        <w:tc>
          <w:tcPr>
            <w:tcW w:w="1620" w:type="dxa"/>
            <w:vAlign w:val="top"/>
          </w:tcPr>
          <w:p w14:paraId="363D1C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3B53014C">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10"/>
                <w:sz w:val="18"/>
                <w:szCs w:val="18"/>
                <w:highlight w:val="none"/>
              </w:rPr>
              <w:t>《蹲便器用水效率限定值及用水效率等级》（GB30717）</w:t>
            </w:r>
          </w:p>
        </w:tc>
      </w:tr>
      <w:tr w14:paraId="3B13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79" w:type="dxa"/>
            <w:vMerge w:val="continue"/>
            <w:tcBorders>
              <w:top w:val="nil"/>
            </w:tcBorders>
            <w:vAlign w:val="top"/>
          </w:tcPr>
          <w:p w14:paraId="5D52BDC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160" w:type="dxa"/>
            <w:vMerge w:val="continue"/>
            <w:tcBorders>
              <w:top w:val="nil"/>
            </w:tcBorders>
            <w:vAlign w:val="top"/>
          </w:tcPr>
          <w:p w14:paraId="092DA4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803" w:type="dxa"/>
            <w:vAlign w:val="top"/>
          </w:tcPr>
          <w:p w14:paraId="5E82E78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8"/>
              <w:textAlignment w:val="baseline"/>
              <w:rPr>
                <w:color w:val="auto"/>
                <w:sz w:val="18"/>
                <w:szCs w:val="18"/>
                <w:highlight w:val="none"/>
              </w:rPr>
            </w:pPr>
            <w:r>
              <w:rPr>
                <w:color w:val="auto"/>
                <w:spacing w:val="-4"/>
                <w:sz w:val="18"/>
                <w:szCs w:val="18"/>
                <w:highlight w:val="none"/>
              </w:rPr>
              <w:t>小便器</w:t>
            </w:r>
          </w:p>
        </w:tc>
        <w:tc>
          <w:tcPr>
            <w:tcW w:w="1620" w:type="dxa"/>
            <w:vAlign w:val="top"/>
          </w:tcPr>
          <w:p w14:paraId="6EFE8DB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6F26C42D">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10"/>
                <w:sz w:val="18"/>
                <w:szCs w:val="18"/>
                <w:highlight w:val="none"/>
              </w:rPr>
              <w:t>《小便器用水效率限定值及用水效率等级》（GB28377）</w:t>
            </w:r>
          </w:p>
        </w:tc>
      </w:tr>
      <w:tr w14:paraId="7710F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9" w:type="dxa"/>
            <w:vAlign w:val="top"/>
          </w:tcPr>
          <w:p w14:paraId="2D003F34">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16</w:t>
            </w:r>
          </w:p>
        </w:tc>
        <w:tc>
          <w:tcPr>
            <w:tcW w:w="1160" w:type="dxa"/>
            <w:vAlign w:val="top"/>
          </w:tcPr>
          <w:p w14:paraId="79C9B330">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3" w:right="121" w:hanging="4"/>
              <w:textAlignment w:val="baseline"/>
              <w:rPr>
                <w:color w:val="auto"/>
                <w:sz w:val="18"/>
                <w:szCs w:val="18"/>
                <w:highlight w:val="none"/>
              </w:rPr>
            </w:pPr>
            <w:r>
              <w:rPr>
                <w:color w:val="auto"/>
                <w:spacing w:val="-3"/>
                <w:sz w:val="18"/>
                <w:szCs w:val="18"/>
                <w:highlight w:val="none"/>
              </w:rPr>
              <w:t>★A060806</w:t>
            </w:r>
            <w:r>
              <w:rPr>
                <w:color w:val="auto"/>
                <w:spacing w:val="-30"/>
                <w:sz w:val="18"/>
                <w:szCs w:val="18"/>
                <w:highlight w:val="none"/>
              </w:rPr>
              <w:t xml:space="preserve"> </w:t>
            </w:r>
            <w:r>
              <w:rPr>
                <w:color w:val="auto"/>
                <w:spacing w:val="-3"/>
                <w:sz w:val="18"/>
                <w:szCs w:val="18"/>
                <w:highlight w:val="none"/>
              </w:rPr>
              <w:t>水</w:t>
            </w:r>
            <w:r>
              <w:rPr>
                <w:color w:val="auto"/>
                <w:sz w:val="18"/>
                <w:szCs w:val="18"/>
                <w:highlight w:val="none"/>
              </w:rPr>
              <w:t xml:space="preserve"> 嘴</w:t>
            </w:r>
          </w:p>
        </w:tc>
        <w:tc>
          <w:tcPr>
            <w:tcW w:w="1803" w:type="dxa"/>
            <w:vAlign w:val="top"/>
          </w:tcPr>
          <w:p w14:paraId="5BA9251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334F609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6B66CA2C">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4"/>
                <w:sz w:val="18"/>
                <w:szCs w:val="18"/>
                <w:highlight w:val="none"/>
              </w:rPr>
              <w:t>《水嘴用水效率限定值及用水效率等级》（GB25501）</w:t>
            </w:r>
          </w:p>
        </w:tc>
      </w:tr>
      <w:tr w14:paraId="32EDA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9" w:type="dxa"/>
            <w:vAlign w:val="top"/>
          </w:tcPr>
          <w:p w14:paraId="7C8592D6">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17</w:t>
            </w:r>
          </w:p>
        </w:tc>
        <w:tc>
          <w:tcPr>
            <w:tcW w:w="1160" w:type="dxa"/>
            <w:vAlign w:val="top"/>
          </w:tcPr>
          <w:p w14:paraId="56021E5F">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6" w:right="121" w:hanging="6"/>
              <w:textAlignment w:val="baseline"/>
              <w:rPr>
                <w:color w:val="auto"/>
                <w:sz w:val="18"/>
                <w:szCs w:val="18"/>
                <w:highlight w:val="none"/>
              </w:rPr>
            </w:pPr>
            <w:r>
              <w:rPr>
                <w:color w:val="auto"/>
                <w:spacing w:val="-2"/>
                <w:sz w:val="18"/>
                <w:szCs w:val="18"/>
                <w:highlight w:val="none"/>
              </w:rPr>
              <w:t>A060807</w:t>
            </w:r>
            <w:r>
              <w:rPr>
                <w:color w:val="auto"/>
                <w:spacing w:val="-31"/>
                <w:sz w:val="18"/>
                <w:szCs w:val="18"/>
                <w:highlight w:val="none"/>
              </w:rPr>
              <w:t xml:space="preserve"> </w:t>
            </w:r>
            <w:r>
              <w:rPr>
                <w:color w:val="auto"/>
                <w:spacing w:val="-2"/>
                <w:sz w:val="18"/>
                <w:szCs w:val="18"/>
                <w:highlight w:val="none"/>
              </w:rPr>
              <w:t>便器</w:t>
            </w:r>
            <w:r>
              <w:rPr>
                <w:color w:val="auto"/>
                <w:sz w:val="18"/>
                <w:szCs w:val="18"/>
                <w:highlight w:val="none"/>
              </w:rPr>
              <w:t xml:space="preserve"> </w:t>
            </w:r>
            <w:r>
              <w:rPr>
                <w:color w:val="auto"/>
                <w:spacing w:val="-3"/>
                <w:sz w:val="18"/>
                <w:szCs w:val="18"/>
                <w:highlight w:val="none"/>
              </w:rPr>
              <w:t>冲洗阀</w:t>
            </w:r>
          </w:p>
        </w:tc>
        <w:tc>
          <w:tcPr>
            <w:tcW w:w="1803" w:type="dxa"/>
            <w:vAlign w:val="top"/>
          </w:tcPr>
          <w:p w14:paraId="6AB3333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6B24235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17AC226D">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19" w:right="382" w:hanging="4"/>
              <w:textAlignment w:val="baseline"/>
              <w:rPr>
                <w:color w:val="auto"/>
                <w:sz w:val="18"/>
                <w:szCs w:val="18"/>
                <w:highlight w:val="none"/>
              </w:rPr>
            </w:pPr>
            <w:r>
              <w:rPr>
                <w:color w:val="auto"/>
                <w:spacing w:val="-2"/>
                <w:sz w:val="18"/>
                <w:szCs w:val="18"/>
                <w:highlight w:val="none"/>
              </w:rPr>
              <w:t>《便器冲洗阀用水效率限定值及用水效率等级》</w:t>
            </w:r>
            <w:r>
              <w:rPr>
                <w:color w:val="auto"/>
                <w:spacing w:val="16"/>
                <w:sz w:val="18"/>
                <w:szCs w:val="18"/>
                <w:highlight w:val="none"/>
              </w:rPr>
              <w:t xml:space="preserve"> </w:t>
            </w:r>
            <w:r>
              <w:rPr>
                <w:color w:val="auto"/>
                <w:spacing w:val="-2"/>
                <w:sz w:val="18"/>
                <w:szCs w:val="18"/>
                <w:highlight w:val="none"/>
              </w:rPr>
              <w:t>（GB28379）</w:t>
            </w:r>
          </w:p>
        </w:tc>
      </w:tr>
      <w:tr w14:paraId="5B45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79" w:type="dxa"/>
            <w:vAlign w:val="top"/>
          </w:tcPr>
          <w:p w14:paraId="2B81620B">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217"/>
              <w:textAlignment w:val="baseline"/>
              <w:rPr>
                <w:color w:val="auto"/>
                <w:sz w:val="18"/>
                <w:szCs w:val="18"/>
                <w:highlight w:val="none"/>
              </w:rPr>
            </w:pPr>
            <w:r>
              <w:rPr>
                <w:color w:val="auto"/>
                <w:spacing w:val="-10"/>
                <w:sz w:val="18"/>
                <w:szCs w:val="18"/>
                <w:highlight w:val="none"/>
              </w:rPr>
              <w:t>18</w:t>
            </w:r>
          </w:p>
        </w:tc>
        <w:tc>
          <w:tcPr>
            <w:tcW w:w="1160" w:type="dxa"/>
            <w:vAlign w:val="top"/>
          </w:tcPr>
          <w:p w14:paraId="7C9F3B11">
            <w:pPr>
              <w:pStyle w:val="13"/>
              <w:keepNext w:val="0"/>
              <w:keepLines w:val="0"/>
              <w:pageBreakBefore w:val="0"/>
              <w:widowControl/>
              <w:kinsoku w:val="0"/>
              <w:wordWrap/>
              <w:overflowPunct/>
              <w:topLinePunct w:val="0"/>
              <w:autoSpaceDE w:val="0"/>
              <w:autoSpaceDN w:val="0"/>
              <w:bidi w:val="0"/>
              <w:adjustRightInd w:val="0"/>
              <w:snapToGrid w:val="0"/>
              <w:spacing w:line="240" w:lineRule="exact"/>
              <w:ind w:left="5" w:right="121" w:hanging="5"/>
              <w:textAlignment w:val="baseline"/>
              <w:rPr>
                <w:color w:val="auto"/>
                <w:sz w:val="18"/>
                <w:szCs w:val="18"/>
                <w:highlight w:val="none"/>
              </w:rPr>
            </w:pPr>
            <w:r>
              <w:rPr>
                <w:color w:val="auto"/>
                <w:spacing w:val="-2"/>
                <w:sz w:val="18"/>
                <w:szCs w:val="18"/>
                <w:highlight w:val="none"/>
              </w:rPr>
              <w:t>A060810</w:t>
            </w:r>
            <w:r>
              <w:rPr>
                <w:color w:val="auto"/>
                <w:spacing w:val="-31"/>
                <w:sz w:val="18"/>
                <w:szCs w:val="18"/>
                <w:highlight w:val="none"/>
              </w:rPr>
              <w:t xml:space="preserve"> </w:t>
            </w:r>
            <w:r>
              <w:rPr>
                <w:color w:val="auto"/>
                <w:spacing w:val="-2"/>
                <w:sz w:val="18"/>
                <w:szCs w:val="18"/>
                <w:highlight w:val="none"/>
              </w:rPr>
              <w:t>淋浴</w:t>
            </w:r>
            <w:r>
              <w:rPr>
                <w:color w:val="auto"/>
                <w:sz w:val="18"/>
                <w:szCs w:val="18"/>
                <w:highlight w:val="none"/>
              </w:rPr>
              <w:t xml:space="preserve"> 器</w:t>
            </w:r>
          </w:p>
        </w:tc>
        <w:tc>
          <w:tcPr>
            <w:tcW w:w="1803" w:type="dxa"/>
            <w:vAlign w:val="top"/>
          </w:tcPr>
          <w:p w14:paraId="28CCE6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1620" w:type="dxa"/>
            <w:vAlign w:val="top"/>
          </w:tcPr>
          <w:p w14:paraId="6DEFCED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color w:val="auto"/>
                <w:sz w:val="21"/>
                <w:highlight w:val="none"/>
              </w:rPr>
            </w:pPr>
          </w:p>
        </w:tc>
        <w:tc>
          <w:tcPr>
            <w:tcW w:w="4158" w:type="dxa"/>
            <w:vAlign w:val="top"/>
          </w:tcPr>
          <w:p w14:paraId="0AD1F27C">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right"/>
              <w:textAlignment w:val="baseline"/>
              <w:rPr>
                <w:color w:val="auto"/>
                <w:sz w:val="18"/>
                <w:szCs w:val="18"/>
                <w:highlight w:val="none"/>
              </w:rPr>
            </w:pPr>
            <w:r>
              <w:rPr>
                <w:color w:val="auto"/>
                <w:spacing w:val="-10"/>
                <w:sz w:val="18"/>
                <w:szCs w:val="18"/>
                <w:highlight w:val="none"/>
              </w:rPr>
              <w:t>《淋浴器用水效率限定值及用水效率等级》（GB28378）</w:t>
            </w:r>
          </w:p>
        </w:tc>
      </w:tr>
    </w:tbl>
    <w:p w14:paraId="79E36F9F">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4" w:right="760" w:hanging="2"/>
        <w:textAlignment w:val="baseline"/>
        <w:rPr>
          <w:color w:val="auto"/>
          <w:sz w:val="20"/>
          <w:szCs w:val="20"/>
          <w:highlight w:val="none"/>
        </w:rPr>
        <w:sectPr>
          <w:footerReference r:id="rId15" w:type="default"/>
          <w:pgSz w:w="11906" w:h="16839"/>
          <w:pgMar w:top="1474" w:right="1234" w:bottom="1474" w:left="1474" w:header="0" w:footer="677" w:gutter="0"/>
          <w:pgNumType w:fmt="decimal"/>
          <w:cols w:space="720" w:num="1"/>
        </w:sectPr>
      </w:pPr>
      <w:r>
        <w:rPr>
          <w:color w:val="auto"/>
          <w:spacing w:val="3"/>
          <w:sz w:val="20"/>
          <w:szCs w:val="20"/>
          <w:highlight w:val="none"/>
        </w:rPr>
        <w:t>注：1.节能产品认证应依据相关国家标准的最新版本，依据国家标准中二级能效（水效）指标。</w:t>
      </w:r>
      <w:r>
        <w:rPr>
          <w:color w:val="auto"/>
          <w:spacing w:val="12"/>
          <w:sz w:val="20"/>
          <w:szCs w:val="20"/>
          <w:highlight w:val="none"/>
        </w:rPr>
        <w:t xml:space="preserve"> </w:t>
      </w:r>
      <w:r>
        <w:rPr>
          <w:color w:val="auto"/>
          <w:spacing w:val="6"/>
          <w:sz w:val="20"/>
          <w:szCs w:val="20"/>
          <w:highlight w:val="none"/>
        </w:rPr>
        <w:t>2.以“★</w:t>
      </w:r>
      <w:r>
        <w:rPr>
          <w:color w:val="auto"/>
          <w:spacing w:val="-60"/>
          <w:sz w:val="20"/>
          <w:szCs w:val="20"/>
          <w:highlight w:val="none"/>
        </w:rPr>
        <w:t xml:space="preserve"> </w:t>
      </w:r>
      <w:r>
        <w:rPr>
          <w:color w:val="auto"/>
          <w:spacing w:val="6"/>
          <w:sz w:val="20"/>
          <w:szCs w:val="20"/>
          <w:highlight w:val="none"/>
        </w:rPr>
        <w:t>”标注的为政府强制采购产</w:t>
      </w:r>
    </w:p>
    <w:p w14:paraId="05963F8D">
      <w:pPr>
        <w:pStyle w:val="8"/>
        <w:spacing w:before="78" w:line="219" w:lineRule="auto"/>
        <w:rPr>
          <w:color w:val="auto"/>
          <w:sz w:val="24"/>
          <w:szCs w:val="24"/>
          <w:highlight w:val="none"/>
        </w:rPr>
      </w:pPr>
      <w:r>
        <w:rPr>
          <w:b/>
          <w:bCs/>
          <w:color w:val="auto"/>
          <w:spacing w:val="-13"/>
          <w:sz w:val="24"/>
          <w:szCs w:val="24"/>
          <w:highlight w:val="none"/>
        </w:rPr>
        <w:t>附件</w:t>
      </w:r>
      <w:r>
        <w:rPr>
          <w:color w:val="auto"/>
          <w:spacing w:val="-48"/>
          <w:sz w:val="24"/>
          <w:szCs w:val="24"/>
          <w:highlight w:val="none"/>
        </w:rPr>
        <w:t xml:space="preserve"> </w:t>
      </w:r>
      <w:r>
        <w:rPr>
          <w:b/>
          <w:bCs/>
          <w:color w:val="auto"/>
          <w:spacing w:val="-13"/>
          <w:sz w:val="24"/>
          <w:szCs w:val="24"/>
          <w:highlight w:val="none"/>
        </w:rPr>
        <w:t>2：</w:t>
      </w:r>
    </w:p>
    <w:p w14:paraId="3F16AC4B">
      <w:pPr>
        <w:pStyle w:val="8"/>
        <w:spacing w:before="182" w:line="220" w:lineRule="auto"/>
        <w:ind w:left="3422"/>
        <w:rPr>
          <w:color w:val="auto"/>
          <w:sz w:val="28"/>
          <w:szCs w:val="28"/>
          <w:highlight w:val="none"/>
        </w:rPr>
      </w:pPr>
      <w:r>
        <w:rPr>
          <w:b/>
          <w:bCs/>
          <w:color w:val="auto"/>
          <w:spacing w:val="-7"/>
          <w:sz w:val="28"/>
          <w:szCs w:val="28"/>
          <w:highlight w:val="none"/>
        </w:rPr>
        <w:t>中小微企业划型标准</w:t>
      </w:r>
    </w:p>
    <w:p w14:paraId="221F5087">
      <w:pPr>
        <w:spacing w:line="132" w:lineRule="auto"/>
        <w:rPr>
          <w:rFonts w:ascii="Arial"/>
          <w:color w:val="auto"/>
          <w:sz w:val="2"/>
          <w:highlight w:val="none"/>
        </w:rPr>
      </w:pPr>
    </w:p>
    <w:tbl>
      <w:tblPr>
        <w:tblStyle w:val="12"/>
        <w:tblW w:w="8955"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0"/>
        <w:gridCol w:w="1500"/>
        <w:gridCol w:w="1200"/>
        <w:gridCol w:w="1800"/>
        <w:gridCol w:w="1575"/>
        <w:gridCol w:w="1200"/>
      </w:tblGrid>
      <w:tr w14:paraId="0B619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80" w:type="dxa"/>
            <w:vAlign w:val="top"/>
          </w:tcPr>
          <w:p w14:paraId="00630A87">
            <w:pPr>
              <w:pStyle w:val="13"/>
              <w:spacing w:before="96" w:line="224" w:lineRule="auto"/>
              <w:ind w:left="470"/>
              <w:rPr>
                <w:color w:val="auto"/>
                <w:highlight w:val="none"/>
              </w:rPr>
            </w:pPr>
            <w:r>
              <w:rPr>
                <w:b/>
                <w:bCs/>
                <w:color w:val="auto"/>
                <w:spacing w:val="5"/>
                <w:highlight w:val="none"/>
              </w:rPr>
              <w:t>行业名称</w:t>
            </w:r>
          </w:p>
        </w:tc>
        <w:tc>
          <w:tcPr>
            <w:tcW w:w="1500" w:type="dxa"/>
            <w:vAlign w:val="top"/>
          </w:tcPr>
          <w:p w14:paraId="1BAC9635">
            <w:pPr>
              <w:pStyle w:val="13"/>
              <w:spacing w:before="96" w:line="224" w:lineRule="auto"/>
              <w:ind w:left="333"/>
              <w:rPr>
                <w:color w:val="auto"/>
                <w:highlight w:val="none"/>
              </w:rPr>
            </w:pPr>
            <w:r>
              <w:rPr>
                <w:b/>
                <w:bCs/>
                <w:color w:val="auto"/>
                <w:spacing w:val="5"/>
                <w:highlight w:val="none"/>
              </w:rPr>
              <w:t>指标名称</w:t>
            </w:r>
          </w:p>
        </w:tc>
        <w:tc>
          <w:tcPr>
            <w:tcW w:w="1200" w:type="dxa"/>
            <w:vAlign w:val="top"/>
          </w:tcPr>
          <w:p w14:paraId="65F87DEE">
            <w:pPr>
              <w:pStyle w:val="13"/>
              <w:spacing w:before="96" w:line="224" w:lineRule="auto"/>
              <w:ind w:left="172"/>
              <w:rPr>
                <w:color w:val="auto"/>
                <w:highlight w:val="none"/>
              </w:rPr>
            </w:pPr>
            <w:r>
              <w:rPr>
                <w:b/>
                <w:bCs/>
                <w:color w:val="auto"/>
                <w:spacing w:val="6"/>
                <w:highlight w:val="none"/>
              </w:rPr>
              <w:t>计量单位</w:t>
            </w:r>
          </w:p>
        </w:tc>
        <w:tc>
          <w:tcPr>
            <w:tcW w:w="1800" w:type="dxa"/>
            <w:vAlign w:val="top"/>
          </w:tcPr>
          <w:p w14:paraId="5D941E7B">
            <w:pPr>
              <w:pStyle w:val="13"/>
              <w:spacing w:before="96" w:line="224" w:lineRule="auto"/>
              <w:ind w:left="712"/>
              <w:rPr>
                <w:color w:val="auto"/>
                <w:highlight w:val="none"/>
              </w:rPr>
            </w:pPr>
            <w:r>
              <w:rPr>
                <w:b/>
                <w:bCs/>
                <w:color w:val="auto"/>
                <w:spacing w:val="-6"/>
                <w:highlight w:val="none"/>
              </w:rPr>
              <w:t>中型</w:t>
            </w:r>
          </w:p>
        </w:tc>
        <w:tc>
          <w:tcPr>
            <w:tcW w:w="1575" w:type="dxa"/>
            <w:vAlign w:val="top"/>
          </w:tcPr>
          <w:p w14:paraId="17AE6895">
            <w:pPr>
              <w:pStyle w:val="13"/>
              <w:spacing w:before="96" w:line="224" w:lineRule="auto"/>
              <w:ind w:left="651"/>
              <w:rPr>
                <w:color w:val="auto"/>
                <w:highlight w:val="none"/>
              </w:rPr>
            </w:pPr>
            <w:r>
              <w:rPr>
                <w:b/>
                <w:bCs/>
                <w:color w:val="auto"/>
                <w:spacing w:val="1"/>
                <w:highlight w:val="none"/>
              </w:rPr>
              <w:t>小型</w:t>
            </w:r>
          </w:p>
        </w:tc>
        <w:tc>
          <w:tcPr>
            <w:tcW w:w="1200" w:type="dxa"/>
            <w:vAlign w:val="top"/>
          </w:tcPr>
          <w:p w14:paraId="454AA355">
            <w:pPr>
              <w:pStyle w:val="13"/>
              <w:spacing w:before="96" w:line="224" w:lineRule="auto"/>
              <w:ind w:left="397"/>
              <w:rPr>
                <w:color w:val="auto"/>
                <w:highlight w:val="none"/>
              </w:rPr>
            </w:pPr>
            <w:r>
              <w:rPr>
                <w:b/>
                <w:bCs/>
                <w:color w:val="auto"/>
                <w:spacing w:val="3"/>
                <w:highlight w:val="none"/>
              </w:rPr>
              <w:t>微型</w:t>
            </w:r>
          </w:p>
        </w:tc>
      </w:tr>
      <w:tr w14:paraId="494AD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80" w:type="dxa"/>
            <w:vAlign w:val="top"/>
          </w:tcPr>
          <w:p w14:paraId="1A3C8025">
            <w:pPr>
              <w:pStyle w:val="13"/>
              <w:spacing w:before="93" w:line="222" w:lineRule="auto"/>
              <w:ind w:left="152"/>
              <w:rPr>
                <w:color w:val="auto"/>
                <w:highlight w:val="none"/>
              </w:rPr>
            </w:pPr>
            <w:r>
              <w:rPr>
                <w:b/>
                <w:bCs/>
                <w:color w:val="auto"/>
                <w:spacing w:val="7"/>
                <w:highlight w:val="none"/>
              </w:rPr>
              <w:t>农、林、牧、渔</w:t>
            </w:r>
          </w:p>
        </w:tc>
        <w:tc>
          <w:tcPr>
            <w:tcW w:w="1500" w:type="dxa"/>
            <w:vAlign w:val="top"/>
          </w:tcPr>
          <w:p w14:paraId="7A1E773B">
            <w:pPr>
              <w:pStyle w:val="13"/>
              <w:spacing w:before="93" w:line="222" w:lineRule="auto"/>
              <w:ind w:left="119"/>
              <w:rPr>
                <w:color w:val="auto"/>
                <w:highlight w:val="none"/>
              </w:rPr>
            </w:pPr>
            <w:r>
              <w:rPr>
                <w:color w:val="auto"/>
                <w:spacing w:val="5"/>
                <w:highlight w:val="none"/>
              </w:rPr>
              <w:t>营业收入（Y）</w:t>
            </w:r>
          </w:p>
        </w:tc>
        <w:tc>
          <w:tcPr>
            <w:tcW w:w="1200" w:type="dxa"/>
            <w:vAlign w:val="top"/>
          </w:tcPr>
          <w:p w14:paraId="5B20A483">
            <w:pPr>
              <w:pStyle w:val="13"/>
              <w:spacing w:before="93" w:line="222" w:lineRule="auto"/>
              <w:ind w:left="388"/>
              <w:rPr>
                <w:color w:val="auto"/>
                <w:highlight w:val="none"/>
              </w:rPr>
            </w:pPr>
            <w:r>
              <w:rPr>
                <w:color w:val="auto"/>
                <w:spacing w:val="2"/>
                <w:highlight w:val="none"/>
              </w:rPr>
              <w:t>万元</w:t>
            </w:r>
          </w:p>
        </w:tc>
        <w:tc>
          <w:tcPr>
            <w:tcW w:w="1800" w:type="dxa"/>
            <w:vAlign w:val="top"/>
          </w:tcPr>
          <w:p w14:paraId="66AFD3A9">
            <w:pPr>
              <w:pStyle w:val="13"/>
              <w:spacing w:before="93" w:line="222" w:lineRule="auto"/>
              <w:ind w:left="227"/>
              <w:rPr>
                <w:color w:val="auto"/>
                <w:highlight w:val="none"/>
              </w:rPr>
            </w:pPr>
            <w:r>
              <w:rPr>
                <w:color w:val="auto"/>
                <w:spacing w:val="4"/>
                <w:highlight w:val="none"/>
              </w:rPr>
              <w:t>500≤Y＜20000</w:t>
            </w:r>
          </w:p>
        </w:tc>
        <w:tc>
          <w:tcPr>
            <w:tcW w:w="1575" w:type="dxa"/>
            <w:vAlign w:val="top"/>
          </w:tcPr>
          <w:p w14:paraId="40D92EB0">
            <w:pPr>
              <w:pStyle w:val="13"/>
              <w:spacing w:before="93" w:line="222" w:lineRule="auto"/>
              <w:ind w:left="335"/>
              <w:rPr>
                <w:color w:val="auto"/>
                <w:highlight w:val="none"/>
              </w:rPr>
            </w:pPr>
            <w:r>
              <w:rPr>
                <w:color w:val="auto"/>
                <w:spacing w:val="4"/>
                <w:highlight w:val="none"/>
              </w:rPr>
              <w:t>50≤Y＜500</w:t>
            </w:r>
          </w:p>
        </w:tc>
        <w:tc>
          <w:tcPr>
            <w:tcW w:w="1200" w:type="dxa"/>
            <w:vAlign w:val="top"/>
          </w:tcPr>
          <w:p w14:paraId="3B4CABEE">
            <w:pPr>
              <w:pStyle w:val="13"/>
              <w:spacing w:before="93" w:line="222" w:lineRule="auto"/>
              <w:ind w:left="341"/>
              <w:rPr>
                <w:color w:val="auto"/>
                <w:highlight w:val="none"/>
              </w:rPr>
            </w:pPr>
            <w:r>
              <w:rPr>
                <w:color w:val="auto"/>
                <w:spacing w:val="5"/>
                <w:highlight w:val="none"/>
              </w:rPr>
              <w:t>Y＜50</w:t>
            </w:r>
          </w:p>
        </w:tc>
      </w:tr>
      <w:tr w14:paraId="157BA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80" w:type="dxa"/>
            <w:vMerge w:val="restart"/>
            <w:tcBorders>
              <w:bottom w:val="nil"/>
            </w:tcBorders>
            <w:vAlign w:val="top"/>
          </w:tcPr>
          <w:p w14:paraId="27224EB9">
            <w:pPr>
              <w:pStyle w:val="13"/>
              <w:spacing w:before="269"/>
              <w:ind w:left="681"/>
              <w:rPr>
                <w:color w:val="auto"/>
                <w:highlight w:val="none"/>
              </w:rPr>
            </w:pPr>
            <w:r>
              <w:rPr>
                <w:b/>
                <w:bCs/>
                <w:color w:val="auto"/>
                <w:spacing w:val="2"/>
                <w:highlight w:val="none"/>
              </w:rPr>
              <w:t>工业</w:t>
            </w:r>
          </w:p>
        </w:tc>
        <w:tc>
          <w:tcPr>
            <w:tcW w:w="1500" w:type="dxa"/>
            <w:vAlign w:val="top"/>
          </w:tcPr>
          <w:p w14:paraId="4F63C7E0">
            <w:pPr>
              <w:pStyle w:val="13"/>
              <w:spacing w:before="94" w:line="221" w:lineRule="auto"/>
              <w:ind w:left="115"/>
              <w:rPr>
                <w:color w:val="auto"/>
                <w:highlight w:val="none"/>
              </w:rPr>
            </w:pPr>
            <w:r>
              <w:rPr>
                <w:color w:val="auto"/>
                <w:spacing w:val="6"/>
                <w:highlight w:val="none"/>
              </w:rPr>
              <w:t>从业人员（X）</w:t>
            </w:r>
          </w:p>
        </w:tc>
        <w:tc>
          <w:tcPr>
            <w:tcW w:w="1200" w:type="dxa"/>
            <w:vAlign w:val="top"/>
          </w:tcPr>
          <w:p w14:paraId="25700A8C">
            <w:pPr>
              <w:pStyle w:val="13"/>
              <w:spacing w:before="94" w:line="221" w:lineRule="auto"/>
              <w:ind w:left="490"/>
              <w:rPr>
                <w:color w:val="auto"/>
                <w:highlight w:val="none"/>
              </w:rPr>
            </w:pPr>
            <w:r>
              <w:rPr>
                <w:color w:val="auto"/>
                <w:highlight w:val="none"/>
              </w:rPr>
              <w:t>人</w:t>
            </w:r>
          </w:p>
        </w:tc>
        <w:tc>
          <w:tcPr>
            <w:tcW w:w="1800" w:type="dxa"/>
            <w:vAlign w:val="top"/>
          </w:tcPr>
          <w:p w14:paraId="11EB3A9F">
            <w:pPr>
              <w:pStyle w:val="13"/>
              <w:spacing w:before="94" w:line="221" w:lineRule="auto"/>
              <w:ind w:left="279"/>
              <w:rPr>
                <w:color w:val="auto"/>
                <w:highlight w:val="none"/>
              </w:rPr>
            </w:pPr>
            <w:r>
              <w:rPr>
                <w:color w:val="auto"/>
                <w:spacing w:val="4"/>
                <w:highlight w:val="none"/>
              </w:rPr>
              <w:t>300≤X＜1000</w:t>
            </w:r>
          </w:p>
        </w:tc>
        <w:tc>
          <w:tcPr>
            <w:tcW w:w="1575" w:type="dxa"/>
            <w:vAlign w:val="top"/>
          </w:tcPr>
          <w:p w14:paraId="4439504B">
            <w:pPr>
              <w:pStyle w:val="13"/>
              <w:spacing w:before="94" w:line="221" w:lineRule="auto"/>
              <w:ind w:left="334"/>
              <w:rPr>
                <w:color w:val="auto"/>
                <w:highlight w:val="none"/>
              </w:rPr>
            </w:pPr>
            <w:r>
              <w:rPr>
                <w:color w:val="auto"/>
                <w:spacing w:val="4"/>
                <w:highlight w:val="none"/>
              </w:rPr>
              <w:t>20≤X＜300</w:t>
            </w:r>
          </w:p>
        </w:tc>
        <w:tc>
          <w:tcPr>
            <w:tcW w:w="1200" w:type="dxa"/>
            <w:vAlign w:val="top"/>
          </w:tcPr>
          <w:p w14:paraId="7E8AA8EF">
            <w:pPr>
              <w:pStyle w:val="13"/>
              <w:spacing w:before="94" w:line="221" w:lineRule="auto"/>
              <w:ind w:left="342"/>
              <w:rPr>
                <w:color w:val="auto"/>
                <w:highlight w:val="none"/>
              </w:rPr>
            </w:pPr>
            <w:r>
              <w:rPr>
                <w:color w:val="auto"/>
                <w:spacing w:val="5"/>
                <w:highlight w:val="none"/>
              </w:rPr>
              <w:t>X＜20</w:t>
            </w:r>
          </w:p>
        </w:tc>
      </w:tr>
      <w:tr w14:paraId="1F7E3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80" w:type="dxa"/>
            <w:vMerge w:val="continue"/>
            <w:tcBorders>
              <w:top w:val="nil"/>
            </w:tcBorders>
            <w:vAlign w:val="top"/>
          </w:tcPr>
          <w:p w14:paraId="135ED6DA">
            <w:pPr>
              <w:rPr>
                <w:rFonts w:ascii="Arial"/>
                <w:color w:val="auto"/>
                <w:sz w:val="21"/>
                <w:highlight w:val="none"/>
              </w:rPr>
            </w:pPr>
          </w:p>
        </w:tc>
        <w:tc>
          <w:tcPr>
            <w:tcW w:w="1500" w:type="dxa"/>
            <w:vAlign w:val="top"/>
          </w:tcPr>
          <w:p w14:paraId="70145DED">
            <w:pPr>
              <w:pStyle w:val="13"/>
              <w:spacing w:before="95" w:line="220" w:lineRule="auto"/>
              <w:ind w:left="119"/>
              <w:rPr>
                <w:color w:val="auto"/>
                <w:highlight w:val="none"/>
              </w:rPr>
            </w:pPr>
            <w:r>
              <w:rPr>
                <w:color w:val="auto"/>
                <w:spacing w:val="5"/>
                <w:highlight w:val="none"/>
              </w:rPr>
              <w:t>营业收入（Y）</w:t>
            </w:r>
          </w:p>
        </w:tc>
        <w:tc>
          <w:tcPr>
            <w:tcW w:w="1200" w:type="dxa"/>
            <w:vAlign w:val="top"/>
          </w:tcPr>
          <w:p w14:paraId="232A88B9">
            <w:pPr>
              <w:pStyle w:val="13"/>
              <w:spacing w:before="95" w:line="220" w:lineRule="auto"/>
              <w:ind w:left="388"/>
              <w:rPr>
                <w:color w:val="auto"/>
                <w:highlight w:val="none"/>
              </w:rPr>
            </w:pPr>
            <w:r>
              <w:rPr>
                <w:color w:val="auto"/>
                <w:spacing w:val="2"/>
                <w:highlight w:val="none"/>
              </w:rPr>
              <w:t>万元</w:t>
            </w:r>
          </w:p>
        </w:tc>
        <w:tc>
          <w:tcPr>
            <w:tcW w:w="1800" w:type="dxa"/>
            <w:vAlign w:val="top"/>
          </w:tcPr>
          <w:p w14:paraId="09E63150">
            <w:pPr>
              <w:pStyle w:val="13"/>
              <w:spacing w:before="95" w:line="220" w:lineRule="auto"/>
              <w:ind w:left="172"/>
              <w:rPr>
                <w:color w:val="auto"/>
                <w:highlight w:val="none"/>
              </w:rPr>
            </w:pPr>
            <w:r>
              <w:rPr>
                <w:color w:val="auto"/>
                <w:spacing w:val="4"/>
                <w:highlight w:val="none"/>
              </w:rPr>
              <w:t>2000≤Y＜40000</w:t>
            </w:r>
          </w:p>
        </w:tc>
        <w:tc>
          <w:tcPr>
            <w:tcW w:w="1575" w:type="dxa"/>
            <w:vAlign w:val="top"/>
          </w:tcPr>
          <w:p w14:paraId="4BB39658">
            <w:pPr>
              <w:pStyle w:val="13"/>
              <w:spacing w:before="95" w:line="220" w:lineRule="auto"/>
              <w:ind w:left="230"/>
              <w:rPr>
                <w:color w:val="auto"/>
                <w:highlight w:val="none"/>
              </w:rPr>
            </w:pPr>
            <w:r>
              <w:rPr>
                <w:color w:val="auto"/>
                <w:spacing w:val="4"/>
                <w:highlight w:val="none"/>
              </w:rPr>
              <w:t>300≤Y＜2000</w:t>
            </w:r>
          </w:p>
        </w:tc>
        <w:tc>
          <w:tcPr>
            <w:tcW w:w="1200" w:type="dxa"/>
            <w:vAlign w:val="top"/>
          </w:tcPr>
          <w:p w14:paraId="7CA7DCCE">
            <w:pPr>
              <w:pStyle w:val="13"/>
              <w:spacing w:before="95" w:line="220" w:lineRule="auto"/>
              <w:ind w:left="289"/>
              <w:rPr>
                <w:color w:val="auto"/>
                <w:highlight w:val="none"/>
              </w:rPr>
            </w:pPr>
            <w:r>
              <w:rPr>
                <w:color w:val="auto"/>
                <w:spacing w:val="5"/>
                <w:highlight w:val="none"/>
              </w:rPr>
              <w:t>Y＜300</w:t>
            </w:r>
          </w:p>
        </w:tc>
      </w:tr>
      <w:tr w14:paraId="1213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606CA929">
            <w:pPr>
              <w:pStyle w:val="13"/>
              <w:spacing w:before="270" w:line="228" w:lineRule="auto"/>
              <w:ind w:left="575"/>
              <w:rPr>
                <w:color w:val="auto"/>
                <w:highlight w:val="none"/>
              </w:rPr>
            </w:pPr>
            <w:r>
              <w:rPr>
                <w:b/>
                <w:bCs/>
                <w:color w:val="auto"/>
                <w:spacing w:val="4"/>
                <w:highlight w:val="none"/>
              </w:rPr>
              <w:t>建筑业</w:t>
            </w:r>
          </w:p>
        </w:tc>
        <w:tc>
          <w:tcPr>
            <w:tcW w:w="1500" w:type="dxa"/>
            <w:vAlign w:val="top"/>
          </w:tcPr>
          <w:p w14:paraId="7FEC0A74">
            <w:pPr>
              <w:pStyle w:val="13"/>
              <w:spacing w:before="97" w:line="219" w:lineRule="auto"/>
              <w:ind w:left="119"/>
              <w:rPr>
                <w:color w:val="auto"/>
                <w:highlight w:val="none"/>
              </w:rPr>
            </w:pPr>
            <w:r>
              <w:rPr>
                <w:color w:val="auto"/>
                <w:spacing w:val="5"/>
                <w:highlight w:val="none"/>
              </w:rPr>
              <w:t>营业收入（Y）</w:t>
            </w:r>
          </w:p>
        </w:tc>
        <w:tc>
          <w:tcPr>
            <w:tcW w:w="1200" w:type="dxa"/>
            <w:vAlign w:val="top"/>
          </w:tcPr>
          <w:p w14:paraId="4372F934">
            <w:pPr>
              <w:pStyle w:val="13"/>
              <w:spacing w:before="97" w:line="219" w:lineRule="auto"/>
              <w:ind w:left="388"/>
              <w:rPr>
                <w:color w:val="auto"/>
                <w:highlight w:val="none"/>
              </w:rPr>
            </w:pPr>
            <w:r>
              <w:rPr>
                <w:color w:val="auto"/>
                <w:spacing w:val="2"/>
                <w:highlight w:val="none"/>
              </w:rPr>
              <w:t>万元</w:t>
            </w:r>
          </w:p>
        </w:tc>
        <w:tc>
          <w:tcPr>
            <w:tcW w:w="1800" w:type="dxa"/>
            <w:vAlign w:val="top"/>
          </w:tcPr>
          <w:p w14:paraId="0CFAE106">
            <w:pPr>
              <w:pStyle w:val="13"/>
              <w:spacing w:before="97" w:line="219" w:lineRule="auto"/>
              <w:ind w:left="171"/>
              <w:rPr>
                <w:color w:val="auto"/>
                <w:highlight w:val="none"/>
              </w:rPr>
            </w:pPr>
            <w:r>
              <w:rPr>
                <w:color w:val="auto"/>
                <w:spacing w:val="5"/>
                <w:highlight w:val="none"/>
              </w:rPr>
              <w:t>6000≤Y＜80000</w:t>
            </w:r>
          </w:p>
        </w:tc>
        <w:tc>
          <w:tcPr>
            <w:tcW w:w="1575" w:type="dxa"/>
            <w:vAlign w:val="top"/>
          </w:tcPr>
          <w:p w14:paraId="1F0AC2B4">
            <w:pPr>
              <w:pStyle w:val="13"/>
              <w:spacing w:before="97" w:line="219" w:lineRule="auto"/>
              <w:ind w:left="230"/>
              <w:rPr>
                <w:color w:val="auto"/>
                <w:highlight w:val="none"/>
              </w:rPr>
            </w:pPr>
            <w:r>
              <w:rPr>
                <w:color w:val="auto"/>
                <w:spacing w:val="4"/>
                <w:highlight w:val="none"/>
              </w:rPr>
              <w:t>300≤Y＜6000</w:t>
            </w:r>
          </w:p>
        </w:tc>
        <w:tc>
          <w:tcPr>
            <w:tcW w:w="1200" w:type="dxa"/>
            <w:vAlign w:val="top"/>
          </w:tcPr>
          <w:p w14:paraId="1E780C5D">
            <w:pPr>
              <w:pStyle w:val="13"/>
              <w:spacing w:before="97" w:line="219" w:lineRule="auto"/>
              <w:ind w:left="289"/>
              <w:rPr>
                <w:color w:val="auto"/>
                <w:highlight w:val="none"/>
              </w:rPr>
            </w:pPr>
            <w:r>
              <w:rPr>
                <w:color w:val="auto"/>
                <w:spacing w:val="5"/>
                <w:highlight w:val="none"/>
              </w:rPr>
              <w:t>Y＜300</w:t>
            </w:r>
          </w:p>
        </w:tc>
      </w:tr>
      <w:tr w14:paraId="6C319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5CF703B8">
            <w:pPr>
              <w:rPr>
                <w:rFonts w:ascii="Arial"/>
                <w:color w:val="auto"/>
                <w:sz w:val="21"/>
                <w:highlight w:val="none"/>
              </w:rPr>
            </w:pPr>
          </w:p>
        </w:tc>
        <w:tc>
          <w:tcPr>
            <w:tcW w:w="1500" w:type="dxa"/>
            <w:vAlign w:val="top"/>
          </w:tcPr>
          <w:p w14:paraId="4B763A49">
            <w:pPr>
              <w:pStyle w:val="13"/>
              <w:spacing w:before="95" w:line="221" w:lineRule="auto"/>
              <w:ind w:left="121"/>
              <w:rPr>
                <w:color w:val="auto"/>
                <w:highlight w:val="none"/>
              </w:rPr>
            </w:pPr>
            <w:r>
              <w:rPr>
                <w:color w:val="auto"/>
                <w:spacing w:val="5"/>
                <w:highlight w:val="none"/>
              </w:rPr>
              <w:t>资产总额（Z）</w:t>
            </w:r>
          </w:p>
        </w:tc>
        <w:tc>
          <w:tcPr>
            <w:tcW w:w="1200" w:type="dxa"/>
            <w:vAlign w:val="top"/>
          </w:tcPr>
          <w:p w14:paraId="1842D198">
            <w:pPr>
              <w:pStyle w:val="13"/>
              <w:spacing w:before="95" w:line="221" w:lineRule="auto"/>
              <w:ind w:left="388"/>
              <w:rPr>
                <w:color w:val="auto"/>
                <w:highlight w:val="none"/>
              </w:rPr>
            </w:pPr>
            <w:r>
              <w:rPr>
                <w:color w:val="auto"/>
                <w:spacing w:val="2"/>
                <w:highlight w:val="none"/>
              </w:rPr>
              <w:t>万元</w:t>
            </w:r>
          </w:p>
        </w:tc>
        <w:tc>
          <w:tcPr>
            <w:tcW w:w="1800" w:type="dxa"/>
            <w:vAlign w:val="top"/>
          </w:tcPr>
          <w:p w14:paraId="56E860C0">
            <w:pPr>
              <w:pStyle w:val="13"/>
              <w:spacing w:before="95" w:line="221" w:lineRule="auto"/>
              <w:ind w:left="174"/>
              <w:rPr>
                <w:color w:val="auto"/>
                <w:highlight w:val="none"/>
              </w:rPr>
            </w:pPr>
            <w:r>
              <w:rPr>
                <w:color w:val="auto"/>
                <w:spacing w:val="4"/>
                <w:highlight w:val="none"/>
              </w:rPr>
              <w:t>5000≤Z＜80000</w:t>
            </w:r>
          </w:p>
        </w:tc>
        <w:tc>
          <w:tcPr>
            <w:tcW w:w="1575" w:type="dxa"/>
            <w:vAlign w:val="top"/>
          </w:tcPr>
          <w:p w14:paraId="2C4E63DB">
            <w:pPr>
              <w:pStyle w:val="13"/>
              <w:spacing w:before="95" w:line="221" w:lineRule="auto"/>
              <w:ind w:left="230"/>
              <w:rPr>
                <w:color w:val="auto"/>
                <w:highlight w:val="none"/>
              </w:rPr>
            </w:pPr>
            <w:r>
              <w:rPr>
                <w:color w:val="auto"/>
                <w:spacing w:val="4"/>
                <w:highlight w:val="none"/>
              </w:rPr>
              <w:t>300≤Z＜5000</w:t>
            </w:r>
          </w:p>
        </w:tc>
        <w:tc>
          <w:tcPr>
            <w:tcW w:w="1200" w:type="dxa"/>
            <w:vAlign w:val="top"/>
          </w:tcPr>
          <w:p w14:paraId="0AB97496">
            <w:pPr>
              <w:pStyle w:val="13"/>
              <w:spacing w:before="95" w:line="221" w:lineRule="auto"/>
              <w:ind w:left="291"/>
              <w:rPr>
                <w:color w:val="auto"/>
                <w:highlight w:val="none"/>
              </w:rPr>
            </w:pPr>
            <w:r>
              <w:rPr>
                <w:color w:val="auto"/>
                <w:spacing w:val="4"/>
                <w:highlight w:val="none"/>
              </w:rPr>
              <w:t>Z＜300</w:t>
            </w:r>
          </w:p>
        </w:tc>
      </w:tr>
      <w:tr w14:paraId="1561E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0446CFAB">
            <w:pPr>
              <w:pStyle w:val="13"/>
              <w:spacing w:before="271" w:line="228" w:lineRule="auto"/>
              <w:ind w:left="572"/>
              <w:rPr>
                <w:color w:val="auto"/>
                <w:highlight w:val="none"/>
              </w:rPr>
            </w:pPr>
            <w:r>
              <w:rPr>
                <w:b/>
                <w:bCs/>
                <w:color w:val="auto"/>
                <w:spacing w:val="5"/>
                <w:highlight w:val="none"/>
              </w:rPr>
              <w:t>批发业</w:t>
            </w:r>
          </w:p>
        </w:tc>
        <w:tc>
          <w:tcPr>
            <w:tcW w:w="1500" w:type="dxa"/>
            <w:vAlign w:val="top"/>
          </w:tcPr>
          <w:p w14:paraId="597AFC0C">
            <w:pPr>
              <w:pStyle w:val="13"/>
              <w:spacing w:before="95" w:line="221" w:lineRule="auto"/>
              <w:ind w:left="115"/>
              <w:rPr>
                <w:color w:val="auto"/>
                <w:highlight w:val="none"/>
              </w:rPr>
            </w:pPr>
            <w:r>
              <w:rPr>
                <w:color w:val="auto"/>
                <w:spacing w:val="6"/>
                <w:highlight w:val="none"/>
              </w:rPr>
              <w:t>从业人员（X）</w:t>
            </w:r>
          </w:p>
        </w:tc>
        <w:tc>
          <w:tcPr>
            <w:tcW w:w="1200" w:type="dxa"/>
            <w:vAlign w:val="top"/>
          </w:tcPr>
          <w:p w14:paraId="6D703009">
            <w:pPr>
              <w:pStyle w:val="13"/>
              <w:spacing w:before="95" w:line="221" w:lineRule="auto"/>
              <w:ind w:left="490"/>
              <w:rPr>
                <w:color w:val="auto"/>
                <w:highlight w:val="none"/>
              </w:rPr>
            </w:pPr>
            <w:r>
              <w:rPr>
                <w:color w:val="auto"/>
                <w:highlight w:val="none"/>
              </w:rPr>
              <w:t>人</w:t>
            </w:r>
          </w:p>
        </w:tc>
        <w:tc>
          <w:tcPr>
            <w:tcW w:w="1800" w:type="dxa"/>
            <w:vAlign w:val="top"/>
          </w:tcPr>
          <w:p w14:paraId="4098B03D">
            <w:pPr>
              <w:pStyle w:val="13"/>
              <w:spacing w:before="95" w:line="221" w:lineRule="auto"/>
              <w:ind w:left="381"/>
              <w:rPr>
                <w:color w:val="auto"/>
                <w:highlight w:val="none"/>
              </w:rPr>
            </w:pPr>
            <w:r>
              <w:rPr>
                <w:color w:val="auto"/>
                <w:spacing w:val="5"/>
                <w:highlight w:val="none"/>
              </w:rPr>
              <w:t>20≤X＜200</w:t>
            </w:r>
          </w:p>
        </w:tc>
        <w:tc>
          <w:tcPr>
            <w:tcW w:w="1575" w:type="dxa"/>
            <w:vAlign w:val="top"/>
          </w:tcPr>
          <w:p w14:paraId="24666BAF">
            <w:pPr>
              <w:pStyle w:val="13"/>
              <w:spacing w:before="95" w:line="221" w:lineRule="auto"/>
              <w:ind w:left="441"/>
              <w:rPr>
                <w:color w:val="auto"/>
                <w:highlight w:val="none"/>
              </w:rPr>
            </w:pPr>
            <w:r>
              <w:rPr>
                <w:color w:val="auto"/>
                <w:spacing w:val="4"/>
                <w:highlight w:val="none"/>
              </w:rPr>
              <w:t>5≤X＜20</w:t>
            </w:r>
          </w:p>
        </w:tc>
        <w:tc>
          <w:tcPr>
            <w:tcW w:w="1200" w:type="dxa"/>
            <w:vAlign w:val="top"/>
          </w:tcPr>
          <w:p w14:paraId="15D95EBE">
            <w:pPr>
              <w:pStyle w:val="13"/>
              <w:spacing w:before="95" w:line="221" w:lineRule="auto"/>
              <w:ind w:left="395"/>
              <w:rPr>
                <w:color w:val="auto"/>
                <w:highlight w:val="none"/>
              </w:rPr>
            </w:pPr>
            <w:r>
              <w:rPr>
                <w:color w:val="auto"/>
                <w:spacing w:val="4"/>
                <w:highlight w:val="none"/>
              </w:rPr>
              <w:t>X＜5</w:t>
            </w:r>
          </w:p>
        </w:tc>
      </w:tr>
      <w:tr w14:paraId="7ED4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5378CAD9">
            <w:pPr>
              <w:rPr>
                <w:rFonts w:ascii="Arial"/>
                <w:color w:val="auto"/>
                <w:sz w:val="21"/>
                <w:highlight w:val="none"/>
              </w:rPr>
            </w:pPr>
          </w:p>
        </w:tc>
        <w:tc>
          <w:tcPr>
            <w:tcW w:w="1500" w:type="dxa"/>
            <w:vAlign w:val="top"/>
          </w:tcPr>
          <w:p w14:paraId="70410253">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4A0ED036">
            <w:pPr>
              <w:pStyle w:val="13"/>
              <w:spacing w:before="96" w:line="220" w:lineRule="auto"/>
              <w:ind w:left="388"/>
              <w:rPr>
                <w:color w:val="auto"/>
                <w:highlight w:val="none"/>
              </w:rPr>
            </w:pPr>
            <w:r>
              <w:rPr>
                <w:color w:val="auto"/>
                <w:spacing w:val="2"/>
                <w:highlight w:val="none"/>
              </w:rPr>
              <w:t>万元</w:t>
            </w:r>
          </w:p>
        </w:tc>
        <w:tc>
          <w:tcPr>
            <w:tcW w:w="1800" w:type="dxa"/>
            <w:vAlign w:val="top"/>
          </w:tcPr>
          <w:p w14:paraId="07AE843E">
            <w:pPr>
              <w:pStyle w:val="13"/>
              <w:spacing w:before="96" w:line="220" w:lineRule="auto"/>
              <w:ind w:left="174"/>
              <w:rPr>
                <w:color w:val="auto"/>
                <w:highlight w:val="none"/>
              </w:rPr>
            </w:pPr>
            <w:r>
              <w:rPr>
                <w:color w:val="auto"/>
                <w:spacing w:val="4"/>
                <w:highlight w:val="none"/>
              </w:rPr>
              <w:t>5000≤Y＜40000</w:t>
            </w:r>
          </w:p>
        </w:tc>
        <w:tc>
          <w:tcPr>
            <w:tcW w:w="1575" w:type="dxa"/>
            <w:vAlign w:val="top"/>
          </w:tcPr>
          <w:p w14:paraId="1B02DEAD">
            <w:pPr>
              <w:pStyle w:val="13"/>
              <w:spacing w:before="96" w:line="220" w:lineRule="auto"/>
              <w:ind w:left="191"/>
              <w:rPr>
                <w:color w:val="auto"/>
                <w:highlight w:val="none"/>
              </w:rPr>
            </w:pPr>
            <w:r>
              <w:rPr>
                <w:color w:val="auto"/>
                <w:spacing w:val="3"/>
                <w:highlight w:val="none"/>
              </w:rPr>
              <w:t>1000≤Y＜5000</w:t>
            </w:r>
          </w:p>
        </w:tc>
        <w:tc>
          <w:tcPr>
            <w:tcW w:w="1200" w:type="dxa"/>
            <w:vAlign w:val="top"/>
          </w:tcPr>
          <w:p w14:paraId="236B8991">
            <w:pPr>
              <w:pStyle w:val="13"/>
              <w:spacing w:before="96" w:line="220" w:lineRule="auto"/>
              <w:ind w:left="238"/>
              <w:rPr>
                <w:color w:val="auto"/>
                <w:highlight w:val="none"/>
              </w:rPr>
            </w:pPr>
            <w:r>
              <w:rPr>
                <w:color w:val="auto"/>
                <w:spacing w:val="5"/>
                <w:highlight w:val="none"/>
              </w:rPr>
              <w:t>Y＜1000</w:t>
            </w:r>
          </w:p>
        </w:tc>
      </w:tr>
      <w:tr w14:paraId="09C96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7E3D9130">
            <w:pPr>
              <w:pStyle w:val="13"/>
              <w:spacing w:before="271" w:line="228" w:lineRule="auto"/>
              <w:ind w:left="573"/>
              <w:rPr>
                <w:color w:val="auto"/>
                <w:highlight w:val="none"/>
              </w:rPr>
            </w:pPr>
            <w:r>
              <w:rPr>
                <w:b/>
                <w:bCs/>
                <w:color w:val="auto"/>
                <w:spacing w:val="5"/>
                <w:highlight w:val="none"/>
              </w:rPr>
              <w:t>零售业</w:t>
            </w:r>
          </w:p>
        </w:tc>
        <w:tc>
          <w:tcPr>
            <w:tcW w:w="1500" w:type="dxa"/>
            <w:vAlign w:val="top"/>
          </w:tcPr>
          <w:p w14:paraId="027A2B31">
            <w:pPr>
              <w:pStyle w:val="13"/>
              <w:spacing w:before="96" w:line="220" w:lineRule="auto"/>
              <w:ind w:left="115"/>
              <w:rPr>
                <w:color w:val="auto"/>
                <w:highlight w:val="none"/>
              </w:rPr>
            </w:pPr>
            <w:r>
              <w:rPr>
                <w:color w:val="auto"/>
                <w:spacing w:val="6"/>
                <w:highlight w:val="none"/>
              </w:rPr>
              <w:t>从业人员（X）</w:t>
            </w:r>
          </w:p>
        </w:tc>
        <w:tc>
          <w:tcPr>
            <w:tcW w:w="1200" w:type="dxa"/>
            <w:vAlign w:val="top"/>
          </w:tcPr>
          <w:p w14:paraId="57A70683">
            <w:pPr>
              <w:pStyle w:val="13"/>
              <w:spacing w:before="96" w:line="220" w:lineRule="auto"/>
              <w:ind w:left="490"/>
              <w:rPr>
                <w:color w:val="auto"/>
                <w:highlight w:val="none"/>
              </w:rPr>
            </w:pPr>
            <w:r>
              <w:rPr>
                <w:color w:val="auto"/>
                <w:highlight w:val="none"/>
              </w:rPr>
              <w:t>人</w:t>
            </w:r>
          </w:p>
        </w:tc>
        <w:tc>
          <w:tcPr>
            <w:tcW w:w="1800" w:type="dxa"/>
            <w:vAlign w:val="top"/>
          </w:tcPr>
          <w:p w14:paraId="0FE906FB">
            <w:pPr>
              <w:pStyle w:val="13"/>
              <w:spacing w:before="96" w:line="220" w:lineRule="auto"/>
              <w:ind w:left="383"/>
              <w:rPr>
                <w:color w:val="auto"/>
                <w:highlight w:val="none"/>
              </w:rPr>
            </w:pPr>
            <w:r>
              <w:rPr>
                <w:color w:val="auto"/>
                <w:spacing w:val="5"/>
                <w:highlight w:val="none"/>
              </w:rPr>
              <w:t>50≤X＜300</w:t>
            </w:r>
          </w:p>
        </w:tc>
        <w:tc>
          <w:tcPr>
            <w:tcW w:w="1575" w:type="dxa"/>
            <w:vAlign w:val="top"/>
          </w:tcPr>
          <w:p w14:paraId="242A43E7">
            <w:pPr>
              <w:pStyle w:val="13"/>
              <w:spacing w:before="96" w:line="220" w:lineRule="auto"/>
              <w:ind w:left="399"/>
              <w:rPr>
                <w:color w:val="auto"/>
                <w:highlight w:val="none"/>
              </w:rPr>
            </w:pPr>
            <w:r>
              <w:rPr>
                <w:color w:val="auto"/>
                <w:spacing w:val="2"/>
                <w:highlight w:val="none"/>
              </w:rPr>
              <w:t>10≤X＜50</w:t>
            </w:r>
          </w:p>
        </w:tc>
        <w:tc>
          <w:tcPr>
            <w:tcW w:w="1200" w:type="dxa"/>
            <w:vAlign w:val="top"/>
          </w:tcPr>
          <w:p w14:paraId="7A9DE130">
            <w:pPr>
              <w:pStyle w:val="13"/>
              <w:spacing w:before="96" w:line="220" w:lineRule="auto"/>
              <w:ind w:left="342"/>
              <w:rPr>
                <w:color w:val="auto"/>
                <w:highlight w:val="none"/>
              </w:rPr>
            </w:pPr>
            <w:r>
              <w:rPr>
                <w:color w:val="auto"/>
                <w:spacing w:val="5"/>
                <w:highlight w:val="none"/>
              </w:rPr>
              <w:t>X＜10</w:t>
            </w:r>
          </w:p>
        </w:tc>
      </w:tr>
      <w:tr w14:paraId="54A8A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184FBC53">
            <w:pPr>
              <w:rPr>
                <w:rFonts w:ascii="Arial"/>
                <w:color w:val="auto"/>
                <w:sz w:val="21"/>
                <w:highlight w:val="none"/>
              </w:rPr>
            </w:pPr>
          </w:p>
        </w:tc>
        <w:tc>
          <w:tcPr>
            <w:tcW w:w="1500" w:type="dxa"/>
            <w:vAlign w:val="top"/>
          </w:tcPr>
          <w:p w14:paraId="6F925EAB">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548D37F7">
            <w:pPr>
              <w:pStyle w:val="13"/>
              <w:spacing w:before="96" w:line="220" w:lineRule="auto"/>
              <w:ind w:left="388"/>
              <w:rPr>
                <w:color w:val="auto"/>
                <w:highlight w:val="none"/>
              </w:rPr>
            </w:pPr>
            <w:r>
              <w:rPr>
                <w:color w:val="auto"/>
                <w:spacing w:val="2"/>
                <w:highlight w:val="none"/>
              </w:rPr>
              <w:t>万元</w:t>
            </w:r>
          </w:p>
        </w:tc>
        <w:tc>
          <w:tcPr>
            <w:tcW w:w="1800" w:type="dxa"/>
            <w:vAlign w:val="top"/>
          </w:tcPr>
          <w:p w14:paraId="6733C553">
            <w:pPr>
              <w:pStyle w:val="13"/>
              <w:spacing w:before="96" w:line="220" w:lineRule="auto"/>
              <w:ind w:left="227"/>
              <w:rPr>
                <w:color w:val="auto"/>
                <w:highlight w:val="none"/>
              </w:rPr>
            </w:pPr>
            <w:r>
              <w:rPr>
                <w:color w:val="auto"/>
                <w:spacing w:val="4"/>
                <w:highlight w:val="none"/>
              </w:rPr>
              <w:t>500≤Y＜20000</w:t>
            </w:r>
          </w:p>
        </w:tc>
        <w:tc>
          <w:tcPr>
            <w:tcW w:w="1575" w:type="dxa"/>
            <w:vAlign w:val="top"/>
          </w:tcPr>
          <w:p w14:paraId="49CDEB2C">
            <w:pPr>
              <w:pStyle w:val="13"/>
              <w:spacing w:before="96" w:line="220" w:lineRule="auto"/>
              <w:ind w:left="294"/>
              <w:rPr>
                <w:color w:val="auto"/>
                <w:highlight w:val="none"/>
              </w:rPr>
            </w:pPr>
            <w:r>
              <w:rPr>
                <w:color w:val="auto"/>
                <w:spacing w:val="3"/>
                <w:highlight w:val="none"/>
              </w:rPr>
              <w:t>100≤Y＜500</w:t>
            </w:r>
          </w:p>
        </w:tc>
        <w:tc>
          <w:tcPr>
            <w:tcW w:w="1200" w:type="dxa"/>
            <w:vAlign w:val="top"/>
          </w:tcPr>
          <w:p w14:paraId="10A92CE0">
            <w:pPr>
              <w:pStyle w:val="13"/>
              <w:spacing w:before="96" w:line="220" w:lineRule="auto"/>
              <w:ind w:left="289"/>
              <w:rPr>
                <w:color w:val="auto"/>
                <w:highlight w:val="none"/>
              </w:rPr>
            </w:pPr>
            <w:r>
              <w:rPr>
                <w:color w:val="auto"/>
                <w:spacing w:val="5"/>
                <w:highlight w:val="none"/>
              </w:rPr>
              <w:t>Y＜100</w:t>
            </w:r>
          </w:p>
        </w:tc>
      </w:tr>
      <w:tr w14:paraId="76E0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3FF050F5">
            <w:pPr>
              <w:pStyle w:val="13"/>
              <w:spacing w:before="269" w:line="228" w:lineRule="auto"/>
              <w:ind w:left="365"/>
              <w:rPr>
                <w:color w:val="auto"/>
                <w:highlight w:val="none"/>
              </w:rPr>
            </w:pPr>
            <w:r>
              <w:rPr>
                <w:b/>
                <w:bCs/>
                <w:color w:val="auto"/>
                <w:spacing w:val="5"/>
                <w:highlight w:val="none"/>
              </w:rPr>
              <w:t>交通运输业</w:t>
            </w:r>
          </w:p>
        </w:tc>
        <w:tc>
          <w:tcPr>
            <w:tcW w:w="1500" w:type="dxa"/>
            <w:vAlign w:val="top"/>
          </w:tcPr>
          <w:p w14:paraId="73973985">
            <w:pPr>
              <w:pStyle w:val="13"/>
              <w:spacing w:before="97" w:line="219" w:lineRule="auto"/>
              <w:ind w:left="115"/>
              <w:rPr>
                <w:color w:val="auto"/>
                <w:highlight w:val="none"/>
              </w:rPr>
            </w:pPr>
            <w:r>
              <w:rPr>
                <w:color w:val="auto"/>
                <w:spacing w:val="6"/>
                <w:highlight w:val="none"/>
              </w:rPr>
              <w:t>从业人员（X）</w:t>
            </w:r>
          </w:p>
        </w:tc>
        <w:tc>
          <w:tcPr>
            <w:tcW w:w="1200" w:type="dxa"/>
            <w:vAlign w:val="top"/>
          </w:tcPr>
          <w:p w14:paraId="774B54F6">
            <w:pPr>
              <w:pStyle w:val="13"/>
              <w:spacing w:before="97" w:line="219" w:lineRule="auto"/>
              <w:ind w:left="490"/>
              <w:rPr>
                <w:color w:val="auto"/>
                <w:highlight w:val="none"/>
              </w:rPr>
            </w:pPr>
            <w:r>
              <w:rPr>
                <w:color w:val="auto"/>
                <w:highlight w:val="none"/>
              </w:rPr>
              <w:t>人</w:t>
            </w:r>
          </w:p>
        </w:tc>
        <w:tc>
          <w:tcPr>
            <w:tcW w:w="1800" w:type="dxa"/>
            <w:vAlign w:val="top"/>
          </w:tcPr>
          <w:p w14:paraId="3F970E54">
            <w:pPr>
              <w:pStyle w:val="13"/>
              <w:spacing w:before="97" w:line="219" w:lineRule="auto"/>
              <w:ind w:left="279"/>
              <w:rPr>
                <w:color w:val="auto"/>
                <w:highlight w:val="none"/>
              </w:rPr>
            </w:pPr>
            <w:r>
              <w:rPr>
                <w:color w:val="auto"/>
                <w:spacing w:val="4"/>
                <w:highlight w:val="none"/>
              </w:rPr>
              <w:t>300≤X＜1000</w:t>
            </w:r>
          </w:p>
        </w:tc>
        <w:tc>
          <w:tcPr>
            <w:tcW w:w="1575" w:type="dxa"/>
            <w:vAlign w:val="top"/>
          </w:tcPr>
          <w:p w14:paraId="043BE737">
            <w:pPr>
              <w:pStyle w:val="13"/>
              <w:spacing w:before="97" w:line="219" w:lineRule="auto"/>
              <w:ind w:left="334"/>
              <w:rPr>
                <w:color w:val="auto"/>
                <w:highlight w:val="none"/>
              </w:rPr>
            </w:pPr>
            <w:r>
              <w:rPr>
                <w:color w:val="auto"/>
                <w:spacing w:val="4"/>
                <w:highlight w:val="none"/>
              </w:rPr>
              <w:t>20≤X＜300</w:t>
            </w:r>
          </w:p>
        </w:tc>
        <w:tc>
          <w:tcPr>
            <w:tcW w:w="1200" w:type="dxa"/>
            <w:vAlign w:val="top"/>
          </w:tcPr>
          <w:p w14:paraId="0C0D592D">
            <w:pPr>
              <w:pStyle w:val="13"/>
              <w:spacing w:before="97" w:line="219" w:lineRule="auto"/>
              <w:ind w:left="342"/>
              <w:rPr>
                <w:color w:val="auto"/>
                <w:highlight w:val="none"/>
              </w:rPr>
            </w:pPr>
            <w:r>
              <w:rPr>
                <w:color w:val="auto"/>
                <w:spacing w:val="5"/>
                <w:highlight w:val="none"/>
              </w:rPr>
              <w:t>X＜20</w:t>
            </w:r>
          </w:p>
        </w:tc>
      </w:tr>
      <w:tr w14:paraId="3838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69091AE0">
            <w:pPr>
              <w:rPr>
                <w:rFonts w:ascii="Arial"/>
                <w:color w:val="auto"/>
                <w:sz w:val="21"/>
                <w:highlight w:val="none"/>
              </w:rPr>
            </w:pPr>
          </w:p>
        </w:tc>
        <w:tc>
          <w:tcPr>
            <w:tcW w:w="1500" w:type="dxa"/>
            <w:vAlign w:val="top"/>
          </w:tcPr>
          <w:p w14:paraId="5F4A20E6">
            <w:pPr>
              <w:pStyle w:val="13"/>
              <w:spacing w:before="95" w:line="221" w:lineRule="auto"/>
              <w:ind w:left="119"/>
              <w:rPr>
                <w:color w:val="auto"/>
                <w:highlight w:val="none"/>
              </w:rPr>
            </w:pPr>
            <w:r>
              <w:rPr>
                <w:color w:val="auto"/>
                <w:spacing w:val="5"/>
                <w:highlight w:val="none"/>
              </w:rPr>
              <w:t>营业收入（Y）</w:t>
            </w:r>
          </w:p>
        </w:tc>
        <w:tc>
          <w:tcPr>
            <w:tcW w:w="1200" w:type="dxa"/>
            <w:vAlign w:val="top"/>
          </w:tcPr>
          <w:p w14:paraId="3DEDD156">
            <w:pPr>
              <w:pStyle w:val="13"/>
              <w:spacing w:before="95" w:line="221" w:lineRule="auto"/>
              <w:ind w:left="388"/>
              <w:rPr>
                <w:color w:val="auto"/>
                <w:highlight w:val="none"/>
              </w:rPr>
            </w:pPr>
            <w:r>
              <w:rPr>
                <w:color w:val="auto"/>
                <w:spacing w:val="2"/>
                <w:highlight w:val="none"/>
              </w:rPr>
              <w:t>万元</w:t>
            </w:r>
          </w:p>
        </w:tc>
        <w:tc>
          <w:tcPr>
            <w:tcW w:w="1800" w:type="dxa"/>
            <w:vAlign w:val="top"/>
          </w:tcPr>
          <w:p w14:paraId="38328CD3">
            <w:pPr>
              <w:pStyle w:val="13"/>
              <w:spacing w:before="95" w:line="221" w:lineRule="auto"/>
              <w:ind w:left="174"/>
              <w:rPr>
                <w:color w:val="auto"/>
                <w:highlight w:val="none"/>
              </w:rPr>
            </w:pPr>
            <w:r>
              <w:rPr>
                <w:color w:val="auto"/>
                <w:spacing w:val="4"/>
                <w:highlight w:val="none"/>
              </w:rPr>
              <w:t>3000≤Y＜30000</w:t>
            </w:r>
          </w:p>
        </w:tc>
        <w:tc>
          <w:tcPr>
            <w:tcW w:w="1575" w:type="dxa"/>
            <w:vAlign w:val="top"/>
          </w:tcPr>
          <w:p w14:paraId="2933DC2C">
            <w:pPr>
              <w:pStyle w:val="13"/>
              <w:spacing w:before="95" w:line="221" w:lineRule="auto"/>
              <w:ind w:left="228"/>
              <w:rPr>
                <w:color w:val="auto"/>
                <w:highlight w:val="none"/>
              </w:rPr>
            </w:pPr>
            <w:r>
              <w:rPr>
                <w:color w:val="auto"/>
                <w:spacing w:val="5"/>
                <w:highlight w:val="none"/>
              </w:rPr>
              <w:t>200≤Y＜3000</w:t>
            </w:r>
          </w:p>
        </w:tc>
        <w:tc>
          <w:tcPr>
            <w:tcW w:w="1200" w:type="dxa"/>
            <w:vAlign w:val="top"/>
          </w:tcPr>
          <w:p w14:paraId="2C50FDF7">
            <w:pPr>
              <w:pStyle w:val="13"/>
              <w:spacing w:before="95" w:line="221" w:lineRule="auto"/>
              <w:ind w:left="289"/>
              <w:rPr>
                <w:color w:val="auto"/>
                <w:highlight w:val="none"/>
              </w:rPr>
            </w:pPr>
            <w:r>
              <w:rPr>
                <w:color w:val="auto"/>
                <w:spacing w:val="5"/>
                <w:highlight w:val="none"/>
              </w:rPr>
              <w:t>Y＜200</w:t>
            </w:r>
          </w:p>
        </w:tc>
      </w:tr>
      <w:tr w14:paraId="58B03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17030D7C">
            <w:pPr>
              <w:pStyle w:val="13"/>
              <w:spacing w:before="271" w:line="228" w:lineRule="auto"/>
              <w:ind w:left="572"/>
              <w:rPr>
                <w:color w:val="auto"/>
                <w:highlight w:val="none"/>
              </w:rPr>
            </w:pPr>
            <w:r>
              <w:rPr>
                <w:b/>
                <w:bCs/>
                <w:color w:val="auto"/>
                <w:spacing w:val="5"/>
                <w:highlight w:val="none"/>
              </w:rPr>
              <w:t>仓储业</w:t>
            </w:r>
          </w:p>
        </w:tc>
        <w:tc>
          <w:tcPr>
            <w:tcW w:w="1500" w:type="dxa"/>
            <w:vAlign w:val="top"/>
          </w:tcPr>
          <w:p w14:paraId="7C0F0BC2">
            <w:pPr>
              <w:pStyle w:val="13"/>
              <w:spacing w:before="95" w:line="221" w:lineRule="auto"/>
              <w:ind w:left="115"/>
              <w:rPr>
                <w:color w:val="auto"/>
                <w:highlight w:val="none"/>
              </w:rPr>
            </w:pPr>
            <w:r>
              <w:rPr>
                <w:color w:val="auto"/>
                <w:spacing w:val="6"/>
                <w:highlight w:val="none"/>
              </w:rPr>
              <w:t>从业人员（X）</w:t>
            </w:r>
          </w:p>
        </w:tc>
        <w:tc>
          <w:tcPr>
            <w:tcW w:w="1200" w:type="dxa"/>
            <w:vAlign w:val="top"/>
          </w:tcPr>
          <w:p w14:paraId="523A5EA8">
            <w:pPr>
              <w:pStyle w:val="13"/>
              <w:spacing w:before="95" w:line="221" w:lineRule="auto"/>
              <w:ind w:left="490"/>
              <w:rPr>
                <w:color w:val="auto"/>
                <w:highlight w:val="none"/>
              </w:rPr>
            </w:pPr>
            <w:r>
              <w:rPr>
                <w:color w:val="auto"/>
                <w:highlight w:val="none"/>
              </w:rPr>
              <w:t>人</w:t>
            </w:r>
          </w:p>
        </w:tc>
        <w:tc>
          <w:tcPr>
            <w:tcW w:w="1800" w:type="dxa"/>
            <w:vAlign w:val="top"/>
          </w:tcPr>
          <w:p w14:paraId="53B3F689">
            <w:pPr>
              <w:pStyle w:val="13"/>
              <w:spacing w:before="95" w:line="221" w:lineRule="auto"/>
              <w:ind w:left="341"/>
              <w:rPr>
                <w:color w:val="auto"/>
                <w:highlight w:val="none"/>
              </w:rPr>
            </w:pPr>
            <w:r>
              <w:rPr>
                <w:color w:val="auto"/>
                <w:spacing w:val="3"/>
                <w:highlight w:val="none"/>
              </w:rPr>
              <w:t>100≤X＜200</w:t>
            </w:r>
          </w:p>
        </w:tc>
        <w:tc>
          <w:tcPr>
            <w:tcW w:w="1575" w:type="dxa"/>
            <w:vAlign w:val="top"/>
          </w:tcPr>
          <w:p w14:paraId="41EC065F">
            <w:pPr>
              <w:pStyle w:val="13"/>
              <w:spacing w:before="95" w:line="221" w:lineRule="auto"/>
              <w:ind w:left="334"/>
              <w:rPr>
                <w:color w:val="auto"/>
                <w:highlight w:val="none"/>
              </w:rPr>
            </w:pPr>
            <w:r>
              <w:rPr>
                <w:color w:val="auto"/>
                <w:spacing w:val="4"/>
                <w:highlight w:val="none"/>
              </w:rPr>
              <w:t>20≤X＜100</w:t>
            </w:r>
          </w:p>
        </w:tc>
        <w:tc>
          <w:tcPr>
            <w:tcW w:w="1200" w:type="dxa"/>
            <w:vAlign w:val="top"/>
          </w:tcPr>
          <w:p w14:paraId="4B226B93">
            <w:pPr>
              <w:pStyle w:val="13"/>
              <w:spacing w:before="95" w:line="221" w:lineRule="auto"/>
              <w:ind w:left="342"/>
              <w:rPr>
                <w:color w:val="auto"/>
                <w:highlight w:val="none"/>
              </w:rPr>
            </w:pPr>
            <w:r>
              <w:rPr>
                <w:color w:val="auto"/>
                <w:spacing w:val="5"/>
                <w:highlight w:val="none"/>
              </w:rPr>
              <w:t>X＜20</w:t>
            </w:r>
          </w:p>
        </w:tc>
      </w:tr>
      <w:tr w14:paraId="22FF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18372923">
            <w:pPr>
              <w:rPr>
                <w:rFonts w:ascii="Arial"/>
                <w:color w:val="auto"/>
                <w:sz w:val="21"/>
                <w:highlight w:val="none"/>
              </w:rPr>
            </w:pPr>
          </w:p>
        </w:tc>
        <w:tc>
          <w:tcPr>
            <w:tcW w:w="1500" w:type="dxa"/>
            <w:vAlign w:val="top"/>
          </w:tcPr>
          <w:p w14:paraId="04E322BD">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6B4ECF94">
            <w:pPr>
              <w:pStyle w:val="13"/>
              <w:spacing w:before="96" w:line="220" w:lineRule="auto"/>
              <w:ind w:left="388"/>
              <w:rPr>
                <w:color w:val="auto"/>
                <w:highlight w:val="none"/>
              </w:rPr>
            </w:pPr>
            <w:r>
              <w:rPr>
                <w:color w:val="auto"/>
                <w:spacing w:val="2"/>
                <w:highlight w:val="none"/>
              </w:rPr>
              <w:t>万元</w:t>
            </w:r>
          </w:p>
        </w:tc>
        <w:tc>
          <w:tcPr>
            <w:tcW w:w="1800" w:type="dxa"/>
            <w:vAlign w:val="top"/>
          </w:tcPr>
          <w:p w14:paraId="53985506">
            <w:pPr>
              <w:pStyle w:val="13"/>
              <w:spacing w:before="96" w:line="220" w:lineRule="auto"/>
              <w:ind w:left="185"/>
              <w:rPr>
                <w:color w:val="auto"/>
                <w:highlight w:val="none"/>
              </w:rPr>
            </w:pPr>
            <w:r>
              <w:rPr>
                <w:color w:val="auto"/>
                <w:spacing w:val="3"/>
                <w:highlight w:val="none"/>
              </w:rPr>
              <w:t>1000≤Y＜30000</w:t>
            </w:r>
          </w:p>
        </w:tc>
        <w:tc>
          <w:tcPr>
            <w:tcW w:w="1575" w:type="dxa"/>
            <w:vAlign w:val="top"/>
          </w:tcPr>
          <w:p w14:paraId="288C8D15">
            <w:pPr>
              <w:pStyle w:val="13"/>
              <w:spacing w:before="96" w:line="220" w:lineRule="auto"/>
              <w:ind w:left="241"/>
              <w:rPr>
                <w:color w:val="auto"/>
                <w:highlight w:val="none"/>
              </w:rPr>
            </w:pPr>
            <w:r>
              <w:rPr>
                <w:color w:val="auto"/>
                <w:spacing w:val="3"/>
                <w:highlight w:val="none"/>
              </w:rPr>
              <w:t>100≤Y＜1000</w:t>
            </w:r>
          </w:p>
        </w:tc>
        <w:tc>
          <w:tcPr>
            <w:tcW w:w="1200" w:type="dxa"/>
            <w:vAlign w:val="top"/>
          </w:tcPr>
          <w:p w14:paraId="0CA65695">
            <w:pPr>
              <w:pStyle w:val="13"/>
              <w:spacing w:before="96" w:line="220" w:lineRule="auto"/>
              <w:ind w:left="289"/>
              <w:rPr>
                <w:color w:val="auto"/>
                <w:highlight w:val="none"/>
              </w:rPr>
            </w:pPr>
            <w:r>
              <w:rPr>
                <w:color w:val="auto"/>
                <w:spacing w:val="5"/>
                <w:highlight w:val="none"/>
              </w:rPr>
              <w:t>Y＜100</w:t>
            </w:r>
          </w:p>
        </w:tc>
      </w:tr>
      <w:tr w14:paraId="4354A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1398A3C7">
            <w:pPr>
              <w:pStyle w:val="13"/>
              <w:spacing w:before="271" w:line="229" w:lineRule="auto"/>
              <w:ind w:left="588"/>
              <w:rPr>
                <w:color w:val="auto"/>
                <w:highlight w:val="none"/>
              </w:rPr>
            </w:pPr>
            <w:r>
              <w:rPr>
                <w:b/>
                <w:bCs/>
                <w:color w:val="auto"/>
                <w:highlight w:val="none"/>
              </w:rPr>
              <w:t>邮政业</w:t>
            </w:r>
          </w:p>
        </w:tc>
        <w:tc>
          <w:tcPr>
            <w:tcW w:w="1500" w:type="dxa"/>
            <w:vAlign w:val="top"/>
          </w:tcPr>
          <w:p w14:paraId="0255D8EB">
            <w:pPr>
              <w:pStyle w:val="13"/>
              <w:spacing w:before="96" w:line="220" w:lineRule="auto"/>
              <w:ind w:left="115"/>
              <w:rPr>
                <w:color w:val="auto"/>
                <w:highlight w:val="none"/>
              </w:rPr>
            </w:pPr>
            <w:r>
              <w:rPr>
                <w:color w:val="auto"/>
                <w:spacing w:val="6"/>
                <w:highlight w:val="none"/>
              </w:rPr>
              <w:t>从业人员（X）</w:t>
            </w:r>
          </w:p>
        </w:tc>
        <w:tc>
          <w:tcPr>
            <w:tcW w:w="1200" w:type="dxa"/>
            <w:vAlign w:val="top"/>
          </w:tcPr>
          <w:p w14:paraId="6E0C932E">
            <w:pPr>
              <w:pStyle w:val="13"/>
              <w:spacing w:before="96" w:line="220" w:lineRule="auto"/>
              <w:ind w:left="490"/>
              <w:rPr>
                <w:color w:val="auto"/>
                <w:highlight w:val="none"/>
              </w:rPr>
            </w:pPr>
            <w:r>
              <w:rPr>
                <w:color w:val="auto"/>
                <w:highlight w:val="none"/>
              </w:rPr>
              <w:t>人</w:t>
            </w:r>
          </w:p>
        </w:tc>
        <w:tc>
          <w:tcPr>
            <w:tcW w:w="1800" w:type="dxa"/>
            <w:vAlign w:val="top"/>
          </w:tcPr>
          <w:p w14:paraId="02ACD250">
            <w:pPr>
              <w:pStyle w:val="13"/>
              <w:spacing w:before="96" w:line="220" w:lineRule="auto"/>
              <w:ind w:left="279"/>
              <w:rPr>
                <w:color w:val="auto"/>
                <w:highlight w:val="none"/>
              </w:rPr>
            </w:pPr>
            <w:r>
              <w:rPr>
                <w:color w:val="auto"/>
                <w:spacing w:val="4"/>
                <w:highlight w:val="none"/>
              </w:rPr>
              <w:t>300≤X＜1000</w:t>
            </w:r>
          </w:p>
        </w:tc>
        <w:tc>
          <w:tcPr>
            <w:tcW w:w="1575" w:type="dxa"/>
            <w:vAlign w:val="top"/>
          </w:tcPr>
          <w:p w14:paraId="00796510">
            <w:pPr>
              <w:pStyle w:val="13"/>
              <w:spacing w:before="96" w:line="220" w:lineRule="auto"/>
              <w:ind w:left="334"/>
              <w:rPr>
                <w:color w:val="auto"/>
                <w:highlight w:val="none"/>
              </w:rPr>
            </w:pPr>
            <w:r>
              <w:rPr>
                <w:color w:val="auto"/>
                <w:spacing w:val="4"/>
                <w:highlight w:val="none"/>
              </w:rPr>
              <w:t>20≤X＜300</w:t>
            </w:r>
          </w:p>
        </w:tc>
        <w:tc>
          <w:tcPr>
            <w:tcW w:w="1200" w:type="dxa"/>
            <w:vAlign w:val="top"/>
          </w:tcPr>
          <w:p w14:paraId="7D33737F">
            <w:pPr>
              <w:pStyle w:val="13"/>
              <w:spacing w:before="96" w:line="220" w:lineRule="auto"/>
              <w:ind w:left="342"/>
              <w:rPr>
                <w:color w:val="auto"/>
                <w:highlight w:val="none"/>
              </w:rPr>
            </w:pPr>
            <w:r>
              <w:rPr>
                <w:color w:val="auto"/>
                <w:spacing w:val="5"/>
                <w:highlight w:val="none"/>
              </w:rPr>
              <w:t>X＜20</w:t>
            </w:r>
          </w:p>
        </w:tc>
      </w:tr>
      <w:tr w14:paraId="7ABB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6075FDB9">
            <w:pPr>
              <w:rPr>
                <w:rFonts w:ascii="Arial"/>
                <w:color w:val="auto"/>
                <w:sz w:val="21"/>
                <w:highlight w:val="none"/>
              </w:rPr>
            </w:pPr>
          </w:p>
        </w:tc>
        <w:tc>
          <w:tcPr>
            <w:tcW w:w="1500" w:type="dxa"/>
            <w:vAlign w:val="top"/>
          </w:tcPr>
          <w:p w14:paraId="3E052730">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0E74ECCF">
            <w:pPr>
              <w:pStyle w:val="13"/>
              <w:spacing w:before="96" w:line="220" w:lineRule="auto"/>
              <w:ind w:left="388"/>
              <w:rPr>
                <w:color w:val="auto"/>
                <w:highlight w:val="none"/>
              </w:rPr>
            </w:pPr>
            <w:r>
              <w:rPr>
                <w:color w:val="auto"/>
                <w:spacing w:val="2"/>
                <w:highlight w:val="none"/>
              </w:rPr>
              <w:t>万元</w:t>
            </w:r>
          </w:p>
        </w:tc>
        <w:tc>
          <w:tcPr>
            <w:tcW w:w="1800" w:type="dxa"/>
            <w:vAlign w:val="top"/>
          </w:tcPr>
          <w:p w14:paraId="2063B53C">
            <w:pPr>
              <w:pStyle w:val="13"/>
              <w:spacing w:before="96" w:line="220" w:lineRule="auto"/>
              <w:ind w:left="172"/>
              <w:rPr>
                <w:color w:val="auto"/>
                <w:highlight w:val="none"/>
              </w:rPr>
            </w:pPr>
            <w:r>
              <w:rPr>
                <w:color w:val="auto"/>
                <w:spacing w:val="4"/>
                <w:highlight w:val="none"/>
              </w:rPr>
              <w:t>2000≤Y＜30000</w:t>
            </w:r>
          </w:p>
        </w:tc>
        <w:tc>
          <w:tcPr>
            <w:tcW w:w="1575" w:type="dxa"/>
            <w:vAlign w:val="top"/>
          </w:tcPr>
          <w:p w14:paraId="26BFF771">
            <w:pPr>
              <w:pStyle w:val="13"/>
              <w:spacing w:before="96" w:line="220" w:lineRule="auto"/>
              <w:ind w:left="241"/>
              <w:rPr>
                <w:color w:val="auto"/>
                <w:highlight w:val="none"/>
              </w:rPr>
            </w:pPr>
            <w:r>
              <w:rPr>
                <w:color w:val="auto"/>
                <w:spacing w:val="3"/>
                <w:highlight w:val="none"/>
              </w:rPr>
              <w:t>100≤Y＜2000</w:t>
            </w:r>
          </w:p>
        </w:tc>
        <w:tc>
          <w:tcPr>
            <w:tcW w:w="1200" w:type="dxa"/>
            <w:vAlign w:val="top"/>
          </w:tcPr>
          <w:p w14:paraId="3B047FF6">
            <w:pPr>
              <w:pStyle w:val="13"/>
              <w:spacing w:before="96" w:line="220" w:lineRule="auto"/>
              <w:ind w:left="289"/>
              <w:rPr>
                <w:color w:val="auto"/>
                <w:highlight w:val="none"/>
              </w:rPr>
            </w:pPr>
            <w:r>
              <w:rPr>
                <w:color w:val="auto"/>
                <w:spacing w:val="5"/>
                <w:highlight w:val="none"/>
              </w:rPr>
              <w:t>Y＜100</w:t>
            </w:r>
          </w:p>
        </w:tc>
      </w:tr>
      <w:tr w14:paraId="11C2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5A9696AB">
            <w:pPr>
              <w:pStyle w:val="13"/>
              <w:spacing w:before="269" w:line="228" w:lineRule="auto"/>
              <w:ind w:left="572"/>
              <w:rPr>
                <w:color w:val="auto"/>
                <w:highlight w:val="none"/>
              </w:rPr>
            </w:pPr>
            <w:r>
              <w:rPr>
                <w:b/>
                <w:bCs/>
                <w:color w:val="auto"/>
                <w:spacing w:val="5"/>
                <w:highlight w:val="none"/>
              </w:rPr>
              <w:t>住宿业</w:t>
            </w:r>
          </w:p>
        </w:tc>
        <w:tc>
          <w:tcPr>
            <w:tcW w:w="1500" w:type="dxa"/>
            <w:vAlign w:val="top"/>
          </w:tcPr>
          <w:p w14:paraId="70A53F09">
            <w:pPr>
              <w:pStyle w:val="13"/>
              <w:spacing w:before="97" w:line="219" w:lineRule="auto"/>
              <w:ind w:left="115"/>
              <w:rPr>
                <w:color w:val="auto"/>
                <w:highlight w:val="none"/>
              </w:rPr>
            </w:pPr>
            <w:r>
              <w:rPr>
                <w:color w:val="auto"/>
                <w:spacing w:val="6"/>
                <w:highlight w:val="none"/>
              </w:rPr>
              <w:t>从业人员（X）</w:t>
            </w:r>
          </w:p>
        </w:tc>
        <w:tc>
          <w:tcPr>
            <w:tcW w:w="1200" w:type="dxa"/>
            <w:vAlign w:val="top"/>
          </w:tcPr>
          <w:p w14:paraId="17D6A81C">
            <w:pPr>
              <w:pStyle w:val="13"/>
              <w:spacing w:before="97" w:line="219" w:lineRule="auto"/>
              <w:ind w:left="490"/>
              <w:rPr>
                <w:color w:val="auto"/>
                <w:highlight w:val="none"/>
              </w:rPr>
            </w:pPr>
            <w:r>
              <w:rPr>
                <w:color w:val="auto"/>
                <w:highlight w:val="none"/>
              </w:rPr>
              <w:t>人</w:t>
            </w:r>
          </w:p>
        </w:tc>
        <w:tc>
          <w:tcPr>
            <w:tcW w:w="1800" w:type="dxa"/>
            <w:vAlign w:val="top"/>
          </w:tcPr>
          <w:p w14:paraId="1601AE4E">
            <w:pPr>
              <w:pStyle w:val="13"/>
              <w:spacing w:before="97" w:line="219" w:lineRule="auto"/>
              <w:ind w:left="341"/>
              <w:rPr>
                <w:color w:val="auto"/>
                <w:highlight w:val="none"/>
              </w:rPr>
            </w:pPr>
            <w:r>
              <w:rPr>
                <w:color w:val="auto"/>
                <w:spacing w:val="3"/>
                <w:highlight w:val="none"/>
              </w:rPr>
              <w:t>100≤X＜300</w:t>
            </w:r>
          </w:p>
        </w:tc>
        <w:tc>
          <w:tcPr>
            <w:tcW w:w="1575" w:type="dxa"/>
            <w:vAlign w:val="top"/>
          </w:tcPr>
          <w:p w14:paraId="074D1071">
            <w:pPr>
              <w:pStyle w:val="13"/>
              <w:spacing w:before="97" w:line="219" w:lineRule="auto"/>
              <w:ind w:left="347"/>
              <w:rPr>
                <w:color w:val="auto"/>
                <w:highlight w:val="none"/>
              </w:rPr>
            </w:pPr>
            <w:r>
              <w:rPr>
                <w:color w:val="auto"/>
                <w:spacing w:val="3"/>
                <w:highlight w:val="none"/>
              </w:rPr>
              <w:t>10≤X＜100</w:t>
            </w:r>
          </w:p>
        </w:tc>
        <w:tc>
          <w:tcPr>
            <w:tcW w:w="1200" w:type="dxa"/>
            <w:vAlign w:val="top"/>
          </w:tcPr>
          <w:p w14:paraId="12BA254E">
            <w:pPr>
              <w:pStyle w:val="13"/>
              <w:spacing w:before="97" w:line="219" w:lineRule="auto"/>
              <w:ind w:left="342"/>
              <w:rPr>
                <w:color w:val="auto"/>
                <w:highlight w:val="none"/>
              </w:rPr>
            </w:pPr>
            <w:r>
              <w:rPr>
                <w:color w:val="auto"/>
                <w:spacing w:val="5"/>
                <w:highlight w:val="none"/>
              </w:rPr>
              <w:t>X＜10</w:t>
            </w:r>
          </w:p>
        </w:tc>
      </w:tr>
      <w:tr w14:paraId="0F97F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1A4CDDC3">
            <w:pPr>
              <w:rPr>
                <w:rFonts w:ascii="Arial"/>
                <w:color w:val="auto"/>
                <w:sz w:val="21"/>
                <w:highlight w:val="none"/>
              </w:rPr>
            </w:pPr>
          </w:p>
        </w:tc>
        <w:tc>
          <w:tcPr>
            <w:tcW w:w="1500" w:type="dxa"/>
            <w:vAlign w:val="top"/>
          </w:tcPr>
          <w:p w14:paraId="463AD776">
            <w:pPr>
              <w:pStyle w:val="13"/>
              <w:spacing w:before="95" w:line="221" w:lineRule="auto"/>
              <w:ind w:left="119"/>
              <w:rPr>
                <w:color w:val="auto"/>
                <w:highlight w:val="none"/>
              </w:rPr>
            </w:pPr>
            <w:r>
              <w:rPr>
                <w:color w:val="auto"/>
                <w:spacing w:val="5"/>
                <w:highlight w:val="none"/>
              </w:rPr>
              <w:t>营业收入（Y）</w:t>
            </w:r>
          </w:p>
        </w:tc>
        <w:tc>
          <w:tcPr>
            <w:tcW w:w="1200" w:type="dxa"/>
            <w:vAlign w:val="top"/>
          </w:tcPr>
          <w:p w14:paraId="46125A53">
            <w:pPr>
              <w:pStyle w:val="13"/>
              <w:spacing w:before="95" w:line="221" w:lineRule="auto"/>
              <w:ind w:left="388"/>
              <w:rPr>
                <w:color w:val="auto"/>
                <w:highlight w:val="none"/>
              </w:rPr>
            </w:pPr>
            <w:r>
              <w:rPr>
                <w:color w:val="auto"/>
                <w:spacing w:val="2"/>
                <w:highlight w:val="none"/>
              </w:rPr>
              <w:t>万元</w:t>
            </w:r>
          </w:p>
        </w:tc>
        <w:tc>
          <w:tcPr>
            <w:tcW w:w="1800" w:type="dxa"/>
            <w:vAlign w:val="top"/>
          </w:tcPr>
          <w:p w14:paraId="00C6C4A1">
            <w:pPr>
              <w:pStyle w:val="13"/>
              <w:spacing w:before="95" w:line="221" w:lineRule="auto"/>
              <w:ind w:left="172"/>
              <w:rPr>
                <w:color w:val="auto"/>
                <w:highlight w:val="none"/>
              </w:rPr>
            </w:pPr>
            <w:r>
              <w:rPr>
                <w:color w:val="auto"/>
                <w:spacing w:val="4"/>
                <w:highlight w:val="none"/>
              </w:rPr>
              <w:t>2000≤Y＜10000</w:t>
            </w:r>
          </w:p>
        </w:tc>
        <w:tc>
          <w:tcPr>
            <w:tcW w:w="1575" w:type="dxa"/>
            <w:vAlign w:val="top"/>
          </w:tcPr>
          <w:p w14:paraId="4D7A80B0">
            <w:pPr>
              <w:pStyle w:val="13"/>
              <w:spacing w:before="95" w:line="221" w:lineRule="auto"/>
              <w:ind w:left="241"/>
              <w:rPr>
                <w:color w:val="auto"/>
                <w:highlight w:val="none"/>
              </w:rPr>
            </w:pPr>
            <w:r>
              <w:rPr>
                <w:color w:val="auto"/>
                <w:spacing w:val="3"/>
                <w:highlight w:val="none"/>
              </w:rPr>
              <w:t>100≤Y＜2000</w:t>
            </w:r>
          </w:p>
        </w:tc>
        <w:tc>
          <w:tcPr>
            <w:tcW w:w="1200" w:type="dxa"/>
            <w:vAlign w:val="top"/>
          </w:tcPr>
          <w:p w14:paraId="1349116B">
            <w:pPr>
              <w:pStyle w:val="13"/>
              <w:spacing w:before="95" w:line="221" w:lineRule="auto"/>
              <w:ind w:left="289"/>
              <w:rPr>
                <w:color w:val="auto"/>
                <w:highlight w:val="none"/>
              </w:rPr>
            </w:pPr>
            <w:r>
              <w:rPr>
                <w:color w:val="auto"/>
                <w:spacing w:val="5"/>
                <w:highlight w:val="none"/>
              </w:rPr>
              <w:t>Y＜100</w:t>
            </w:r>
          </w:p>
        </w:tc>
      </w:tr>
      <w:tr w14:paraId="161CB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4BBB499C">
            <w:pPr>
              <w:pStyle w:val="13"/>
              <w:spacing w:before="270" w:line="228" w:lineRule="auto"/>
              <w:ind w:left="574"/>
              <w:rPr>
                <w:color w:val="auto"/>
                <w:highlight w:val="none"/>
              </w:rPr>
            </w:pPr>
            <w:r>
              <w:rPr>
                <w:b/>
                <w:bCs/>
                <w:color w:val="auto"/>
                <w:spacing w:val="5"/>
                <w:highlight w:val="none"/>
              </w:rPr>
              <w:t>餐饮业</w:t>
            </w:r>
          </w:p>
        </w:tc>
        <w:tc>
          <w:tcPr>
            <w:tcW w:w="1500" w:type="dxa"/>
            <w:vAlign w:val="top"/>
          </w:tcPr>
          <w:p w14:paraId="3EB43C4B">
            <w:pPr>
              <w:pStyle w:val="13"/>
              <w:spacing w:before="95" w:line="221" w:lineRule="auto"/>
              <w:ind w:left="115"/>
              <w:rPr>
                <w:color w:val="auto"/>
                <w:highlight w:val="none"/>
              </w:rPr>
            </w:pPr>
            <w:r>
              <w:rPr>
                <w:color w:val="auto"/>
                <w:spacing w:val="6"/>
                <w:highlight w:val="none"/>
              </w:rPr>
              <w:t>从业人员（X）</w:t>
            </w:r>
          </w:p>
        </w:tc>
        <w:tc>
          <w:tcPr>
            <w:tcW w:w="1200" w:type="dxa"/>
            <w:vAlign w:val="top"/>
          </w:tcPr>
          <w:p w14:paraId="178C6855">
            <w:pPr>
              <w:pStyle w:val="13"/>
              <w:spacing w:before="95" w:line="221" w:lineRule="auto"/>
              <w:ind w:left="490"/>
              <w:rPr>
                <w:color w:val="auto"/>
                <w:highlight w:val="none"/>
              </w:rPr>
            </w:pPr>
            <w:r>
              <w:rPr>
                <w:color w:val="auto"/>
                <w:highlight w:val="none"/>
              </w:rPr>
              <w:t>人</w:t>
            </w:r>
          </w:p>
        </w:tc>
        <w:tc>
          <w:tcPr>
            <w:tcW w:w="1800" w:type="dxa"/>
            <w:vAlign w:val="top"/>
          </w:tcPr>
          <w:p w14:paraId="2B281BC2">
            <w:pPr>
              <w:pStyle w:val="13"/>
              <w:spacing w:before="95" w:line="221" w:lineRule="auto"/>
              <w:ind w:left="341"/>
              <w:rPr>
                <w:color w:val="auto"/>
                <w:highlight w:val="none"/>
              </w:rPr>
            </w:pPr>
            <w:r>
              <w:rPr>
                <w:color w:val="auto"/>
                <w:spacing w:val="3"/>
                <w:highlight w:val="none"/>
              </w:rPr>
              <w:t>100≤X＜300</w:t>
            </w:r>
          </w:p>
        </w:tc>
        <w:tc>
          <w:tcPr>
            <w:tcW w:w="1575" w:type="dxa"/>
            <w:vAlign w:val="top"/>
          </w:tcPr>
          <w:p w14:paraId="2432A9A9">
            <w:pPr>
              <w:pStyle w:val="13"/>
              <w:spacing w:before="95" w:line="221" w:lineRule="auto"/>
              <w:ind w:left="347"/>
              <w:rPr>
                <w:color w:val="auto"/>
                <w:highlight w:val="none"/>
              </w:rPr>
            </w:pPr>
            <w:r>
              <w:rPr>
                <w:color w:val="auto"/>
                <w:spacing w:val="3"/>
                <w:highlight w:val="none"/>
              </w:rPr>
              <w:t>10≤X＜100</w:t>
            </w:r>
          </w:p>
        </w:tc>
        <w:tc>
          <w:tcPr>
            <w:tcW w:w="1200" w:type="dxa"/>
            <w:vAlign w:val="top"/>
          </w:tcPr>
          <w:p w14:paraId="77D39599">
            <w:pPr>
              <w:pStyle w:val="13"/>
              <w:spacing w:before="95" w:line="221" w:lineRule="auto"/>
              <w:ind w:left="342"/>
              <w:rPr>
                <w:color w:val="auto"/>
                <w:highlight w:val="none"/>
              </w:rPr>
            </w:pPr>
            <w:r>
              <w:rPr>
                <w:color w:val="auto"/>
                <w:spacing w:val="5"/>
                <w:highlight w:val="none"/>
              </w:rPr>
              <w:t>X＜10</w:t>
            </w:r>
          </w:p>
        </w:tc>
      </w:tr>
      <w:tr w14:paraId="4127B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29C3DD63">
            <w:pPr>
              <w:rPr>
                <w:rFonts w:ascii="Arial"/>
                <w:color w:val="auto"/>
                <w:sz w:val="21"/>
                <w:highlight w:val="none"/>
              </w:rPr>
            </w:pPr>
          </w:p>
        </w:tc>
        <w:tc>
          <w:tcPr>
            <w:tcW w:w="1500" w:type="dxa"/>
            <w:vAlign w:val="top"/>
          </w:tcPr>
          <w:p w14:paraId="0B5966B0">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6444B343">
            <w:pPr>
              <w:pStyle w:val="13"/>
              <w:spacing w:before="96" w:line="220" w:lineRule="auto"/>
              <w:ind w:left="388"/>
              <w:rPr>
                <w:color w:val="auto"/>
                <w:highlight w:val="none"/>
              </w:rPr>
            </w:pPr>
            <w:r>
              <w:rPr>
                <w:color w:val="auto"/>
                <w:spacing w:val="2"/>
                <w:highlight w:val="none"/>
              </w:rPr>
              <w:t>万元</w:t>
            </w:r>
          </w:p>
        </w:tc>
        <w:tc>
          <w:tcPr>
            <w:tcW w:w="1800" w:type="dxa"/>
            <w:vAlign w:val="top"/>
          </w:tcPr>
          <w:p w14:paraId="12FC114D">
            <w:pPr>
              <w:pStyle w:val="13"/>
              <w:spacing w:before="96" w:line="220" w:lineRule="auto"/>
              <w:ind w:left="172"/>
              <w:rPr>
                <w:color w:val="auto"/>
                <w:highlight w:val="none"/>
              </w:rPr>
            </w:pPr>
            <w:r>
              <w:rPr>
                <w:color w:val="auto"/>
                <w:spacing w:val="4"/>
                <w:highlight w:val="none"/>
              </w:rPr>
              <w:t>2000≤Y＜10000</w:t>
            </w:r>
          </w:p>
        </w:tc>
        <w:tc>
          <w:tcPr>
            <w:tcW w:w="1575" w:type="dxa"/>
            <w:vAlign w:val="top"/>
          </w:tcPr>
          <w:p w14:paraId="58FAC89E">
            <w:pPr>
              <w:pStyle w:val="13"/>
              <w:spacing w:before="96" w:line="220" w:lineRule="auto"/>
              <w:ind w:left="241"/>
              <w:rPr>
                <w:color w:val="auto"/>
                <w:highlight w:val="none"/>
              </w:rPr>
            </w:pPr>
            <w:r>
              <w:rPr>
                <w:color w:val="auto"/>
                <w:spacing w:val="3"/>
                <w:highlight w:val="none"/>
              </w:rPr>
              <w:t>100≤Y＜2000</w:t>
            </w:r>
          </w:p>
        </w:tc>
        <w:tc>
          <w:tcPr>
            <w:tcW w:w="1200" w:type="dxa"/>
            <w:vAlign w:val="top"/>
          </w:tcPr>
          <w:p w14:paraId="68656EB2">
            <w:pPr>
              <w:pStyle w:val="13"/>
              <w:spacing w:before="96" w:line="220" w:lineRule="auto"/>
              <w:ind w:left="289"/>
              <w:rPr>
                <w:color w:val="auto"/>
                <w:highlight w:val="none"/>
              </w:rPr>
            </w:pPr>
            <w:r>
              <w:rPr>
                <w:color w:val="auto"/>
                <w:spacing w:val="5"/>
                <w:highlight w:val="none"/>
              </w:rPr>
              <w:t>Y＜100</w:t>
            </w:r>
          </w:p>
        </w:tc>
      </w:tr>
      <w:tr w14:paraId="71F9E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7CE02F4F">
            <w:pPr>
              <w:pStyle w:val="13"/>
              <w:spacing w:before="271" w:line="227" w:lineRule="auto"/>
              <w:ind w:left="361"/>
              <w:rPr>
                <w:color w:val="auto"/>
                <w:highlight w:val="none"/>
              </w:rPr>
            </w:pPr>
            <w:r>
              <w:rPr>
                <w:b/>
                <w:bCs/>
                <w:color w:val="auto"/>
                <w:spacing w:val="6"/>
                <w:highlight w:val="none"/>
              </w:rPr>
              <w:t>信息传输业</w:t>
            </w:r>
          </w:p>
        </w:tc>
        <w:tc>
          <w:tcPr>
            <w:tcW w:w="1500" w:type="dxa"/>
            <w:vAlign w:val="top"/>
          </w:tcPr>
          <w:p w14:paraId="755C1977">
            <w:pPr>
              <w:pStyle w:val="13"/>
              <w:spacing w:before="96" w:line="220" w:lineRule="auto"/>
              <w:ind w:left="115"/>
              <w:rPr>
                <w:color w:val="auto"/>
                <w:highlight w:val="none"/>
              </w:rPr>
            </w:pPr>
            <w:r>
              <w:rPr>
                <w:color w:val="auto"/>
                <w:spacing w:val="6"/>
                <w:highlight w:val="none"/>
              </w:rPr>
              <w:t>从业人员（X）</w:t>
            </w:r>
          </w:p>
        </w:tc>
        <w:tc>
          <w:tcPr>
            <w:tcW w:w="1200" w:type="dxa"/>
            <w:vAlign w:val="top"/>
          </w:tcPr>
          <w:p w14:paraId="6092A71A">
            <w:pPr>
              <w:pStyle w:val="13"/>
              <w:spacing w:before="96" w:line="220" w:lineRule="auto"/>
              <w:ind w:left="490"/>
              <w:rPr>
                <w:color w:val="auto"/>
                <w:highlight w:val="none"/>
              </w:rPr>
            </w:pPr>
            <w:r>
              <w:rPr>
                <w:color w:val="auto"/>
                <w:highlight w:val="none"/>
              </w:rPr>
              <w:t>人</w:t>
            </w:r>
          </w:p>
        </w:tc>
        <w:tc>
          <w:tcPr>
            <w:tcW w:w="1800" w:type="dxa"/>
            <w:vAlign w:val="top"/>
          </w:tcPr>
          <w:p w14:paraId="2415A13E">
            <w:pPr>
              <w:pStyle w:val="13"/>
              <w:spacing w:before="96" w:line="220" w:lineRule="auto"/>
              <w:ind w:left="291"/>
              <w:rPr>
                <w:color w:val="auto"/>
                <w:highlight w:val="none"/>
              </w:rPr>
            </w:pPr>
            <w:r>
              <w:rPr>
                <w:color w:val="auto"/>
                <w:spacing w:val="3"/>
                <w:highlight w:val="none"/>
              </w:rPr>
              <w:t>100≤X＜2000</w:t>
            </w:r>
          </w:p>
        </w:tc>
        <w:tc>
          <w:tcPr>
            <w:tcW w:w="1575" w:type="dxa"/>
            <w:vAlign w:val="top"/>
          </w:tcPr>
          <w:p w14:paraId="0DBCF4B9">
            <w:pPr>
              <w:pStyle w:val="13"/>
              <w:spacing w:before="96" w:line="220" w:lineRule="auto"/>
              <w:ind w:left="347"/>
              <w:rPr>
                <w:color w:val="auto"/>
                <w:highlight w:val="none"/>
              </w:rPr>
            </w:pPr>
            <w:r>
              <w:rPr>
                <w:color w:val="auto"/>
                <w:spacing w:val="3"/>
                <w:highlight w:val="none"/>
              </w:rPr>
              <w:t>10≤X＜100</w:t>
            </w:r>
          </w:p>
        </w:tc>
        <w:tc>
          <w:tcPr>
            <w:tcW w:w="1200" w:type="dxa"/>
            <w:vAlign w:val="top"/>
          </w:tcPr>
          <w:p w14:paraId="5FA1C949">
            <w:pPr>
              <w:pStyle w:val="13"/>
              <w:spacing w:before="96" w:line="220" w:lineRule="auto"/>
              <w:ind w:left="342"/>
              <w:rPr>
                <w:color w:val="auto"/>
                <w:highlight w:val="none"/>
              </w:rPr>
            </w:pPr>
            <w:r>
              <w:rPr>
                <w:color w:val="auto"/>
                <w:spacing w:val="5"/>
                <w:highlight w:val="none"/>
              </w:rPr>
              <w:t>X＜10</w:t>
            </w:r>
          </w:p>
        </w:tc>
      </w:tr>
      <w:tr w14:paraId="5615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0F71E097">
            <w:pPr>
              <w:rPr>
                <w:rFonts w:ascii="Arial"/>
                <w:color w:val="auto"/>
                <w:sz w:val="21"/>
                <w:highlight w:val="none"/>
              </w:rPr>
            </w:pPr>
          </w:p>
        </w:tc>
        <w:tc>
          <w:tcPr>
            <w:tcW w:w="1500" w:type="dxa"/>
            <w:vAlign w:val="top"/>
          </w:tcPr>
          <w:p w14:paraId="74DE14C7">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44F763ED">
            <w:pPr>
              <w:pStyle w:val="13"/>
              <w:spacing w:before="96" w:line="220" w:lineRule="auto"/>
              <w:ind w:left="388"/>
              <w:rPr>
                <w:color w:val="auto"/>
                <w:highlight w:val="none"/>
              </w:rPr>
            </w:pPr>
            <w:r>
              <w:rPr>
                <w:color w:val="auto"/>
                <w:spacing w:val="2"/>
                <w:highlight w:val="none"/>
              </w:rPr>
              <w:t>万元</w:t>
            </w:r>
          </w:p>
        </w:tc>
        <w:tc>
          <w:tcPr>
            <w:tcW w:w="1800" w:type="dxa"/>
            <w:vAlign w:val="top"/>
          </w:tcPr>
          <w:p w14:paraId="5526D1E8">
            <w:pPr>
              <w:pStyle w:val="13"/>
              <w:spacing w:before="96" w:line="220" w:lineRule="auto"/>
              <w:ind w:left="132"/>
              <w:rPr>
                <w:color w:val="auto"/>
                <w:highlight w:val="none"/>
              </w:rPr>
            </w:pPr>
            <w:r>
              <w:rPr>
                <w:color w:val="auto"/>
                <w:spacing w:val="4"/>
                <w:highlight w:val="none"/>
              </w:rPr>
              <w:t>1000≤Y＜100000</w:t>
            </w:r>
          </w:p>
        </w:tc>
        <w:tc>
          <w:tcPr>
            <w:tcW w:w="1575" w:type="dxa"/>
            <w:vAlign w:val="top"/>
          </w:tcPr>
          <w:p w14:paraId="7324D1E2">
            <w:pPr>
              <w:pStyle w:val="13"/>
              <w:spacing w:before="96" w:line="220" w:lineRule="auto"/>
              <w:ind w:left="241"/>
              <w:rPr>
                <w:color w:val="auto"/>
                <w:highlight w:val="none"/>
              </w:rPr>
            </w:pPr>
            <w:r>
              <w:rPr>
                <w:color w:val="auto"/>
                <w:spacing w:val="3"/>
                <w:highlight w:val="none"/>
              </w:rPr>
              <w:t>100≤Y＜1000</w:t>
            </w:r>
          </w:p>
        </w:tc>
        <w:tc>
          <w:tcPr>
            <w:tcW w:w="1200" w:type="dxa"/>
            <w:vAlign w:val="top"/>
          </w:tcPr>
          <w:p w14:paraId="175DE5B5">
            <w:pPr>
              <w:pStyle w:val="13"/>
              <w:spacing w:before="96" w:line="220" w:lineRule="auto"/>
              <w:ind w:left="289"/>
              <w:rPr>
                <w:color w:val="auto"/>
                <w:highlight w:val="none"/>
              </w:rPr>
            </w:pPr>
            <w:r>
              <w:rPr>
                <w:color w:val="auto"/>
                <w:spacing w:val="5"/>
                <w:highlight w:val="none"/>
              </w:rPr>
              <w:t>Y＜100</w:t>
            </w:r>
          </w:p>
        </w:tc>
      </w:tr>
      <w:tr w14:paraId="0153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6AEBC67D">
            <w:pPr>
              <w:pStyle w:val="13"/>
              <w:spacing w:before="103" w:line="268" w:lineRule="auto"/>
              <w:ind w:left="572" w:right="144" w:hanging="417"/>
              <w:rPr>
                <w:color w:val="auto"/>
                <w:highlight w:val="none"/>
              </w:rPr>
            </w:pPr>
            <w:r>
              <w:rPr>
                <w:b/>
                <w:bCs/>
                <w:color w:val="auto"/>
                <w:spacing w:val="6"/>
                <w:highlight w:val="none"/>
              </w:rPr>
              <w:t>软件和信息技术</w:t>
            </w:r>
            <w:r>
              <w:rPr>
                <w:color w:val="auto"/>
                <w:spacing w:val="5"/>
                <w:highlight w:val="none"/>
              </w:rPr>
              <w:t xml:space="preserve"> </w:t>
            </w:r>
            <w:r>
              <w:rPr>
                <w:b/>
                <w:bCs/>
                <w:color w:val="auto"/>
                <w:spacing w:val="5"/>
                <w:highlight w:val="none"/>
              </w:rPr>
              <w:t>服务业</w:t>
            </w:r>
          </w:p>
        </w:tc>
        <w:tc>
          <w:tcPr>
            <w:tcW w:w="1500" w:type="dxa"/>
            <w:vAlign w:val="top"/>
          </w:tcPr>
          <w:p w14:paraId="2ED24B15">
            <w:pPr>
              <w:pStyle w:val="13"/>
              <w:spacing w:before="97" w:line="219" w:lineRule="auto"/>
              <w:ind w:left="115"/>
              <w:rPr>
                <w:color w:val="auto"/>
                <w:highlight w:val="none"/>
              </w:rPr>
            </w:pPr>
            <w:r>
              <w:rPr>
                <w:color w:val="auto"/>
                <w:spacing w:val="6"/>
                <w:highlight w:val="none"/>
              </w:rPr>
              <w:t>从业人员（X）</w:t>
            </w:r>
          </w:p>
        </w:tc>
        <w:tc>
          <w:tcPr>
            <w:tcW w:w="1200" w:type="dxa"/>
            <w:vAlign w:val="top"/>
          </w:tcPr>
          <w:p w14:paraId="2965AA5E">
            <w:pPr>
              <w:pStyle w:val="13"/>
              <w:spacing w:before="97" w:line="219" w:lineRule="auto"/>
              <w:ind w:left="490"/>
              <w:rPr>
                <w:color w:val="auto"/>
                <w:highlight w:val="none"/>
              </w:rPr>
            </w:pPr>
            <w:r>
              <w:rPr>
                <w:color w:val="auto"/>
                <w:highlight w:val="none"/>
              </w:rPr>
              <w:t>人</w:t>
            </w:r>
          </w:p>
        </w:tc>
        <w:tc>
          <w:tcPr>
            <w:tcW w:w="1800" w:type="dxa"/>
            <w:vAlign w:val="top"/>
          </w:tcPr>
          <w:p w14:paraId="6430BE5F">
            <w:pPr>
              <w:pStyle w:val="13"/>
              <w:spacing w:before="97" w:line="219" w:lineRule="auto"/>
              <w:ind w:left="341"/>
              <w:rPr>
                <w:color w:val="auto"/>
                <w:highlight w:val="none"/>
              </w:rPr>
            </w:pPr>
            <w:r>
              <w:rPr>
                <w:color w:val="auto"/>
                <w:spacing w:val="3"/>
                <w:highlight w:val="none"/>
              </w:rPr>
              <w:t>100≤X＜300</w:t>
            </w:r>
          </w:p>
        </w:tc>
        <w:tc>
          <w:tcPr>
            <w:tcW w:w="1575" w:type="dxa"/>
            <w:vAlign w:val="top"/>
          </w:tcPr>
          <w:p w14:paraId="224BAEAA">
            <w:pPr>
              <w:pStyle w:val="13"/>
              <w:spacing w:before="97" w:line="219" w:lineRule="auto"/>
              <w:ind w:left="347"/>
              <w:rPr>
                <w:color w:val="auto"/>
                <w:highlight w:val="none"/>
              </w:rPr>
            </w:pPr>
            <w:r>
              <w:rPr>
                <w:color w:val="auto"/>
                <w:spacing w:val="3"/>
                <w:highlight w:val="none"/>
              </w:rPr>
              <w:t>10≤X＜100</w:t>
            </w:r>
          </w:p>
        </w:tc>
        <w:tc>
          <w:tcPr>
            <w:tcW w:w="1200" w:type="dxa"/>
            <w:vAlign w:val="top"/>
          </w:tcPr>
          <w:p w14:paraId="0E66B495">
            <w:pPr>
              <w:pStyle w:val="13"/>
              <w:spacing w:before="97" w:line="219" w:lineRule="auto"/>
              <w:ind w:left="342"/>
              <w:rPr>
                <w:color w:val="auto"/>
                <w:highlight w:val="none"/>
              </w:rPr>
            </w:pPr>
            <w:r>
              <w:rPr>
                <w:color w:val="auto"/>
                <w:spacing w:val="5"/>
                <w:highlight w:val="none"/>
              </w:rPr>
              <w:t>X＜10</w:t>
            </w:r>
          </w:p>
        </w:tc>
      </w:tr>
      <w:tr w14:paraId="7810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80" w:type="dxa"/>
            <w:vMerge w:val="continue"/>
            <w:tcBorders>
              <w:top w:val="nil"/>
            </w:tcBorders>
            <w:vAlign w:val="top"/>
          </w:tcPr>
          <w:p w14:paraId="53FC607F">
            <w:pPr>
              <w:rPr>
                <w:rFonts w:ascii="Arial"/>
                <w:color w:val="auto"/>
                <w:sz w:val="21"/>
                <w:highlight w:val="none"/>
              </w:rPr>
            </w:pPr>
          </w:p>
        </w:tc>
        <w:tc>
          <w:tcPr>
            <w:tcW w:w="1500" w:type="dxa"/>
            <w:vAlign w:val="top"/>
          </w:tcPr>
          <w:p w14:paraId="38054CAD">
            <w:pPr>
              <w:pStyle w:val="13"/>
              <w:spacing w:before="95" w:line="220" w:lineRule="auto"/>
              <w:ind w:left="119"/>
              <w:rPr>
                <w:color w:val="auto"/>
                <w:highlight w:val="none"/>
              </w:rPr>
            </w:pPr>
            <w:r>
              <w:rPr>
                <w:color w:val="auto"/>
                <w:spacing w:val="5"/>
                <w:highlight w:val="none"/>
              </w:rPr>
              <w:t>营业收入（Y）</w:t>
            </w:r>
          </w:p>
        </w:tc>
        <w:tc>
          <w:tcPr>
            <w:tcW w:w="1200" w:type="dxa"/>
            <w:vAlign w:val="top"/>
          </w:tcPr>
          <w:p w14:paraId="15DB8D5C">
            <w:pPr>
              <w:pStyle w:val="13"/>
              <w:spacing w:before="95" w:line="220" w:lineRule="auto"/>
              <w:ind w:left="388"/>
              <w:rPr>
                <w:color w:val="auto"/>
                <w:highlight w:val="none"/>
              </w:rPr>
            </w:pPr>
            <w:r>
              <w:rPr>
                <w:color w:val="auto"/>
                <w:spacing w:val="2"/>
                <w:highlight w:val="none"/>
              </w:rPr>
              <w:t>万元</w:t>
            </w:r>
          </w:p>
        </w:tc>
        <w:tc>
          <w:tcPr>
            <w:tcW w:w="1800" w:type="dxa"/>
            <w:vAlign w:val="top"/>
          </w:tcPr>
          <w:p w14:paraId="29BF2801">
            <w:pPr>
              <w:pStyle w:val="13"/>
              <w:spacing w:before="95" w:line="220" w:lineRule="auto"/>
              <w:ind w:left="185"/>
              <w:rPr>
                <w:color w:val="auto"/>
                <w:highlight w:val="none"/>
              </w:rPr>
            </w:pPr>
            <w:r>
              <w:rPr>
                <w:color w:val="auto"/>
                <w:spacing w:val="3"/>
                <w:highlight w:val="none"/>
              </w:rPr>
              <w:t>1000≤Y＜10000</w:t>
            </w:r>
          </w:p>
        </w:tc>
        <w:tc>
          <w:tcPr>
            <w:tcW w:w="1575" w:type="dxa"/>
            <w:vAlign w:val="top"/>
          </w:tcPr>
          <w:p w14:paraId="033751FF">
            <w:pPr>
              <w:pStyle w:val="13"/>
              <w:spacing w:before="95" w:line="220" w:lineRule="auto"/>
              <w:ind w:left="282"/>
              <w:rPr>
                <w:color w:val="auto"/>
                <w:highlight w:val="none"/>
              </w:rPr>
            </w:pPr>
            <w:r>
              <w:rPr>
                <w:color w:val="auto"/>
                <w:spacing w:val="4"/>
                <w:highlight w:val="none"/>
              </w:rPr>
              <w:t>50≤Y＜1000</w:t>
            </w:r>
          </w:p>
        </w:tc>
        <w:tc>
          <w:tcPr>
            <w:tcW w:w="1200" w:type="dxa"/>
            <w:vAlign w:val="top"/>
          </w:tcPr>
          <w:p w14:paraId="27E77AD2">
            <w:pPr>
              <w:pStyle w:val="13"/>
              <w:spacing w:before="95" w:line="220" w:lineRule="auto"/>
              <w:ind w:left="341"/>
              <w:rPr>
                <w:color w:val="auto"/>
                <w:highlight w:val="none"/>
              </w:rPr>
            </w:pPr>
            <w:r>
              <w:rPr>
                <w:color w:val="auto"/>
                <w:spacing w:val="5"/>
                <w:highlight w:val="none"/>
              </w:rPr>
              <w:t>Y＜50</w:t>
            </w:r>
          </w:p>
        </w:tc>
      </w:tr>
      <w:tr w14:paraId="192C8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00AF6017">
            <w:pPr>
              <w:pStyle w:val="13"/>
              <w:spacing w:before="271" w:line="228" w:lineRule="auto"/>
              <w:ind w:left="153"/>
              <w:rPr>
                <w:color w:val="auto"/>
                <w:highlight w:val="none"/>
              </w:rPr>
            </w:pPr>
            <w:r>
              <w:rPr>
                <w:b/>
                <w:bCs/>
                <w:color w:val="auto"/>
                <w:spacing w:val="7"/>
                <w:highlight w:val="none"/>
              </w:rPr>
              <w:t>房地产开发经营</w:t>
            </w:r>
          </w:p>
        </w:tc>
        <w:tc>
          <w:tcPr>
            <w:tcW w:w="1500" w:type="dxa"/>
            <w:vAlign w:val="top"/>
          </w:tcPr>
          <w:p w14:paraId="0C6C7F15">
            <w:pPr>
              <w:pStyle w:val="13"/>
              <w:spacing w:before="96" w:line="220" w:lineRule="auto"/>
              <w:ind w:left="119"/>
              <w:rPr>
                <w:color w:val="auto"/>
                <w:highlight w:val="none"/>
              </w:rPr>
            </w:pPr>
            <w:r>
              <w:rPr>
                <w:color w:val="auto"/>
                <w:spacing w:val="5"/>
                <w:highlight w:val="none"/>
              </w:rPr>
              <w:t>营业收入（Y）</w:t>
            </w:r>
          </w:p>
        </w:tc>
        <w:tc>
          <w:tcPr>
            <w:tcW w:w="1200" w:type="dxa"/>
            <w:vAlign w:val="top"/>
          </w:tcPr>
          <w:p w14:paraId="62299636">
            <w:pPr>
              <w:pStyle w:val="13"/>
              <w:spacing w:before="96" w:line="220" w:lineRule="auto"/>
              <w:ind w:left="388"/>
              <w:rPr>
                <w:color w:val="auto"/>
                <w:highlight w:val="none"/>
              </w:rPr>
            </w:pPr>
            <w:r>
              <w:rPr>
                <w:color w:val="auto"/>
                <w:spacing w:val="2"/>
                <w:highlight w:val="none"/>
              </w:rPr>
              <w:t>万元</w:t>
            </w:r>
          </w:p>
        </w:tc>
        <w:tc>
          <w:tcPr>
            <w:tcW w:w="1800" w:type="dxa"/>
            <w:vAlign w:val="top"/>
          </w:tcPr>
          <w:p w14:paraId="1B3F871F">
            <w:pPr>
              <w:pStyle w:val="13"/>
              <w:spacing w:before="96" w:line="220" w:lineRule="auto"/>
              <w:ind w:left="132"/>
              <w:rPr>
                <w:color w:val="auto"/>
                <w:highlight w:val="none"/>
              </w:rPr>
            </w:pPr>
            <w:r>
              <w:rPr>
                <w:color w:val="auto"/>
                <w:spacing w:val="4"/>
                <w:highlight w:val="none"/>
              </w:rPr>
              <w:t>1000≤Y＜200000</w:t>
            </w:r>
          </w:p>
        </w:tc>
        <w:tc>
          <w:tcPr>
            <w:tcW w:w="1575" w:type="dxa"/>
            <w:vAlign w:val="top"/>
          </w:tcPr>
          <w:p w14:paraId="13E943BC">
            <w:pPr>
              <w:pStyle w:val="13"/>
              <w:spacing w:before="96" w:line="220" w:lineRule="auto"/>
              <w:ind w:left="241"/>
              <w:rPr>
                <w:color w:val="auto"/>
                <w:highlight w:val="none"/>
              </w:rPr>
            </w:pPr>
            <w:r>
              <w:rPr>
                <w:color w:val="auto"/>
                <w:spacing w:val="3"/>
                <w:highlight w:val="none"/>
              </w:rPr>
              <w:t>100≤X＜1000</w:t>
            </w:r>
          </w:p>
        </w:tc>
        <w:tc>
          <w:tcPr>
            <w:tcW w:w="1200" w:type="dxa"/>
            <w:vAlign w:val="top"/>
          </w:tcPr>
          <w:p w14:paraId="1B8E29A1">
            <w:pPr>
              <w:pStyle w:val="13"/>
              <w:spacing w:before="96" w:line="220" w:lineRule="auto"/>
              <w:ind w:left="289"/>
              <w:rPr>
                <w:color w:val="auto"/>
                <w:highlight w:val="none"/>
              </w:rPr>
            </w:pPr>
            <w:r>
              <w:rPr>
                <w:color w:val="auto"/>
                <w:spacing w:val="4"/>
                <w:highlight w:val="none"/>
              </w:rPr>
              <w:t>X＜100</w:t>
            </w:r>
          </w:p>
        </w:tc>
      </w:tr>
      <w:tr w14:paraId="6F109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223D542C">
            <w:pPr>
              <w:rPr>
                <w:rFonts w:ascii="Arial"/>
                <w:color w:val="auto"/>
                <w:sz w:val="21"/>
                <w:highlight w:val="none"/>
              </w:rPr>
            </w:pPr>
          </w:p>
        </w:tc>
        <w:tc>
          <w:tcPr>
            <w:tcW w:w="1500" w:type="dxa"/>
            <w:vAlign w:val="top"/>
          </w:tcPr>
          <w:p w14:paraId="39E157AD">
            <w:pPr>
              <w:pStyle w:val="13"/>
              <w:spacing w:before="97" w:line="219" w:lineRule="auto"/>
              <w:ind w:left="121"/>
              <w:rPr>
                <w:color w:val="auto"/>
                <w:highlight w:val="none"/>
              </w:rPr>
            </w:pPr>
            <w:r>
              <w:rPr>
                <w:color w:val="auto"/>
                <w:spacing w:val="5"/>
                <w:highlight w:val="none"/>
              </w:rPr>
              <w:t>资产总额（Z）</w:t>
            </w:r>
          </w:p>
        </w:tc>
        <w:tc>
          <w:tcPr>
            <w:tcW w:w="1200" w:type="dxa"/>
            <w:vAlign w:val="top"/>
          </w:tcPr>
          <w:p w14:paraId="3E049741">
            <w:pPr>
              <w:pStyle w:val="13"/>
              <w:spacing w:before="97" w:line="219" w:lineRule="auto"/>
              <w:ind w:left="388"/>
              <w:rPr>
                <w:color w:val="auto"/>
                <w:highlight w:val="none"/>
              </w:rPr>
            </w:pPr>
            <w:r>
              <w:rPr>
                <w:color w:val="auto"/>
                <w:spacing w:val="2"/>
                <w:highlight w:val="none"/>
              </w:rPr>
              <w:t>万元</w:t>
            </w:r>
          </w:p>
        </w:tc>
        <w:tc>
          <w:tcPr>
            <w:tcW w:w="1800" w:type="dxa"/>
            <w:vAlign w:val="top"/>
          </w:tcPr>
          <w:p w14:paraId="47734F5F">
            <w:pPr>
              <w:pStyle w:val="13"/>
              <w:spacing w:before="97" w:line="219" w:lineRule="auto"/>
              <w:ind w:left="174"/>
              <w:rPr>
                <w:color w:val="auto"/>
                <w:highlight w:val="none"/>
              </w:rPr>
            </w:pPr>
            <w:r>
              <w:rPr>
                <w:color w:val="auto"/>
                <w:spacing w:val="4"/>
                <w:highlight w:val="none"/>
              </w:rPr>
              <w:t>5000≤Z＜10000</w:t>
            </w:r>
          </w:p>
        </w:tc>
        <w:tc>
          <w:tcPr>
            <w:tcW w:w="1575" w:type="dxa"/>
            <w:vAlign w:val="top"/>
          </w:tcPr>
          <w:p w14:paraId="617A76CC">
            <w:pPr>
              <w:pStyle w:val="13"/>
              <w:spacing w:before="97" w:line="219" w:lineRule="auto"/>
              <w:ind w:left="178"/>
              <w:rPr>
                <w:color w:val="auto"/>
                <w:highlight w:val="none"/>
              </w:rPr>
            </w:pPr>
            <w:r>
              <w:rPr>
                <w:color w:val="auto"/>
                <w:spacing w:val="4"/>
                <w:highlight w:val="none"/>
              </w:rPr>
              <w:t>2000≤Y＜5000</w:t>
            </w:r>
          </w:p>
        </w:tc>
        <w:tc>
          <w:tcPr>
            <w:tcW w:w="1200" w:type="dxa"/>
            <w:vAlign w:val="top"/>
          </w:tcPr>
          <w:p w14:paraId="72EE3BDF">
            <w:pPr>
              <w:pStyle w:val="13"/>
              <w:spacing w:before="97" w:line="219" w:lineRule="auto"/>
              <w:ind w:left="238"/>
              <w:rPr>
                <w:color w:val="auto"/>
                <w:highlight w:val="none"/>
              </w:rPr>
            </w:pPr>
            <w:r>
              <w:rPr>
                <w:color w:val="auto"/>
                <w:spacing w:val="5"/>
                <w:highlight w:val="none"/>
              </w:rPr>
              <w:t>Y＜2000</w:t>
            </w:r>
          </w:p>
        </w:tc>
      </w:tr>
      <w:tr w14:paraId="5AC8C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1909DE3C">
            <w:pPr>
              <w:pStyle w:val="13"/>
              <w:spacing w:before="272" w:line="228" w:lineRule="auto"/>
              <w:ind w:left="467"/>
              <w:rPr>
                <w:color w:val="auto"/>
                <w:highlight w:val="none"/>
              </w:rPr>
            </w:pPr>
            <w:r>
              <w:rPr>
                <w:b/>
                <w:bCs/>
                <w:color w:val="auto"/>
                <w:spacing w:val="6"/>
                <w:highlight w:val="none"/>
              </w:rPr>
              <w:t>物业管理</w:t>
            </w:r>
          </w:p>
        </w:tc>
        <w:tc>
          <w:tcPr>
            <w:tcW w:w="1500" w:type="dxa"/>
            <w:vAlign w:val="top"/>
          </w:tcPr>
          <w:p w14:paraId="64488121">
            <w:pPr>
              <w:pStyle w:val="13"/>
              <w:spacing w:before="97" w:line="219" w:lineRule="auto"/>
              <w:ind w:left="115"/>
              <w:rPr>
                <w:color w:val="auto"/>
                <w:highlight w:val="none"/>
              </w:rPr>
            </w:pPr>
            <w:r>
              <w:rPr>
                <w:color w:val="auto"/>
                <w:spacing w:val="6"/>
                <w:highlight w:val="none"/>
              </w:rPr>
              <w:t>从业人员（X）</w:t>
            </w:r>
          </w:p>
        </w:tc>
        <w:tc>
          <w:tcPr>
            <w:tcW w:w="1200" w:type="dxa"/>
            <w:vAlign w:val="top"/>
          </w:tcPr>
          <w:p w14:paraId="70C96D42">
            <w:pPr>
              <w:pStyle w:val="13"/>
              <w:spacing w:before="97" w:line="219" w:lineRule="auto"/>
              <w:ind w:left="490"/>
              <w:rPr>
                <w:color w:val="auto"/>
                <w:highlight w:val="none"/>
              </w:rPr>
            </w:pPr>
            <w:r>
              <w:rPr>
                <w:color w:val="auto"/>
                <w:highlight w:val="none"/>
              </w:rPr>
              <w:t>人</w:t>
            </w:r>
          </w:p>
        </w:tc>
        <w:tc>
          <w:tcPr>
            <w:tcW w:w="1800" w:type="dxa"/>
            <w:vAlign w:val="top"/>
          </w:tcPr>
          <w:p w14:paraId="385B2897">
            <w:pPr>
              <w:pStyle w:val="13"/>
              <w:spacing w:before="97" w:line="219" w:lineRule="auto"/>
              <w:ind w:left="279"/>
              <w:rPr>
                <w:color w:val="auto"/>
                <w:highlight w:val="none"/>
              </w:rPr>
            </w:pPr>
            <w:r>
              <w:rPr>
                <w:color w:val="auto"/>
                <w:spacing w:val="4"/>
                <w:highlight w:val="none"/>
              </w:rPr>
              <w:t>300≤X＜1000</w:t>
            </w:r>
          </w:p>
        </w:tc>
        <w:tc>
          <w:tcPr>
            <w:tcW w:w="1575" w:type="dxa"/>
            <w:vAlign w:val="top"/>
          </w:tcPr>
          <w:p w14:paraId="3680AB83">
            <w:pPr>
              <w:pStyle w:val="13"/>
              <w:spacing w:before="97" w:line="219" w:lineRule="auto"/>
              <w:ind w:left="294"/>
              <w:rPr>
                <w:color w:val="auto"/>
                <w:highlight w:val="none"/>
              </w:rPr>
            </w:pPr>
            <w:r>
              <w:rPr>
                <w:color w:val="auto"/>
                <w:spacing w:val="3"/>
                <w:highlight w:val="none"/>
              </w:rPr>
              <w:t>100≤X＜300</w:t>
            </w:r>
          </w:p>
        </w:tc>
        <w:tc>
          <w:tcPr>
            <w:tcW w:w="1200" w:type="dxa"/>
            <w:vAlign w:val="top"/>
          </w:tcPr>
          <w:p w14:paraId="610F282A">
            <w:pPr>
              <w:pStyle w:val="13"/>
              <w:spacing w:before="97" w:line="219" w:lineRule="auto"/>
              <w:ind w:left="289"/>
              <w:rPr>
                <w:color w:val="auto"/>
                <w:highlight w:val="none"/>
              </w:rPr>
            </w:pPr>
            <w:r>
              <w:rPr>
                <w:color w:val="auto"/>
                <w:spacing w:val="4"/>
                <w:highlight w:val="none"/>
              </w:rPr>
              <w:t>X＜100</w:t>
            </w:r>
          </w:p>
        </w:tc>
      </w:tr>
      <w:tr w14:paraId="44728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52BEA4AF">
            <w:pPr>
              <w:rPr>
                <w:rFonts w:ascii="Arial"/>
                <w:color w:val="auto"/>
                <w:sz w:val="21"/>
                <w:highlight w:val="none"/>
              </w:rPr>
            </w:pPr>
          </w:p>
        </w:tc>
        <w:tc>
          <w:tcPr>
            <w:tcW w:w="1500" w:type="dxa"/>
            <w:vAlign w:val="top"/>
          </w:tcPr>
          <w:p w14:paraId="577B4A00">
            <w:pPr>
              <w:pStyle w:val="13"/>
              <w:spacing w:before="97" w:line="219" w:lineRule="auto"/>
              <w:ind w:left="119"/>
              <w:rPr>
                <w:color w:val="auto"/>
                <w:highlight w:val="none"/>
              </w:rPr>
            </w:pPr>
            <w:r>
              <w:rPr>
                <w:color w:val="auto"/>
                <w:spacing w:val="5"/>
                <w:highlight w:val="none"/>
              </w:rPr>
              <w:t>营业收入（Y）</w:t>
            </w:r>
          </w:p>
        </w:tc>
        <w:tc>
          <w:tcPr>
            <w:tcW w:w="1200" w:type="dxa"/>
            <w:vAlign w:val="top"/>
          </w:tcPr>
          <w:p w14:paraId="2025C5AB">
            <w:pPr>
              <w:pStyle w:val="13"/>
              <w:spacing w:before="97" w:line="219" w:lineRule="auto"/>
              <w:ind w:left="388"/>
              <w:rPr>
                <w:color w:val="auto"/>
                <w:highlight w:val="none"/>
              </w:rPr>
            </w:pPr>
            <w:r>
              <w:rPr>
                <w:color w:val="auto"/>
                <w:spacing w:val="2"/>
                <w:highlight w:val="none"/>
              </w:rPr>
              <w:t>万元</w:t>
            </w:r>
          </w:p>
        </w:tc>
        <w:tc>
          <w:tcPr>
            <w:tcW w:w="1800" w:type="dxa"/>
            <w:vAlign w:val="top"/>
          </w:tcPr>
          <w:p w14:paraId="5F388D25">
            <w:pPr>
              <w:pStyle w:val="13"/>
              <w:spacing w:before="97" w:line="219" w:lineRule="auto"/>
              <w:ind w:left="238"/>
              <w:rPr>
                <w:color w:val="auto"/>
                <w:highlight w:val="none"/>
              </w:rPr>
            </w:pPr>
            <w:r>
              <w:rPr>
                <w:color w:val="auto"/>
                <w:spacing w:val="3"/>
                <w:highlight w:val="none"/>
              </w:rPr>
              <w:t>1000≤Y＜5000</w:t>
            </w:r>
          </w:p>
        </w:tc>
        <w:tc>
          <w:tcPr>
            <w:tcW w:w="1575" w:type="dxa"/>
            <w:vAlign w:val="top"/>
          </w:tcPr>
          <w:p w14:paraId="3E5179E8">
            <w:pPr>
              <w:pStyle w:val="13"/>
              <w:spacing w:before="97" w:line="219" w:lineRule="auto"/>
              <w:ind w:left="230"/>
              <w:rPr>
                <w:color w:val="auto"/>
                <w:highlight w:val="none"/>
              </w:rPr>
            </w:pPr>
            <w:r>
              <w:rPr>
                <w:color w:val="auto"/>
                <w:spacing w:val="4"/>
                <w:highlight w:val="none"/>
              </w:rPr>
              <w:t>500≤Y＜1000</w:t>
            </w:r>
          </w:p>
        </w:tc>
        <w:tc>
          <w:tcPr>
            <w:tcW w:w="1200" w:type="dxa"/>
            <w:vAlign w:val="top"/>
          </w:tcPr>
          <w:p w14:paraId="38D27FB2">
            <w:pPr>
              <w:pStyle w:val="13"/>
              <w:spacing w:before="97" w:line="219" w:lineRule="auto"/>
              <w:ind w:left="289"/>
              <w:rPr>
                <w:color w:val="auto"/>
                <w:highlight w:val="none"/>
              </w:rPr>
            </w:pPr>
            <w:r>
              <w:rPr>
                <w:color w:val="auto"/>
                <w:spacing w:val="5"/>
                <w:highlight w:val="none"/>
              </w:rPr>
              <w:t>Y＜500</w:t>
            </w:r>
          </w:p>
        </w:tc>
      </w:tr>
      <w:tr w14:paraId="4C78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restart"/>
            <w:tcBorders>
              <w:bottom w:val="nil"/>
            </w:tcBorders>
            <w:vAlign w:val="top"/>
          </w:tcPr>
          <w:p w14:paraId="509AF75A">
            <w:pPr>
              <w:pStyle w:val="13"/>
              <w:spacing w:before="104" w:line="268" w:lineRule="auto"/>
              <w:ind w:left="782" w:right="144" w:hanging="628"/>
              <w:rPr>
                <w:color w:val="auto"/>
                <w:highlight w:val="none"/>
              </w:rPr>
            </w:pPr>
            <w:r>
              <w:rPr>
                <w:b/>
                <w:bCs/>
                <w:color w:val="auto"/>
                <w:spacing w:val="7"/>
                <w:highlight w:val="none"/>
              </w:rPr>
              <w:t>租赁和商务服务</w:t>
            </w:r>
            <w:r>
              <w:rPr>
                <w:color w:val="auto"/>
                <w:highlight w:val="none"/>
              </w:rPr>
              <w:t xml:space="preserve"> </w:t>
            </w:r>
            <w:r>
              <w:rPr>
                <w:b/>
                <w:bCs/>
                <w:color w:val="auto"/>
                <w:spacing w:val="-1"/>
                <w:highlight w:val="none"/>
              </w:rPr>
              <w:t>业</w:t>
            </w:r>
          </w:p>
        </w:tc>
        <w:tc>
          <w:tcPr>
            <w:tcW w:w="1500" w:type="dxa"/>
            <w:vAlign w:val="top"/>
          </w:tcPr>
          <w:p w14:paraId="31FC768E">
            <w:pPr>
              <w:pStyle w:val="13"/>
              <w:spacing w:before="98" w:line="218" w:lineRule="auto"/>
              <w:ind w:left="115"/>
              <w:rPr>
                <w:color w:val="auto"/>
                <w:highlight w:val="none"/>
              </w:rPr>
            </w:pPr>
            <w:r>
              <w:rPr>
                <w:color w:val="auto"/>
                <w:spacing w:val="6"/>
                <w:highlight w:val="none"/>
              </w:rPr>
              <w:t>从业人员（X）</w:t>
            </w:r>
          </w:p>
        </w:tc>
        <w:tc>
          <w:tcPr>
            <w:tcW w:w="1200" w:type="dxa"/>
            <w:vAlign w:val="top"/>
          </w:tcPr>
          <w:p w14:paraId="59F7430A">
            <w:pPr>
              <w:pStyle w:val="13"/>
              <w:spacing w:before="98" w:line="218" w:lineRule="auto"/>
              <w:ind w:left="490"/>
              <w:rPr>
                <w:color w:val="auto"/>
                <w:highlight w:val="none"/>
              </w:rPr>
            </w:pPr>
            <w:r>
              <w:rPr>
                <w:color w:val="auto"/>
                <w:highlight w:val="none"/>
              </w:rPr>
              <w:t>人</w:t>
            </w:r>
          </w:p>
        </w:tc>
        <w:tc>
          <w:tcPr>
            <w:tcW w:w="1800" w:type="dxa"/>
            <w:vAlign w:val="top"/>
          </w:tcPr>
          <w:p w14:paraId="3C74A807">
            <w:pPr>
              <w:pStyle w:val="13"/>
              <w:spacing w:before="98" w:line="218" w:lineRule="auto"/>
              <w:ind w:left="341"/>
              <w:rPr>
                <w:color w:val="auto"/>
                <w:highlight w:val="none"/>
              </w:rPr>
            </w:pPr>
            <w:r>
              <w:rPr>
                <w:color w:val="auto"/>
                <w:spacing w:val="3"/>
                <w:highlight w:val="none"/>
              </w:rPr>
              <w:t>100≤X＜300</w:t>
            </w:r>
          </w:p>
        </w:tc>
        <w:tc>
          <w:tcPr>
            <w:tcW w:w="1575" w:type="dxa"/>
            <w:vAlign w:val="top"/>
          </w:tcPr>
          <w:p w14:paraId="30913DE1">
            <w:pPr>
              <w:pStyle w:val="13"/>
              <w:spacing w:before="98" w:line="218" w:lineRule="auto"/>
              <w:ind w:left="347"/>
              <w:rPr>
                <w:color w:val="auto"/>
                <w:highlight w:val="none"/>
              </w:rPr>
            </w:pPr>
            <w:r>
              <w:rPr>
                <w:color w:val="auto"/>
                <w:spacing w:val="3"/>
                <w:highlight w:val="none"/>
              </w:rPr>
              <w:t>10≤X＜100</w:t>
            </w:r>
          </w:p>
        </w:tc>
        <w:tc>
          <w:tcPr>
            <w:tcW w:w="1200" w:type="dxa"/>
            <w:vAlign w:val="top"/>
          </w:tcPr>
          <w:p w14:paraId="1FB50BB5">
            <w:pPr>
              <w:pStyle w:val="13"/>
              <w:spacing w:before="98" w:line="218" w:lineRule="auto"/>
              <w:ind w:left="342"/>
              <w:rPr>
                <w:color w:val="auto"/>
                <w:highlight w:val="none"/>
              </w:rPr>
            </w:pPr>
            <w:r>
              <w:rPr>
                <w:color w:val="auto"/>
                <w:spacing w:val="5"/>
                <w:highlight w:val="none"/>
              </w:rPr>
              <w:t>X＜10</w:t>
            </w:r>
          </w:p>
        </w:tc>
      </w:tr>
      <w:tr w14:paraId="4D0C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80" w:type="dxa"/>
            <w:vMerge w:val="continue"/>
            <w:tcBorders>
              <w:top w:val="nil"/>
            </w:tcBorders>
            <w:vAlign w:val="top"/>
          </w:tcPr>
          <w:p w14:paraId="496B305D">
            <w:pPr>
              <w:rPr>
                <w:rFonts w:ascii="Arial"/>
                <w:color w:val="auto"/>
                <w:sz w:val="21"/>
                <w:highlight w:val="none"/>
              </w:rPr>
            </w:pPr>
          </w:p>
        </w:tc>
        <w:tc>
          <w:tcPr>
            <w:tcW w:w="1500" w:type="dxa"/>
            <w:vAlign w:val="top"/>
          </w:tcPr>
          <w:p w14:paraId="30118C1D">
            <w:pPr>
              <w:pStyle w:val="13"/>
              <w:spacing w:before="96" w:line="220" w:lineRule="auto"/>
              <w:ind w:left="121"/>
              <w:rPr>
                <w:color w:val="auto"/>
                <w:highlight w:val="none"/>
              </w:rPr>
            </w:pPr>
            <w:r>
              <w:rPr>
                <w:color w:val="auto"/>
                <w:spacing w:val="5"/>
                <w:highlight w:val="none"/>
              </w:rPr>
              <w:t>资产总额（Z）</w:t>
            </w:r>
          </w:p>
        </w:tc>
        <w:tc>
          <w:tcPr>
            <w:tcW w:w="1200" w:type="dxa"/>
            <w:vAlign w:val="top"/>
          </w:tcPr>
          <w:p w14:paraId="77D33FE0">
            <w:pPr>
              <w:pStyle w:val="13"/>
              <w:spacing w:before="96" w:line="220" w:lineRule="auto"/>
              <w:ind w:left="388"/>
              <w:rPr>
                <w:color w:val="auto"/>
                <w:highlight w:val="none"/>
              </w:rPr>
            </w:pPr>
            <w:r>
              <w:rPr>
                <w:color w:val="auto"/>
                <w:spacing w:val="2"/>
                <w:highlight w:val="none"/>
              </w:rPr>
              <w:t>万元</w:t>
            </w:r>
          </w:p>
        </w:tc>
        <w:tc>
          <w:tcPr>
            <w:tcW w:w="1800" w:type="dxa"/>
            <w:vAlign w:val="top"/>
          </w:tcPr>
          <w:p w14:paraId="6D296DC4">
            <w:pPr>
              <w:pStyle w:val="13"/>
              <w:spacing w:before="96" w:line="220" w:lineRule="auto"/>
              <w:ind w:left="118"/>
              <w:rPr>
                <w:color w:val="auto"/>
                <w:highlight w:val="none"/>
              </w:rPr>
            </w:pPr>
            <w:r>
              <w:rPr>
                <w:color w:val="auto"/>
                <w:spacing w:val="5"/>
                <w:highlight w:val="none"/>
              </w:rPr>
              <w:t>8000≤Z＜120000</w:t>
            </w:r>
          </w:p>
        </w:tc>
        <w:tc>
          <w:tcPr>
            <w:tcW w:w="1575" w:type="dxa"/>
            <w:vAlign w:val="top"/>
          </w:tcPr>
          <w:p w14:paraId="5445FE3B">
            <w:pPr>
              <w:pStyle w:val="13"/>
              <w:spacing w:before="96" w:line="220" w:lineRule="auto"/>
              <w:ind w:left="241"/>
              <w:rPr>
                <w:color w:val="auto"/>
                <w:highlight w:val="none"/>
              </w:rPr>
            </w:pPr>
            <w:r>
              <w:rPr>
                <w:color w:val="auto"/>
                <w:spacing w:val="3"/>
                <w:highlight w:val="none"/>
              </w:rPr>
              <w:t>100≤Z＜8000</w:t>
            </w:r>
          </w:p>
        </w:tc>
        <w:tc>
          <w:tcPr>
            <w:tcW w:w="1200" w:type="dxa"/>
            <w:vAlign w:val="top"/>
          </w:tcPr>
          <w:p w14:paraId="5871BA26">
            <w:pPr>
              <w:pStyle w:val="13"/>
              <w:spacing w:before="96" w:line="220" w:lineRule="auto"/>
              <w:ind w:left="289"/>
              <w:rPr>
                <w:color w:val="auto"/>
                <w:highlight w:val="none"/>
              </w:rPr>
            </w:pPr>
            <w:r>
              <w:rPr>
                <w:color w:val="auto"/>
                <w:spacing w:val="5"/>
                <w:highlight w:val="none"/>
              </w:rPr>
              <w:t>Y＜100</w:t>
            </w:r>
          </w:p>
        </w:tc>
      </w:tr>
      <w:tr w14:paraId="34332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80" w:type="dxa"/>
            <w:vAlign w:val="top"/>
          </w:tcPr>
          <w:p w14:paraId="2B29C6A1">
            <w:pPr>
              <w:pStyle w:val="13"/>
              <w:spacing w:before="96" w:line="224" w:lineRule="auto"/>
              <w:ind w:left="153"/>
              <w:rPr>
                <w:color w:val="auto"/>
                <w:highlight w:val="none"/>
              </w:rPr>
            </w:pPr>
            <w:r>
              <w:rPr>
                <w:b/>
                <w:bCs/>
                <w:color w:val="auto"/>
                <w:spacing w:val="7"/>
                <w:highlight w:val="none"/>
              </w:rPr>
              <w:t>其他未列明行业</w:t>
            </w:r>
          </w:p>
        </w:tc>
        <w:tc>
          <w:tcPr>
            <w:tcW w:w="1500" w:type="dxa"/>
            <w:vAlign w:val="top"/>
          </w:tcPr>
          <w:p w14:paraId="443309B1">
            <w:pPr>
              <w:pStyle w:val="13"/>
              <w:spacing w:before="96" w:line="224" w:lineRule="auto"/>
              <w:ind w:left="115"/>
              <w:rPr>
                <w:color w:val="auto"/>
                <w:highlight w:val="none"/>
              </w:rPr>
            </w:pPr>
            <w:r>
              <w:rPr>
                <w:color w:val="auto"/>
                <w:spacing w:val="6"/>
                <w:highlight w:val="none"/>
              </w:rPr>
              <w:t>从业人员（X）</w:t>
            </w:r>
          </w:p>
        </w:tc>
        <w:tc>
          <w:tcPr>
            <w:tcW w:w="1200" w:type="dxa"/>
            <w:vAlign w:val="top"/>
          </w:tcPr>
          <w:p w14:paraId="6B03FC24">
            <w:pPr>
              <w:pStyle w:val="13"/>
              <w:spacing w:before="96" w:line="224" w:lineRule="auto"/>
              <w:ind w:left="490"/>
              <w:rPr>
                <w:color w:val="auto"/>
                <w:highlight w:val="none"/>
              </w:rPr>
            </w:pPr>
            <w:r>
              <w:rPr>
                <w:color w:val="auto"/>
                <w:highlight w:val="none"/>
              </w:rPr>
              <w:t>人</w:t>
            </w:r>
          </w:p>
        </w:tc>
        <w:tc>
          <w:tcPr>
            <w:tcW w:w="1800" w:type="dxa"/>
            <w:vAlign w:val="top"/>
          </w:tcPr>
          <w:p w14:paraId="4F30CDD2">
            <w:pPr>
              <w:pStyle w:val="13"/>
              <w:spacing w:before="96" w:line="224" w:lineRule="auto"/>
              <w:ind w:left="341"/>
              <w:rPr>
                <w:color w:val="auto"/>
                <w:highlight w:val="none"/>
              </w:rPr>
            </w:pPr>
            <w:r>
              <w:rPr>
                <w:color w:val="auto"/>
                <w:spacing w:val="3"/>
                <w:highlight w:val="none"/>
              </w:rPr>
              <w:t>100≤X＜300</w:t>
            </w:r>
          </w:p>
        </w:tc>
        <w:tc>
          <w:tcPr>
            <w:tcW w:w="1575" w:type="dxa"/>
            <w:vAlign w:val="top"/>
          </w:tcPr>
          <w:p w14:paraId="62B84479">
            <w:pPr>
              <w:pStyle w:val="13"/>
              <w:spacing w:before="96" w:line="224" w:lineRule="auto"/>
              <w:ind w:left="347"/>
              <w:rPr>
                <w:color w:val="auto"/>
                <w:highlight w:val="none"/>
              </w:rPr>
            </w:pPr>
            <w:r>
              <w:rPr>
                <w:color w:val="auto"/>
                <w:spacing w:val="3"/>
                <w:highlight w:val="none"/>
              </w:rPr>
              <w:t>10≤X＜100</w:t>
            </w:r>
          </w:p>
        </w:tc>
        <w:tc>
          <w:tcPr>
            <w:tcW w:w="1200" w:type="dxa"/>
            <w:vAlign w:val="top"/>
          </w:tcPr>
          <w:p w14:paraId="67BC3124">
            <w:pPr>
              <w:pStyle w:val="13"/>
              <w:spacing w:before="96" w:line="224" w:lineRule="auto"/>
              <w:ind w:left="342"/>
              <w:rPr>
                <w:color w:val="auto"/>
                <w:highlight w:val="none"/>
              </w:rPr>
            </w:pPr>
            <w:r>
              <w:rPr>
                <w:color w:val="auto"/>
                <w:spacing w:val="5"/>
                <w:highlight w:val="none"/>
              </w:rPr>
              <w:t>X＜10</w:t>
            </w:r>
          </w:p>
        </w:tc>
      </w:tr>
    </w:tbl>
    <w:p w14:paraId="6AB5CA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eastAsia="宋体" w:cs="宋体"/>
          <w:snapToGrid/>
          <w:color w:val="auto"/>
          <w:kern w:val="2"/>
          <w:szCs w:val="21"/>
          <w:highlight w:val="none"/>
          <w:lang w:eastAsia="zh-CN"/>
        </w:rPr>
        <w:sectPr>
          <w:footerReference r:id="rId16" w:type="default"/>
          <w:pgSz w:w="11906" w:h="16839"/>
          <w:pgMar w:top="1474" w:right="1474" w:bottom="1474" w:left="1587" w:header="0" w:footer="675" w:gutter="0"/>
          <w:pgNumType w:fmt="decimal"/>
          <w:cols w:space="0" w:num="1"/>
          <w:rtlGutter w:val="0"/>
          <w:docGrid w:linePitch="0" w:charSpace="0"/>
        </w:sectPr>
      </w:pPr>
      <w:r>
        <w:rPr>
          <w:rFonts w:ascii="宋体" w:hAnsi="宋体" w:eastAsia="宋体" w:cs="宋体"/>
          <w:snapToGrid/>
          <w:color w:val="auto"/>
          <w:kern w:val="2"/>
          <w:szCs w:val="21"/>
          <w:highlight w:val="none"/>
          <w:lang w:eastAsia="zh-CN"/>
        </w:rPr>
        <w:t>说明：上述标准参照《关于印发中小企业划型标准规定的通知》（工信部联企业[2011]300 号）， 大型、中型和小型企业须同时满足所列指标的下限，否则下划一档；微型企业只需满足所列指标中的一项即可。</w:t>
      </w:r>
    </w:p>
    <w:p w14:paraId="5EE13AEB">
      <w:pPr>
        <w:pStyle w:val="8"/>
        <w:spacing w:before="114" w:line="224" w:lineRule="auto"/>
        <w:jc w:val="center"/>
        <w:outlineLvl w:val="0"/>
        <w:rPr>
          <w:color w:val="auto"/>
          <w:sz w:val="31"/>
          <w:szCs w:val="31"/>
          <w:highlight w:val="none"/>
        </w:rPr>
      </w:pPr>
      <w:bookmarkStart w:id="13" w:name="bookmark5"/>
      <w:bookmarkEnd w:id="13"/>
      <w:bookmarkStart w:id="14" w:name="bookmark6"/>
      <w:bookmarkEnd w:id="14"/>
      <w:r>
        <w:rPr>
          <w:b/>
          <w:bCs/>
          <w:color w:val="auto"/>
          <w:spacing w:val="5"/>
          <w:sz w:val="31"/>
          <w:szCs w:val="31"/>
          <w:highlight w:val="none"/>
        </w:rPr>
        <w:t>第三章</w:t>
      </w:r>
      <w:r>
        <w:rPr>
          <w:color w:val="auto"/>
          <w:spacing w:val="5"/>
          <w:sz w:val="31"/>
          <w:szCs w:val="31"/>
          <w:highlight w:val="none"/>
        </w:rPr>
        <w:t xml:space="preserve"> </w:t>
      </w:r>
      <w:r>
        <w:rPr>
          <w:b/>
          <w:bCs/>
          <w:color w:val="auto"/>
          <w:spacing w:val="5"/>
          <w:sz w:val="31"/>
          <w:szCs w:val="31"/>
          <w:highlight w:val="none"/>
        </w:rPr>
        <w:t>投标人须知</w:t>
      </w:r>
    </w:p>
    <w:p w14:paraId="3B99A26F">
      <w:pPr>
        <w:pStyle w:val="8"/>
        <w:spacing w:before="267" w:line="219" w:lineRule="auto"/>
        <w:ind w:left="3450"/>
        <w:outlineLvl w:val="1"/>
        <w:rPr>
          <w:color w:val="auto"/>
          <w:sz w:val="31"/>
          <w:szCs w:val="31"/>
          <w:highlight w:val="none"/>
        </w:rPr>
      </w:pPr>
      <w:r>
        <w:rPr>
          <w:b/>
          <w:bCs/>
          <w:color w:val="auto"/>
          <w:spacing w:val="-5"/>
          <w:sz w:val="31"/>
          <w:szCs w:val="31"/>
          <w:highlight w:val="none"/>
        </w:rPr>
        <w:t>投标人须知前附表</w:t>
      </w:r>
    </w:p>
    <w:tbl>
      <w:tblPr>
        <w:tblStyle w:val="12"/>
        <w:tblpPr w:leftFromText="180" w:rightFromText="180" w:vertAnchor="text" w:horzAnchor="page" w:tblpX="1338" w:tblpY="178"/>
        <w:tblOverlap w:val="never"/>
        <w:tblW w:w="92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
        <w:gridCol w:w="890"/>
        <w:gridCol w:w="9"/>
        <w:gridCol w:w="8367"/>
        <w:gridCol w:w="9"/>
      </w:tblGrid>
      <w:tr w14:paraId="3B76F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0" w:hRule="atLeast"/>
        </w:trPr>
        <w:tc>
          <w:tcPr>
            <w:tcW w:w="899" w:type="dxa"/>
            <w:gridSpan w:val="2"/>
            <w:vAlign w:val="top"/>
          </w:tcPr>
          <w:p w14:paraId="455CE1B0">
            <w:pPr>
              <w:pStyle w:val="13"/>
              <w:keepNext w:val="0"/>
              <w:keepLines w:val="0"/>
              <w:pageBreakBefore w:val="0"/>
              <w:widowControl w:val="0"/>
              <w:wordWrap/>
              <w:overflowPunct/>
              <w:topLinePunct w:val="0"/>
              <w:bidi w:val="0"/>
              <w:spacing w:line="440" w:lineRule="exact"/>
              <w:ind w:left="116"/>
              <w:rPr>
                <w:color w:val="auto"/>
                <w:sz w:val="21"/>
                <w:szCs w:val="21"/>
                <w:highlight w:val="none"/>
              </w:rPr>
            </w:pPr>
            <w:r>
              <w:rPr>
                <w:b/>
                <w:bCs/>
                <w:color w:val="auto"/>
                <w:spacing w:val="5"/>
                <w:sz w:val="21"/>
                <w:szCs w:val="21"/>
                <w:highlight w:val="none"/>
              </w:rPr>
              <w:t>条款号</w:t>
            </w:r>
          </w:p>
        </w:tc>
        <w:tc>
          <w:tcPr>
            <w:tcW w:w="8376" w:type="dxa"/>
            <w:gridSpan w:val="2"/>
            <w:vAlign w:val="top"/>
          </w:tcPr>
          <w:p w14:paraId="02CDE137">
            <w:pPr>
              <w:pStyle w:val="13"/>
              <w:keepNext w:val="0"/>
              <w:keepLines w:val="0"/>
              <w:pageBreakBefore w:val="0"/>
              <w:widowControl w:val="0"/>
              <w:wordWrap/>
              <w:overflowPunct/>
              <w:topLinePunct w:val="0"/>
              <w:bidi w:val="0"/>
              <w:spacing w:line="440" w:lineRule="exact"/>
              <w:ind w:left="3772"/>
              <w:rPr>
                <w:color w:val="auto"/>
                <w:sz w:val="21"/>
                <w:szCs w:val="21"/>
                <w:highlight w:val="none"/>
              </w:rPr>
            </w:pPr>
            <w:r>
              <w:rPr>
                <w:b/>
                <w:bCs/>
                <w:color w:val="auto"/>
                <w:spacing w:val="6"/>
                <w:sz w:val="21"/>
                <w:szCs w:val="21"/>
                <w:highlight w:val="none"/>
              </w:rPr>
              <w:t>编列内容</w:t>
            </w:r>
          </w:p>
        </w:tc>
      </w:tr>
      <w:tr w14:paraId="6849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0" w:hRule="atLeast"/>
        </w:trPr>
        <w:tc>
          <w:tcPr>
            <w:tcW w:w="899" w:type="dxa"/>
            <w:gridSpan w:val="2"/>
            <w:vAlign w:val="top"/>
          </w:tcPr>
          <w:p w14:paraId="40FD5BA0">
            <w:pPr>
              <w:pStyle w:val="13"/>
              <w:keepNext w:val="0"/>
              <w:keepLines w:val="0"/>
              <w:pageBreakBefore w:val="0"/>
              <w:widowControl w:val="0"/>
              <w:wordWrap/>
              <w:overflowPunct/>
              <w:topLinePunct w:val="0"/>
              <w:bidi w:val="0"/>
              <w:spacing w:line="440" w:lineRule="exact"/>
              <w:ind w:left="406"/>
              <w:rPr>
                <w:color w:val="auto"/>
                <w:sz w:val="21"/>
                <w:szCs w:val="21"/>
                <w:highlight w:val="none"/>
              </w:rPr>
            </w:pPr>
            <w:r>
              <w:rPr>
                <w:color w:val="auto"/>
                <w:sz w:val="21"/>
                <w:szCs w:val="21"/>
                <w:highlight w:val="none"/>
              </w:rPr>
              <w:t>3</w:t>
            </w:r>
          </w:p>
        </w:tc>
        <w:tc>
          <w:tcPr>
            <w:tcW w:w="8376" w:type="dxa"/>
            <w:gridSpan w:val="2"/>
            <w:vAlign w:val="top"/>
          </w:tcPr>
          <w:p w14:paraId="4393FC73">
            <w:pPr>
              <w:pStyle w:val="13"/>
              <w:keepNext w:val="0"/>
              <w:keepLines w:val="0"/>
              <w:pageBreakBefore w:val="0"/>
              <w:widowControl w:val="0"/>
              <w:wordWrap/>
              <w:overflowPunct/>
              <w:topLinePunct w:val="0"/>
              <w:bidi w:val="0"/>
              <w:spacing w:line="440" w:lineRule="exact"/>
              <w:rPr>
                <w:color w:val="auto"/>
                <w:sz w:val="21"/>
                <w:szCs w:val="21"/>
                <w:highlight w:val="none"/>
              </w:rPr>
            </w:pPr>
            <w:r>
              <w:rPr>
                <w:color w:val="auto"/>
                <w:spacing w:val="7"/>
                <w:sz w:val="21"/>
                <w:szCs w:val="21"/>
                <w:highlight w:val="none"/>
              </w:rPr>
              <w:t>申请人的资格要求：详见“招标公告</w:t>
            </w:r>
            <w:r>
              <w:rPr>
                <w:color w:val="auto"/>
                <w:spacing w:val="-63"/>
                <w:sz w:val="21"/>
                <w:szCs w:val="21"/>
                <w:highlight w:val="none"/>
              </w:rPr>
              <w:t xml:space="preserve"> </w:t>
            </w:r>
            <w:r>
              <w:rPr>
                <w:color w:val="auto"/>
                <w:spacing w:val="7"/>
                <w:sz w:val="21"/>
                <w:szCs w:val="21"/>
                <w:highlight w:val="none"/>
              </w:rPr>
              <w:t>”。</w:t>
            </w:r>
          </w:p>
        </w:tc>
      </w:tr>
      <w:tr w14:paraId="1A11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0" w:hRule="atLeast"/>
        </w:trPr>
        <w:tc>
          <w:tcPr>
            <w:tcW w:w="899" w:type="dxa"/>
            <w:gridSpan w:val="2"/>
            <w:vAlign w:val="top"/>
          </w:tcPr>
          <w:p w14:paraId="00A05DA8">
            <w:pPr>
              <w:pStyle w:val="13"/>
              <w:keepNext w:val="0"/>
              <w:keepLines w:val="0"/>
              <w:pageBreakBefore w:val="0"/>
              <w:widowControl w:val="0"/>
              <w:wordWrap/>
              <w:overflowPunct/>
              <w:topLinePunct w:val="0"/>
              <w:bidi w:val="0"/>
              <w:spacing w:line="440" w:lineRule="exact"/>
              <w:ind w:left="298"/>
              <w:rPr>
                <w:color w:val="auto"/>
                <w:sz w:val="21"/>
                <w:szCs w:val="21"/>
                <w:highlight w:val="none"/>
              </w:rPr>
            </w:pPr>
            <w:r>
              <w:rPr>
                <w:color w:val="auto"/>
                <w:spacing w:val="1"/>
                <w:sz w:val="21"/>
                <w:szCs w:val="21"/>
                <w:highlight w:val="none"/>
              </w:rPr>
              <w:t>6.1</w:t>
            </w:r>
          </w:p>
        </w:tc>
        <w:tc>
          <w:tcPr>
            <w:tcW w:w="8376" w:type="dxa"/>
            <w:gridSpan w:val="2"/>
            <w:vAlign w:val="top"/>
          </w:tcPr>
          <w:p w14:paraId="363EE16E">
            <w:pPr>
              <w:pStyle w:val="14"/>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color w:val="auto"/>
                <w:sz w:val="21"/>
                <w:szCs w:val="21"/>
                <w:highlight w:val="none"/>
              </w:rPr>
            </w:pPr>
            <w:r>
              <w:rPr>
                <w:rFonts w:hint="eastAsia" w:asciiTheme="minorEastAsia" w:hAnsiTheme="minorEastAsia" w:eastAsiaTheme="minorEastAsia" w:cstheme="minorEastAsia"/>
                <w:color w:val="auto"/>
                <w:sz w:val="20"/>
                <w:szCs w:val="20"/>
                <w:highlight w:val="none"/>
              </w:rPr>
              <w:t>本项目是否接受联合体投标：本项目包 1、包 2 接受联合体投标，包 3 不接受联合体投标。</w:t>
            </w:r>
          </w:p>
        </w:tc>
      </w:tr>
      <w:tr w14:paraId="77DF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0" w:hRule="atLeast"/>
        </w:trPr>
        <w:tc>
          <w:tcPr>
            <w:tcW w:w="899" w:type="dxa"/>
            <w:gridSpan w:val="2"/>
            <w:vAlign w:val="top"/>
          </w:tcPr>
          <w:p w14:paraId="60B5924B">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387C2222">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071DDDCD">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3E8EB603">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4F4C6696">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61CCD0D8">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2939B575">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2D170FA3">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1B6BDEE9">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1ED29BF2">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159E5531">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1157A84E">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6A2BBB7D">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43896A27">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1C69D465">
            <w:pPr>
              <w:keepNext w:val="0"/>
              <w:keepLines w:val="0"/>
              <w:pageBreakBefore w:val="0"/>
              <w:widowControl w:val="0"/>
              <w:wordWrap/>
              <w:overflowPunct/>
              <w:topLinePunct w:val="0"/>
              <w:bidi w:val="0"/>
              <w:spacing w:line="440" w:lineRule="exact"/>
              <w:rPr>
                <w:rFonts w:ascii="Arial"/>
                <w:color w:val="auto"/>
                <w:sz w:val="21"/>
                <w:szCs w:val="21"/>
                <w:highlight w:val="none"/>
              </w:rPr>
            </w:pPr>
          </w:p>
          <w:p w14:paraId="3167BDD9">
            <w:pPr>
              <w:pStyle w:val="13"/>
              <w:keepNext w:val="0"/>
              <w:keepLines w:val="0"/>
              <w:pageBreakBefore w:val="0"/>
              <w:widowControl w:val="0"/>
              <w:wordWrap/>
              <w:overflowPunct/>
              <w:topLinePunct w:val="0"/>
              <w:bidi w:val="0"/>
              <w:spacing w:line="440" w:lineRule="exact"/>
              <w:ind w:left="298"/>
              <w:rPr>
                <w:color w:val="auto"/>
                <w:sz w:val="21"/>
                <w:szCs w:val="21"/>
                <w:highlight w:val="none"/>
              </w:rPr>
            </w:pPr>
            <w:r>
              <w:rPr>
                <w:color w:val="auto"/>
                <w:spacing w:val="1"/>
                <w:sz w:val="21"/>
                <w:szCs w:val="21"/>
                <w:highlight w:val="none"/>
              </w:rPr>
              <w:t>6.2</w:t>
            </w:r>
          </w:p>
        </w:tc>
        <w:tc>
          <w:tcPr>
            <w:tcW w:w="8376" w:type="dxa"/>
            <w:gridSpan w:val="2"/>
            <w:vAlign w:val="top"/>
          </w:tcPr>
          <w:p w14:paraId="1E02C369">
            <w:pPr>
              <w:pStyle w:val="13"/>
              <w:keepNext w:val="0"/>
              <w:keepLines w:val="0"/>
              <w:pageBreakBefore w:val="0"/>
              <w:widowControl w:val="0"/>
              <w:wordWrap/>
              <w:overflowPunct/>
              <w:topLinePunct w:val="0"/>
              <w:bidi w:val="0"/>
              <w:spacing w:line="440" w:lineRule="exact"/>
              <w:ind w:left="114"/>
              <w:rPr>
                <w:color w:val="auto"/>
                <w:sz w:val="21"/>
                <w:szCs w:val="21"/>
                <w:highlight w:val="none"/>
              </w:rPr>
            </w:pPr>
            <w:r>
              <w:rPr>
                <w:b/>
                <w:bCs/>
                <w:color w:val="auto"/>
                <w:spacing w:val="7"/>
                <w:sz w:val="21"/>
                <w:szCs w:val="21"/>
                <w:highlight w:val="none"/>
              </w:rPr>
              <w:t>如接受联合体投标，联合体投标要求如下：</w:t>
            </w:r>
          </w:p>
          <w:p w14:paraId="555DD3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1.</w:t>
            </w:r>
            <w:r>
              <w:rPr>
                <w:rFonts w:hint="eastAsia" w:ascii="宋体" w:hAnsi="宋体" w:eastAsia="宋体" w:cs="宋体"/>
                <w:snapToGrid/>
                <w:color w:val="auto"/>
                <w:kern w:val="2"/>
                <w:szCs w:val="21"/>
                <w:highlight w:val="none"/>
                <w:lang w:eastAsia="zh-CN"/>
              </w:rPr>
              <w:t>最多三</w:t>
            </w:r>
            <w:r>
              <w:rPr>
                <w:rFonts w:ascii="宋体" w:hAnsi="宋体" w:eastAsia="宋体" w:cs="宋体"/>
                <w:snapToGrid/>
                <w:color w:val="auto"/>
                <w:kern w:val="2"/>
                <w:szCs w:val="21"/>
                <w:highlight w:val="none"/>
                <w:lang w:eastAsia="zh-CN"/>
              </w:rPr>
              <w:t>个投标人可以组成一个投标联合体，以一个投标人的身份共同参加投标。联合体投标的，须提供《联合体投标协议书》（格式后附）。</w:t>
            </w:r>
          </w:p>
          <w:p w14:paraId="40232E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 文件规定的特定条件。</w:t>
            </w:r>
          </w:p>
          <w:p w14:paraId="2E4A95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3.联合体各方之间必须签订联合投标协议，协议书</w:t>
            </w:r>
            <w:r>
              <w:rPr>
                <w:rFonts w:ascii="宋体" w:hAnsi="宋体" w:eastAsia="宋体" w:cs="宋体"/>
                <w:b/>
                <w:bCs/>
                <w:snapToGrid/>
                <w:color w:val="auto"/>
                <w:kern w:val="2"/>
                <w:szCs w:val="21"/>
                <w:highlight w:val="none"/>
                <w:lang w:eastAsia="zh-CN"/>
              </w:rPr>
              <w:t>必须明确主体方（或者牵头方）并明确 约定联合体各方承担的工作和相应的责任（各方承担责任与义务的分工必须符合采购需求，否则，联合体投标无效）</w:t>
            </w:r>
            <w:r>
              <w:rPr>
                <w:rFonts w:ascii="宋体" w:hAnsi="宋体" w:eastAsia="宋体" w:cs="宋体"/>
                <w:snapToGrid/>
                <w:color w:val="auto"/>
                <w:kern w:val="2"/>
                <w:szCs w:val="21"/>
                <w:highlight w:val="none"/>
                <w:lang w:eastAsia="zh-CN"/>
              </w:rPr>
              <w:t>，并将联合投标协议放入投标文件。联合体各方必须共同与 采购人签订采购合同，就采购合同约定的事项对采购人承担连带责任。</w:t>
            </w:r>
          </w:p>
          <w:p w14:paraId="78022B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4.以联合体形式参加政府采购活动的，联合体各方不得再单独参加或者与其他投标人另外 组成联合体参加同一合同项下的政府采购活动。</w:t>
            </w:r>
          </w:p>
          <w:p w14:paraId="23F937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5.联合体中有同类资质的投标人按照联合体分工承担相同工作的，应当按照资质等级较低 的投标人确定资质等级。</w:t>
            </w:r>
          </w:p>
          <w:p w14:paraId="20B378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6.联合体投标业绩、履约能力按照联合体各方叠加计算（招标文件另有规定的除外）。</w:t>
            </w:r>
          </w:p>
          <w:p w14:paraId="07DB27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7.投标人为联合体的，可以由联合体中的一方或者多方共同交纳投标保证金，其交纳的保 证金对联合体各方均具有约束力。</w:t>
            </w:r>
          </w:p>
          <w:p w14:paraId="069A1A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sz w:val="21"/>
                <w:szCs w:val="21"/>
                <w:highlight w:val="none"/>
              </w:rPr>
            </w:pPr>
            <w:r>
              <w:rPr>
                <w:rFonts w:ascii="宋体" w:hAnsi="宋体" w:eastAsia="宋体" w:cs="宋体"/>
                <w:snapToGrid/>
                <w:color w:val="auto"/>
                <w:kern w:val="2"/>
                <w:szCs w:val="21"/>
                <w:highlight w:val="none"/>
                <w:lang w:eastAsia="zh-CN"/>
              </w:rPr>
              <w:t>8.联合体各方均应按照招标文件的规定提交资格证明文件。</w:t>
            </w:r>
          </w:p>
        </w:tc>
      </w:tr>
      <w:tr w14:paraId="32A46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0" w:hRule="atLeast"/>
        </w:trPr>
        <w:tc>
          <w:tcPr>
            <w:tcW w:w="899" w:type="dxa"/>
            <w:gridSpan w:val="2"/>
            <w:vAlign w:val="top"/>
          </w:tcPr>
          <w:p w14:paraId="0F2EFECB">
            <w:pPr>
              <w:keepNext w:val="0"/>
              <w:keepLines w:val="0"/>
              <w:pageBreakBefore w:val="0"/>
              <w:widowControl w:val="0"/>
              <w:wordWrap/>
              <w:overflowPunct/>
              <w:topLinePunct w:val="0"/>
              <w:bidi w:val="0"/>
              <w:spacing w:line="440" w:lineRule="exact"/>
              <w:rPr>
                <w:rFonts w:ascii="Arial"/>
                <w:color w:val="auto"/>
                <w:sz w:val="21"/>
                <w:highlight w:val="none"/>
              </w:rPr>
            </w:pPr>
          </w:p>
          <w:p w14:paraId="0E53F6E0">
            <w:pPr>
              <w:keepNext w:val="0"/>
              <w:keepLines w:val="0"/>
              <w:pageBreakBefore w:val="0"/>
              <w:widowControl w:val="0"/>
              <w:wordWrap/>
              <w:overflowPunct/>
              <w:topLinePunct w:val="0"/>
              <w:bidi w:val="0"/>
              <w:spacing w:line="440" w:lineRule="exact"/>
              <w:rPr>
                <w:rFonts w:ascii="Arial"/>
                <w:color w:val="auto"/>
                <w:sz w:val="21"/>
                <w:highlight w:val="none"/>
              </w:rPr>
            </w:pPr>
          </w:p>
          <w:p w14:paraId="7D71671C">
            <w:pPr>
              <w:pStyle w:val="13"/>
              <w:keepNext w:val="0"/>
              <w:keepLines w:val="0"/>
              <w:pageBreakBefore w:val="0"/>
              <w:widowControl w:val="0"/>
              <w:wordWrap/>
              <w:overflowPunct/>
              <w:topLinePunct w:val="0"/>
              <w:bidi w:val="0"/>
              <w:spacing w:line="440" w:lineRule="exact"/>
              <w:ind w:left="302"/>
              <w:rPr>
                <w:color w:val="auto"/>
                <w:highlight w:val="none"/>
              </w:rPr>
            </w:pPr>
            <w:r>
              <w:rPr>
                <w:color w:val="auto"/>
                <w:highlight w:val="none"/>
              </w:rPr>
              <w:t>7.2</w:t>
            </w:r>
          </w:p>
        </w:tc>
        <w:tc>
          <w:tcPr>
            <w:tcW w:w="8376" w:type="dxa"/>
            <w:gridSpan w:val="2"/>
            <w:vAlign w:val="top"/>
          </w:tcPr>
          <w:p w14:paraId="116128A3">
            <w:pPr>
              <w:pStyle w:val="13"/>
              <w:keepNext w:val="0"/>
              <w:keepLines w:val="0"/>
              <w:pageBreakBefore w:val="0"/>
              <w:widowControl w:val="0"/>
              <w:wordWrap/>
              <w:overflowPunct/>
              <w:topLinePunct w:val="0"/>
              <w:bidi w:val="0"/>
              <w:spacing w:line="440" w:lineRule="exact"/>
              <w:rPr>
                <w:color w:val="auto"/>
                <w:highlight w:val="none"/>
              </w:rPr>
            </w:pPr>
            <w:r>
              <w:rPr>
                <w:rFonts w:ascii="MS Gothic" w:hAnsi="MS Gothic" w:eastAsia="MS Gothic" w:cs="MS Gothic"/>
                <w:color w:val="auto"/>
                <w:spacing w:val="7"/>
                <w:highlight w:val="none"/>
              </w:rPr>
              <w:t>☑</w:t>
            </w:r>
            <w:r>
              <w:rPr>
                <w:color w:val="auto"/>
                <w:spacing w:val="7"/>
                <w:highlight w:val="none"/>
              </w:rPr>
              <w:t>不允许分包</w:t>
            </w:r>
          </w:p>
          <w:p w14:paraId="306C67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□允许分包</w:t>
            </w:r>
          </w:p>
          <w:p w14:paraId="7753A81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分包内容：</w:t>
            </w:r>
            <w:r>
              <w:rPr>
                <w:rFonts w:ascii="宋体" w:hAnsi="宋体" w:eastAsia="宋体" w:cs="宋体"/>
                <w:snapToGrid/>
                <w:color w:val="auto"/>
                <w:kern w:val="2"/>
                <w:szCs w:val="21"/>
                <w:highlight w:val="none"/>
                <w:u w:val="single"/>
                <w:lang w:eastAsia="zh-CN"/>
              </w:rPr>
              <w:t xml:space="preserve">           </w:t>
            </w:r>
            <w:r>
              <w:rPr>
                <w:rFonts w:ascii="宋体" w:hAnsi="宋体" w:eastAsia="宋体" w:cs="宋体"/>
                <w:snapToGrid/>
                <w:color w:val="auto"/>
                <w:kern w:val="2"/>
                <w:szCs w:val="21"/>
                <w:highlight w:val="none"/>
                <w:lang w:eastAsia="zh-CN"/>
              </w:rPr>
              <w:t xml:space="preserve">              </w:t>
            </w:r>
          </w:p>
          <w:p w14:paraId="12E6C3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ascii="宋体" w:hAnsi="宋体" w:eastAsia="宋体" w:cs="宋体"/>
                <w:snapToGrid/>
                <w:color w:val="auto"/>
                <w:kern w:val="2"/>
                <w:szCs w:val="21"/>
                <w:highlight w:val="none"/>
                <w:lang w:eastAsia="zh-CN"/>
              </w:rPr>
              <w:t>分包金额或者比例：</w:t>
            </w:r>
          </w:p>
        </w:tc>
      </w:tr>
      <w:tr w14:paraId="3CD9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0" w:hRule="atLeast"/>
        </w:trPr>
        <w:tc>
          <w:tcPr>
            <w:tcW w:w="899" w:type="dxa"/>
            <w:gridSpan w:val="2"/>
            <w:vAlign w:val="top"/>
          </w:tcPr>
          <w:p w14:paraId="039EEECA">
            <w:pPr>
              <w:keepNext w:val="0"/>
              <w:keepLines w:val="0"/>
              <w:pageBreakBefore w:val="0"/>
              <w:widowControl w:val="0"/>
              <w:wordWrap/>
              <w:overflowPunct/>
              <w:topLinePunct w:val="0"/>
              <w:bidi w:val="0"/>
              <w:spacing w:line="440" w:lineRule="exact"/>
              <w:rPr>
                <w:rFonts w:ascii="Arial"/>
                <w:color w:val="auto"/>
                <w:sz w:val="21"/>
                <w:highlight w:val="none"/>
              </w:rPr>
            </w:pPr>
          </w:p>
          <w:p w14:paraId="43B9518B">
            <w:pPr>
              <w:keepNext w:val="0"/>
              <w:keepLines w:val="0"/>
              <w:pageBreakBefore w:val="0"/>
              <w:widowControl w:val="0"/>
              <w:wordWrap/>
              <w:overflowPunct/>
              <w:topLinePunct w:val="0"/>
              <w:bidi w:val="0"/>
              <w:spacing w:line="440" w:lineRule="exact"/>
              <w:rPr>
                <w:rFonts w:ascii="Arial"/>
                <w:color w:val="auto"/>
                <w:sz w:val="21"/>
                <w:highlight w:val="none"/>
              </w:rPr>
            </w:pPr>
          </w:p>
          <w:p w14:paraId="4EFBC932">
            <w:pPr>
              <w:keepNext w:val="0"/>
              <w:keepLines w:val="0"/>
              <w:pageBreakBefore w:val="0"/>
              <w:widowControl w:val="0"/>
              <w:wordWrap/>
              <w:overflowPunct/>
              <w:topLinePunct w:val="0"/>
              <w:bidi w:val="0"/>
              <w:spacing w:line="440" w:lineRule="exact"/>
              <w:rPr>
                <w:rFonts w:ascii="Arial"/>
                <w:color w:val="auto"/>
                <w:sz w:val="21"/>
                <w:highlight w:val="none"/>
              </w:rPr>
            </w:pPr>
          </w:p>
          <w:p w14:paraId="14C1782E">
            <w:pPr>
              <w:keepNext w:val="0"/>
              <w:keepLines w:val="0"/>
              <w:pageBreakBefore w:val="0"/>
              <w:widowControl w:val="0"/>
              <w:wordWrap/>
              <w:overflowPunct/>
              <w:topLinePunct w:val="0"/>
              <w:bidi w:val="0"/>
              <w:spacing w:line="440" w:lineRule="exact"/>
              <w:rPr>
                <w:rFonts w:ascii="Arial"/>
                <w:color w:val="auto"/>
                <w:sz w:val="21"/>
                <w:highlight w:val="none"/>
              </w:rPr>
            </w:pPr>
          </w:p>
          <w:p w14:paraId="3544C17B">
            <w:pPr>
              <w:keepNext w:val="0"/>
              <w:keepLines w:val="0"/>
              <w:pageBreakBefore w:val="0"/>
              <w:widowControl w:val="0"/>
              <w:wordWrap/>
              <w:overflowPunct/>
              <w:topLinePunct w:val="0"/>
              <w:bidi w:val="0"/>
              <w:spacing w:line="440" w:lineRule="exact"/>
              <w:rPr>
                <w:rFonts w:ascii="Arial"/>
                <w:color w:val="auto"/>
                <w:sz w:val="21"/>
                <w:highlight w:val="none"/>
              </w:rPr>
            </w:pPr>
          </w:p>
          <w:p w14:paraId="20C01354">
            <w:pPr>
              <w:pStyle w:val="13"/>
              <w:keepNext w:val="0"/>
              <w:keepLines w:val="0"/>
              <w:pageBreakBefore w:val="0"/>
              <w:widowControl w:val="0"/>
              <w:wordWrap/>
              <w:overflowPunct/>
              <w:topLinePunct w:val="0"/>
              <w:bidi w:val="0"/>
              <w:spacing w:line="440" w:lineRule="exact"/>
              <w:ind w:left="259"/>
              <w:rPr>
                <w:color w:val="auto"/>
                <w:highlight w:val="none"/>
              </w:rPr>
            </w:pPr>
            <w:r>
              <w:rPr>
                <w:color w:val="auto"/>
                <w:spacing w:val="-1"/>
                <w:highlight w:val="none"/>
              </w:rPr>
              <w:t>11.2</w:t>
            </w:r>
          </w:p>
        </w:tc>
        <w:tc>
          <w:tcPr>
            <w:tcW w:w="8376" w:type="dxa"/>
            <w:gridSpan w:val="2"/>
            <w:vAlign w:val="top"/>
          </w:tcPr>
          <w:p w14:paraId="388C03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☑不组织现场考察</w:t>
            </w:r>
          </w:p>
          <w:p w14:paraId="2AD23AC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□组织现场考察：</w:t>
            </w:r>
          </w:p>
          <w:p w14:paraId="0CE76C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集中时间：年月日时分，逾期后果自负。集中地点：</w:t>
            </w:r>
          </w:p>
          <w:p w14:paraId="63514F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联系人：</w:t>
            </w:r>
            <w:r>
              <w:rPr>
                <w:rFonts w:hint="eastAsia" w:ascii="宋体" w:hAnsi="宋体" w:eastAsia="宋体" w:cs="宋体"/>
                <w:snapToGrid/>
                <w:color w:val="auto"/>
                <w:kern w:val="2"/>
                <w:szCs w:val="21"/>
                <w:highlight w:val="none"/>
                <w:lang w:val="en-US" w:eastAsia="zh-CN"/>
              </w:rPr>
              <w:t xml:space="preserve">  </w:t>
            </w:r>
            <w:r>
              <w:rPr>
                <w:rFonts w:ascii="宋体" w:hAnsi="宋体" w:eastAsia="宋体" w:cs="宋体"/>
                <w:snapToGrid/>
                <w:color w:val="auto"/>
                <w:kern w:val="2"/>
                <w:szCs w:val="21"/>
                <w:highlight w:val="none"/>
                <w:lang w:eastAsia="zh-CN"/>
              </w:rPr>
              <w:t>；联系电话：</w:t>
            </w:r>
          </w:p>
          <w:p w14:paraId="614EA7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 xml:space="preserve">☑不组织召开开标前答疑会 </w:t>
            </w:r>
          </w:p>
          <w:p w14:paraId="1097D3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□组织召开开标前答疑会</w:t>
            </w:r>
          </w:p>
          <w:p w14:paraId="4BBDEC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会议开始时间：  年  月  日  时  分，逾期后果自负。</w:t>
            </w:r>
          </w:p>
          <w:p w14:paraId="13C054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ascii="宋体" w:hAnsi="宋体" w:eastAsia="宋体" w:cs="宋体"/>
                <w:snapToGrid/>
                <w:color w:val="auto"/>
                <w:kern w:val="2"/>
                <w:szCs w:val="21"/>
                <w:highlight w:val="none"/>
                <w:lang w:eastAsia="zh-CN"/>
              </w:rPr>
              <w:t>会议地点：</w:t>
            </w:r>
          </w:p>
        </w:tc>
      </w:tr>
      <w:tr w14:paraId="52125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0" w:hRule="atLeast"/>
        </w:trPr>
        <w:tc>
          <w:tcPr>
            <w:tcW w:w="899" w:type="dxa"/>
            <w:gridSpan w:val="2"/>
            <w:vMerge w:val="restart"/>
            <w:tcBorders>
              <w:left w:val="single" w:color="auto" w:sz="4" w:space="0"/>
              <w:bottom w:val="single" w:color="auto" w:sz="4" w:space="0"/>
            </w:tcBorders>
            <w:vAlign w:val="top"/>
          </w:tcPr>
          <w:p w14:paraId="4C9C3E44">
            <w:pPr>
              <w:keepNext w:val="0"/>
              <w:keepLines w:val="0"/>
              <w:pageBreakBefore w:val="0"/>
              <w:widowControl w:val="0"/>
              <w:wordWrap/>
              <w:overflowPunct/>
              <w:topLinePunct w:val="0"/>
              <w:bidi w:val="0"/>
              <w:spacing w:line="440" w:lineRule="exact"/>
              <w:rPr>
                <w:rFonts w:ascii="Arial"/>
                <w:color w:val="auto"/>
                <w:sz w:val="21"/>
                <w:highlight w:val="none"/>
              </w:rPr>
            </w:pPr>
          </w:p>
          <w:p w14:paraId="2B8E24AB">
            <w:pPr>
              <w:keepNext w:val="0"/>
              <w:keepLines w:val="0"/>
              <w:pageBreakBefore w:val="0"/>
              <w:widowControl w:val="0"/>
              <w:wordWrap/>
              <w:overflowPunct/>
              <w:topLinePunct w:val="0"/>
              <w:bidi w:val="0"/>
              <w:spacing w:line="440" w:lineRule="exact"/>
              <w:rPr>
                <w:rFonts w:ascii="Arial"/>
                <w:color w:val="auto"/>
                <w:sz w:val="21"/>
                <w:highlight w:val="none"/>
              </w:rPr>
            </w:pPr>
          </w:p>
          <w:p w14:paraId="7A2F6E7D">
            <w:pPr>
              <w:keepNext w:val="0"/>
              <w:keepLines w:val="0"/>
              <w:pageBreakBefore w:val="0"/>
              <w:widowControl w:val="0"/>
              <w:wordWrap/>
              <w:overflowPunct/>
              <w:topLinePunct w:val="0"/>
              <w:bidi w:val="0"/>
              <w:spacing w:line="440" w:lineRule="exact"/>
              <w:rPr>
                <w:rFonts w:ascii="Arial"/>
                <w:color w:val="auto"/>
                <w:sz w:val="21"/>
                <w:highlight w:val="none"/>
              </w:rPr>
            </w:pPr>
          </w:p>
          <w:p w14:paraId="76E81B2E">
            <w:pPr>
              <w:keepNext w:val="0"/>
              <w:keepLines w:val="0"/>
              <w:pageBreakBefore w:val="0"/>
              <w:widowControl w:val="0"/>
              <w:wordWrap/>
              <w:overflowPunct/>
              <w:topLinePunct w:val="0"/>
              <w:bidi w:val="0"/>
              <w:spacing w:line="440" w:lineRule="exact"/>
              <w:rPr>
                <w:rFonts w:ascii="Arial"/>
                <w:color w:val="auto"/>
                <w:sz w:val="21"/>
                <w:highlight w:val="none"/>
              </w:rPr>
            </w:pPr>
          </w:p>
          <w:p w14:paraId="6E3BDD85">
            <w:pPr>
              <w:keepNext w:val="0"/>
              <w:keepLines w:val="0"/>
              <w:pageBreakBefore w:val="0"/>
              <w:widowControl w:val="0"/>
              <w:wordWrap/>
              <w:overflowPunct/>
              <w:topLinePunct w:val="0"/>
              <w:bidi w:val="0"/>
              <w:spacing w:line="440" w:lineRule="exact"/>
              <w:rPr>
                <w:rFonts w:ascii="Arial"/>
                <w:color w:val="auto"/>
                <w:sz w:val="21"/>
                <w:highlight w:val="none"/>
              </w:rPr>
            </w:pPr>
          </w:p>
          <w:p w14:paraId="562688F3">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46C22862">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03D4F84C">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131D52DC">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011402B8">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560CAFC1">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228FFC4A">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59123F57">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273C3890">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35471BF6">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261C6496">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5757C9D7">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7A6AA98E">
            <w:pPr>
              <w:pStyle w:val="13"/>
              <w:keepNext w:val="0"/>
              <w:keepLines w:val="0"/>
              <w:pageBreakBefore w:val="0"/>
              <w:widowControl w:val="0"/>
              <w:wordWrap/>
              <w:overflowPunct/>
              <w:topLinePunct w:val="0"/>
              <w:bidi w:val="0"/>
              <w:spacing w:line="440" w:lineRule="exact"/>
              <w:ind w:left="259"/>
              <w:rPr>
                <w:rFonts w:hint="eastAsia"/>
                <w:color w:val="auto"/>
                <w:spacing w:val="-1"/>
                <w:highlight w:val="none"/>
                <w:lang w:val="en-US" w:eastAsia="zh-CN"/>
              </w:rPr>
            </w:pPr>
          </w:p>
          <w:p w14:paraId="5E3C793A">
            <w:pPr>
              <w:pStyle w:val="13"/>
              <w:keepNext w:val="0"/>
              <w:keepLines w:val="0"/>
              <w:pageBreakBefore w:val="0"/>
              <w:widowControl w:val="0"/>
              <w:wordWrap/>
              <w:overflowPunct/>
              <w:topLinePunct w:val="0"/>
              <w:bidi w:val="0"/>
              <w:spacing w:line="440" w:lineRule="exact"/>
              <w:ind w:left="259"/>
              <w:rPr>
                <w:rFonts w:hint="default"/>
                <w:color w:val="auto"/>
                <w:spacing w:val="-1"/>
                <w:highlight w:val="none"/>
                <w:lang w:val="en-US" w:eastAsia="zh-CN"/>
              </w:rPr>
            </w:pPr>
            <w:r>
              <w:rPr>
                <w:rFonts w:hint="eastAsia"/>
                <w:color w:val="auto"/>
                <w:spacing w:val="-1"/>
                <w:highlight w:val="none"/>
                <w:lang w:val="en-US" w:eastAsia="zh-CN"/>
              </w:rPr>
              <w:t>13</w:t>
            </w:r>
          </w:p>
          <w:p w14:paraId="643FE0B8">
            <w:pPr>
              <w:keepNext w:val="0"/>
              <w:keepLines w:val="0"/>
              <w:pageBreakBefore w:val="0"/>
              <w:widowControl w:val="0"/>
              <w:wordWrap/>
              <w:overflowPunct/>
              <w:topLinePunct w:val="0"/>
              <w:bidi w:val="0"/>
              <w:spacing w:line="440" w:lineRule="exact"/>
              <w:rPr>
                <w:rFonts w:ascii="Arial"/>
                <w:color w:val="auto"/>
                <w:sz w:val="21"/>
                <w:highlight w:val="none"/>
              </w:rPr>
            </w:pPr>
          </w:p>
          <w:p w14:paraId="370EBD6B">
            <w:pPr>
              <w:keepNext w:val="0"/>
              <w:keepLines w:val="0"/>
              <w:pageBreakBefore w:val="0"/>
              <w:widowControl w:val="0"/>
              <w:wordWrap/>
              <w:overflowPunct/>
              <w:topLinePunct w:val="0"/>
              <w:bidi w:val="0"/>
              <w:spacing w:line="440" w:lineRule="exact"/>
              <w:rPr>
                <w:rFonts w:ascii="Arial"/>
                <w:color w:val="auto"/>
                <w:sz w:val="21"/>
                <w:highlight w:val="none"/>
              </w:rPr>
            </w:pPr>
          </w:p>
          <w:p w14:paraId="2B620F34">
            <w:pPr>
              <w:keepNext w:val="0"/>
              <w:keepLines w:val="0"/>
              <w:pageBreakBefore w:val="0"/>
              <w:widowControl w:val="0"/>
              <w:wordWrap/>
              <w:overflowPunct/>
              <w:topLinePunct w:val="0"/>
              <w:bidi w:val="0"/>
              <w:spacing w:line="440" w:lineRule="exact"/>
              <w:rPr>
                <w:rFonts w:ascii="Arial"/>
                <w:color w:val="auto"/>
                <w:sz w:val="21"/>
                <w:highlight w:val="none"/>
              </w:rPr>
            </w:pPr>
          </w:p>
          <w:p w14:paraId="3AC3269E">
            <w:pPr>
              <w:keepNext w:val="0"/>
              <w:keepLines w:val="0"/>
              <w:pageBreakBefore w:val="0"/>
              <w:widowControl w:val="0"/>
              <w:wordWrap/>
              <w:overflowPunct/>
              <w:topLinePunct w:val="0"/>
              <w:bidi w:val="0"/>
              <w:spacing w:line="440" w:lineRule="exact"/>
              <w:rPr>
                <w:rFonts w:ascii="Arial"/>
                <w:color w:val="auto"/>
                <w:sz w:val="21"/>
                <w:highlight w:val="none"/>
              </w:rPr>
            </w:pPr>
          </w:p>
          <w:p w14:paraId="302DD9C9">
            <w:pPr>
              <w:keepNext w:val="0"/>
              <w:keepLines w:val="0"/>
              <w:pageBreakBefore w:val="0"/>
              <w:widowControl w:val="0"/>
              <w:wordWrap/>
              <w:overflowPunct/>
              <w:topLinePunct w:val="0"/>
              <w:bidi w:val="0"/>
              <w:spacing w:line="440" w:lineRule="exact"/>
              <w:rPr>
                <w:rFonts w:ascii="Arial"/>
                <w:color w:val="auto"/>
                <w:sz w:val="21"/>
                <w:highlight w:val="none"/>
              </w:rPr>
            </w:pPr>
          </w:p>
          <w:p w14:paraId="3281A3D8">
            <w:pPr>
              <w:keepNext w:val="0"/>
              <w:keepLines w:val="0"/>
              <w:pageBreakBefore w:val="0"/>
              <w:widowControl w:val="0"/>
              <w:wordWrap/>
              <w:overflowPunct/>
              <w:topLinePunct w:val="0"/>
              <w:bidi w:val="0"/>
              <w:spacing w:line="440" w:lineRule="exact"/>
              <w:rPr>
                <w:rFonts w:ascii="Arial"/>
                <w:color w:val="auto"/>
                <w:sz w:val="21"/>
                <w:highlight w:val="none"/>
              </w:rPr>
            </w:pPr>
          </w:p>
          <w:p w14:paraId="1F9780BE">
            <w:pPr>
              <w:keepNext w:val="0"/>
              <w:keepLines w:val="0"/>
              <w:pageBreakBefore w:val="0"/>
              <w:widowControl w:val="0"/>
              <w:wordWrap/>
              <w:overflowPunct/>
              <w:topLinePunct w:val="0"/>
              <w:bidi w:val="0"/>
              <w:spacing w:line="440" w:lineRule="exact"/>
              <w:rPr>
                <w:rFonts w:ascii="Arial"/>
                <w:color w:val="auto"/>
                <w:sz w:val="21"/>
                <w:highlight w:val="none"/>
              </w:rPr>
            </w:pPr>
          </w:p>
          <w:p w14:paraId="5475F5D2">
            <w:pPr>
              <w:keepNext w:val="0"/>
              <w:keepLines w:val="0"/>
              <w:pageBreakBefore w:val="0"/>
              <w:widowControl w:val="0"/>
              <w:wordWrap/>
              <w:overflowPunct/>
              <w:topLinePunct w:val="0"/>
              <w:bidi w:val="0"/>
              <w:spacing w:line="440" w:lineRule="exact"/>
              <w:rPr>
                <w:rFonts w:ascii="Arial"/>
                <w:color w:val="auto"/>
                <w:sz w:val="21"/>
                <w:highlight w:val="none"/>
              </w:rPr>
            </w:pPr>
          </w:p>
          <w:p w14:paraId="3C6AC7B5">
            <w:pPr>
              <w:keepNext w:val="0"/>
              <w:keepLines w:val="0"/>
              <w:pageBreakBefore w:val="0"/>
              <w:widowControl w:val="0"/>
              <w:wordWrap/>
              <w:overflowPunct/>
              <w:topLinePunct w:val="0"/>
              <w:bidi w:val="0"/>
              <w:spacing w:line="440" w:lineRule="exact"/>
              <w:jc w:val="left"/>
              <w:rPr>
                <w:rFonts w:ascii="Arial" w:hAnsi="Arial" w:eastAsia="Arial" w:cs="Arial"/>
                <w:snapToGrid w:val="0"/>
                <w:color w:val="auto"/>
                <w:kern w:val="0"/>
                <w:sz w:val="21"/>
                <w:szCs w:val="21"/>
                <w:highlight w:val="none"/>
                <w:lang w:val="en-US" w:eastAsia="en-US" w:bidi="ar-SA"/>
              </w:rPr>
            </w:pPr>
          </w:p>
          <w:p w14:paraId="1189E572">
            <w:pPr>
              <w:pStyle w:val="13"/>
              <w:keepNext w:val="0"/>
              <w:keepLines w:val="0"/>
              <w:pageBreakBefore w:val="0"/>
              <w:widowControl w:val="0"/>
              <w:wordWrap/>
              <w:overflowPunct/>
              <w:topLinePunct w:val="0"/>
              <w:bidi w:val="0"/>
              <w:spacing w:line="440" w:lineRule="exact"/>
              <w:ind w:left="365"/>
              <w:rPr>
                <w:color w:val="auto"/>
                <w:highlight w:val="none"/>
              </w:rPr>
            </w:pPr>
          </w:p>
        </w:tc>
        <w:tc>
          <w:tcPr>
            <w:tcW w:w="8376" w:type="dxa"/>
            <w:gridSpan w:val="2"/>
            <w:tcBorders>
              <w:bottom w:val="single" w:color="auto" w:sz="4" w:space="0"/>
            </w:tcBorders>
            <w:vAlign w:val="top"/>
          </w:tcPr>
          <w:p w14:paraId="2F0B759F">
            <w:pPr>
              <w:pStyle w:val="13"/>
              <w:keepNext w:val="0"/>
              <w:keepLines w:val="0"/>
              <w:pageBreakBefore w:val="0"/>
              <w:widowControl w:val="0"/>
              <w:wordWrap/>
              <w:overflowPunct/>
              <w:topLinePunct w:val="0"/>
              <w:bidi w:val="0"/>
              <w:spacing w:line="440" w:lineRule="exact"/>
              <w:ind w:left="109"/>
              <w:rPr>
                <w:color w:val="auto"/>
                <w:sz w:val="21"/>
                <w:szCs w:val="21"/>
                <w:highlight w:val="none"/>
              </w:rPr>
            </w:pPr>
            <w:r>
              <w:rPr>
                <w:b/>
                <w:bCs/>
                <w:color w:val="auto"/>
                <w:spacing w:val="5"/>
                <w:sz w:val="21"/>
                <w:szCs w:val="21"/>
                <w:highlight w:val="none"/>
              </w:rPr>
              <w:t>报价文件：</w:t>
            </w:r>
          </w:p>
          <w:p w14:paraId="09FBB8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eastAsia="zh-CN"/>
              </w:rPr>
            </w:pPr>
            <w:r>
              <w:rPr>
                <w:rFonts w:ascii="宋体" w:hAnsi="宋体" w:eastAsia="宋体" w:cs="宋体"/>
                <w:snapToGrid/>
                <w:color w:val="auto"/>
                <w:kern w:val="2"/>
                <w:szCs w:val="21"/>
                <w:highlight w:val="none"/>
                <w:lang w:eastAsia="zh-CN"/>
              </w:rPr>
              <w:t>1.投标函（格式后附）；</w:t>
            </w:r>
            <w:r>
              <w:rPr>
                <w:rFonts w:ascii="宋体" w:hAnsi="宋体" w:eastAsia="宋体" w:cs="宋体"/>
                <w:b/>
                <w:bCs/>
                <w:snapToGrid/>
                <w:color w:val="auto"/>
                <w:kern w:val="2"/>
                <w:szCs w:val="21"/>
                <w:highlight w:val="none"/>
                <w:lang w:eastAsia="zh-CN"/>
              </w:rPr>
              <w:t>（必须提供，否则作无效投标处理）</w:t>
            </w:r>
          </w:p>
          <w:p w14:paraId="586A1F8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eastAsia="zh-CN"/>
              </w:rPr>
            </w:pPr>
            <w:r>
              <w:rPr>
                <w:rFonts w:ascii="宋体" w:hAnsi="宋体" w:eastAsia="宋体" w:cs="宋体"/>
                <w:snapToGrid/>
                <w:color w:val="auto"/>
                <w:kern w:val="2"/>
                <w:szCs w:val="21"/>
                <w:highlight w:val="none"/>
                <w:lang w:eastAsia="zh-CN"/>
              </w:rPr>
              <w:t>2.开标一览表（格式后附）；</w:t>
            </w:r>
            <w:r>
              <w:rPr>
                <w:rFonts w:ascii="宋体" w:hAnsi="宋体" w:eastAsia="宋体" w:cs="宋体"/>
                <w:b/>
                <w:bCs/>
                <w:snapToGrid/>
                <w:color w:val="auto"/>
                <w:kern w:val="2"/>
                <w:szCs w:val="21"/>
                <w:highlight w:val="none"/>
                <w:lang w:eastAsia="zh-CN"/>
              </w:rPr>
              <w:t>（必须提供，否则作无效投标处理）</w:t>
            </w:r>
          </w:p>
          <w:p w14:paraId="12CA29C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eastAsia="zh-CN"/>
              </w:rPr>
            </w:pPr>
            <w:r>
              <w:rPr>
                <w:rFonts w:ascii="宋体" w:hAnsi="宋体" w:eastAsia="宋体" w:cs="宋体"/>
                <w:snapToGrid/>
                <w:color w:val="auto"/>
                <w:kern w:val="2"/>
                <w:szCs w:val="21"/>
                <w:highlight w:val="none"/>
                <w:lang w:eastAsia="zh-CN"/>
              </w:rPr>
              <w:t>3.投标人针对报价需要说明的其他文件（如中小企业声明函、残疾人福利性单位声明函、 监狱企业声明函等）和说明（格式自拟）。</w:t>
            </w:r>
            <w:r>
              <w:rPr>
                <w:rFonts w:ascii="宋体" w:hAnsi="宋体" w:eastAsia="宋体" w:cs="宋体"/>
                <w:b/>
                <w:bCs/>
                <w:snapToGrid/>
                <w:color w:val="auto"/>
                <w:kern w:val="2"/>
                <w:szCs w:val="21"/>
                <w:highlight w:val="none"/>
                <w:lang w:eastAsia="zh-CN"/>
              </w:rPr>
              <w:t>（根据投标人自身情况自行提供，部分格式详 见招标文件）</w:t>
            </w:r>
          </w:p>
          <w:p w14:paraId="1429349F">
            <w:pPr>
              <w:pStyle w:val="13"/>
              <w:keepNext w:val="0"/>
              <w:keepLines w:val="0"/>
              <w:pageBreakBefore w:val="0"/>
              <w:widowControl w:val="0"/>
              <w:wordWrap/>
              <w:overflowPunct/>
              <w:topLinePunct w:val="0"/>
              <w:bidi w:val="0"/>
              <w:spacing w:line="440" w:lineRule="exact"/>
              <w:ind w:left="110" w:right="82"/>
              <w:rPr>
                <w:color w:val="auto"/>
                <w:highlight w:val="none"/>
              </w:rPr>
            </w:pPr>
            <w:r>
              <w:rPr>
                <w:rFonts w:ascii="宋体" w:hAnsi="宋体" w:eastAsia="宋体" w:cs="宋体"/>
                <w:b/>
                <w:bCs/>
                <w:snapToGrid/>
                <w:color w:val="auto"/>
                <w:kern w:val="2"/>
                <w:sz w:val="21"/>
                <w:szCs w:val="21"/>
                <w:highlight w:val="none"/>
                <w:lang w:val="en-US" w:eastAsia="zh-CN" w:bidi="ar-SA"/>
              </w:rPr>
              <w:t>注：以上标明“必须提供 ”的材料属于复印件的扫描件的，必须加盖投标人公章（或电子签章）（联合体投标时， 由联合体牵头人加盖公章或电子签章），否则作无效投标处理</w:t>
            </w:r>
            <w:r>
              <w:rPr>
                <w:rFonts w:hint="eastAsia" w:cs="宋体"/>
                <w:b/>
                <w:bCs/>
                <w:snapToGrid/>
                <w:color w:val="auto"/>
                <w:kern w:val="2"/>
                <w:sz w:val="21"/>
                <w:szCs w:val="21"/>
                <w:highlight w:val="none"/>
                <w:lang w:val="en-US" w:eastAsia="zh-CN" w:bidi="ar-SA"/>
              </w:rPr>
              <w:t>。</w:t>
            </w:r>
          </w:p>
        </w:tc>
      </w:tr>
      <w:tr w14:paraId="79905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0" w:hRule="atLeast"/>
        </w:trPr>
        <w:tc>
          <w:tcPr>
            <w:tcW w:w="899" w:type="dxa"/>
            <w:gridSpan w:val="2"/>
            <w:vMerge w:val="continue"/>
            <w:tcBorders>
              <w:top w:val="single" w:color="auto" w:sz="4" w:space="0"/>
              <w:left w:val="single" w:color="auto" w:sz="4" w:space="0"/>
              <w:bottom w:val="single" w:color="auto" w:sz="4" w:space="0"/>
            </w:tcBorders>
            <w:vAlign w:val="top"/>
          </w:tcPr>
          <w:p w14:paraId="3317E442">
            <w:pPr>
              <w:keepNext w:val="0"/>
              <w:keepLines w:val="0"/>
              <w:pageBreakBefore w:val="0"/>
              <w:widowControl w:val="0"/>
              <w:wordWrap/>
              <w:overflowPunct/>
              <w:topLinePunct w:val="0"/>
              <w:bidi w:val="0"/>
              <w:spacing w:line="440" w:lineRule="exact"/>
              <w:rPr>
                <w:rFonts w:ascii="Arial"/>
                <w:color w:val="auto"/>
                <w:sz w:val="21"/>
                <w:highlight w:val="none"/>
              </w:rPr>
            </w:pPr>
          </w:p>
        </w:tc>
        <w:tc>
          <w:tcPr>
            <w:tcW w:w="8376" w:type="dxa"/>
            <w:gridSpan w:val="2"/>
            <w:tcBorders>
              <w:top w:val="single" w:color="auto" w:sz="4" w:space="0"/>
              <w:bottom w:val="single" w:color="auto" w:sz="4" w:space="0"/>
              <w:right w:val="single" w:color="auto" w:sz="4" w:space="0"/>
            </w:tcBorders>
            <w:vAlign w:val="top"/>
          </w:tcPr>
          <w:p w14:paraId="0759162B">
            <w:pPr>
              <w:pStyle w:val="13"/>
              <w:keepNext w:val="0"/>
              <w:keepLines w:val="0"/>
              <w:pageBreakBefore w:val="0"/>
              <w:widowControl w:val="0"/>
              <w:wordWrap/>
              <w:overflowPunct/>
              <w:topLinePunct w:val="0"/>
              <w:bidi w:val="0"/>
              <w:spacing w:line="440" w:lineRule="exact"/>
              <w:ind w:left="119"/>
              <w:rPr>
                <w:color w:val="auto"/>
                <w:sz w:val="21"/>
                <w:szCs w:val="21"/>
                <w:highlight w:val="none"/>
              </w:rPr>
            </w:pPr>
            <w:r>
              <w:rPr>
                <w:b/>
                <w:bCs/>
                <w:color w:val="auto"/>
                <w:spacing w:val="5"/>
                <w:sz w:val="21"/>
                <w:szCs w:val="21"/>
                <w:highlight w:val="none"/>
              </w:rPr>
              <w:t>资格证明文件</w:t>
            </w:r>
          </w:p>
          <w:p w14:paraId="7870A0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eastAsia="zh-CN"/>
              </w:rPr>
            </w:pPr>
            <w:r>
              <w:rPr>
                <w:rFonts w:ascii="宋体" w:hAnsi="宋体" w:eastAsia="宋体" w:cs="宋体"/>
                <w:snapToGrid/>
                <w:color w:val="auto"/>
                <w:kern w:val="2"/>
                <w:szCs w:val="21"/>
                <w:highlight w:val="none"/>
                <w:lang w:val="en-US" w:eastAsia="zh-CN"/>
              </w:rPr>
              <w:t>1.投标人为法人或者其他组织的，提供营业执照等证明文件（如营业执照或者事业单位法 人证书或者执业许可证等），投标人为自然人的，提供身份证复印件；</w:t>
            </w:r>
            <w:r>
              <w:rPr>
                <w:rFonts w:ascii="宋体" w:hAnsi="宋体" w:eastAsia="宋体" w:cs="宋体"/>
                <w:b/>
                <w:bCs/>
                <w:snapToGrid/>
                <w:color w:val="auto"/>
                <w:kern w:val="2"/>
                <w:szCs w:val="21"/>
                <w:highlight w:val="none"/>
                <w:lang w:eastAsia="zh-CN"/>
              </w:rPr>
              <w:t>（必须提供，否则作无效投标处理）</w:t>
            </w:r>
          </w:p>
          <w:p w14:paraId="006088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val="en-US" w:eastAsia="zh-CN"/>
              </w:rPr>
            </w:pPr>
            <w:r>
              <w:rPr>
                <w:rFonts w:ascii="宋体" w:hAnsi="宋体" w:eastAsia="宋体" w:cs="宋体"/>
                <w:snapToGrid/>
                <w:color w:val="auto"/>
                <w:kern w:val="2"/>
                <w:szCs w:val="21"/>
                <w:highlight w:val="none"/>
                <w:lang w:eastAsia="zh-CN"/>
              </w:rPr>
              <w:t>2.投标人依法缴纳税收的相关材料（202</w:t>
            </w:r>
            <w:r>
              <w:rPr>
                <w:rFonts w:hint="eastAsia" w:ascii="宋体" w:hAnsi="宋体" w:eastAsia="宋体" w:cs="宋体"/>
                <w:snapToGrid/>
                <w:color w:val="auto"/>
                <w:kern w:val="2"/>
                <w:szCs w:val="21"/>
                <w:highlight w:val="none"/>
                <w:lang w:val="en-US" w:eastAsia="zh-CN"/>
              </w:rPr>
              <w:t>4</w:t>
            </w:r>
            <w:r>
              <w:rPr>
                <w:rFonts w:ascii="宋体" w:hAnsi="宋体" w:eastAsia="宋体" w:cs="宋体"/>
                <w:snapToGrid/>
                <w:color w:val="auto"/>
                <w:kern w:val="2"/>
                <w:szCs w:val="21"/>
                <w:highlight w:val="none"/>
                <w:lang w:eastAsia="zh-CN"/>
              </w:rPr>
              <w:t>年</w:t>
            </w:r>
            <w:r>
              <w:rPr>
                <w:rFonts w:hint="eastAsia" w:ascii="宋体" w:hAnsi="宋体" w:eastAsia="宋体" w:cs="宋体"/>
                <w:snapToGrid/>
                <w:color w:val="auto"/>
                <w:kern w:val="2"/>
                <w:szCs w:val="21"/>
                <w:highlight w:val="none"/>
                <w:lang w:val="en-US" w:eastAsia="zh-CN"/>
              </w:rPr>
              <w:t>6</w:t>
            </w:r>
            <w:r>
              <w:rPr>
                <w:rFonts w:ascii="宋体" w:hAnsi="宋体" w:eastAsia="宋体" w:cs="宋体"/>
                <w:snapToGrid/>
                <w:color w:val="auto"/>
                <w:kern w:val="2"/>
                <w:szCs w:val="21"/>
                <w:highlight w:val="none"/>
                <w:lang w:eastAsia="zh-CN"/>
              </w:rPr>
              <w:t>月至2024年</w:t>
            </w:r>
            <w:r>
              <w:rPr>
                <w:rFonts w:hint="eastAsia" w:ascii="宋体" w:hAnsi="宋体" w:eastAsia="宋体" w:cs="宋体"/>
                <w:snapToGrid/>
                <w:color w:val="auto"/>
                <w:kern w:val="2"/>
                <w:szCs w:val="21"/>
                <w:highlight w:val="none"/>
                <w:lang w:val="en-US" w:eastAsia="zh-CN"/>
              </w:rPr>
              <w:t>11</w:t>
            </w:r>
            <w:r>
              <w:rPr>
                <w:rFonts w:ascii="宋体" w:hAnsi="宋体" w:eastAsia="宋体" w:cs="宋体"/>
                <w:snapToGrid/>
                <w:color w:val="auto"/>
                <w:kern w:val="2"/>
                <w:szCs w:val="21"/>
                <w:highlight w:val="none"/>
                <w:lang w:eastAsia="zh-CN"/>
              </w:rPr>
              <w:t xml:space="preserve">月内任意连续3 个月的依 法缴纳税收的凭据复印件；依法免税的投标人，必须提供相应文件证明其依法免税。从取 得营业执照时间起到投标文件提交截止时间为止不足要求月数的，只需提供从取得营业执 </w:t>
            </w:r>
            <w:r>
              <w:rPr>
                <w:rFonts w:ascii="宋体" w:hAnsi="宋体" w:eastAsia="宋体" w:cs="宋体"/>
                <w:snapToGrid/>
                <w:color w:val="auto"/>
                <w:kern w:val="2"/>
                <w:szCs w:val="21"/>
                <w:highlight w:val="none"/>
                <w:lang w:val="en-US" w:eastAsia="zh-CN"/>
              </w:rPr>
              <w:t>照起的依法缴纳税收相应证明文件）；</w:t>
            </w:r>
            <w:r>
              <w:rPr>
                <w:rFonts w:ascii="宋体" w:hAnsi="宋体" w:eastAsia="宋体" w:cs="宋体"/>
                <w:b/>
                <w:bCs/>
                <w:snapToGrid/>
                <w:color w:val="auto"/>
                <w:kern w:val="2"/>
                <w:szCs w:val="21"/>
                <w:highlight w:val="none"/>
                <w:lang w:val="en-US" w:eastAsia="zh-CN"/>
              </w:rPr>
              <w:t>（必须提供，否则作无效投标处理）</w:t>
            </w:r>
          </w:p>
          <w:p w14:paraId="208FC1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val="en-US" w:eastAsia="zh-CN"/>
              </w:rPr>
            </w:pPr>
            <w:r>
              <w:rPr>
                <w:rFonts w:ascii="宋体" w:hAnsi="宋体" w:eastAsia="宋体" w:cs="宋体"/>
                <w:snapToGrid/>
                <w:color w:val="auto"/>
                <w:kern w:val="2"/>
                <w:szCs w:val="21"/>
                <w:highlight w:val="none"/>
                <w:lang w:val="en-US" w:eastAsia="zh-CN"/>
              </w:rPr>
              <w:t>3.投标人依法缴纳社会保障资金的相关材料[202</w:t>
            </w:r>
            <w:r>
              <w:rPr>
                <w:rFonts w:hint="eastAsia" w:ascii="宋体" w:hAnsi="宋体" w:eastAsia="宋体" w:cs="宋体"/>
                <w:snapToGrid/>
                <w:color w:val="auto"/>
                <w:kern w:val="2"/>
                <w:szCs w:val="21"/>
                <w:highlight w:val="none"/>
                <w:lang w:val="en-US" w:eastAsia="zh-CN"/>
              </w:rPr>
              <w:t>4</w:t>
            </w:r>
            <w:r>
              <w:rPr>
                <w:rFonts w:ascii="宋体" w:hAnsi="宋体" w:eastAsia="宋体" w:cs="宋体"/>
                <w:snapToGrid/>
                <w:color w:val="auto"/>
                <w:kern w:val="2"/>
                <w:szCs w:val="21"/>
                <w:highlight w:val="none"/>
                <w:lang w:val="en-US" w:eastAsia="zh-CN"/>
              </w:rPr>
              <w:t>年</w:t>
            </w:r>
            <w:r>
              <w:rPr>
                <w:rFonts w:hint="eastAsia" w:ascii="宋体" w:hAnsi="宋体" w:eastAsia="宋体" w:cs="宋体"/>
                <w:snapToGrid/>
                <w:color w:val="auto"/>
                <w:kern w:val="2"/>
                <w:szCs w:val="21"/>
                <w:highlight w:val="none"/>
                <w:lang w:val="en-US" w:eastAsia="zh-CN"/>
              </w:rPr>
              <w:t>6</w:t>
            </w:r>
            <w:r>
              <w:rPr>
                <w:rFonts w:ascii="宋体" w:hAnsi="宋体" w:eastAsia="宋体" w:cs="宋体"/>
                <w:snapToGrid/>
                <w:color w:val="auto"/>
                <w:kern w:val="2"/>
                <w:szCs w:val="21"/>
                <w:highlight w:val="none"/>
                <w:lang w:val="en-US" w:eastAsia="zh-CN"/>
              </w:rPr>
              <w:t>月至 2024 年</w:t>
            </w:r>
            <w:r>
              <w:rPr>
                <w:rFonts w:hint="eastAsia" w:ascii="宋体" w:hAnsi="宋体" w:eastAsia="宋体" w:cs="宋体"/>
                <w:snapToGrid/>
                <w:color w:val="auto"/>
                <w:kern w:val="2"/>
                <w:szCs w:val="21"/>
                <w:highlight w:val="none"/>
                <w:lang w:val="en-US" w:eastAsia="zh-CN"/>
              </w:rPr>
              <w:t>11</w:t>
            </w:r>
            <w:r>
              <w:rPr>
                <w:rFonts w:ascii="宋体" w:hAnsi="宋体" w:eastAsia="宋体" w:cs="宋体"/>
                <w:snapToGrid/>
                <w:color w:val="auto"/>
                <w:kern w:val="2"/>
                <w:szCs w:val="21"/>
                <w:highlight w:val="none"/>
                <w:lang w:val="en-US" w:eastAsia="zh-CN"/>
              </w:rPr>
              <w:t>月内任意连续3 个月的</w:t>
            </w:r>
            <w:r>
              <w:rPr>
                <w:rFonts w:ascii="宋体" w:hAnsi="宋体" w:eastAsia="宋体" w:cs="宋体"/>
                <w:b/>
                <w:bCs/>
                <w:snapToGrid/>
                <w:color w:val="auto"/>
                <w:kern w:val="2"/>
                <w:szCs w:val="21"/>
                <w:highlight w:val="none"/>
                <w:lang w:val="en-US" w:eastAsia="zh-CN"/>
              </w:rPr>
              <w:t>依法缴纳社会保障资金的缴费凭证</w:t>
            </w:r>
            <w:r>
              <w:rPr>
                <w:rFonts w:ascii="宋体" w:hAnsi="宋体" w:eastAsia="宋体" w:cs="宋体"/>
                <w:snapToGrid/>
                <w:color w:val="auto"/>
                <w:kern w:val="2"/>
                <w:szCs w:val="21"/>
                <w:highlight w:val="none"/>
                <w:lang w:val="en-US" w:eastAsia="zh-CN"/>
              </w:rPr>
              <w:t>（专用收据或者社会保险缴纳清单）复印件</w:t>
            </w:r>
            <w:r>
              <w:rPr>
                <w:rFonts w:hint="eastAsia" w:ascii="宋体" w:hAnsi="宋体" w:eastAsia="宋体" w:cs="宋体"/>
                <w:b w:val="0"/>
                <w:bCs w:val="0"/>
                <w:color w:val="auto"/>
                <w:sz w:val="21"/>
                <w:szCs w:val="21"/>
                <w:highlight w:val="none"/>
                <w:u w:val="none"/>
                <w:lang w:val="en-US" w:eastAsia="zh-CN"/>
              </w:rPr>
              <w:t>并附项目实施人员一览表（格式后附）及截标时间前半年内任意1个月投标人为拟投入本项目人员（在职在岗正式员工）社保缴存证明复印件（体现个人明细，如社保或税务部门开具的证明、收款收据等，或银行缴款凭证、回单等）</w:t>
            </w:r>
            <w:r>
              <w:rPr>
                <w:rFonts w:ascii="宋体" w:hAnsi="宋体" w:eastAsia="宋体" w:cs="宋体"/>
                <w:snapToGrid/>
                <w:color w:val="auto"/>
                <w:kern w:val="2"/>
                <w:szCs w:val="21"/>
                <w:highlight w:val="none"/>
                <w:lang w:val="en-US" w:eastAsia="zh-CN"/>
              </w:rPr>
              <w:t>；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ascii="宋体" w:hAnsi="宋体" w:eastAsia="宋体" w:cs="宋体"/>
                <w:b/>
                <w:bCs/>
                <w:snapToGrid/>
                <w:color w:val="auto"/>
                <w:kern w:val="2"/>
                <w:szCs w:val="21"/>
                <w:highlight w:val="none"/>
                <w:lang w:val="en-US" w:eastAsia="zh-CN"/>
              </w:rPr>
              <w:t xml:space="preserve">（必须提供，否则作无效投标处理） </w:t>
            </w:r>
            <w:r>
              <w:rPr>
                <w:rFonts w:ascii="宋体" w:hAnsi="宋体" w:eastAsia="宋体" w:cs="宋体"/>
                <w:snapToGrid/>
                <w:color w:val="auto"/>
                <w:kern w:val="2"/>
                <w:szCs w:val="21"/>
                <w:highlight w:val="none"/>
                <w:lang w:val="en-US" w:eastAsia="zh-CN"/>
              </w:rPr>
              <w:t xml:space="preserve"> </w:t>
            </w:r>
          </w:p>
          <w:p w14:paraId="6DEB2C3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val="en-US" w:eastAsia="zh-CN"/>
              </w:rPr>
            </w:pPr>
            <w:r>
              <w:rPr>
                <w:rFonts w:ascii="宋体" w:hAnsi="宋体" w:eastAsia="宋体" w:cs="宋体"/>
                <w:snapToGrid/>
                <w:color w:val="auto"/>
                <w:kern w:val="2"/>
                <w:szCs w:val="21"/>
                <w:highlight w:val="none"/>
                <w:lang w:val="en-US" w:eastAsia="zh-CN"/>
              </w:rPr>
              <w:t>4.投标人[ 2023 年]财务状况报告复印件（成立不满一年的应按提供投标文件提交截止时间上一个月的财务状况报告复印件）或者其银行出具的资信证明（注明有效期的， 应在有效期内；未注明有效期的，出具时间至投标截止时间不超过一年）]。（上述财务状况报告包括：</w:t>
            </w:r>
            <w:r>
              <w:rPr>
                <w:rFonts w:ascii="宋体" w:hAnsi="宋体" w:eastAsia="宋体" w:cs="宋体"/>
                <w:b/>
                <w:bCs/>
                <w:snapToGrid/>
                <w:color w:val="auto"/>
                <w:kern w:val="2"/>
                <w:szCs w:val="21"/>
                <w:highlight w:val="none"/>
                <w:lang w:val="en-US" w:eastAsia="zh-CN"/>
              </w:rPr>
              <w:t>投标人执行《企业会计准则》的，提供资产负债表、利润表、现金流量表、 所有者权益变动表及其附注（以下称“ 四表一注”）；投标人执行《小企业会计准则》的，提供资产负债表、利润表、现金流量表及其附注（以下称“三表一注”）；投标人执行《政府会计制度》的，提供资产负债表、收入费用表和净资产变动表及其附注)；（必须提供，否则作无效投标处理）</w:t>
            </w:r>
          </w:p>
          <w:p w14:paraId="5D087D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5.投标人直接控股股东信息、投标人直接管理关系信息表（格式后附）</w:t>
            </w:r>
            <w:r>
              <w:rPr>
                <w:rFonts w:ascii="宋体" w:hAnsi="宋体" w:eastAsia="宋体" w:cs="宋体"/>
                <w:snapToGrid/>
                <w:color w:val="auto"/>
                <w:kern w:val="2"/>
                <w:szCs w:val="21"/>
                <w:highlight w:val="none"/>
                <w:lang w:val="en-US" w:eastAsia="zh-CN"/>
              </w:rPr>
              <w:t>；</w:t>
            </w:r>
            <w:r>
              <w:rPr>
                <w:rFonts w:ascii="宋体" w:hAnsi="宋体" w:eastAsia="宋体" w:cs="宋体"/>
                <w:b/>
                <w:bCs/>
                <w:snapToGrid/>
                <w:color w:val="auto"/>
                <w:kern w:val="2"/>
                <w:szCs w:val="21"/>
                <w:highlight w:val="none"/>
                <w:lang w:val="en-US" w:eastAsia="zh-CN"/>
              </w:rPr>
              <w:t>（必须提供，否则作无效投标处理）</w:t>
            </w:r>
          </w:p>
          <w:p w14:paraId="653C2E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val="en-US" w:eastAsia="zh-CN"/>
              </w:rPr>
            </w:pPr>
            <w:r>
              <w:rPr>
                <w:rFonts w:ascii="宋体" w:hAnsi="宋体" w:eastAsia="宋体" w:cs="宋体"/>
                <w:snapToGrid/>
                <w:color w:val="auto"/>
                <w:kern w:val="2"/>
                <w:szCs w:val="21"/>
                <w:highlight w:val="none"/>
                <w:lang w:val="en-US" w:eastAsia="zh-CN"/>
              </w:rPr>
              <w:t>6.投标资格声明函（格式后附）；</w:t>
            </w:r>
            <w:r>
              <w:rPr>
                <w:rFonts w:ascii="宋体" w:hAnsi="宋体" w:eastAsia="宋体" w:cs="宋体"/>
                <w:b/>
                <w:bCs/>
                <w:snapToGrid/>
                <w:color w:val="auto"/>
                <w:kern w:val="2"/>
                <w:szCs w:val="21"/>
                <w:highlight w:val="none"/>
                <w:lang w:val="en-US" w:eastAsia="zh-CN"/>
              </w:rPr>
              <w:t>（必须提供，否则作无效投标处理）</w:t>
            </w:r>
          </w:p>
          <w:p w14:paraId="4A4FDC3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val="en-US" w:eastAsia="zh-CN"/>
              </w:rPr>
            </w:pPr>
            <w:r>
              <w:rPr>
                <w:rFonts w:ascii="宋体" w:hAnsi="宋体" w:eastAsia="宋体" w:cs="宋体"/>
                <w:snapToGrid/>
                <w:color w:val="auto"/>
                <w:kern w:val="2"/>
                <w:szCs w:val="21"/>
                <w:highlight w:val="none"/>
                <w:lang w:val="en-US" w:eastAsia="zh-CN"/>
              </w:rPr>
              <w:t>7.联合体协议书（格式后附）；</w:t>
            </w:r>
            <w:r>
              <w:rPr>
                <w:rFonts w:ascii="宋体" w:hAnsi="宋体" w:eastAsia="宋体" w:cs="宋体"/>
                <w:b/>
                <w:bCs/>
                <w:snapToGrid/>
                <w:color w:val="auto"/>
                <w:kern w:val="2"/>
                <w:szCs w:val="21"/>
                <w:highlight w:val="none"/>
                <w:lang w:val="en-US" w:eastAsia="zh-CN"/>
              </w:rPr>
              <w:t>（联合体投标时必须提供，否则按无效投标处理）</w:t>
            </w:r>
          </w:p>
          <w:p w14:paraId="52FFF1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ascii="宋体" w:hAnsi="宋体" w:eastAsia="宋体" w:cs="宋体"/>
                <w:snapToGrid/>
                <w:color w:val="auto"/>
                <w:kern w:val="2"/>
                <w:szCs w:val="21"/>
                <w:highlight w:val="none"/>
                <w:lang w:val="en-US" w:eastAsia="zh-CN"/>
              </w:rPr>
              <w:t>8.其中包1</w:t>
            </w:r>
            <w:r>
              <w:rPr>
                <w:rFonts w:hint="eastAsia" w:ascii="宋体" w:hAnsi="宋体" w:eastAsia="宋体" w:cs="宋体"/>
                <w:snapToGrid/>
                <w:color w:val="auto"/>
                <w:kern w:val="2"/>
                <w:szCs w:val="21"/>
                <w:highlight w:val="none"/>
                <w:lang w:val="en-US" w:eastAsia="zh-CN"/>
              </w:rPr>
              <w:t>（调查评估与成果集成包）</w:t>
            </w:r>
            <w:r>
              <w:rPr>
                <w:rFonts w:ascii="宋体" w:hAnsi="宋体" w:eastAsia="宋体" w:cs="宋体"/>
                <w:snapToGrid/>
                <w:color w:val="auto"/>
                <w:kern w:val="2"/>
                <w:szCs w:val="21"/>
                <w:highlight w:val="none"/>
                <w:lang w:val="en-US" w:eastAsia="zh-CN"/>
              </w:rPr>
              <w:t>无需提供；包2</w:t>
            </w:r>
            <w:r>
              <w:rPr>
                <w:rFonts w:hint="eastAsia" w:ascii="宋体" w:hAnsi="宋体" w:eastAsia="宋体" w:cs="宋体"/>
                <w:snapToGrid/>
                <w:color w:val="auto"/>
                <w:kern w:val="2"/>
                <w:szCs w:val="21"/>
                <w:highlight w:val="none"/>
                <w:lang w:val="en-US" w:eastAsia="zh-CN"/>
              </w:rPr>
              <w:t>（水文地质调查与监测井建设包）</w:t>
            </w:r>
            <w:r>
              <w:rPr>
                <w:rFonts w:ascii="宋体" w:hAnsi="宋体" w:eastAsia="宋体" w:cs="宋体"/>
                <w:snapToGrid/>
                <w:color w:val="auto"/>
                <w:kern w:val="2"/>
                <w:szCs w:val="21"/>
                <w:highlight w:val="none"/>
                <w:lang w:val="en-US" w:eastAsia="zh-CN"/>
              </w:rPr>
              <w:t>投标人</w:t>
            </w:r>
            <w:r>
              <w:rPr>
                <w:rFonts w:hint="eastAsia" w:ascii="宋体" w:hAnsi="宋体" w:eastAsia="宋体" w:cs="宋体"/>
                <w:snapToGrid/>
                <w:color w:val="auto"/>
                <w:kern w:val="2"/>
                <w:szCs w:val="21"/>
                <w:highlight w:val="none"/>
                <w:lang w:val="en-US" w:eastAsia="zh-CN"/>
              </w:rPr>
              <w:t>同时具备丙级及以上（含丙级）水文地质勘察专业资质和乙级及以上（含乙级）测绘资质</w:t>
            </w:r>
            <w:r>
              <w:rPr>
                <w:rFonts w:ascii="宋体" w:hAnsi="宋体" w:eastAsia="宋体" w:cs="宋体"/>
                <w:snapToGrid/>
                <w:color w:val="auto"/>
                <w:kern w:val="2"/>
                <w:szCs w:val="21"/>
                <w:highlight w:val="none"/>
                <w:lang w:val="en-US" w:eastAsia="zh-CN"/>
              </w:rPr>
              <w:t>；包3</w:t>
            </w:r>
            <w:r>
              <w:rPr>
                <w:rFonts w:hint="eastAsia" w:ascii="宋体" w:hAnsi="宋体" w:eastAsia="宋体" w:cs="宋体"/>
                <w:snapToGrid/>
                <w:color w:val="auto"/>
                <w:kern w:val="2"/>
                <w:szCs w:val="21"/>
                <w:highlight w:val="none"/>
                <w:lang w:val="en-US" w:eastAsia="zh-CN"/>
              </w:rPr>
              <w:t>（样品采集与测试分析包）</w:t>
            </w:r>
            <w:r>
              <w:rPr>
                <w:rFonts w:ascii="宋体" w:hAnsi="宋体" w:eastAsia="宋体" w:cs="宋体"/>
                <w:snapToGrid/>
                <w:color w:val="auto"/>
                <w:kern w:val="2"/>
                <w:szCs w:val="21"/>
                <w:highlight w:val="none"/>
                <w:lang w:val="en-US" w:eastAsia="zh-CN"/>
              </w:rPr>
              <w:t>：投标人具备有效的检验检测机构资质认定证书（CMA 证书）；</w:t>
            </w:r>
            <w:r>
              <w:rPr>
                <w:rFonts w:ascii="宋体" w:hAnsi="宋体" w:eastAsia="宋体" w:cs="宋体"/>
                <w:b/>
                <w:bCs/>
                <w:snapToGrid/>
                <w:color w:val="auto"/>
                <w:kern w:val="2"/>
                <w:szCs w:val="21"/>
                <w:highlight w:val="none"/>
                <w:lang w:val="en-US" w:eastAsia="zh-CN"/>
              </w:rPr>
              <w:t>（如有要求的必须提供，否则作无效投标处理）</w:t>
            </w:r>
          </w:p>
        </w:tc>
      </w:tr>
    </w:tbl>
    <w:tbl>
      <w:tblPr>
        <w:tblStyle w:val="12"/>
        <w:tblW w:w="9315"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8430"/>
      </w:tblGrid>
      <w:tr w14:paraId="69C22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4" w:hRule="atLeast"/>
        </w:trPr>
        <w:tc>
          <w:tcPr>
            <w:tcW w:w="885" w:type="dxa"/>
            <w:vMerge w:val="restart"/>
            <w:tcBorders>
              <w:top w:val="single" w:color="auto" w:sz="4" w:space="0"/>
              <w:left w:val="single" w:color="auto" w:sz="4" w:space="0"/>
              <w:bottom w:val="single" w:color="auto" w:sz="4" w:space="0"/>
              <w:right w:val="single" w:color="auto" w:sz="4" w:space="0"/>
            </w:tcBorders>
            <w:vAlign w:val="top"/>
          </w:tcPr>
          <w:p w14:paraId="797BDE1B">
            <w:pPr>
              <w:keepNext w:val="0"/>
              <w:keepLines w:val="0"/>
              <w:pageBreakBefore w:val="0"/>
              <w:wordWrap/>
              <w:overflowPunct/>
              <w:topLinePunct w:val="0"/>
              <w:bidi w:val="0"/>
              <w:spacing w:line="440" w:lineRule="exact"/>
              <w:rPr>
                <w:rFonts w:ascii="Arial"/>
                <w:color w:val="auto"/>
                <w:sz w:val="21"/>
                <w:highlight w:val="none"/>
              </w:rPr>
            </w:pPr>
          </w:p>
        </w:tc>
        <w:tc>
          <w:tcPr>
            <w:tcW w:w="8430" w:type="dxa"/>
            <w:tcBorders>
              <w:top w:val="single" w:color="auto" w:sz="4" w:space="0"/>
              <w:left w:val="single" w:color="auto" w:sz="4" w:space="0"/>
              <w:bottom w:val="single" w:color="auto" w:sz="4" w:space="0"/>
              <w:right w:val="single" w:color="auto" w:sz="4" w:space="0"/>
            </w:tcBorders>
            <w:vAlign w:val="top"/>
          </w:tcPr>
          <w:p w14:paraId="18D02B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9.除招标文件规定必须提供以外，投标人认为需要提供的其他证明材料。</w:t>
            </w:r>
          </w:p>
          <w:p w14:paraId="0F6D15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val="en-US" w:eastAsia="zh-CN"/>
              </w:rPr>
            </w:pPr>
            <w:r>
              <w:rPr>
                <w:rFonts w:ascii="宋体" w:hAnsi="宋体" w:eastAsia="宋体" w:cs="宋体"/>
                <w:b/>
                <w:bCs/>
                <w:snapToGrid/>
                <w:color w:val="auto"/>
                <w:kern w:val="2"/>
                <w:szCs w:val="21"/>
                <w:highlight w:val="none"/>
                <w:lang w:val="en-US" w:eastAsia="zh-CN"/>
              </w:rPr>
              <w:t>注：1.以上标明“必须提供 ”的材料属于复印件和扫描件的，必须加盖投标人公章（或电 子签章），否则按无效投标处理。</w:t>
            </w:r>
          </w:p>
          <w:p w14:paraId="60D423D3">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ascii="宋体" w:hAnsi="宋体" w:eastAsia="宋体" w:cs="宋体"/>
                <w:b/>
                <w:bCs/>
                <w:snapToGrid/>
                <w:color w:val="auto"/>
                <w:kern w:val="2"/>
                <w:szCs w:val="21"/>
                <w:highlight w:val="none"/>
                <w:lang w:val="en-US" w:eastAsia="zh-CN"/>
              </w:rPr>
              <w:t>2.联合体投标时，第 1-5 项资格证明文件联合体各方均必须分别提供，并由联合体牵头人 加盖电子签章，规定签字处签字（或者电子签名），否则按无效投标处理。</w:t>
            </w:r>
          </w:p>
        </w:tc>
      </w:tr>
      <w:tr w14:paraId="532F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885" w:type="dxa"/>
            <w:vMerge w:val="continue"/>
            <w:tcBorders>
              <w:top w:val="single" w:color="auto" w:sz="4" w:space="0"/>
              <w:left w:val="single" w:color="auto" w:sz="4" w:space="0"/>
              <w:bottom w:val="single" w:color="auto" w:sz="4" w:space="0"/>
              <w:right w:val="single" w:color="auto" w:sz="4" w:space="0"/>
            </w:tcBorders>
            <w:vAlign w:val="top"/>
          </w:tcPr>
          <w:p w14:paraId="57E1FDA4">
            <w:pPr>
              <w:keepNext w:val="0"/>
              <w:keepLines w:val="0"/>
              <w:pageBreakBefore w:val="0"/>
              <w:wordWrap/>
              <w:overflowPunct/>
              <w:topLinePunct w:val="0"/>
              <w:bidi w:val="0"/>
              <w:spacing w:line="440" w:lineRule="exact"/>
              <w:rPr>
                <w:rFonts w:ascii="Arial"/>
                <w:color w:val="auto"/>
                <w:sz w:val="21"/>
                <w:highlight w:val="none"/>
              </w:rPr>
            </w:pPr>
          </w:p>
        </w:tc>
        <w:tc>
          <w:tcPr>
            <w:tcW w:w="8430" w:type="dxa"/>
            <w:tcBorders>
              <w:top w:val="single" w:color="auto" w:sz="4" w:space="0"/>
              <w:left w:val="single" w:color="auto" w:sz="4" w:space="0"/>
              <w:bottom w:val="single" w:color="auto" w:sz="4" w:space="0"/>
              <w:right w:val="single" w:color="auto" w:sz="4" w:space="0"/>
            </w:tcBorders>
            <w:vAlign w:val="top"/>
          </w:tcPr>
          <w:p w14:paraId="7462C0F1">
            <w:pPr>
              <w:pStyle w:val="13"/>
              <w:keepNext w:val="0"/>
              <w:keepLines w:val="0"/>
              <w:pageBreakBefore w:val="0"/>
              <w:wordWrap/>
              <w:overflowPunct/>
              <w:topLinePunct w:val="0"/>
              <w:bidi w:val="0"/>
              <w:spacing w:line="440" w:lineRule="exact"/>
              <w:ind w:left="115"/>
              <w:rPr>
                <w:color w:val="auto"/>
                <w:sz w:val="21"/>
                <w:szCs w:val="21"/>
                <w:highlight w:val="none"/>
              </w:rPr>
            </w:pPr>
            <w:r>
              <w:rPr>
                <w:b/>
                <w:bCs/>
                <w:color w:val="auto"/>
                <w:spacing w:val="3"/>
                <w:sz w:val="21"/>
                <w:szCs w:val="21"/>
                <w:highlight w:val="none"/>
              </w:rPr>
              <w:t>商务文件：</w:t>
            </w:r>
          </w:p>
          <w:p w14:paraId="39C7A2B4">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无串通投标行为的承诺函（格式后附）；</w:t>
            </w:r>
            <w:r>
              <w:rPr>
                <w:rFonts w:hint="eastAsia" w:ascii="宋体" w:hAnsi="宋体" w:eastAsia="宋体" w:cs="宋体"/>
                <w:b/>
                <w:bCs/>
                <w:snapToGrid/>
                <w:color w:val="auto"/>
                <w:kern w:val="2"/>
                <w:szCs w:val="21"/>
                <w:highlight w:val="none"/>
                <w:lang w:val="en-US" w:eastAsia="zh-CN"/>
              </w:rPr>
              <w:t>（必须提供，否则作无效投标处理）</w:t>
            </w:r>
          </w:p>
          <w:p w14:paraId="5CBFDE53">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投标保证金交纳凭证；</w:t>
            </w:r>
            <w:r>
              <w:rPr>
                <w:rFonts w:hint="eastAsia" w:ascii="宋体" w:hAnsi="宋体" w:eastAsia="宋体" w:cs="宋体"/>
                <w:b/>
                <w:bCs/>
                <w:snapToGrid/>
                <w:color w:val="auto"/>
                <w:kern w:val="2"/>
                <w:szCs w:val="21"/>
                <w:highlight w:val="none"/>
                <w:lang w:val="en-US" w:eastAsia="zh-CN"/>
              </w:rPr>
              <w:t>（按照公告要求提供，否则作无效投标处理）</w:t>
            </w:r>
          </w:p>
          <w:p w14:paraId="57FF13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3.法定代表人身份证明及法定代表人有效身份证正反面复印件（格式后附）；</w:t>
            </w:r>
            <w:r>
              <w:rPr>
                <w:rFonts w:hint="eastAsia" w:ascii="宋体" w:hAnsi="宋体" w:eastAsia="宋体" w:cs="宋体"/>
                <w:b/>
                <w:bCs/>
                <w:snapToGrid/>
                <w:color w:val="auto"/>
                <w:kern w:val="2"/>
                <w:szCs w:val="21"/>
                <w:highlight w:val="none"/>
                <w:lang w:val="en-US" w:eastAsia="zh-CN"/>
              </w:rPr>
              <w:t>（除自然人投标外必须提供，否则作无效投标处理）</w:t>
            </w:r>
          </w:p>
          <w:p w14:paraId="26791E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4.法定代表人授权委托书及委托代理人有效身份证正反面复印件（格式后附）；</w:t>
            </w:r>
            <w:r>
              <w:rPr>
                <w:rFonts w:hint="eastAsia" w:ascii="宋体" w:hAnsi="宋体" w:eastAsia="宋体" w:cs="宋体"/>
                <w:b/>
                <w:bCs/>
                <w:snapToGrid/>
                <w:color w:val="auto"/>
                <w:kern w:val="2"/>
                <w:szCs w:val="21"/>
                <w:highlight w:val="none"/>
                <w:lang w:val="en-US" w:eastAsia="zh-CN"/>
              </w:rPr>
              <w:t>（委托时必须提供，否则作无效投标处理）</w:t>
            </w:r>
          </w:p>
          <w:p w14:paraId="1D0197BD">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商务条款偏离表（格式后附）；</w:t>
            </w:r>
            <w:r>
              <w:rPr>
                <w:rFonts w:hint="eastAsia" w:ascii="宋体" w:hAnsi="宋体" w:eastAsia="宋体" w:cs="宋体"/>
                <w:b/>
                <w:bCs/>
                <w:snapToGrid/>
                <w:color w:val="auto"/>
                <w:kern w:val="2"/>
                <w:szCs w:val="21"/>
                <w:highlight w:val="none"/>
                <w:lang w:val="en-US" w:eastAsia="zh-CN"/>
              </w:rPr>
              <w:t>（必须提供，否则作无效投标处理）</w:t>
            </w:r>
          </w:p>
          <w:p w14:paraId="7141302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6.项目服务承诺（格式自拟）；</w:t>
            </w:r>
            <w:r>
              <w:rPr>
                <w:rFonts w:hint="eastAsia" w:ascii="宋体" w:hAnsi="宋体" w:eastAsia="宋体" w:cs="宋体"/>
                <w:b/>
                <w:bCs/>
                <w:snapToGrid/>
                <w:color w:val="auto"/>
                <w:kern w:val="2"/>
                <w:szCs w:val="21"/>
                <w:highlight w:val="none"/>
                <w:lang w:val="en-US" w:eastAsia="zh-CN"/>
              </w:rPr>
              <w:t>（必须提供，否则作无效投标处理）</w:t>
            </w:r>
          </w:p>
          <w:p w14:paraId="3D4582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7.投标人情况介绍（格式自拟）；</w:t>
            </w:r>
          </w:p>
          <w:p w14:paraId="2230F0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8.除招标文件规定必须提供以外，投标人认为需要提供的其他证明材料（格式自拟）。</w:t>
            </w:r>
          </w:p>
          <w:p w14:paraId="105095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（投标人根据“第二章采购需求 ”及“第四章评标方法及评标标准 ”提供有关证明材料）。</w:t>
            </w:r>
          </w:p>
          <w:p w14:paraId="3E37FA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b/>
                <w:bCs/>
                <w:snapToGrid/>
                <w:color w:val="auto"/>
                <w:kern w:val="2"/>
                <w:szCs w:val="21"/>
                <w:highlight w:val="none"/>
                <w:lang w:val="en-US" w:eastAsia="zh-CN"/>
              </w:rPr>
            </w:pPr>
            <w:r>
              <w:rPr>
                <w:rFonts w:ascii="宋体" w:hAnsi="宋体" w:eastAsia="宋体" w:cs="宋体"/>
                <w:b/>
                <w:bCs/>
                <w:snapToGrid/>
                <w:color w:val="auto"/>
                <w:kern w:val="2"/>
                <w:szCs w:val="21"/>
                <w:highlight w:val="none"/>
                <w:lang w:val="en-US" w:eastAsia="zh-CN"/>
              </w:rPr>
              <w:t>注：1.法定代表人授权委托书必须由法定代表人及委托代理人签字（或电子签名），并加 盖投标人公章（或电子签章），否则作无效投标处理。</w:t>
            </w:r>
          </w:p>
          <w:p w14:paraId="1AE2DD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ascii="宋体" w:hAnsi="宋体" w:eastAsia="宋体" w:cs="宋体"/>
                <w:b/>
                <w:bCs/>
                <w:snapToGrid/>
                <w:color w:val="auto"/>
                <w:kern w:val="2"/>
                <w:szCs w:val="21"/>
                <w:highlight w:val="none"/>
                <w:lang w:val="en-US" w:eastAsia="zh-CN"/>
              </w:rPr>
              <w:t>2. 以上标明“必须提供 ”的材料属于复印件的扫描件的，必须加盖投标人公章（或电子  签章）（联合体投标时， 由联合体牵头人加盖公章或电子签章），否则作无效投标处理。</w:t>
            </w:r>
          </w:p>
        </w:tc>
      </w:tr>
      <w:tr w14:paraId="4EAE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85" w:type="dxa"/>
            <w:vMerge w:val="continue"/>
            <w:tcBorders>
              <w:top w:val="single" w:color="auto" w:sz="4" w:space="0"/>
              <w:left w:val="single" w:color="auto" w:sz="4" w:space="0"/>
            </w:tcBorders>
            <w:vAlign w:val="top"/>
          </w:tcPr>
          <w:p w14:paraId="517CE3D4">
            <w:pPr>
              <w:keepNext w:val="0"/>
              <w:keepLines w:val="0"/>
              <w:pageBreakBefore w:val="0"/>
              <w:wordWrap/>
              <w:overflowPunct/>
              <w:topLinePunct w:val="0"/>
              <w:bidi w:val="0"/>
              <w:spacing w:line="440" w:lineRule="exact"/>
              <w:rPr>
                <w:rFonts w:ascii="Arial"/>
                <w:color w:val="auto"/>
                <w:sz w:val="21"/>
                <w:highlight w:val="none"/>
              </w:rPr>
            </w:pPr>
          </w:p>
        </w:tc>
        <w:tc>
          <w:tcPr>
            <w:tcW w:w="8430" w:type="dxa"/>
            <w:tcBorders>
              <w:top w:val="single" w:color="auto" w:sz="4" w:space="0"/>
            </w:tcBorders>
            <w:vAlign w:val="top"/>
          </w:tcPr>
          <w:p w14:paraId="138BCBAE">
            <w:pPr>
              <w:pStyle w:val="13"/>
              <w:keepNext w:val="0"/>
              <w:keepLines w:val="0"/>
              <w:pageBreakBefore w:val="0"/>
              <w:wordWrap/>
              <w:overflowPunct/>
              <w:topLinePunct w:val="0"/>
              <w:bidi w:val="0"/>
              <w:spacing w:line="440" w:lineRule="exact"/>
              <w:ind w:left="111"/>
              <w:rPr>
                <w:color w:val="auto"/>
                <w:sz w:val="21"/>
                <w:szCs w:val="21"/>
                <w:highlight w:val="none"/>
              </w:rPr>
            </w:pPr>
            <w:r>
              <w:rPr>
                <w:b/>
                <w:bCs/>
                <w:color w:val="auto"/>
                <w:spacing w:val="4"/>
                <w:sz w:val="21"/>
                <w:szCs w:val="21"/>
                <w:highlight w:val="none"/>
              </w:rPr>
              <w:t>技术文件：</w:t>
            </w:r>
          </w:p>
          <w:p w14:paraId="2654B38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1.服务需求偏离表（格式后附）；</w:t>
            </w:r>
            <w:r>
              <w:rPr>
                <w:rFonts w:hint="eastAsia" w:ascii="宋体" w:hAnsi="宋体" w:eastAsia="宋体" w:cs="宋体"/>
                <w:b/>
                <w:bCs/>
                <w:snapToGrid/>
                <w:color w:val="auto"/>
                <w:kern w:val="2"/>
                <w:szCs w:val="21"/>
                <w:highlight w:val="none"/>
                <w:lang w:val="en-US" w:eastAsia="zh-CN"/>
              </w:rPr>
              <w:t>（必须提供，否则按无效投标处理）</w:t>
            </w:r>
          </w:p>
          <w:p w14:paraId="54C344D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2.服务承诺函（主要服务内容承诺，格式自拟）；</w:t>
            </w:r>
            <w:r>
              <w:rPr>
                <w:rFonts w:hint="eastAsia" w:ascii="宋体" w:hAnsi="宋体" w:eastAsia="宋体" w:cs="宋体"/>
                <w:b/>
                <w:bCs/>
                <w:snapToGrid/>
                <w:color w:val="auto"/>
                <w:kern w:val="2"/>
                <w:szCs w:val="21"/>
                <w:highlight w:val="none"/>
                <w:lang w:val="en-US" w:eastAsia="zh-CN"/>
              </w:rPr>
              <w:t>（必须提供，否则按无效投标处理）</w:t>
            </w:r>
          </w:p>
          <w:p w14:paraId="176DE50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3.实施方案【例如：项目前期准备、项目实施计划（人员构成、技术服务、技术培训、售 后服务的内容和措施等内容）】；</w:t>
            </w:r>
            <w:r>
              <w:rPr>
                <w:rFonts w:hint="eastAsia" w:ascii="宋体" w:hAnsi="宋体" w:eastAsia="宋体" w:cs="宋体"/>
                <w:b/>
                <w:bCs/>
                <w:snapToGrid/>
                <w:color w:val="auto"/>
                <w:kern w:val="2"/>
                <w:szCs w:val="21"/>
                <w:highlight w:val="none"/>
                <w:lang w:val="en-US" w:eastAsia="zh-CN"/>
              </w:rPr>
              <w:t>（视项目需求情况及评分办法设置提供）</w:t>
            </w:r>
          </w:p>
          <w:p w14:paraId="77B422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4.质量控制方案</w:t>
            </w:r>
            <w:r>
              <w:rPr>
                <w:rFonts w:hint="eastAsia" w:ascii="宋体" w:hAnsi="宋体" w:eastAsia="宋体" w:cs="宋体"/>
                <w:b/>
                <w:bCs/>
                <w:snapToGrid/>
                <w:color w:val="auto"/>
                <w:kern w:val="2"/>
                <w:szCs w:val="21"/>
                <w:highlight w:val="none"/>
                <w:lang w:val="en-US" w:eastAsia="zh-CN"/>
              </w:rPr>
              <w:t>（按要求提供）</w:t>
            </w:r>
            <w:r>
              <w:rPr>
                <w:rFonts w:hint="eastAsia" w:ascii="宋体" w:hAnsi="宋体" w:eastAsia="宋体" w:cs="宋体"/>
                <w:snapToGrid/>
                <w:color w:val="auto"/>
                <w:kern w:val="2"/>
                <w:szCs w:val="21"/>
                <w:highlight w:val="none"/>
                <w:lang w:val="en-US" w:eastAsia="zh-CN"/>
              </w:rPr>
              <w:t>；</w:t>
            </w:r>
          </w:p>
          <w:p w14:paraId="15286E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5.项目实施人员一览表（格式后附）；</w:t>
            </w:r>
            <w:r>
              <w:rPr>
                <w:rFonts w:hint="eastAsia" w:ascii="宋体" w:hAnsi="宋体" w:eastAsia="宋体" w:cs="宋体"/>
                <w:b/>
                <w:bCs/>
                <w:snapToGrid/>
                <w:color w:val="auto"/>
                <w:kern w:val="2"/>
                <w:szCs w:val="21"/>
                <w:highlight w:val="none"/>
                <w:lang w:val="en-US" w:eastAsia="zh-CN"/>
              </w:rPr>
              <w:t>（必须提供，否则按无效投标处理）</w:t>
            </w:r>
          </w:p>
          <w:p w14:paraId="1D5E5D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6.除招标文件规定必须提供以外，投标人需要说明的其他文件和说明（格式自拟）。</w:t>
            </w:r>
          </w:p>
          <w:p w14:paraId="61591F93">
            <w:pPr>
              <w:pStyle w:val="13"/>
              <w:keepNext w:val="0"/>
              <w:keepLines w:val="0"/>
              <w:pageBreakBefore w:val="0"/>
              <w:wordWrap/>
              <w:overflowPunct/>
              <w:topLinePunct w:val="0"/>
              <w:bidi w:val="0"/>
              <w:spacing w:line="440" w:lineRule="exact"/>
              <w:ind w:left="110" w:right="82"/>
              <w:rPr>
                <w:rFonts w:hint="default"/>
                <w:color w:val="auto"/>
                <w:highlight w:val="none"/>
                <w:lang w:val="en-US"/>
              </w:rPr>
            </w:pPr>
            <w:r>
              <w:rPr>
                <w:rFonts w:ascii="宋体" w:hAnsi="宋体" w:eastAsia="宋体" w:cs="宋体"/>
                <w:b/>
                <w:bCs/>
                <w:snapToGrid/>
                <w:color w:val="auto"/>
                <w:kern w:val="2"/>
                <w:sz w:val="21"/>
                <w:szCs w:val="21"/>
                <w:highlight w:val="none"/>
                <w:lang w:val="en-US" w:eastAsia="zh-CN" w:bidi="ar-SA"/>
              </w:rPr>
              <w:t>注：以上标明“必须提供 ”的材料属于复印件的扫描件的，必须加盖投标人公章（或电子签章）（联合体投标时，由联合体牵头人加盖公章或电子签章），否则按无效投标处理</w:t>
            </w:r>
            <w:r>
              <w:rPr>
                <w:rFonts w:hint="eastAsia" w:cs="宋体"/>
                <w:b/>
                <w:bCs/>
                <w:snapToGrid/>
                <w:color w:val="auto"/>
                <w:kern w:val="2"/>
                <w:sz w:val="21"/>
                <w:szCs w:val="21"/>
                <w:highlight w:val="none"/>
                <w:lang w:val="en-US" w:eastAsia="zh-CN" w:bidi="ar-SA"/>
              </w:rPr>
              <w:t>。</w:t>
            </w:r>
          </w:p>
        </w:tc>
      </w:tr>
      <w:tr w14:paraId="4A0D5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5" w:type="dxa"/>
            <w:vAlign w:val="top"/>
          </w:tcPr>
          <w:p w14:paraId="38DB1107">
            <w:pPr>
              <w:keepNext w:val="0"/>
              <w:keepLines w:val="0"/>
              <w:pageBreakBefore w:val="0"/>
              <w:wordWrap/>
              <w:overflowPunct/>
              <w:topLinePunct w:val="0"/>
              <w:bidi w:val="0"/>
              <w:spacing w:line="440" w:lineRule="exact"/>
              <w:rPr>
                <w:rFonts w:ascii="Arial"/>
                <w:color w:val="auto"/>
                <w:sz w:val="21"/>
                <w:highlight w:val="none"/>
              </w:rPr>
            </w:pPr>
          </w:p>
          <w:p w14:paraId="5C5CFB1B">
            <w:pPr>
              <w:keepNext w:val="0"/>
              <w:keepLines w:val="0"/>
              <w:pageBreakBefore w:val="0"/>
              <w:wordWrap/>
              <w:overflowPunct/>
              <w:topLinePunct w:val="0"/>
              <w:bidi w:val="0"/>
              <w:spacing w:line="440" w:lineRule="exact"/>
              <w:rPr>
                <w:rFonts w:ascii="Arial"/>
                <w:color w:val="auto"/>
                <w:sz w:val="21"/>
                <w:highlight w:val="none"/>
              </w:rPr>
            </w:pPr>
          </w:p>
          <w:p w14:paraId="763B9201">
            <w:pPr>
              <w:pStyle w:val="13"/>
              <w:keepNext w:val="0"/>
              <w:keepLines w:val="0"/>
              <w:pageBreakBefore w:val="0"/>
              <w:wordWrap/>
              <w:overflowPunct/>
              <w:topLinePunct w:val="0"/>
              <w:bidi w:val="0"/>
              <w:spacing w:line="440" w:lineRule="exact"/>
              <w:ind w:left="259"/>
              <w:rPr>
                <w:color w:val="auto"/>
                <w:highlight w:val="none"/>
              </w:rPr>
            </w:pPr>
            <w:r>
              <w:rPr>
                <w:color w:val="auto"/>
                <w:spacing w:val="-1"/>
                <w:highlight w:val="none"/>
              </w:rPr>
              <w:t>16.2</w:t>
            </w:r>
          </w:p>
        </w:tc>
        <w:tc>
          <w:tcPr>
            <w:tcW w:w="8430" w:type="dxa"/>
            <w:vAlign w:val="top"/>
          </w:tcPr>
          <w:p w14:paraId="0DE919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投标报价是履行合同的最终价格，为按总包干报价，包括但不限于资料收集、现场踏勘、补充水文地质勘察、建井、采样、测试、方案编制、报批、项目评审及开展各项任务协调 等工作所需的一切人工、机械、材料、利润、税金、保险、差旅费、劳务费、样品采集和 分析测试费、钻探费、成井材料费、培训费、手续费、各项税金、由于市场价格波动增加的费用、不可预见费、验收等全部费用。除合同约定的变更以外，该费用不予增减。</w:t>
            </w:r>
            <w:r>
              <w:rPr>
                <w:rFonts w:hint="eastAsia" w:ascii="宋体" w:hAnsi="宋体" w:eastAsia="宋体" w:cs="宋体"/>
                <w:b/>
                <w:bCs/>
                <w:snapToGrid/>
                <w:color w:val="auto"/>
                <w:kern w:val="2"/>
                <w:szCs w:val="21"/>
                <w:highlight w:val="none"/>
                <w:lang w:val="en-US" w:eastAsia="zh-CN"/>
              </w:rPr>
              <w:t>（采购需求另有约定的，从其约定）</w:t>
            </w:r>
          </w:p>
        </w:tc>
      </w:tr>
      <w:tr w14:paraId="4BE7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5" w:type="dxa"/>
            <w:vAlign w:val="top"/>
          </w:tcPr>
          <w:p w14:paraId="57587F7B">
            <w:pPr>
              <w:pStyle w:val="13"/>
              <w:keepNext w:val="0"/>
              <w:keepLines w:val="0"/>
              <w:pageBreakBefore w:val="0"/>
              <w:wordWrap/>
              <w:overflowPunct/>
              <w:topLinePunct w:val="0"/>
              <w:bidi w:val="0"/>
              <w:spacing w:line="440" w:lineRule="exact"/>
              <w:ind w:left="259"/>
              <w:rPr>
                <w:color w:val="auto"/>
                <w:highlight w:val="none"/>
              </w:rPr>
            </w:pPr>
            <w:r>
              <w:rPr>
                <w:color w:val="auto"/>
                <w:spacing w:val="-1"/>
                <w:highlight w:val="none"/>
              </w:rPr>
              <w:t>17.2</w:t>
            </w:r>
          </w:p>
        </w:tc>
        <w:tc>
          <w:tcPr>
            <w:tcW w:w="8430" w:type="dxa"/>
            <w:vAlign w:val="top"/>
          </w:tcPr>
          <w:p w14:paraId="3B28BA1A">
            <w:pPr>
              <w:pStyle w:val="13"/>
              <w:keepNext w:val="0"/>
              <w:keepLines w:val="0"/>
              <w:pageBreakBefore w:val="0"/>
              <w:wordWrap/>
              <w:overflowPunct/>
              <w:topLinePunct w:val="0"/>
              <w:bidi w:val="0"/>
              <w:spacing w:line="440" w:lineRule="exact"/>
              <w:ind w:left="113"/>
              <w:rPr>
                <w:color w:val="auto"/>
                <w:highlight w:val="none"/>
              </w:rPr>
            </w:pPr>
            <w:r>
              <w:rPr>
                <w:color w:val="auto"/>
                <w:spacing w:val="1"/>
                <w:highlight w:val="none"/>
              </w:rPr>
              <w:t>投标有效期：</w:t>
            </w:r>
            <w:r>
              <w:rPr>
                <w:color w:val="auto"/>
                <w:spacing w:val="-36"/>
                <w:highlight w:val="none"/>
              </w:rPr>
              <w:t xml:space="preserve"> </w:t>
            </w:r>
            <w:r>
              <w:rPr>
                <w:color w:val="auto"/>
                <w:spacing w:val="1"/>
                <w:highlight w:val="none"/>
              </w:rPr>
              <w:t>自投标截止之日起</w:t>
            </w:r>
            <w:r>
              <w:rPr>
                <w:color w:val="auto"/>
                <w:spacing w:val="-46"/>
                <w:highlight w:val="none"/>
              </w:rPr>
              <w:t xml:space="preserve"> </w:t>
            </w:r>
            <w:r>
              <w:rPr>
                <w:color w:val="auto"/>
                <w:spacing w:val="-76"/>
                <w:highlight w:val="none"/>
                <w:u w:val="single" w:color="auto"/>
              </w:rPr>
              <w:t xml:space="preserve"> </w:t>
            </w:r>
            <w:r>
              <w:rPr>
                <w:color w:val="auto"/>
                <w:spacing w:val="1"/>
                <w:highlight w:val="none"/>
                <w:u w:val="single" w:color="auto"/>
              </w:rPr>
              <w:t>120</w:t>
            </w:r>
            <w:r>
              <w:rPr>
                <w:color w:val="auto"/>
                <w:spacing w:val="-48"/>
                <w:highlight w:val="none"/>
                <w:u w:val="single" w:color="auto"/>
              </w:rPr>
              <w:t xml:space="preserve"> </w:t>
            </w:r>
            <w:r>
              <w:rPr>
                <w:color w:val="auto"/>
                <w:spacing w:val="-56"/>
                <w:highlight w:val="none"/>
              </w:rPr>
              <w:t xml:space="preserve"> </w:t>
            </w:r>
            <w:r>
              <w:rPr>
                <w:color w:val="auto"/>
                <w:spacing w:val="1"/>
                <w:highlight w:val="none"/>
              </w:rPr>
              <w:t>日。</w:t>
            </w:r>
          </w:p>
        </w:tc>
      </w:tr>
      <w:tr w14:paraId="68B47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885" w:type="dxa"/>
            <w:vAlign w:val="top"/>
          </w:tcPr>
          <w:p w14:paraId="5142D230">
            <w:pPr>
              <w:keepNext w:val="0"/>
              <w:keepLines w:val="0"/>
              <w:pageBreakBefore w:val="0"/>
              <w:wordWrap/>
              <w:overflowPunct/>
              <w:topLinePunct w:val="0"/>
              <w:bidi w:val="0"/>
              <w:spacing w:line="440" w:lineRule="exact"/>
              <w:rPr>
                <w:rFonts w:ascii="Arial"/>
                <w:color w:val="auto"/>
                <w:sz w:val="21"/>
                <w:highlight w:val="none"/>
              </w:rPr>
            </w:pPr>
          </w:p>
          <w:p w14:paraId="59B43CE3">
            <w:pPr>
              <w:keepNext w:val="0"/>
              <w:keepLines w:val="0"/>
              <w:pageBreakBefore w:val="0"/>
              <w:wordWrap/>
              <w:overflowPunct/>
              <w:topLinePunct w:val="0"/>
              <w:bidi w:val="0"/>
              <w:spacing w:line="440" w:lineRule="exact"/>
              <w:rPr>
                <w:rFonts w:ascii="Arial"/>
                <w:color w:val="auto"/>
                <w:sz w:val="21"/>
                <w:highlight w:val="none"/>
              </w:rPr>
            </w:pPr>
          </w:p>
          <w:p w14:paraId="1560AA37">
            <w:pPr>
              <w:keepNext w:val="0"/>
              <w:keepLines w:val="0"/>
              <w:pageBreakBefore w:val="0"/>
              <w:wordWrap/>
              <w:overflowPunct/>
              <w:topLinePunct w:val="0"/>
              <w:bidi w:val="0"/>
              <w:spacing w:line="440" w:lineRule="exact"/>
              <w:rPr>
                <w:rFonts w:ascii="Arial"/>
                <w:color w:val="auto"/>
                <w:sz w:val="21"/>
                <w:highlight w:val="none"/>
              </w:rPr>
            </w:pPr>
          </w:p>
          <w:p w14:paraId="5592172C">
            <w:pPr>
              <w:keepNext w:val="0"/>
              <w:keepLines w:val="0"/>
              <w:pageBreakBefore w:val="0"/>
              <w:wordWrap/>
              <w:overflowPunct/>
              <w:topLinePunct w:val="0"/>
              <w:bidi w:val="0"/>
              <w:spacing w:line="440" w:lineRule="exact"/>
              <w:rPr>
                <w:rFonts w:ascii="Arial"/>
                <w:color w:val="auto"/>
                <w:sz w:val="21"/>
                <w:highlight w:val="none"/>
              </w:rPr>
            </w:pPr>
          </w:p>
          <w:p w14:paraId="0D192452">
            <w:pPr>
              <w:keepNext w:val="0"/>
              <w:keepLines w:val="0"/>
              <w:pageBreakBefore w:val="0"/>
              <w:wordWrap/>
              <w:overflowPunct/>
              <w:topLinePunct w:val="0"/>
              <w:bidi w:val="0"/>
              <w:spacing w:line="440" w:lineRule="exact"/>
              <w:rPr>
                <w:rFonts w:ascii="Arial"/>
                <w:color w:val="auto"/>
                <w:sz w:val="21"/>
                <w:highlight w:val="none"/>
              </w:rPr>
            </w:pPr>
          </w:p>
          <w:p w14:paraId="10808F43">
            <w:pPr>
              <w:keepNext w:val="0"/>
              <w:keepLines w:val="0"/>
              <w:pageBreakBefore w:val="0"/>
              <w:wordWrap/>
              <w:overflowPunct/>
              <w:topLinePunct w:val="0"/>
              <w:bidi w:val="0"/>
              <w:spacing w:line="440" w:lineRule="exact"/>
              <w:rPr>
                <w:rFonts w:ascii="Arial"/>
                <w:color w:val="auto"/>
                <w:sz w:val="21"/>
                <w:highlight w:val="none"/>
              </w:rPr>
            </w:pPr>
          </w:p>
          <w:p w14:paraId="5C03B318">
            <w:pPr>
              <w:keepNext w:val="0"/>
              <w:keepLines w:val="0"/>
              <w:pageBreakBefore w:val="0"/>
              <w:wordWrap/>
              <w:overflowPunct/>
              <w:topLinePunct w:val="0"/>
              <w:bidi w:val="0"/>
              <w:spacing w:line="440" w:lineRule="exact"/>
              <w:rPr>
                <w:rFonts w:ascii="Arial"/>
                <w:color w:val="auto"/>
                <w:sz w:val="21"/>
                <w:highlight w:val="none"/>
              </w:rPr>
            </w:pPr>
          </w:p>
          <w:p w14:paraId="09EE28E0">
            <w:pPr>
              <w:keepNext w:val="0"/>
              <w:keepLines w:val="0"/>
              <w:pageBreakBefore w:val="0"/>
              <w:wordWrap/>
              <w:overflowPunct/>
              <w:topLinePunct w:val="0"/>
              <w:bidi w:val="0"/>
              <w:spacing w:line="440" w:lineRule="exact"/>
              <w:rPr>
                <w:rFonts w:ascii="Arial"/>
                <w:color w:val="auto"/>
                <w:sz w:val="21"/>
                <w:highlight w:val="none"/>
              </w:rPr>
            </w:pPr>
          </w:p>
          <w:p w14:paraId="2E001B27">
            <w:pPr>
              <w:keepNext w:val="0"/>
              <w:keepLines w:val="0"/>
              <w:pageBreakBefore w:val="0"/>
              <w:wordWrap/>
              <w:overflowPunct/>
              <w:topLinePunct w:val="0"/>
              <w:bidi w:val="0"/>
              <w:spacing w:line="440" w:lineRule="exact"/>
              <w:rPr>
                <w:rFonts w:ascii="Arial"/>
                <w:color w:val="auto"/>
                <w:sz w:val="21"/>
                <w:highlight w:val="none"/>
              </w:rPr>
            </w:pPr>
          </w:p>
          <w:p w14:paraId="5706EBE4">
            <w:pPr>
              <w:keepNext w:val="0"/>
              <w:keepLines w:val="0"/>
              <w:pageBreakBefore w:val="0"/>
              <w:wordWrap/>
              <w:overflowPunct/>
              <w:topLinePunct w:val="0"/>
              <w:bidi w:val="0"/>
              <w:spacing w:line="440" w:lineRule="exact"/>
              <w:rPr>
                <w:rFonts w:ascii="Arial"/>
                <w:color w:val="auto"/>
                <w:sz w:val="21"/>
                <w:highlight w:val="none"/>
              </w:rPr>
            </w:pPr>
          </w:p>
          <w:p w14:paraId="615BFCAF">
            <w:pPr>
              <w:keepNext w:val="0"/>
              <w:keepLines w:val="0"/>
              <w:pageBreakBefore w:val="0"/>
              <w:wordWrap/>
              <w:overflowPunct/>
              <w:topLinePunct w:val="0"/>
              <w:bidi w:val="0"/>
              <w:spacing w:line="440" w:lineRule="exact"/>
              <w:rPr>
                <w:rFonts w:ascii="Arial"/>
                <w:color w:val="auto"/>
                <w:sz w:val="21"/>
                <w:highlight w:val="none"/>
              </w:rPr>
            </w:pPr>
          </w:p>
          <w:p w14:paraId="19EB4217">
            <w:pPr>
              <w:keepNext w:val="0"/>
              <w:keepLines w:val="0"/>
              <w:pageBreakBefore w:val="0"/>
              <w:wordWrap/>
              <w:overflowPunct/>
              <w:topLinePunct w:val="0"/>
              <w:bidi w:val="0"/>
              <w:spacing w:line="440" w:lineRule="exact"/>
              <w:rPr>
                <w:rFonts w:ascii="Arial"/>
                <w:color w:val="auto"/>
                <w:sz w:val="21"/>
                <w:highlight w:val="none"/>
              </w:rPr>
            </w:pPr>
          </w:p>
          <w:p w14:paraId="2FC49E69">
            <w:pPr>
              <w:keepNext w:val="0"/>
              <w:keepLines w:val="0"/>
              <w:pageBreakBefore w:val="0"/>
              <w:wordWrap/>
              <w:overflowPunct/>
              <w:topLinePunct w:val="0"/>
              <w:bidi w:val="0"/>
              <w:spacing w:line="440" w:lineRule="exact"/>
              <w:rPr>
                <w:rFonts w:ascii="Arial"/>
                <w:color w:val="auto"/>
                <w:sz w:val="21"/>
                <w:highlight w:val="none"/>
              </w:rPr>
            </w:pPr>
          </w:p>
          <w:p w14:paraId="4EA0EF12">
            <w:pPr>
              <w:keepNext w:val="0"/>
              <w:keepLines w:val="0"/>
              <w:pageBreakBefore w:val="0"/>
              <w:wordWrap/>
              <w:overflowPunct/>
              <w:topLinePunct w:val="0"/>
              <w:bidi w:val="0"/>
              <w:spacing w:line="440" w:lineRule="exact"/>
              <w:rPr>
                <w:rFonts w:ascii="Arial"/>
                <w:color w:val="auto"/>
                <w:sz w:val="21"/>
                <w:highlight w:val="none"/>
              </w:rPr>
            </w:pPr>
          </w:p>
          <w:p w14:paraId="371C12E5">
            <w:pPr>
              <w:keepNext w:val="0"/>
              <w:keepLines w:val="0"/>
              <w:pageBreakBefore w:val="0"/>
              <w:wordWrap/>
              <w:overflowPunct/>
              <w:topLinePunct w:val="0"/>
              <w:bidi w:val="0"/>
              <w:spacing w:line="440" w:lineRule="exact"/>
              <w:rPr>
                <w:rFonts w:ascii="Arial"/>
                <w:color w:val="auto"/>
                <w:sz w:val="21"/>
                <w:highlight w:val="none"/>
              </w:rPr>
            </w:pPr>
          </w:p>
          <w:p w14:paraId="0C02CF06">
            <w:pPr>
              <w:keepNext w:val="0"/>
              <w:keepLines w:val="0"/>
              <w:pageBreakBefore w:val="0"/>
              <w:wordWrap/>
              <w:overflowPunct/>
              <w:topLinePunct w:val="0"/>
              <w:bidi w:val="0"/>
              <w:spacing w:line="440" w:lineRule="exact"/>
              <w:rPr>
                <w:rFonts w:ascii="Arial"/>
                <w:color w:val="auto"/>
                <w:sz w:val="21"/>
                <w:highlight w:val="none"/>
              </w:rPr>
            </w:pPr>
          </w:p>
          <w:p w14:paraId="1EF950A5">
            <w:pPr>
              <w:keepNext w:val="0"/>
              <w:keepLines w:val="0"/>
              <w:pageBreakBefore w:val="0"/>
              <w:wordWrap/>
              <w:overflowPunct/>
              <w:topLinePunct w:val="0"/>
              <w:bidi w:val="0"/>
              <w:spacing w:line="440" w:lineRule="exact"/>
              <w:rPr>
                <w:rFonts w:ascii="Arial"/>
                <w:color w:val="auto"/>
                <w:sz w:val="21"/>
                <w:highlight w:val="none"/>
              </w:rPr>
            </w:pPr>
          </w:p>
          <w:p w14:paraId="7768FD1C">
            <w:pPr>
              <w:keepNext w:val="0"/>
              <w:keepLines w:val="0"/>
              <w:pageBreakBefore w:val="0"/>
              <w:wordWrap/>
              <w:overflowPunct/>
              <w:topLinePunct w:val="0"/>
              <w:bidi w:val="0"/>
              <w:spacing w:line="440" w:lineRule="exact"/>
              <w:rPr>
                <w:rFonts w:ascii="Arial"/>
                <w:color w:val="auto"/>
                <w:sz w:val="21"/>
                <w:highlight w:val="none"/>
              </w:rPr>
            </w:pPr>
          </w:p>
          <w:p w14:paraId="6120A022">
            <w:pPr>
              <w:keepNext w:val="0"/>
              <w:keepLines w:val="0"/>
              <w:pageBreakBefore w:val="0"/>
              <w:wordWrap/>
              <w:overflowPunct/>
              <w:topLinePunct w:val="0"/>
              <w:bidi w:val="0"/>
              <w:spacing w:line="440" w:lineRule="exact"/>
              <w:rPr>
                <w:rFonts w:ascii="Arial"/>
                <w:color w:val="auto"/>
                <w:sz w:val="21"/>
                <w:highlight w:val="none"/>
              </w:rPr>
            </w:pPr>
          </w:p>
          <w:p w14:paraId="6EA98DBD">
            <w:pPr>
              <w:keepNext w:val="0"/>
              <w:keepLines w:val="0"/>
              <w:pageBreakBefore w:val="0"/>
              <w:wordWrap/>
              <w:overflowPunct/>
              <w:topLinePunct w:val="0"/>
              <w:bidi w:val="0"/>
              <w:spacing w:line="440" w:lineRule="exact"/>
              <w:rPr>
                <w:rFonts w:ascii="Arial"/>
                <w:color w:val="auto"/>
                <w:sz w:val="21"/>
                <w:highlight w:val="none"/>
              </w:rPr>
            </w:pPr>
          </w:p>
          <w:p w14:paraId="456CCE40">
            <w:pPr>
              <w:keepNext w:val="0"/>
              <w:keepLines w:val="0"/>
              <w:pageBreakBefore w:val="0"/>
              <w:wordWrap/>
              <w:overflowPunct/>
              <w:topLinePunct w:val="0"/>
              <w:bidi w:val="0"/>
              <w:spacing w:line="440" w:lineRule="exact"/>
              <w:rPr>
                <w:rFonts w:ascii="Arial"/>
                <w:color w:val="auto"/>
                <w:sz w:val="21"/>
                <w:highlight w:val="none"/>
              </w:rPr>
            </w:pPr>
          </w:p>
          <w:p w14:paraId="272969E4">
            <w:pPr>
              <w:keepNext w:val="0"/>
              <w:keepLines w:val="0"/>
              <w:pageBreakBefore w:val="0"/>
              <w:wordWrap/>
              <w:overflowPunct/>
              <w:topLinePunct w:val="0"/>
              <w:bidi w:val="0"/>
              <w:spacing w:line="440" w:lineRule="exact"/>
              <w:rPr>
                <w:rFonts w:ascii="Arial"/>
                <w:color w:val="auto"/>
                <w:sz w:val="21"/>
                <w:highlight w:val="none"/>
              </w:rPr>
            </w:pPr>
          </w:p>
          <w:p w14:paraId="77E5C324">
            <w:pPr>
              <w:pStyle w:val="13"/>
              <w:keepNext w:val="0"/>
              <w:keepLines w:val="0"/>
              <w:pageBreakBefore w:val="0"/>
              <w:wordWrap/>
              <w:overflowPunct/>
              <w:topLinePunct w:val="0"/>
              <w:bidi w:val="0"/>
              <w:spacing w:line="440" w:lineRule="exact"/>
              <w:ind w:left="259"/>
              <w:rPr>
                <w:color w:val="auto"/>
                <w:highlight w:val="none"/>
              </w:rPr>
            </w:pPr>
            <w:r>
              <w:rPr>
                <w:color w:val="auto"/>
                <w:spacing w:val="-1"/>
                <w:highlight w:val="none"/>
              </w:rPr>
              <w:t>18.1</w:t>
            </w:r>
          </w:p>
        </w:tc>
        <w:tc>
          <w:tcPr>
            <w:tcW w:w="8430" w:type="dxa"/>
            <w:vAlign w:val="top"/>
          </w:tcPr>
          <w:p w14:paraId="1AE869E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□本项目不收取投标保证金。</w:t>
            </w:r>
          </w:p>
          <w:p w14:paraId="7AA08E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☑本项目收取投标保证金，具体规定如下：</w:t>
            </w:r>
          </w:p>
          <w:p w14:paraId="07FA99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投标保证金的交纳方式：银行转账、支票、汇票、本票或者金融、担保机构出具的保函， 禁止采用现钞方式。采用银行转账方式的，在投标截止时间前交至采购代理机构指定账户 并且到账【开户名称：广西德胜工程项目管理有限公司，开户银行：建行南宁柳沙半岛支行，银行账号：4505 0160 4786 0966 6666】；采用支票、汇票、本票或者保函等方式的，在投标截止 时间前，投标人必须递交单独密封的支票、汇票、本票或者保函原件。否则视为无效投标 保证金。邮寄地址：广西南宁市经开区盘岭路1号J栋J-12号，收件人：</w:t>
            </w:r>
          </w:p>
          <w:p w14:paraId="7D507B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梁翠菊，联系方式：0771-5709676。</w:t>
            </w:r>
          </w:p>
          <w:p w14:paraId="7D3D3B4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 xml:space="preserve">投标保证金的金额：包 1：40000.00 元；包 2：50000.00 元；包 3：20000.00 元。 </w:t>
            </w:r>
          </w:p>
          <w:p w14:paraId="168C70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相关要求：</w:t>
            </w:r>
          </w:p>
          <w:p w14:paraId="37D0E0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1.投标保证金采用银行转账交纳方式的，在投标截止时间前交至采购代理机构指定账户并 且到账，投标人应将银行转账底单的复印件作为投标保证金提交凭证，放置于商务文件中，</w:t>
            </w:r>
            <w:r>
              <w:rPr>
                <w:b/>
                <w:bCs/>
                <w:color w:val="auto"/>
                <w:spacing w:val="4"/>
                <w:highlight w:val="none"/>
              </w:rPr>
              <w:t>否则投标无效。</w:t>
            </w:r>
          </w:p>
          <w:p w14:paraId="30189A0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2.投标保证金采用支票、汇票、本票或者金融机构、担保机构、保险机构出具的保函、保 险单交纳方式的，投标人应将支票、汇票、本票或者金融机构、担保机构、保险机构出具 的保函、保险单的复印件作为投标保证金提交凭证，放置于商务文件中，</w:t>
            </w:r>
            <w:r>
              <w:rPr>
                <w:rFonts w:hint="eastAsia" w:ascii="宋体" w:hAnsi="宋体" w:eastAsia="宋体" w:cs="宋体"/>
                <w:b/>
                <w:bCs/>
                <w:snapToGrid/>
                <w:color w:val="auto"/>
                <w:kern w:val="2"/>
                <w:szCs w:val="21"/>
                <w:highlight w:val="none"/>
                <w:lang w:val="en-US" w:eastAsia="zh-CN"/>
              </w:rPr>
              <w:t>否则投标无效</w:t>
            </w:r>
            <w:r>
              <w:rPr>
                <w:rFonts w:hint="eastAsia" w:ascii="宋体" w:hAnsi="宋体" w:eastAsia="宋体" w:cs="宋体"/>
                <w:snapToGrid/>
                <w:color w:val="auto"/>
                <w:kern w:val="2"/>
                <w:szCs w:val="21"/>
                <w:highlight w:val="none"/>
                <w:lang w:val="en-US" w:eastAsia="zh-CN"/>
              </w:rPr>
              <w:t>。 投标人必须于递交投标文件时将支票、汇票、本票或者金融机构、担保机构、保险机构出 具的保函、保险单原件提交给采购人或者采购代理机构，并妥善保管。</w:t>
            </w:r>
          </w:p>
          <w:p w14:paraId="479CB2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3.投标人为联合体的，可以由联合体中的一方或者多方共同交纳投标保证金，其交纳的保 证金对联合体各方均具有约束力。</w:t>
            </w:r>
          </w:p>
          <w:p w14:paraId="4929AC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备注：1. 投标保证金在投标截止时间后提交的，或者不按规定交纳方式交纳的，或者未 足额交纳的（包含保函额度不足的），视为无效投标保证金。</w:t>
            </w:r>
          </w:p>
          <w:p w14:paraId="14FFF7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2.投标人采用现钞方式或者从个人账户（自然人投标除外）转出的投标保证金，视为无效 投标保证金。</w:t>
            </w:r>
          </w:p>
          <w:p w14:paraId="127EDF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3.支票、汇票或者本票出现无效或者背书情形的，视为无效投标保证金。 4.保函有效期低于投标有效期的，视为无效投标保证金。</w:t>
            </w:r>
          </w:p>
          <w:p w14:paraId="5F4A13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b/>
                <w:bCs/>
                <w:snapToGrid/>
                <w:color w:val="auto"/>
                <w:kern w:val="2"/>
                <w:szCs w:val="21"/>
                <w:highlight w:val="none"/>
                <w:lang w:val="en-US" w:eastAsia="zh-CN"/>
              </w:rPr>
              <w:t>5.采用金融、担保机构出具保函的，必须为无条件保函，否则视为无效投标保证金。</w:t>
            </w:r>
          </w:p>
        </w:tc>
      </w:tr>
      <w:tr w14:paraId="56DD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5" w:type="dxa"/>
            <w:vAlign w:val="top"/>
          </w:tcPr>
          <w:p w14:paraId="42B5406C">
            <w:pPr>
              <w:pStyle w:val="13"/>
              <w:keepNext w:val="0"/>
              <w:keepLines w:val="0"/>
              <w:pageBreakBefore w:val="0"/>
              <w:wordWrap/>
              <w:overflowPunct/>
              <w:topLinePunct w:val="0"/>
              <w:bidi w:val="0"/>
              <w:spacing w:line="440" w:lineRule="exact"/>
              <w:ind w:left="352"/>
              <w:rPr>
                <w:color w:val="auto"/>
                <w:highlight w:val="none"/>
              </w:rPr>
            </w:pPr>
            <w:r>
              <w:rPr>
                <w:color w:val="auto"/>
                <w:spacing w:val="-1"/>
                <w:highlight w:val="none"/>
              </w:rPr>
              <w:t>20</w:t>
            </w:r>
          </w:p>
        </w:tc>
        <w:tc>
          <w:tcPr>
            <w:tcW w:w="8430" w:type="dxa"/>
            <w:vAlign w:val="top"/>
          </w:tcPr>
          <w:p w14:paraId="6E5F562B">
            <w:pPr>
              <w:pStyle w:val="13"/>
              <w:keepNext w:val="0"/>
              <w:keepLines w:val="0"/>
              <w:pageBreakBefore w:val="0"/>
              <w:wordWrap/>
              <w:overflowPunct/>
              <w:topLinePunct w:val="0"/>
              <w:bidi w:val="0"/>
              <w:spacing w:line="440" w:lineRule="exact"/>
              <w:ind w:left="111"/>
              <w:rPr>
                <w:color w:val="auto"/>
                <w:highlight w:val="none"/>
              </w:rPr>
            </w:pPr>
            <w:r>
              <w:rPr>
                <w:b/>
                <w:bCs/>
                <w:color w:val="auto"/>
                <w:spacing w:val="7"/>
                <w:sz w:val="21"/>
                <w:szCs w:val="21"/>
                <w:highlight w:val="none"/>
              </w:rPr>
              <w:t>本项目不接受电子备份投标文件。</w:t>
            </w:r>
          </w:p>
        </w:tc>
      </w:tr>
      <w:tr w14:paraId="7F473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85" w:type="dxa"/>
            <w:vAlign w:val="top"/>
          </w:tcPr>
          <w:p w14:paraId="74A85952">
            <w:pPr>
              <w:keepNext w:val="0"/>
              <w:keepLines w:val="0"/>
              <w:pageBreakBefore w:val="0"/>
              <w:wordWrap/>
              <w:overflowPunct/>
              <w:topLinePunct w:val="0"/>
              <w:bidi w:val="0"/>
              <w:spacing w:line="440" w:lineRule="exact"/>
              <w:rPr>
                <w:rFonts w:ascii="Arial"/>
                <w:color w:val="auto"/>
                <w:sz w:val="21"/>
                <w:highlight w:val="none"/>
              </w:rPr>
            </w:pPr>
          </w:p>
          <w:p w14:paraId="5E161DCC">
            <w:pPr>
              <w:pStyle w:val="13"/>
              <w:keepNext w:val="0"/>
              <w:keepLines w:val="0"/>
              <w:pageBreakBefore w:val="0"/>
              <w:wordWrap/>
              <w:overflowPunct/>
              <w:topLinePunct w:val="0"/>
              <w:bidi w:val="0"/>
              <w:spacing w:line="440" w:lineRule="exact"/>
              <w:ind w:left="246"/>
              <w:rPr>
                <w:color w:val="auto"/>
                <w:highlight w:val="none"/>
              </w:rPr>
            </w:pPr>
            <w:r>
              <w:rPr>
                <w:color w:val="auto"/>
                <w:spacing w:val="2"/>
                <w:highlight w:val="none"/>
              </w:rPr>
              <w:t>21.1</w:t>
            </w:r>
          </w:p>
        </w:tc>
        <w:tc>
          <w:tcPr>
            <w:tcW w:w="8430" w:type="dxa"/>
            <w:vAlign w:val="top"/>
          </w:tcPr>
          <w:p w14:paraId="1A7E210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 xml:space="preserve">1.投标文件提交截止时间：详见招标公告 </w:t>
            </w:r>
          </w:p>
          <w:p w14:paraId="337ECD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2.投标地点：详见招标公告</w:t>
            </w:r>
          </w:p>
        </w:tc>
      </w:tr>
      <w:tr w14:paraId="68E95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5" w:type="dxa"/>
            <w:vAlign w:val="top"/>
          </w:tcPr>
          <w:p w14:paraId="7955E4F0">
            <w:pPr>
              <w:keepNext w:val="0"/>
              <w:keepLines w:val="0"/>
              <w:pageBreakBefore w:val="0"/>
              <w:wordWrap/>
              <w:overflowPunct/>
              <w:topLinePunct w:val="0"/>
              <w:bidi w:val="0"/>
              <w:spacing w:line="440" w:lineRule="exact"/>
              <w:rPr>
                <w:rFonts w:ascii="Arial"/>
                <w:color w:val="auto"/>
                <w:sz w:val="21"/>
                <w:highlight w:val="none"/>
              </w:rPr>
            </w:pPr>
          </w:p>
          <w:p w14:paraId="21C77BE5">
            <w:pPr>
              <w:pStyle w:val="13"/>
              <w:keepNext w:val="0"/>
              <w:keepLines w:val="0"/>
              <w:pageBreakBefore w:val="0"/>
              <w:wordWrap/>
              <w:overflowPunct/>
              <w:topLinePunct w:val="0"/>
              <w:bidi w:val="0"/>
              <w:spacing w:line="440" w:lineRule="exact"/>
              <w:ind w:left="352"/>
              <w:rPr>
                <w:color w:val="auto"/>
                <w:highlight w:val="none"/>
              </w:rPr>
            </w:pPr>
            <w:r>
              <w:rPr>
                <w:color w:val="auto"/>
                <w:spacing w:val="-1"/>
                <w:highlight w:val="none"/>
              </w:rPr>
              <w:t>23</w:t>
            </w:r>
          </w:p>
        </w:tc>
        <w:tc>
          <w:tcPr>
            <w:tcW w:w="8430" w:type="dxa"/>
            <w:vAlign w:val="top"/>
          </w:tcPr>
          <w:p w14:paraId="2C8788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 xml:space="preserve">1.开标时间：详见招标公告 </w:t>
            </w:r>
          </w:p>
          <w:p w14:paraId="48F4F6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2.开标地点：详见招标公告</w:t>
            </w:r>
          </w:p>
        </w:tc>
      </w:tr>
      <w:tr w14:paraId="4107E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85" w:type="dxa"/>
            <w:vAlign w:val="top"/>
          </w:tcPr>
          <w:p w14:paraId="5D151368">
            <w:pPr>
              <w:pStyle w:val="13"/>
              <w:keepNext w:val="0"/>
              <w:keepLines w:val="0"/>
              <w:pageBreakBefore w:val="0"/>
              <w:wordWrap/>
              <w:overflowPunct/>
              <w:topLinePunct w:val="0"/>
              <w:bidi w:val="0"/>
              <w:spacing w:line="440" w:lineRule="exact"/>
              <w:ind w:left="204" w:right="203" w:firstLine="42"/>
              <w:rPr>
                <w:rFonts w:hint="eastAsia" w:eastAsia="宋体"/>
                <w:color w:val="auto"/>
                <w:highlight w:val="none"/>
                <w:lang w:eastAsia="zh-CN"/>
              </w:rPr>
            </w:pPr>
            <w:r>
              <w:rPr>
                <w:color w:val="auto"/>
                <w:spacing w:val="2"/>
                <w:highlight w:val="none"/>
              </w:rPr>
              <w:t>24.3</w:t>
            </w:r>
            <w:r>
              <w:rPr>
                <w:color w:val="auto"/>
                <w:spacing w:val="1"/>
                <w:highlight w:val="none"/>
              </w:rPr>
              <w:t xml:space="preserve"> </w:t>
            </w:r>
            <w:r>
              <w:rPr>
                <w:rFonts w:hint="eastAsia"/>
                <w:color w:val="auto"/>
                <w:spacing w:val="1"/>
                <w:highlight w:val="none"/>
                <w:lang w:eastAsia="zh-CN"/>
              </w:rPr>
              <w:t>（</w:t>
            </w:r>
            <w:r>
              <w:rPr>
                <w:rFonts w:hint="eastAsia"/>
                <w:color w:val="auto"/>
                <w:spacing w:val="1"/>
                <w:highlight w:val="none"/>
                <w:lang w:val="en-US" w:eastAsia="zh-CN"/>
              </w:rPr>
              <w:t>1</w:t>
            </w:r>
            <w:r>
              <w:rPr>
                <w:rFonts w:hint="eastAsia"/>
                <w:color w:val="auto"/>
                <w:spacing w:val="1"/>
                <w:highlight w:val="none"/>
                <w:lang w:eastAsia="zh-CN"/>
              </w:rPr>
              <w:t>）</w:t>
            </w:r>
          </w:p>
        </w:tc>
        <w:tc>
          <w:tcPr>
            <w:tcW w:w="8430" w:type="dxa"/>
            <w:vAlign w:val="top"/>
          </w:tcPr>
          <w:p w14:paraId="64127AAE">
            <w:pPr>
              <w:keepNext w:val="0"/>
              <w:keepLines w:val="0"/>
              <w:pageBreakBefore w:val="0"/>
              <w:wordWrap/>
              <w:overflowPunct/>
              <w:topLinePunct w:val="0"/>
              <w:bidi w:val="0"/>
              <w:spacing w:line="440" w:lineRule="exact"/>
              <w:rPr>
                <w:rFonts w:ascii="Arial"/>
                <w:color w:val="auto"/>
                <w:sz w:val="21"/>
                <w:highlight w:val="none"/>
              </w:rPr>
            </w:pPr>
          </w:p>
          <w:p w14:paraId="32A73C97">
            <w:pPr>
              <w:pStyle w:val="13"/>
              <w:keepNext w:val="0"/>
              <w:keepLines w:val="0"/>
              <w:pageBreakBefore w:val="0"/>
              <w:wordWrap/>
              <w:overflowPunct/>
              <w:topLinePunct w:val="0"/>
              <w:bidi w:val="0"/>
              <w:spacing w:line="440" w:lineRule="exact"/>
              <w:ind w:left="135"/>
              <w:rPr>
                <w:color w:val="auto"/>
                <w:highlight w:val="none"/>
              </w:rPr>
            </w:pPr>
            <w:r>
              <w:rPr>
                <w:rFonts w:hint="eastAsia" w:ascii="宋体" w:hAnsi="宋体" w:eastAsia="宋体" w:cs="宋体"/>
                <w:snapToGrid/>
                <w:color w:val="auto"/>
                <w:kern w:val="2"/>
                <w:sz w:val="21"/>
                <w:szCs w:val="21"/>
                <w:highlight w:val="none"/>
                <w:lang w:val="en-US" w:eastAsia="zh-CN" w:bidi="ar-SA"/>
              </w:rPr>
              <w:t>电子投标文件解密时间：30 分钟</w:t>
            </w:r>
          </w:p>
        </w:tc>
      </w:tr>
      <w:tr w14:paraId="42600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85" w:type="dxa"/>
            <w:vAlign w:val="top"/>
          </w:tcPr>
          <w:p w14:paraId="4A7127F0">
            <w:pPr>
              <w:pStyle w:val="13"/>
              <w:keepNext w:val="0"/>
              <w:keepLines w:val="0"/>
              <w:pageBreakBefore w:val="0"/>
              <w:wordWrap/>
              <w:overflowPunct/>
              <w:topLinePunct w:val="0"/>
              <w:bidi w:val="0"/>
              <w:spacing w:line="440" w:lineRule="exact"/>
              <w:ind w:left="204" w:right="203" w:firstLine="42"/>
              <w:rPr>
                <w:color w:val="auto"/>
                <w:highlight w:val="none"/>
              </w:rPr>
            </w:pPr>
            <w:r>
              <w:rPr>
                <w:color w:val="auto"/>
                <w:spacing w:val="2"/>
                <w:highlight w:val="none"/>
              </w:rPr>
              <w:t>24.3</w:t>
            </w:r>
            <w:r>
              <w:rPr>
                <w:color w:val="auto"/>
                <w:spacing w:val="1"/>
                <w:highlight w:val="none"/>
              </w:rPr>
              <w:t xml:space="preserve"> </w:t>
            </w:r>
            <w:r>
              <w:rPr>
                <w:color w:val="auto"/>
                <w:spacing w:val="-5"/>
                <w:highlight w:val="none"/>
              </w:rPr>
              <w:t>（2）</w:t>
            </w:r>
          </w:p>
        </w:tc>
        <w:tc>
          <w:tcPr>
            <w:tcW w:w="8430" w:type="dxa"/>
            <w:vAlign w:val="top"/>
          </w:tcPr>
          <w:p w14:paraId="40EDE259">
            <w:pPr>
              <w:keepNext w:val="0"/>
              <w:keepLines w:val="0"/>
              <w:pageBreakBefore w:val="0"/>
              <w:wordWrap/>
              <w:overflowPunct/>
              <w:topLinePunct w:val="0"/>
              <w:bidi w:val="0"/>
              <w:spacing w:line="440" w:lineRule="exact"/>
              <w:rPr>
                <w:rFonts w:ascii="Arial"/>
                <w:color w:val="auto"/>
                <w:sz w:val="21"/>
                <w:szCs w:val="21"/>
                <w:highlight w:val="none"/>
              </w:rPr>
            </w:pPr>
          </w:p>
          <w:p w14:paraId="50BB90B1">
            <w:pPr>
              <w:pStyle w:val="13"/>
              <w:keepNext w:val="0"/>
              <w:keepLines w:val="0"/>
              <w:pageBreakBefore w:val="0"/>
              <w:wordWrap/>
              <w:overflowPunct/>
              <w:topLinePunct w:val="0"/>
              <w:bidi w:val="0"/>
              <w:spacing w:line="440" w:lineRule="exact"/>
              <w:ind w:left="114"/>
              <w:rPr>
                <w:color w:val="auto"/>
                <w:sz w:val="21"/>
                <w:szCs w:val="21"/>
                <w:highlight w:val="none"/>
              </w:rPr>
            </w:pPr>
            <w:r>
              <w:rPr>
                <w:color w:val="auto"/>
                <w:spacing w:val="9"/>
                <w:sz w:val="21"/>
                <w:szCs w:val="21"/>
                <w:highlight w:val="none"/>
              </w:rPr>
              <w:t>宣布的内容：投标人名称、投标价格、交付时间（具体按广西政府采购云平台系统执行）</w:t>
            </w:r>
          </w:p>
        </w:tc>
      </w:tr>
      <w:tr w14:paraId="6CBE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885" w:type="dxa"/>
            <w:vAlign w:val="top"/>
          </w:tcPr>
          <w:p w14:paraId="1B7FAA64">
            <w:pPr>
              <w:keepNext w:val="0"/>
              <w:keepLines w:val="0"/>
              <w:pageBreakBefore w:val="0"/>
              <w:wordWrap/>
              <w:overflowPunct/>
              <w:topLinePunct w:val="0"/>
              <w:bidi w:val="0"/>
              <w:spacing w:line="440" w:lineRule="exact"/>
              <w:rPr>
                <w:rFonts w:ascii="Arial"/>
                <w:color w:val="auto"/>
                <w:sz w:val="21"/>
                <w:highlight w:val="none"/>
              </w:rPr>
            </w:pPr>
          </w:p>
          <w:p w14:paraId="509548CB">
            <w:pPr>
              <w:keepNext w:val="0"/>
              <w:keepLines w:val="0"/>
              <w:pageBreakBefore w:val="0"/>
              <w:wordWrap/>
              <w:overflowPunct/>
              <w:topLinePunct w:val="0"/>
              <w:bidi w:val="0"/>
              <w:spacing w:line="440" w:lineRule="exact"/>
              <w:rPr>
                <w:rFonts w:ascii="Arial"/>
                <w:color w:val="auto"/>
                <w:sz w:val="21"/>
                <w:highlight w:val="none"/>
              </w:rPr>
            </w:pPr>
          </w:p>
          <w:p w14:paraId="2D059E65">
            <w:pPr>
              <w:keepNext w:val="0"/>
              <w:keepLines w:val="0"/>
              <w:pageBreakBefore w:val="0"/>
              <w:wordWrap/>
              <w:overflowPunct/>
              <w:topLinePunct w:val="0"/>
              <w:bidi w:val="0"/>
              <w:spacing w:line="440" w:lineRule="exact"/>
              <w:rPr>
                <w:rFonts w:ascii="Arial"/>
                <w:color w:val="auto"/>
                <w:sz w:val="21"/>
                <w:highlight w:val="none"/>
              </w:rPr>
            </w:pPr>
          </w:p>
          <w:p w14:paraId="16732FE2">
            <w:pPr>
              <w:keepNext w:val="0"/>
              <w:keepLines w:val="0"/>
              <w:pageBreakBefore w:val="0"/>
              <w:wordWrap/>
              <w:overflowPunct/>
              <w:topLinePunct w:val="0"/>
              <w:bidi w:val="0"/>
              <w:spacing w:line="440" w:lineRule="exact"/>
              <w:rPr>
                <w:rFonts w:ascii="Arial"/>
                <w:color w:val="auto"/>
                <w:sz w:val="21"/>
                <w:highlight w:val="none"/>
              </w:rPr>
            </w:pPr>
          </w:p>
          <w:p w14:paraId="2A88D399">
            <w:pPr>
              <w:keepNext w:val="0"/>
              <w:keepLines w:val="0"/>
              <w:pageBreakBefore w:val="0"/>
              <w:wordWrap/>
              <w:overflowPunct/>
              <w:topLinePunct w:val="0"/>
              <w:bidi w:val="0"/>
              <w:spacing w:line="440" w:lineRule="exact"/>
              <w:rPr>
                <w:rFonts w:ascii="Arial"/>
                <w:color w:val="auto"/>
                <w:sz w:val="21"/>
                <w:highlight w:val="none"/>
              </w:rPr>
            </w:pPr>
          </w:p>
          <w:p w14:paraId="42F5E7FD">
            <w:pPr>
              <w:keepNext w:val="0"/>
              <w:keepLines w:val="0"/>
              <w:pageBreakBefore w:val="0"/>
              <w:wordWrap/>
              <w:overflowPunct/>
              <w:topLinePunct w:val="0"/>
              <w:bidi w:val="0"/>
              <w:spacing w:line="440" w:lineRule="exact"/>
              <w:rPr>
                <w:rFonts w:ascii="Arial"/>
                <w:color w:val="auto"/>
                <w:sz w:val="21"/>
                <w:highlight w:val="none"/>
              </w:rPr>
            </w:pPr>
          </w:p>
          <w:p w14:paraId="2439CC66">
            <w:pPr>
              <w:keepNext w:val="0"/>
              <w:keepLines w:val="0"/>
              <w:pageBreakBefore w:val="0"/>
              <w:wordWrap/>
              <w:overflowPunct/>
              <w:topLinePunct w:val="0"/>
              <w:bidi w:val="0"/>
              <w:spacing w:line="440" w:lineRule="exact"/>
              <w:rPr>
                <w:rFonts w:ascii="Arial"/>
                <w:color w:val="auto"/>
                <w:sz w:val="21"/>
                <w:highlight w:val="none"/>
              </w:rPr>
            </w:pPr>
          </w:p>
          <w:p w14:paraId="58D4E35A">
            <w:pPr>
              <w:keepNext w:val="0"/>
              <w:keepLines w:val="0"/>
              <w:pageBreakBefore w:val="0"/>
              <w:wordWrap/>
              <w:overflowPunct/>
              <w:topLinePunct w:val="0"/>
              <w:bidi w:val="0"/>
              <w:spacing w:line="440" w:lineRule="exact"/>
              <w:rPr>
                <w:rFonts w:ascii="Arial"/>
                <w:color w:val="auto"/>
                <w:sz w:val="21"/>
                <w:highlight w:val="none"/>
              </w:rPr>
            </w:pPr>
          </w:p>
          <w:p w14:paraId="7F98F842">
            <w:pPr>
              <w:keepNext w:val="0"/>
              <w:keepLines w:val="0"/>
              <w:pageBreakBefore w:val="0"/>
              <w:wordWrap/>
              <w:overflowPunct/>
              <w:topLinePunct w:val="0"/>
              <w:bidi w:val="0"/>
              <w:spacing w:line="440" w:lineRule="exact"/>
              <w:rPr>
                <w:rFonts w:ascii="Arial"/>
                <w:color w:val="auto"/>
                <w:sz w:val="21"/>
                <w:highlight w:val="none"/>
              </w:rPr>
            </w:pPr>
          </w:p>
          <w:p w14:paraId="5B720862">
            <w:pPr>
              <w:keepNext w:val="0"/>
              <w:keepLines w:val="0"/>
              <w:pageBreakBefore w:val="0"/>
              <w:wordWrap/>
              <w:overflowPunct/>
              <w:topLinePunct w:val="0"/>
              <w:bidi w:val="0"/>
              <w:spacing w:line="440" w:lineRule="exact"/>
              <w:rPr>
                <w:rFonts w:ascii="Arial"/>
                <w:color w:val="auto"/>
                <w:sz w:val="21"/>
                <w:highlight w:val="none"/>
              </w:rPr>
            </w:pPr>
          </w:p>
          <w:p w14:paraId="22E217AF">
            <w:pPr>
              <w:pStyle w:val="13"/>
              <w:keepNext w:val="0"/>
              <w:keepLines w:val="0"/>
              <w:pageBreakBefore w:val="0"/>
              <w:wordWrap/>
              <w:overflowPunct/>
              <w:topLinePunct w:val="0"/>
              <w:bidi w:val="0"/>
              <w:spacing w:line="440" w:lineRule="exact"/>
              <w:ind w:left="204" w:right="203" w:firstLine="42"/>
              <w:rPr>
                <w:color w:val="auto"/>
                <w:highlight w:val="none"/>
              </w:rPr>
            </w:pPr>
            <w:r>
              <w:rPr>
                <w:color w:val="auto"/>
                <w:spacing w:val="2"/>
                <w:highlight w:val="none"/>
              </w:rPr>
              <w:t>25.3</w:t>
            </w:r>
            <w:r>
              <w:rPr>
                <w:color w:val="auto"/>
                <w:spacing w:val="1"/>
                <w:highlight w:val="none"/>
              </w:rPr>
              <w:t xml:space="preserve"> </w:t>
            </w:r>
            <w:r>
              <w:rPr>
                <w:color w:val="auto"/>
                <w:spacing w:val="-5"/>
                <w:highlight w:val="none"/>
              </w:rPr>
              <w:t>（2）</w:t>
            </w:r>
          </w:p>
        </w:tc>
        <w:tc>
          <w:tcPr>
            <w:tcW w:w="8430" w:type="dxa"/>
            <w:vAlign w:val="top"/>
          </w:tcPr>
          <w:p w14:paraId="60A35D4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采购人或者采购代理机构在资格审查结束前，对投标人进行信用查询。</w:t>
            </w:r>
          </w:p>
          <w:p w14:paraId="544273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查询渠道：“信用中国”网站（www.creditchina.gov.cn）、中国政府采购网 （www.ccgp.gov.cn）。</w:t>
            </w:r>
          </w:p>
          <w:p w14:paraId="1C9402D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信用查询截止时点：资格审查结束前</w:t>
            </w:r>
          </w:p>
          <w:p w14:paraId="2CAB6B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查询记录和证据留存方式：在查询网站中直接截图查询记录，截图作为在广西政府采购云 平台作为附件上传保存。</w:t>
            </w:r>
          </w:p>
          <w:p w14:paraId="292F23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信用信息使用规则：对在“信用中国 ”网站（www.creditchina.gov.cn）、中国政府采购 网（www.ccgp.gov.cn）被列入失信被执行人、重大税收违法失信主体、政府采购严重违  法失信行为记录名单及其他不符合《中华人民共和国政府采购法》第二十二条规定条件的 投标人，采购人或者采购代理机构应当拒绝其参与政府采购活动。两个以上的自然人、法 人或者其他组织组成一个联合体，以一个投标人的身份共同参加政府采购活动的，应当对 所有联合体成员进行信用记录查询，联合体成员存在不良信用记录（被列入失信被执行人、 重大税收违法失信主体、政府采购严重违法失信行为记录名单及其他不符合《中华人民共 和国政府采购法》第二十二条规定条件的投标人）的，视同联合体存在不良信用记录。</w:t>
            </w:r>
          </w:p>
        </w:tc>
      </w:tr>
      <w:tr w14:paraId="209F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5" w:type="dxa"/>
            <w:vAlign w:val="top"/>
          </w:tcPr>
          <w:p w14:paraId="128858E7">
            <w:pPr>
              <w:pStyle w:val="13"/>
              <w:keepNext w:val="0"/>
              <w:keepLines w:val="0"/>
              <w:pageBreakBefore w:val="0"/>
              <w:wordWrap/>
              <w:overflowPunct/>
              <w:topLinePunct w:val="0"/>
              <w:bidi w:val="0"/>
              <w:spacing w:line="440" w:lineRule="exact"/>
              <w:ind w:left="246"/>
              <w:rPr>
                <w:color w:val="auto"/>
                <w:highlight w:val="none"/>
              </w:rPr>
            </w:pPr>
            <w:r>
              <w:rPr>
                <w:color w:val="auto"/>
                <w:spacing w:val="2"/>
                <w:highlight w:val="none"/>
              </w:rPr>
              <w:t>26.1</w:t>
            </w:r>
          </w:p>
        </w:tc>
        <w:tc>
          <w:tcPr>
            <w:tcW w:w="8430" w:type="dxa"/>
            <w:vAlign w:val="top"/>
          </w:tcPr>
          <w:p w14:paraId="1E0ECAE0">
            <w:pPr>
              <w:pStyle w:val="13"/>
              <w:keepNext w:val="0"/>
              <w:keepLines w:val="0"/>
              <w:pageBreakBefore w:val="0"/>
              <w:wordWrap/>
              <w:overflowPunct/>
              <w:topLinePunct w:val="0"/>
              <w:bidi w:val="0"/>
              <w:spacing w:line="440" w:lineRule="exact"/>
              <w:ind w:left="110"/>
              <w:rPr>
                <w:color w:val="auto"/>
                <w:highlight w:val="none"/>
              </w:rPr>
            </w:pPr>
            <w:r>
              <w:rPr>
                <w:color w:val="auto"/>
                <w:spacing w:val="8"/>
                <w:sz w:val="21"/>
                <w:szCs w:val="21"/>
                <w:highlight w:val="none"/>
              </w:rPr>
              <w:t>评标委员会的人数：</w:t>
            </w:r>
            <w:r>
              <w:rPr>
                <w:color w:val="auto"/>
                <w:spacing w:val="8"/>
                <w:sz w:val="21"/>
                <w:szCs w:val="21"/>
                <w:highlight w:val="none"/>
                <w:u w:val="single" w:color="auto"/>
              </w:rPr>
              <w:t>7</w:t>
            </w:r>
            <w:r>
              <w:rPr>
                <w:color w:val="auto"/>
                <w:spacing w:val="8"/>
                <w:sz w:val="21"/>
                <w:szCs w:val="21"/>
                <w:highlight w:val="none"/>
              </w:rPr>
              <w:t>人</w:t>
            </w:r>
          </w:p>
        </w:tc>
      </w:tr>
      <w:tr w14:paraId="70192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85" w:type="dxa"/>
            <w:vAlign w:val="top"/>
          </w:tcPr>
          <w:p w14:paraId="4A8B20A1">
            <w:pPr>
              <w:keepNext w:val="0"/>
              <w:keepLines w:val="0"/>
              <w:pageBreakBefore w:val="0"/>
              <w:wordWrap/>
              <w:overflowPunct/>
              <w:topLinePunct w:val="0"/>
              <w:bidi w:val="0"/>
              <w:spacing w:line="440" w:lineRule="exact"/>
              <w:rPr>
                <w:rFonts w:ascii="Arial"/>
                <w:color w:val="auto"/>
                <w:sz w:val="21"/>
                <w:highlight w:val="none"/>
              </w:rPr>
            </w:pPr>
          </w:p>
          <w:p w14:paraId="13C69E1E">
            <w:pPr>
              <w:keepNext w:val="0"/>
              <w:keepLines w:val="0"/>
              <w:pageBreakBefore w:val="0"/>
              <w:wordWrap/>
              <w:overflowPunct/>
              <w:topLinePunct w:val="0"/>
              <w:bidi w:val="0"/>
              <w:spacing w:line="440" w:lineRule="exact"/>
              <w:rPr>
                <w:rFonts w:ascii="Arial"/>
                <w:color w:val="auto"/>
                <w:sz w:val="21"/>
                <w:highlight w:val="none"/>
              </w:rPr>
            </w:pPr>
          </w:p>
          <w:p w14:paraId="1F6E8FC3">
            <w:pPr>
              <w:pStyle w:val="13"/>
              <w:keepNext w:val="0"/>
              <w:keepLines w:val="0"/>
              <w:pageBreakBefore w:val="0"/>
              <w:wordWrap/>
              <w:overflowPunct/>
              <w:topLinePunct w:val="0"/>
              <w:bidi w:val="0"/>
              <w:spacing w:line="440" w:lineRule="exact"/>
              <w:ind w:left="246"/>
              <w:rPr>
                <w:color w:val="auto"/>
                <w:highlight w:val="none"/>
              </w:rPr>
            </w:pPr>
            <w:r>
              <w:rPr>
                <w:color w:val="auto"/>
                <w:spacing w:val="2"/>
                <w:highlight w:val="none"/>
              </w:rPr>
              <w:t>29.1</w:t>
            </w:r>
          </w:p>
        </w:tc>
        <w:tc>
          <w:tcPr>
            <w:tcW w:w="8430" w:type="dxa"/>
            <w:vAlign w:val="top"/>
          </w:tcPr>
          <w:p w14:paraId="29978E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评标方法：</w:t>
            </w:r>
          </w:p>
          <w:p w14:paraId="5C2DCE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☑综合评分法</w:t>
            </w:r>
          </w:p>
          <w:p w14:paraId="7EF521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□最低评标价法</w:t>
            </w:r>
          </w:p>
        </w:tc>
      </w:tr>
      <w:tr w14:paraId="1561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85" w:type="dxa"/>
            <w:vAlign w:val="top"/>
          </w:tcPr>
          <w:p w14:paraId="0001EB17">
            <w:pPr>
              <w:keepNext w:val="0"/>
              <w:keepLines w:val="0"/>
              <w:pageBreakBefore w:val="0"/>
              <w:wordWrap/>
              <w:overflowPunct/>
              <w:topLinePunct w:val="0"/>
              <w:bidi w:val="0"/>
              <w:spacing w:line="440" w:lineRule="exact"/>
              <w:rPr>
                <w:rFonts w:ascii="Arial"/>
                <w:color w:val="auto"/>
                <w:sz w:val="21"/>
                <w:highlight w:val="none"/>
              </w:rPr>
            </w:pPr>
          </w:p>
          <w:p w14:paraId="36217402">
            <w:pPr>
              <w:pStyle w:val="13"/>
              <w:keepNext w:val="0"/>
              <w:keepLines w:val="0"/>
              <w:pageBreakBefore w:val="0"/>
              <w:wordWrap/>
              <w:overflowPunct/>
              <w:topLinePunct w:val="0"/>
              <w:bidi w:val="0"/>
              <w:spacing w:line="440" w:lineRule="exact"/>
              <w:ind w:left="246"/>
              <w:rPr>
                <w:color w:val="auto"/>
                <w:highlight w:val="none"/>
              </w:rPr>
            </w:pPr>
            <w:r>
              <w:rPr>
                <w:color w:val="auto"/>
                <w:spacing w:val="2"/>
                <w:highlight w:val="none"/>
              </w:rPr>
              <w:t>29.2</w:t>
            </w:r>
          </w:p>
        </w:tc>
        <w:tc>
          <w:tcPr>
            <w:tcW w:w="8430" w:type="dxa"/>
            <w:vAlign w:val="top"/>
          </w:tcPr>
          <w:p w14:paraId="2ADEA64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商务要求评审中允许负偏离的条款数 0 项（负偏离达 1 项（含） 以上的投标无效）。</w:t>
            </w:r>
          </w:p>
          <w:p w14:paraId="740730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技术（服务）需求评审中允许负偏离的条款数 0 项（负偏离达 1 项（含）以上的投标无效）。</w:t>
            </w:r>
          </w:p>
        </w:tc>
      </w:tr>
      <w:tr w14:paraId="25744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5" w:type="dxa"/>
            <w:vAlign w:val="top"/>
          </w:tcPr>
          <w:p w14:paraId="37609E76">
            <w:pPr>
              <w:pStyle w:val="13"/>
              <w:keepNext w:val="0"/>
              <w:keepLines w:val="0"/>
              <w:pageBreakBefore w:val="0"/>
              <w:wordWrap/>
              <w:overflowPunct/>
              <w:topLinePunct w:val="0"/>
              <w:bidi w:val="0"/>
              <w:spacing w:line="440" w:lineRule="exact"/>
              <w:ind w:left="246"/>
              <w:rPr>
                <w:color w:val="auto"/>
                <w:highlight w:val="none"/>
              </w:rPr>
            </w:pPr>
            <w:r>
              <w:rPr>
                <w:color w:val="auto"/>
                <w:spacing w:val="2"/>
                <w:highlight w:val="none"/>
              </w:rPr>
              <w:t>29.3</w:t>
            </w:r>
          </w:p>
        </w:tc>
        <w:tc>
          <w:tcPr>
            <w:tcW w:w="8430" w:type="dxa"/>
            <w:vAlign w:val="top"/>
          </w:tcPr>
          <w:p w14:paraId="63147D0C">
            <w:pPr>
              <w:pStyle w:val="13"/>
              <w:keepNext w:val="0"/>
              <w:keepLines w:val="0"/>
              <w:pageBreakBefore w:val="0"/>
              <w:wordWrap/>
              <w:overflowPunct/>
              <w:topLinePunct w:val="0"/>
              <w:bidi w:val="0"/>
              <w:spacing w:line="440" w:lineRule="exact"/>
              <w:ind w:left="130"/>
              <w:rPr>
                <w:color w:val="auto"/>
                <w:highlight w:val="none"/>
              </w:rPr>
            </w:pPr>
            <w:r>
              <w:rPr>
                <w:color w:val="auto"/>
                <w:spacing w:val="6"/>
                <w:sz w:val="21"/>
                <w:szCs w:val="21"/>
                <w:highlight w:val="none"/>
              </w:rPr>
              <w:t>中标候选人推荐数量：</w:t>
            </w:r>
            <w:r>
              <w:rPr>
                <w:color w:val="auto"/>
                <w:spacing w:val="6"/>
                <w:sz w:val="21"/>
                <w:szCs w:val="21"/>
                <w:highlight w:val="none"/>
                <w:u w:val="single" w:color="auto"/>
              </w:rPr>
              <w:t>3</w:t>
            </w:r>
            <w:r>
              <w:rPr>
                <w:color w:val="auto"/>
                <w:spacing w:val="-32"/>
                <w:sz w:val="21"/>
                <w:szCs w:val="21"/>
                <w:highlight w:val="none"/>
                <w:u w:val="single" w:color="auto"/>
              </w:rPr>
              <w:t xml:space="preserve"> </w:t>
            </w:r>
            <w:r>
              <w:rPr>
                <w:color w:val="auto"/>
                <w:spacing w:val="6"/>
                <w:sz w:val="21"/>
                <w:szCs w:val="21"/>
                <w:highlight w:val="none"/>
              </w:rPr>
              <w:t>名</w:t>
            </w:r>
          </w:p>
        </w:tc>
      </w:tr>
      <w:tr w14:paraId="2DC1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85" w:type="dxa"/>
            <w:vAlign w:val="top"/>
          </w:tcPr>
          <w:p w14:paraId="49BC2E89">
            <w:pPr>
              <w:keepNext w:val="0"/>
              <w:keepLines w:val="0"/>
              <w:pageBreakBefore w:val="0"/>
              <w:wordWrap/>
              <w:overflowPunct/>
              <w:topLinePunct w:val="0"/>
              <w:bidi w:val="0"/>
              <w:spacing w:line="440" w:lineRule="exact"/>
              <w:rPr>
                <w:rFonts w:ascii="Arial"/>
                <w:color w:val="auto"/>
                <w:sz w:val="21"/>
                <w:highlight w:val="none"/>
              </w:rPr>
            </w:pPr>
          </w:p>
          <w:p w14:paraId="0865F85C">
            <w:pPr>
              <w:keepNext w:val="0"/>
              <w:keepLines w:val="0"/>
              <w:pageBreakBefore w:val="0"/>
              <w:wordWrap/>
              <w:overflowPunct/>
              <w:topLinePunct w:val="0"/>
              <w:bidi w:val="0"/>
              <w:spacing w:line="440" w:lineRule="exact"/>
              <w:rPr>
                <w:rFonts w:ascii="Arial"/>
                <w:color w:val="auto"/>
                <w:sz w:val="21"/>
                <w:highlight w:val="none"/>
              </w:rPr>
            </w:pPr>
          </w:p>
          <w:p w14:paraId="5B4B5C69">
            <w:pPr>
              <w:keepNext w:val="0"/>
              <w:keepLines w:val="0"/>
              <w:pageBreakBefore w:val="0"/>
              <w:wordWrap/>
              <w:overflowPunct/>
              <w:topLinePunct w:val="0"/>
              <w:bidi w:val="0"/>
              <w:spacing w:line="440" w:lineRule="exact"/>
              <w:rPr>
                <w:rFonts w:ascii="Arial"/>
                <w:color w:val="auto"/>
                <w:sz w:val="21"/>
                <w:highlight w:val="none"/>
              </w:rPr>
            </w:pPr>
          </w:p>
          <w:p w14:paraId="4A4539AB">
            <w:pPr>
              <w:keepNext w:val="0"/>
              <w:keepLines w:val="0"/>
              <w:pageBreakBefore w:val="0"/>
              <w:wordWrap/>
              <w:overflowPunct/>
              <w:topLinePunct w:val="0"/>
              <w:bidi w:val="0"/>
              <w:spacing w:line="440" w:lineRule="exact"/>
              <w:rPr>
                <w:rFonts w:ascii="Arial"/>
                <w:color w:val="auto"/>
                <w:sz w:val="21"/>
                <w:highlight w:val="none"/>
              </w:rPr>
            </w:pPr>
          </w:p>
          <w:p w14:paraId="43F0EB39">
            <w:pPr>
              <w:keepNext w:val="0"/>
              <w:keepLines w:val="0"/>
              <w:pageBreakBefore w:val="0"/>
              <w:wordWrap/>
              <w:overflowPunct/>
              <w:topLinePunct w:val="0"/>
              <w:bidi w:val="0"/>
              <w:spacing w:line="440" w:lineRule="exact"/>
              <w:rPr>
                <w:rFonts w:ascii="Arial"/>
                <w:color w:val="auto"/>
                <w:sz w:val="21"/>
                <w:highlight w:val="none"/>
              </w:rPr>
            </w:pPr>
          </w:p>
          <w:p w14:paraId="01932293">
            <w:pPr>
              <w:pStyle w:val="13"/>
              <w:keepNext w:val="0"/>
              <w:keepLines w:val="0"/>
              <w:pageBreakBefore w:val="0"/>
              <w:wordWrap/>
              <w:overflowPunct/>
              <w:topLinePunct w:val="0"/>
              <w:bidi w:val="0"/>
              <w:spacing w:line="440" w:lineRule="exact"/>
              <w:ind w:left="248"/>
              <w:rPr>
                <w:color w:val="auto"/>
                <w:highlight w:val="none"/>
              </w:rPr>
            </w:pPr>
            <w:r>
              <w:rPr>
                <w:color w:val="auto"/>
                <w:spacing w:val="2"/>
                <w:highlight w:val="none"/>
              </w:rPr>
              <w:t>30.1</w:t>
            </w:r>
          </w:p>
        </w:tc>
        <w:tc>
          <w:tcPr>
            <w:tcW w:w="8430" w:type="dxa"/>
            <w:vAlign w:val="top"/>
          </w:tcPr>
          <w:p w14:paraId="15072BE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采用综合评分法的采购项目，采购人确定中标人时，出现中标候选人并列的情形，采购人 按以下的方式确定中标人：</w:t>
            </w:r>
          </w:p>
          <w:p w14:paraId="396A0A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□政策分得分高的优先、技术评分高的优先、商务评分高的优先、项目质保期长优先、交 货期短优先、故障响应时间短优先的顺序；</w:t>
            </w:r>
          </w:p>
          <w:p w14:paraId="396C92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☑依次按技术评分高的优先、商务评分高的优先、投标报价低的优先的顺序确定；若以上 相同的， 由评标委员会采用不记名投票决定，票数高的优先推荐。</w:t>
            </w:r>
          </w:p>
          <w:p w14:paraId="1587C4EE">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□随机抽取</w:t>
            </w:r>
          </w:p>
        </w:tc>
      </w:tr>
      <w:tr w14:paraId="3117A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85" w:type="dxa"/>
            <w:vAlign w:val="top"/>
          </w:tcPr>
          <w:p w14:paraId="6AD719BA">
            <w:pPr>
              <w:keepNext w:val="0"/>
              <w:keepLines w:val="0"/>
              <w:pageBreakBefore w:val="0"/>
              <w:wordWrap/>
              <w:overflowPunct/>
              <w:topLinePunct w:val="0"/>
              <w:bidi w:val="0"/>
              <w:spacing w:line="440" w:lineRule="exact"/>
              <w:rPr>
                <w:rFonts w:ascii="Arial"/>
                <w:color w:val="auto"/>
                <w:sz w:val="21"/>
                <w:highlight w:val="none"/>
              </w:rPr>
            </w:pPr>
          </w:p>
          <w:p w14:paraId="2DB1447E">
            <w:pPr>
              <w:keepNext w:val="0"/>
              <w:keepLines w:val="0"/>
              <w:pageBreakBefore w:val="0"/>
              <w:wordWrap/>
              <w:overflowPunct/>
              <w:topLinePunct w:val="0"/>
              <w:bidi w:val="0"/>
              <w:spacing w:line="440" w:lineRule="exact"/>
              <w:rPr>
                <w:rFonts w:ascii="Arial"/>
                <w:color w:val="auto"/>
                <w:sz w:val="21"/>
                <w:highlight w:val="none"/>
              </w:rPr>
            </w:pPr>
          </w:p>
          <w:p w14:paraId="792BFA71">
            <w:pPr>
              <w:pStyle w:val="13"/>
              <w:keepNext w:val="0"/>
              <w:keepLines w:val="0"/>
              <w:pageBreakBefore w:val="0"/>
              <w:wordWrap/>
              <w:overflowPunct/>
              <w:topLinePunct w:val="0"/>
              <w:bidi w:val="0"/>
              <w:spacing w:line="440" w:lineRule="exact"/>
              <w:ind w:left="248"/>
              <w:rPr>
                <w:color w:val="auto"/>
                <w:spacing w:val="2"/>
                <w:highlight w:val="none"/>
              </w:rPr>
            </w:pPr>
          </w:p>
          <w:p w14:paraId="5101BA11">
            <w:pPr>
              <w:pStyle w:val="13"/>
              <w:keepNext w:val="0"/>
              <w:keepLines w:val="0"/>
              <w:pageBreakBefore w:val="0"/>
              <w:wordWrap/>
              <w:overflowPunct/>
              <w:topLinePunct w:val="0"/>
              <w:bidi w:val="0"/>
              <w:spacing w:line="440" w:lineRule="exact"/>
              <w:ind w:left="248"/>
              <w:rPr>
                <w:color w:val="auto"/>
                <w:spacing w:val="2"/>
                <w:highlight w:val="none"/>
              </w:rPr>
            </w:pPr>
          </w:p>
          <w:p w14:paraId="0ACF71C8">
            <w:pPr>
              <w:pStyle w:val="13"/>
              <w:keepNext w:val="0"/>
              <w:keepLines w:val="0"/>
              <w:pageBreakBefore w:val="0"/>
              <w:wordWrap/>
              <w:overflowPunct/>
              <w:topLinePunct w:val="0"/>
              <w:bidi w:val="0"/>
              <w:spacing w:line="440" w:lineRule="exact"/>
              <w:ind w:left="248"/>
              <w:rPr>
                <w:color w:val="auto"/>
                <w:spacing w:val="2"/>
                <w:highlight w:val="none"/>
              </w:rPr>
            </w:pPr>
          </w:p>
          <w:p w14:paraId="7B6D9581">
            <w:pPr>
              <w:pStyle w:val="13"/>
              <w:keepNext w:val="0"/>
              <w:keepLines w:val="0"/>
              <w:pageBreakBefore w:val="0"/>
              <w:wordWrap/>
              <w:overflowPunct/>
              <w:topLinePunct w:val="0"/>
              <w:bidi w:val="0"/>
              <w:spacing w:line="440" w:lineRule="exact"/>
              <w:ind w:left="248"/>
              <w:rPr>
                <w:color w:val="auto"/>
                <w:spacing w:val="2"/>
                <w:highlight w:val="none"/>
              </w:rPr>
            </w:pPr>
          </w:p>
          <w:p w14:paraId="0BE9C9BE">
            <w:pPr>
              <w:pStyle w:val="13"/>
              <w:keepNext w:val="0"/>
              <w:keepLines w:val="0"/>
              <w:pageBreakBefore w:val="0"/>
              <w:wordWrap/>
              <w:overflowPunct/>
              <w:topLinePunct w:val="0"/>
              <w:bidi w:val="0"/>
              <w:spacing w:line="440" w:lineRule="exact"/>
              <w:ind w:left="248"/>
              <w:rPr>
                <w:color w:val="auto"/>
                <w:spacing w:val="2"/>
                <w:highlight w:val="none"/>
              </w:rPr>
            </w:pPr>
          </w:p>
          <w:p w14:paraId="4B70B7FB">
            <w:pPr>
              <w:pStyle w:val="13"/>
              <w:keepNext w:val="0"/>
              <w:keepLines w:val="0"/>
              <w:pageBreakBefore w:val="0"/>
              <w:wordWrap/>
              <w:overflowPunct/>
              <w:topLinePunct w:val="0"/>
              <w:bidi w:val="0"/>
              <w:spacing w:line="440" w:lineRule="exact"/>
              <w:ind w:left="248"/>
              <w:rPr>
                <w:color w:val="auto"/>
                <w:spacing w:val="2"/>
                <w:highlight w:val="none"/>
              </w:rPr>
            </w:pPr>
          </w:p>
          <w:p w14:paraId="2EF239FF">
            <w:pPr>
              <w:pStyle w:val="13"/>
              <w:keepNext w:val="0"/>
              <w:keepLines w:val="0"/>
              <w:pageBreakBefore w:val="0"/>
              <w:wordWrap/>
              <w:overflowPunct/>
              <w:topLinePunct w:val="0"/>
              <w:bidi w:val="0"/>
              <w:spacing w:line="440" w:lineRule="exact"/>
              <w:ind w:left="248"/>
              <w:rPr>
                <w:color w:val="auto"/>
                <w:spacing w:val="2"/>
                <w:highlight w:val="none"/>
              </w:rPr>
            </w:pPr>
          </w:p>
          <w:p w14:paraId="330AB84B">
            <w:pPr>
              <w:pStyle w:val="13"/>
              <w:keepNext w:val="0"/>
              <w:keepLines w:val="0"/>
              <w:pageBreakBefore w:val="0"/>
              <w:wordWrap/>
              <w:overflowPunct/>
              <w:topLinePunct w:val="0"/>
              <w:bidi w:val="0"/>
              <w:spacing w:line="440" w:lineRule="exact"/>
              <w:ind w:left="248"/>
              <w:rPr>
                <w:color w:val="auto"/>
                <w:spacing w:val="2"/>
                <w:highlight w:val="none"/>
              </w:rPr>
            </w:pPr>
          </w:p>
          <w:p w14:paraId="6F94C299">
            <w:pPr>
              <w:pStyle w:val="13"/>
              <w:keepNext w:val="0"/>
              <w:keepLines w:val="0"/>
              <w:pageBreakBefore w:val="0"/>
              <w:wordWrap/>
              <w:overflowPunct/>
              <w:topLinePunct w:val="0"/>
              <w:bidi w:val="0"/>
              <w:spacing w:line="440" w:lineRule="exact"/>
              <w:ind w:left="248"/>
              <w:rPr>
                <w:color w:val="auto"/>
                <w:spacing w:val="2"/>
                <w:highlight w:val="none"/>
              </w:rPr>
            </w:pPr>
          </w:p>
          <w:p w14:paraId="0363482A">
            <w:pPr>
              <w:pStyle w:val="13"/>
              <w:keepNext w:val="0"/>
              <w:keepLines w:val="0"/>
              <w:pageBreakBefore w:val="0"/>
              <w:wordWrap/>
              <w:overflowPunct/>
              <w:topLinePunct w:val="0"/>
              <w:bidi w:val="0"/>
              <w:spacing w:line="440" w:lineRule="exact"/>
              <w:ind w:left="248"/>
              <w:rPr>
                <w:color w:val="auto"/>
                <w:highlight w:val="none"/>
              </w:rPr>
            </w:pPr>
            <w:r>
              <w:rPr>
                <w:color w:val="auto"/>
                <w:spacing w:val="2"/>
                <w:highlight w:val="none"/>
              </w:rPr>
              <w:t>35.1</w:t>
            </w:r>
          </w:p>
        </w:tc>
        <w:tc>
          <w:tcPr>
            <w:tcW w:w="8430" w:type="dxa"/>
            <w:vAlign w:val="top"/>
          </w:tcPr>
          <w:p w14:paraId="151040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sym w:font="Wingdings 2" w:char="00A3"/>
            </w:r>
            <w:r>
              <w:rPr>
                <w:rFonts w:hint="eastAsia" w:ascii="宋体" w:hAnsi="宋体" w:eastAsia="宋体" w:cs="宋体"/>
                <w:snapToGrid/>
                <w:color w:val="auto"/>
                <w:kern w:val="2"/>
                <w:szCs w:val="21"/>
                <w:highlight w:val="none"/>
                <w:lang w:val="en-US" w:eastAsia="zh-CN"/>
              </w:rPr>
              <w:t>本项目不收取履约保证金。</w:t>
            </w:r>
          </w:p>
          <w:p w14:paraId="357760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sym w:font="Wingdings 2" w:char="0052"/>
            </w:r>
            <w:r>
              <w:rPr>
                <w:rFonts w:hint="eastAsia" w:ascii="宋体" w:hAnsi="宋体" w:eastAsia="宋体" w:cs="宋体"/>
                <w:snapToGrid/>
                <w:color w:val="auto"/>
                <w:kern w:val="2"/>
                <w:szCs w:val="21"/>
                <w:highlight w:val="none"/>
                <w:lang w:val="en-US" w:eastAsia="zh-CN"/>
              </w:rPr>
              <w:t>本项目收取履约保证金，具体规定如下：</w:t>
            </w:r>
          </w:p>
          <w:p w14:paraId="7C6C4F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履约保证金金额：每分标按中标金额的</w:t>
            </w:r>
            <w:r>
              <w:rPr>
                <w:rFonts w:hint="eastAsia" w:ascii="宋体" w:hAnsi="宋体" w:eastAsia="宋体" w:cs="宋体"/>
                <w:snapToGrid/>
                <w:color w:val="auto"/>
                <w:kern w:val="2"/>
                <w:szCs w:val="21"/>
                <w:highlight w:val="none"/>
                <w:u w:val="single"/>
                <w:lang w:val="en-US" w:eastAsia="zh-CN"/>
              </w:rPr>
              <w:t xml:space="preserve"> 5 </w:t>
            </w:r>
            <w:r>
              <w:rPr>
                <w:rFonts w:hint="eastAsia" w:ascii="宋体" w:hAnsi="宋体" w:eastAsia="宋体" w:cs="宋体"/>
                <w:snapToGrid/>
                <w:color w:val="auto"/>
                <w:kern w:val="2"/>
                <w:szCs w:val="21"/>
                <w:highlight w:val="none"/>
                <w:lang w:val="en-US" w:eastAsia="zh-CN"/>
              </w:rPr>
              <w:t>%。（注：经评标委员会评审，若中标人被认定为中小企业的，履约保证金数额将按中标金额（即合同金额）的</w:t>
            </w:r>
            <w:r>
              <w:rPr>
                <w:rFonts w:hint="eastAsia" w:ascii="宋体" w:hAnsi="宋体" w:eastAsia="宋体" w:cs="宋体"/>
                <w:snapToGrid/>
                <w:color w:val="auto"/>
                <w:kern w:val="2"/>
                <w:szCs w:val="21"/>
                <w:highlight w:val="none"/>
                <w:u w:val="single"/>
                <w:lang w:val="en-US" w:eastAsia="zh-CN"/>
              </w:rPr>
              <w:t xml:space="preserve"> 2 </w:t>
            </w:r>
            <w:r>
              <w:rPr>
                <w:rFonts w:hint="eastAsia" w:ascii="宋体" w:hAnsi="宋体" w:eastAsia="宋体" w:cs="宋体"/>
                <w:snapToGrid/>
                <w:color w:val="auto"/>
                <w:kern w:val="2"/>
                <w:szCs w:val="21"/>
                <w:highlight w:val="none"/>
                <w:lang w:val="en-US" w:eastAsia="zh-CN"/>
              </w:rPr>
              <w:t>%收取，或采购人可根据供应商的资信等情况决定是否减免履约保证金。除此之外，履约保证金按招标文件原规定执行）</w:t>
            </w:r>
          </w:p>
          <w:p w14:paraId="4D946F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履约保证金递交方式：银行转账、支票、汇票、本票或者银行、保险机构出具的保函等非现金方式（参照投标保证金）</w:t>
            </w:r>
          </w:p>
          <w:p w14:paraId="6B1879A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履约保证金退付方式、时间及条件：由乙方向甲方提供《广西壮族自治区政府采购项目合同验收书》及《政府采购项目履约保证金退付意见书》，甲方在收到合格材料后五个工作日内办理退还手续（不计利息）。</w:t>
            </w:r>
          </w:p>
          <w:p w14:paraId="078A720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履约保证金指定账户：</w:t>
            </w:r>
          </w:p>
          <w:p w14:paraId="639F89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开户名称：</w:t>
            </w:r>
            <w:r>
              <w:rPr>
                <w:rFonts w:hint="eastAsia" w:ascii="宋体" w:hAnsi="宋体" w:eastAsia="宋体" w:cs="宋体"/>
                <w:snapToGrid/>
                <w:color w:val="auto"/>
                <w:kern w:val="2"/>
                <w:szCs w:val="21"/>
                <w:highlight w:val="none"/>
                <w:u w:val="single"/>
                <w:lang w:val="en-US" w:eastAsia="zh-CN"/>
              </w:rPr>
              <w:t>广西壮族自治区生态环境厅</w:t>
            </w:r>
          </w:p>
          <w:p w14:paraId="5C50461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u w:val="single"/>
                <w:lang w:val="en-US" w:eastAsia="zh-CN"/>
              </w:rPr>
            </w:pPr>
            <w:r>
              <w:rPr>
                <w:rFonts w:hint="eastAsia" w:ascii="宋体" w:hAnsi="宋体" w:eastAsia="宋体" w:cs="宋体"/>
                <w:snapToGrid/>
                <w:color w:val="auto"/>
                <w:kern w:val="2"/>
                <w:szCs w:val="21"/>
                <w:highlight w:val="none"/>
                <w:lang w:val="en-US" w:eastAsia="zh-CN"/>
              </w:rPr>
              <w:t>开户银行：</w:t>
            </w:r>
            <w:r>
              <w:rPr>
                <w:rFonts w:hint="eastAsia" w:ascii="宋体" w:hAnsi="宋体" w:eastAsia="宋体" w:cs="宋体"/>
                <w:snapToGrid/>
                <w:color w:val="auto"/>
                <w:kern w:val="2"/>
                <w:szCs w:val="21"/>
                <w:highlight w:val="none"/>
                <w:u w:val="single"/>
                <w:lang w:val="en-US" w:eastAsia="zh-CN"/>
              </w:rPr>
              <w:t>工行南宁银杉支行</w:t>
            </w:r>
          </w:p>
          <w:p w14:paraId="0883366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银行账号：</w:t>
            </w:r>
            <w:r>
              <w:rPr>
                <w:rFonts w:hint="eastAsia" w:ascii="宋体" w:hAnsi="宋体" w:eastAsia="宋体" w:cs="宋体"/>
                <w:snapToGrid/>
                <w:color w:val="auto"/>
                <w:kern w:val="2"/>
                <w:szCs w:val="21"/>
                <w:highlight w:val="none"/>
                <w:u w:val="single"/>
                <w:lang w:val="en-US" w:eastAsia="zh-CN"/>
              </w:rPr>
              <w:t>2102 1010 0926 4013 935</w:t>
            </w:r>
          </w:p>
          <w:p w14:paraId="36FE36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备注：</w:t>
            </w:r>
          </w:p>
          <w:p w14:paraId="3B6B0DB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w:t>
            </w:r>
            <w:bookmarkStart w:id="15" w:name="_Hlk54170335"/>
            <w:r>
              <w:rPr>
                <w:rFonts w:hint="eastAsia" w:ascii="宋体" w:hAnsi="宋体" w:eastAsia="宋体" w:cs="宋体"/>
                <w:snapToGrid/>
                <w:color w:val="auto"/>
                <w:kern w:val="2"/>
                <w:szCs w:val="21"/>
                <w:highlight w:val="none"/>
                <w:lang w:val="en-US" w:eastAsia="zh-CN"/>
              </w:rPr>
              <w:t>根据《广西壮族自治区财政厅关于进一步发挥政府采购政策功能促进企业发展的通知》（桂财采〔2022〕30号）规定，对中小企业收取的履约保证金数额不得超过政府采购合同金额的2%。采购人可根据供应商的资信等情况减免履约保证金。</w:t>
            </w:r>
            <w:bookmarkEnd w:id="15"/>
          </w:p>
          <w:p w14:paraId="3DB8777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2DFE10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3.采用银行、保险机构出具的保函的，必须为无条件保函，否则不予签订合同。</w:t>
            </w:r>
          </w:p>
          <w:p w14:paraId="024170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snapToGrid/>
                <w:color w:val="auto"/>
                <w:kern w:val="2"/>
                <w:szCs w:val="21"/>
                <w:highlight w:val="none"/>
                <w:lang w:val="en-US" w:eastAsia="zh-CN"/>
              </w:rPr>
              <w:t>4.投标人为联合体的，由联合体其中一方按规定提交的履约保证金，视为有效履约保证金。</w:t>
            </w:r>
          </w:p>
        </w:tc>
      </w:tr>
      <w:tr w14:paraId="5B0FC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85" w:type="dxa"/>
            <w:vAlign w:val="top"/>
          </w:tcPr>
          <w:p w14:paraId="225058D4">
            <w:pPr>
              <w:keepNext w:val="0"/>
              <w:keepLines w:val="0"/>
              <w:pageBreakBefore w:val="0"/>
              <w:wordWrap/>
              <w:overflowPunct/>
              <w:topLinePunct w:val="0"/>
              <w:bidi w:val="0"/>
              <w:spacing w:line="440" w:lineRule="exact"/>
              <w:rPr>
                <w:rFonts w:ascii="Arial"/>
                <w:color w:val="auto"/>
                <w:sz w:val="21"/>
                <w:highlight w:val="none"/>
              </w:rPr>
            </w:pPr>
          </w:p>
          <w:p w14:paraId="34FA84D8">
            <w:pPr>
              <w:keepNext w:val="0"/>
              <w:keepLines w:val="0"/>
              <w:pageBreakBefore w:val="0"/>
              <w:wordWrap/>
              <w:overflowPunct/>
              <w:topLinePunct w:val="0"/>
              <w:bidi w:val="0"/>
              <w:spacing w:line="440" w:lineRule="exact"/>
              <w:rPr>
                <w:rFonts w:ascii="Arial"/>
                <w:color w:val="auto"/>
                <w:sz w:val="21"/>
                <w:highlight w:val="none"/>
              </w:rPr>
            </w:pPr>
          </w:p>
          <w:p w14:paraId="7E5BAD57">
            <w:pPr>
              <w:pStyle w:val="13"/>
              <w:keepNext w:val="0"/>
              <w:keepLines w:val="0"/>
              <w:pageBreakBefore w:val="0"/>
              <w:wordWrap/>
              <w:overflowPunct/>
              <w:topLinePunct w:val="0"/>
              <w:bidi w:val="0"/>
              <w:spacing w:line="440" w:lineRule="exact"/>
              <w:ind w:left="248" w:leftChars="0"/>
              <w:rPr>
                <w:color w:val="auto"/>
                <w:spacing w:val="2"/>
                <w:highlight w:val="none"/>
              </w:rPr>
            </w:pPr>
            <w:r>
              <w:rPr>
                <w:color w:val="auto"/>
                <w:spacing w:val="2"/>
                <w:highlight w:val="none"/>
              </w:rPr>
              <w:t>36.1</w:t>
            </w:r>
          </w:p>
        </w:tc>
        <w:tc>
          <w:tcPr>
            <w:tcW w:w="8430" w:type="dxa"/>
            <w:vAlign w:val="top"/>
          </w:tcPr>
          <w:p w14:paraId="20839FD2">
            <w:pPr>
              <w:pStyle w:val="13"/>
              <w:keepNext w:val="0"/>
              <w:keepLines w:val="0"/>
              <w:pageBreakBefore w:val="0"/>
              <w:wordWrap/>
              <w:overflowPunct/>
              <w:topLinePunct w:val="0"/>
              <w:bidi w:val="0"/>
              <w:spacing w:line="440" w:lineRule="exact"/>
              <w:ind w:left="110" w:leftChars="0" w:right="108" w:rightChars="0"/>
              <w:jc w:val="both"/>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snapToGrid/>
                <w:color w:val="auto"/>
                <w:kern w:val="2"/>
                <w:sz w:val="21"/>
                <w:szCs w:val="21"/>
                <w:highlight w:val="none"/>
                <w:lang w:val="en-US" w:eastAsia="zh-CN" w:bidi="ar-SA"/>
              </w:rPr>
              <w:t>签订合同携带的证明材料：委托代理人负责签订合同的，须携带授权委托书及委托代理人身份证原件等其他资格证件；法定代表人负责签订合同的，须携带法定代表人身份证明原件及身份证原件等其他证明材料。</w:t>
            </w:r>
          </w:p>
        </w:tc>
      </w:tr>
      <w:tr w14:paraId="261DF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85" w:type="dxa"/>
            <w:vAlign w:val="top"/>
          </w:tcPr>
          <w:p w14:paraId="21976BB6">
            <w:pPr>
              <w:keepNext w:val="0"/>
              <w:keepLines w:val="0"/>
              <w:pageBreakBefore w:val="0"/>
              <w:wordWrap/>
              <w:overflowPunct/>
              <w:topLinePunct w:val="0"/>
              <w:bidi w:val="0"/>
              <w:spacing w:line="440" w:lineRule="exact"/>
              <w:rPr>
                <w:rFonts w:ascii="Arial"/>
                <w:color w:val="auto"/>
                <w:sz w:val="21"/>
                <w:highlight w:val="none"/>
              </w:rPr>
            </w:pPr>
          </w:p>
          <w:p w14:paraId="26CCD2DC">
            <w:pPr>
              <w:keepNext w:val="0"/>
              <w:keepLines w:val="0"/>
              <w:pageBreakBefore w:val="0"/>
              <w:wordWrap/>
              <w:overflowPunct/>
              <w:topLinePunct w:val="0"/>
              <w:bidi w:val="0"/>
              <w:spacing w:line="440" w:lineRule="exact"/>
              <w:rPr>
                <w:rFonts w:ascii="Arial"/>
                <w:color w:val="auto"/>
                <w:sz w:val="21"/>
                <w:highlight w:val="none"/>
              </w:rPr>
            </w:pPr>
          </w:p>
          <w:p w14:paraId="4B70E75B">
            <w:pPr>
              <w:keepNext w:val="0"/>
              <w:keepLines w:val="0"/>
              <w:pageBreakBefore w:val="0"/>
              <w:wordWrap/>
              <w:overflowPunct/>
              <w:topLinePunct w:val="0"/>
              <w:bidi w:val="0"/>
              <w:spacing w:line="440" w:lineRule="exact"/>
              <w:rPr>
                <w:rFonts w:ascii="Arial"/>
                <w:color w:val="auto"/>
                <w:sz w:val="21"/>
                <w:highlight w:val="none"/>
              </w:rPr>
            </w:pPr>
          </w:p>
          <w:p w14:paraId="6A07D06E">
            <w:pPr>
              <w:pStyle w:val="13"/>
              <w:keepNext w:val="0"/>
              <w:keepLines w:val="0"/>
              <w:pageBreakBefore w:val="0"/>
              <w:wordWrap/>
              <w:overflowPunct/>
              <w:topLinePunct w:val="0"/>
              <w:bidi w:val="0"/>
              <w:spacing w:line="440" w:lineRule="exact"/>
              <w:ind w:left="248" w:leftChars="0"/>
              <w:rPr>
                <w:color w:val="auto"/>
                <w:spacing w:val="2"/>
                <w:highlight w:val="none"/>
              </w:rPr>
            </w:pPr>
            <w:r>
              <w:rPr>
                <w:color w:val="auto"/>
                <w:spacing w:val="2"/>
                <w:highlight w:val="none"/>
              </w:rPr>
              <w:t>38.2</w:t>
            </w:r>
          </w:p>
        </w:tc>
        <w:tc>
          <w:tcPr>
            <w:tcW w:w="8430" w:type="dxa"/>
            <w:vAlign w:val="top"/>
          </w:tcPr>
          <w:p w14:paraId="3BDCD491">
            <w:pPr>
              <w:pStyle w:val="13"/>
              <w:keepNext w:val="0"/>
              <w:keepLines w:val="0"/>
              <w:pageBreakBefore w:val="0"/>
              <w:wordWrap/>
              <w:overflowPunct/>
              <w:topLinePunct w:val="0"/>
              <w:bidi w:val="0"/>
              <w:spacing w:line="440" w:lineRule="exact"/>
              <w:ind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接收质疑函方式： 以书面形式</w:t>
            </w:r>
          </w:p>
          <w:p w14:paraId="6ABC96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质疑联系部门及联系方式：</w:t>
            </w:r>
            <w:r>
              <w:rPr>
                <w:rFonts w:hint="eastAsia" w:ascii="宋体" w:hAnsi="宋体" w:eastAsia="宋体" w:cs="宋体"/>
                <w:snapToGrid/>
                <w:color w:val="auto"/>
                <w:kern w:val="2"/>
                <w:szCs w:val="21"/>
                <w:highlight w:val="none"/>
                <w:u w:val="single"/>
                <w:lang w:val="en-US" w:eastAsia="zh-CN"/>
              </w:rPr>
              <w:t>广西德胜工程项目管理有限公司</w:t>
            </w:r>
            <w:r>
              <w:rPr>
                <w:rFonts w:hint="eastAsia" w:ascii="宋体" w:hAnsi="宋体" w:eastAsia="宋体" w:cs="宋体"/>
                <w:snapToGrid/>
                <w:color w:val="auto"/>
                <w:kern w:val="2"/>
                <w:szCs w:val="21"/>
                <w:highlight w:val="none"/>
                <w:lang w:val="en-US" w:eastAsia="zh-CN"/>
              </w:rPr>
              <w:t>，联系电话：</w:t>
            </w:r>
            <w:r>
              <w:rPr>
                <w:rFonts w:hint="eastAsia" w:ascii="宋体" w:hAnsi="宋体" w:eastAsia="宋体" w:cs="宋体"/>
                <w:snapToGrid/>
                <w:color w:val="auto"/>
                <w:kern w:val="2"/>
                <w:szCs w:val="21"/>
                <w:highlight w:val="none"/>
                <w:u w:val="single"/>
                <w:lang w:val="en-US" w:eastAsia="zh-CN"/>
              </w:rPr>
              <w:t>0771-5709676</w:t>
            </w:r>
            <w:r>
              <w:rPr>
                <w:rFonts w:hint="eastAsia" w:ascii="宋体" w:hAnsi="宋体" w:eastAsia="宋体" w:cs="宋体"/>
                <w:snapToGrid/>
                <w:color w:val="auto"/>
                <w:kern w:val="2"/>
                <w:szCs w:val="21"/>
                <w:highlight w:val="none"/>
                <w:lang w:val="en-US" w:eastAsia="zh-CN"/>
              </w:rPr>
              <w:t>，</w:t>
            </w:r>
          </w:p>
          <w:p w14:paraId="7730E4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通讯地址：</w:t>
            </w:r>
            <w:r>
              <w:rPr>
                <w:rFonts w:hint="eastAsia" w:ascii="宋体" w:hAnsi="宋体" w:eastAsia="宋体" w:cs="宋体"/>
                <w:snapToGrid/>
                <w:color w:val="auto"/>
                <w:kern w:val="2"/>
                <w:szCs w:val="21"/>
                <w:highlight w:val="none"/>
                <w:u w:val="single"/>
                <w:lang w:val="en-US" w:eastAsia="zh-CN"/>
              </w:rPr>
              <w:t>广西南宁市经开区盘岭路1号J栋J-12号</w:t>
            </w:r>
            <w:r>
              <w:rPr>
                <w:rFonts w:hint="eastAsia" w:ascii="宋体" w:hAnsi="宋体" w:eastAsia="宋体" w:cs="宋体"/>
                <w:snapToGrid/>
                <w:color w:val="auto"/>
                <w:kern w:val="2"/>
                <w:szCs w:val="21"/>
                <w:highlight w:val="none"/>
                <w:lang w:val="en-US" w:eastAsia="zh-CN"/>
              </w:rPr>
              <w:t>。</w:t>
            </w:r>
          </w:p>
          <w:p w14:paraId="70EDB5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snapToGrid/>
                <w:color w:val="auto"/>
                <w:kern w:val="2"/>
                <w:szCs w:val="21"/>
                <w:highlight w:val="none"/>
                <w:lang w:val="en-US" w:eastAsia="zh-CN"/>
              </w:rPr>
              <w:t>现场提交质疑办理业务时间：工作日每天上午9时00分到12时00分，下午3时00分到6时00 分，业务时间以外、双休日和法定节假日不办理业务。</w:t>
            </w:r>
          </w:p>
        </w:tc>
      </w:tr>
      <w:tr w14:paraId="0AD7D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85" w:type="dxa"/>
            <w:vAlign w:val="top"/>
          </w:tcPr>
          <w:p w14:paraId="5F27D0C9">
            <w:pPr>
              <w:keepNext w:val="0"/>
              <w:keepLines w:val="0"/>
              <w:pageBreakBefore w:val="0"/>
              <w:wordWrap/>
              <w:overflowPunct/>
              <w:topLinePunct w:val="0"/>
              <w:bidi w:val="0"/>
              <w:spacing w:line="440" w:lineRule="exact"/>
              <w:rPr>
                <w:rFonts w:ascii="Arial"/>
                <w:color w:val="auto"/>
                <w:sz w:val="21"/>
                <w:highlight w:val="none"/>
              </w:rPr>
            </w:pPr>
          </w:p>
          <w:p w14:paraId="426A2C77">
            <w:pPr>
              <w:pStyle w:val="13"/>
              <w:keepNext w:val="0"/>
              <w:keepLines w:val="0"/>
              <w:pageBreakBefore w:val="0"/>
              <w:wordWrap/>
              <w:overflowPunct/>
              <w:topLinePunct w:val="0"/>
              <w:bidi w:val="0"/>
              <w:spacing w:line="440" w:lineRule="exact"/>
              <w:ind w:left="248" w:leftChars="0"/>
              <w:rPr>
                <w:color w:val="auto"/>
                <w:spacing w:val="2"/>
                <w:highlight w:val="none"/>
              </w:rPr>
            </w:pPr>
            <w:r>
              <w:rPr>
                <w:color w:val="auto"/>
                <w:spacing w:val="2"/>
                <w:highlight w:val="none"/>
              </w:rPr>
              <w:t>38.5</w:t>
            </w:r>
          </w:p>
        </w:tc>
        <w:tc>
          <w:tcPr>
            <w:tcW w:w="8430" w:type="dxa"/>
            <w:vAlign w:val="top"/>
          </w:tcPr>
          <w:p w14:paraId="1A51536F">
            <w:pPr>
              <w:pStyle w:val="13"/>
              <w:keepNext w:val="0"/>
              <w:keepLines w:val="0"/>
              <w:pageBreakBefore w:val="0"/>
              <w:wordWrap/>
              <w:overflowPunct/>
              <w:topLinePunct w:val="0"/>
              <w:bidi w:val="0"/>
              <w:spacing w:line="440" w:lineRule="exact"/>
              <w:ind w:left="126"/>
              <w:rPr>
                <w:color w:val="auto"/>
                <w:sz w:val="21"/>
                <w:szCs w:val="21"/>
                <w:highlight w:val="none"/>
              </w:rPr>
            </w:pPr>
            <w:r>
              <w:rPr>
                <w:color w:val="auto"/>
                <w:spacing w:val="8"/>
                <w:sz w:val="21"/>
                <w:szCs w:val="21"/>
                <w:highlight w:val="none"/>
              </w:rPr>
              <w:t>1.受理方式：纸质方式受理，投诉书正、副本（经过质疑的事项才可投诉）。</w:t>
            </w:r>
          </w:p>
          <w:p w14:paraId="0DCD85A1">
            <w:pPr>
              <w:pStyle w:val="13"/>
              <w:keepNext w:val="0"/>
              <w:keepLines w:val="0"/>
              <w:pageBreakBefore w:val="0"/>
              <w:wordWrap/>
              <w:overflowPunct/>
              <w:topLinePunct w:val="0"/>
              <w:bidi w:val="0"/>
              <w:spacing w:line="440" w:lineRule="exact"/>
              <w:ind w:left="113" w:leftChars="0"/>
              <w:rPr>
                <w:color w:val="auto"/>
                <w:spacing w:val="10"/>
                <w:highlight w:val="none"/>
              </w:rPr>
            </w:pPr>
            <w:r>
              <w:rPr>
                <w:color w:val="auto"/>
                <w:spacing w:val="8"/>
                <w:sz w:val="21"/>
                <w:szCs w:val="21"/>
                <w:highlight w:val="none"/>
              </w:rPr>
              <w:t>2.监督部门联系方式：广西壮族自治区财政厅政府采购监督管理处 0771-5331810</w:t>
            </w:r>
          </w:p>
        </w:tc>
      </w:tr>
      <w:tr w14:paraId="5FCB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5" w:type="dxa"/>
            <w:vAlign w:val="top"/>
          </w:tcPr>
          <w:p w14:paraId="72CF703F">
            <w:pPr>
              <w:keepNext w:val="0"/>
              <w:keepLines w:val="0"/>
              <w:pageBreakBefore w:val="0"/>
              <w:wordWrap/>
              <w:overflowPunct/>
              <w:topLinePunct w:val="0"/>
              <w:bidi w:val="0"/>
              <w:spacing w:line="440" w:lineRule="exact"/>
              <w:rPr>
                <w:rFonts w:ascii="Arial"/>
                <w:color w:val="auto"/>
                <w:sz w:val="21"/>
                <w:highlight w:val="none"/>
              </w:rPr>
            </w:pPr>
          </w:p>
          <w:p w14:paraId="7C0613CC">
            <w:pPr>
              <w:keepNext w:val="0"/>
              <w:keepLines w:val="0"/>
              <w:pageBreakBefore w:val="0"/>
              <w:wordWrap/>
              <w:overflowPunct/>
              <w:topLinePunct w:val="0"/>
              <w:bidi w:val="0"/>
              <w:spacing w:line="440" w:lineRule="exact"/>
              <w:rPr>
                <w:rFonts w:ascii="Arial"/>
                <w:color w:val="auto"/>
                <w:sz w:val="21"/>
                <w:highlight w:val="none"/>
              </w:rPr>
            </w:pPr>
          </w:p>
          <w:p w14:paraId="59AFCF69">
            <w:pPr>
              <w:keepNext w:val="0"/>
              <w:keepLines w:val="0"/>
              <w:pageBreakBefore w:val="0"/>
              <w:wordWrap/>
              <w:overflowPunct/>
              <w:topLinePunct w:val="0"/>
              <w:bidi w:val="0"/>
              <w:spacing w:line="440" w:lineRule="exact"/>
              <w:rPr>
                <w:rFonts w:ascii="Arial"/>
                <w:color w:val="auto"/>
                <w:sz w:val="21"/>
                <w:highlight w:val="none"/>
              </w:rPr>
            </w:pPr>
          </w:p>
          <w:p w14:paraId="0EA3C5C7">
            <w:pPr>
              <w:pStyle w:val="13"/>
              <w:keepNext w:val="0"/>
              <w:keepLines w:val="0"/>
              <w:pageBreakBefore w:val="0"/>
              <w:wordWrap/>
              <w:overflowPunct/>
              <w:topLinePunct w:val="0"/>
              <w:bidi w:val="0"/>
              <w:spacing w:line="440" w:lineRule="exact"/>
              <w:ind w:left="248" w:leftChars="0"/>
              <w:rPr>
                <w:color w:val="auto"/>
                <w:spacing w:val="2"/>
                <w:highlight w:val="none"/>
              </w:rPr>
            </w:pPr>
          </w:p>
          <w:p w14:paraId="019306EF">
            <w:pPr>
              <w:pStyle w:val="13"/>
              <w:keepNext w:val="0"/>
              <w:keepLines w:val="0"/>
              <w:pageBreakBefore w:val="0"/>
              <w:wordWrap/>
              <w:overflowPunct/>
              <w:topLinePunct w:val="0"/>
              <w:bidi w:val="0"/>
              <w:spacing w:line="440" w:lineRule="exact"/>
              <w:ind w:left="248" w:leftChars="0"/>
              <w:rPr>
                <w:color w:val="auto"/>
                <w:spacing w:val="2"/>
                <w:highlight w:val="none"/>
              </w:rPr>
            </w:pPr>
            <w:r>
              <w:rPr>
                <w:color w:val="auto"/>
                <w:spacing w:val="2"/>
                <w:highlight w:val="none"/>
              </w:rPr>
              <w:t>39.1</w:t>
            </w:r>
          </w:p>
        </w:tc>
        <w:tc>
          <w:tcPr>
            <w:tcW w:w="8430" w:type="dxa"/>
            <w:vAlign w:val="top"/>
          </w:tcPr>
          <w:p w14:paraId="45200E6B">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1.采购代理费支付方式：</w:t>
            </w:r>
          </w:p>
          <w:p w14:paraId="37EF0B6F">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本项目代理服务费由</w:t>
            </w:r>
            <w:r>
              <w:rPr>
                <w:rFonts w:hint="eastAsia" w:ascii="宋体" w:hAnsi="宋体" w:eastAsia="宋体" w:cs="宋体"/>
                <w:snapToGrid/>
                <w:color w:val="auto"/>
                <w:kern w:val="2"/>
                <w:sz w:val="21"/>
                <w:szCs w:val="21"/>
                <w:highlight w:val="none"/>
                <w:u w:val="single"/>
                <w:lang w:val="en-US" w:eastAsia="zh-CN" w:bidi="ar-SA"/>
              </w:rPr>
              <w:t>中标人</w:t>
            </w:r>
            <w:r>
              <w:rPr>
                <w:rFonts w:hint="eastAsia" w:ascii="宋体" w:hAnsi="宋体" w:eastAsia="宋体" w:cs="宋体"/>
                <w:snapToGrid/>
                <w:color w:val="auto"/>
                <w:kern w:val="2"/>
                <w:sz w:val="21"/>
                <w:szCs w:val="21"/>
                <w:highlight w:val="none"/>
                <w:lang w:val="en-US" w:eastAsia="zh-CN" w:bidi="ar-SA"/>
              </w:rPr>
              <w:t>在领取中标通知书前，一次性向采购代理机构支付。</w:t>
            </w:r>
          </w:p>
          <w:p w14:paraId="5D7C9877">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2.采购代理费收取标准：</w:t>
            </w:r>
          </w:p>
          <w:p w14:paraId="26168BDA">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☑以分包 (☑中标金额/□采购预算/□暂定中标金额/□其他）为计费额，参照《计价格 〔2002〕1980 号》和《发改办价格[2003]857 号》规定的收费计算标准 (□货物招标/☑ 服务招标/□工程招标）采用差额定率累进法计算出收费基准价格，采购代理收费以 (☑收费基准价格/□收费基准价格下浮%/□收费基准价格上浮 %）收取。</w:t>
            </w:r>
          </w:p>
          <w:p w14:paraId="23A2A8D9">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 3.采购代理费收取银行账户：</w:t>
            </w:r>
          </w:p>
          <w:p w14:paraId="737A2852">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账户名称：广西德胜工程项目管理有限公司</w:t>
            </w:r>
          </w:p>
          <w:p w14:paraId="6F4BA4E4">
            <w:pPr>
              <w:pStyle w:val="13"/>
              <w:keepNext w:val="0"/>
              <w:keepLines w:val="0"/>
              <w:pageBreakBefore w:val="0"/>
              <w:wordWrap/>
              <w:overflowPunct/>
              <w:topLinePunct w:val="0"/>
              <w:bidi w:val="0"/>
              <w:spacing w:line="440" w:lineRule="exact"/>
              <w:ind w:left="110" w:leftChars="0" w:right="108" w:rightChars="0"/>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开户银行：工商银行南宁市经开区支行</w:t>
            </w:r>
          </w:p>
          <w:p w14:paraId="19F30D2D">
            <w:pPr>
              <w:pStyle w:val="13"/>
              <w:keepNext w:val="0"/>
              <w:keepLines w:val="0"/>
              <w:pageBreakBefore w:val="0"/>
              <w:wordWrap/>
              <w:overflowPunct/>
              <w:topLinePunct w:val="0"/>
              <w:bidi w:val="0"/>
              <w:spacing w:line="440" w:lineRule="exact"/>
              <w:ind w:left="110" w:leftChars="0" w:right="108" w:rightChars="0"/>
              <w:jc w:val="both"/>
              <w:rPr>
                <w:color w:val="auto"/>
                <w:spacing w:val="8"/>
                <w:highlight w:val="none"/>
              </w:rPr>
            </w:pPr>
            <w:r>
              <w:rPr>
                <w:rFonts w:hint="eastAsia" w:ascii="宋体" w:hAnsi="宋体" w:eastAsia="宋体" w:cs="宋体"/>
                <w:snapToGrid/>
                <w:color w:val="auto"/>
                <w:kern w:val="2"/>
                <w:sz w:val="21"/>
                <w:szCs w:val="21"/>
                <w:highlight w:val="none"/>
                <w:lang w:val="en-US" w:eastAsia="zh-CN" w:bidi="ar-SA"/>
              </w:rPr>
              <w:t>银行账号：2102 1106 1910 0012 311</w:t>
            </w:r>
          </w:p>
        </w:tc>
      </w:tr>
      <w:tr w14:paraId="32DF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85" w:type="dxa"/>
            <w:vAlign w:val="top"/>
          </w:tcPr>
          <w:p w14:paraId="3DE25A39">
            <w:pPr>
              <w:keepNext w:val="0"/>
              <w:keepLines w:val="0"/>
              <w:pageBreakBefore w:val="0"/>
              <w:wordWrap/>
              <w:overflowPunct/>
              <w:topLinePunct w:val="0"/>
              <w:bidi w:val="0"/>
              <w:spacing w:line="440" w:lineRule="exact"/>
              <w:rPr>
                <w:rFonts w:ascii="Arial"/>
                <w:color w:val="auto"/>
                <w:sz w:val="21"/>
                <w:highlight w:val="none"/>
              </w:rPr>
            </w:pPr>
          </w:p>
          <w:p w14:paraId="0E6FD35F">
            <w:pPr>
              <w:keepNext w:val="0"/>
              <w:keepLines w:val="0"/>
              <w:pageBreakBefore w:val="0"/>
              <w:wordWrap/>
              <w:overflowPunct/>
              <w:topLinePunct w:val="0"/>
              <w:bidi w:val="0"/>
              <w:spacing w:line="440" w:lineRule="exact"/>
              <w:rPr>
                <w:rFonts w:ascii="Arial"/>
                <w:color w:val="auto"/>
                <w:sz w:val="21"/>
                <w:highlight w:val="none"/>
              </w:rPr>
            </w:pPr>
          </w:p>
          <w:p w14:paraId="32FE69B0">
            <w:pPr>
              <w:keepNext w:val="0"/>
              <w:keepLines w:val="0"/>
              <w:pageBreakBefore w:val="0"/>
              <w:wordWrap/>
              <w:overflowPunct/>
              <w:topLinePunct w:val="0"/>
              <w:bidi w:val="0"/>
              <w:spacing w:line="440" w:lineRule="exact"/>
              <w:rPr>
                <w:rFonts w:ascii="Arial"/>
                <w:color w:val="auto"/>
                <w:sz w:val="21"/>
                <w:highlight w:val="none"/>
              </w:rPr>
            </w:pPr>
          </w:p>
          <w:p w14:paraId="3083823C">
            <w:pPr>
              <w:keepNext w:val="0"/>
              <w:keepLines w:val="0"/>
              <w:pageBreakBefore w:val="0"/>
              <w:wordWrap/>
              <w:overflowPunct/>
              <w:topLinePunct w:val="0"/>
              <w:bidi w:val="0"/>
              <w:spacing w:line="440" w:lineRule="exact"/>
              <w:rPr>
                <w:rFonts w:ascii="Arial"/>
                <w:color w:val="auto"/>
                <w:sz w:val="21"/>
                <w:highlight w:val="none"/>
              </w:rPr>
            </w:pPr>
          </w:p>
          <w:p w14:paraId="0D9B986F">
            <w:pPr>
              <w:keepNext w:val="0"/>
              <w:keepLines w:val="0"/>
              <w:pageBreakBefore w:val="0"/>
              <w:wordWrap/>
              <w:overflowPunct/>
              <w:topLinePunct w:val="0"/>
              <w:bidi w:val="0"/>
              <w:spacing w:line="440" w:lineRule="exact"/>
              <w:rPr>
                <w:rFonts w:ascii="Arial"/>
                <w:color w:val="auto"/>
                <w:sz w:val="21"/>
                <w:highlight w:val="none"/>
              </w:rPr>
            </w:pPr>
          </w:p>
          <w:p w14:paraId="5324391C">
            <w:pPr>
              <w:keepNext w:val="0"/>
              <w:keepLines w:val="0"/>
              <w:pageBreakBefore w:val="0"/>
              <w:wordWrap/>
              <w:overflowPunct/>
              <w:topLinePunct w:val="0"/>
              <w:bidi w:val="0"/>
              <w:spacing w:line="440" w:lineRule="exact"/>
              <w:rPr>
                <w:rFonts w:ascii="Arial"/>
                <w:color w:val="auto"/>
                <w:sz w:val="21"/>
                <w:highlight w:val="none"/>
              </w:rPr>
            </w:pPr>
          </w:p>
          <w:p w14:paraId="3967E8F1">
            <w:pPr>
              <w:keepNext w:val="0"/>
              <w:keepLines w:val="0"/>
              <w:pageBreakBefore w:val="0"/>
              <w:wordWrap/>
              <w:overflowPunct/>
              <w:topLinePunct w:val="0"/>
              <w:bidi w:val="0"/>
              <w:spacing w:line="440" w:lineRule="exact"/>
              <w:rPr>
                <w:rFonts w:ascii="Arial"/>
                <w:color w:val="auto"/>
                <w:sz w:val="21"/>
                <w:highlight w:val="none"/>
              </w:rPr>
            </w:pPr>
          </w:p>
          <w:p w14:paraId="56A1C045">
            <w:pPr>
              <w:pStyle w:val="13"/>
              <w:keepNext w:val="0"/>
              <w:keepLines w:val="0"/>
              <w:pageBreakBefore w:val="0"/>
              <w:wordWrap/>
              <w:overflowPunct/>
              <w:topLinePunct w:val="0"/>
              <w:bidi w:val="0"/>
              <w:spacing w:line="440" w:lineRule="exact"/>
              <w:ind w:left="243" w:leftChars="0"/>
              <w:rPr>
                <w:color w:val="auto"/>
                <w:spacing w:val="2"/>
                <w:highlight w:val="none"/>
              </w:rPr>
            </w:pPr>
            <w:r>
              <w:rPr>
                <w:color w:val="auto"/>
                <w:spacing w:val="3"/>
                <w:highlight w:val="none"/>
              </w:rPr>
              <w:t>40.1</w:t>
            </w:r>
          </w:p>
        </w:tc>
        <w:tc>
          <w:tcPr>
            <w:tcW w:w="8430" w:type="dxa"/>
            <w:vAlign w:val="top"/>
          </w:tcPr>
          <w:p w14:paraId="2B45AE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解释：构成本招标文件的各个组成文件应互为解释，互为说明；除招标文件中有特别规定 外，仅适用于招标投标阶段的规定，按更正公告（澄清公告）、招标公告、采购需求、投 标人须知、评标方法及评标标准、拟签订的合同文本、投标文件格式的先后顺序解释；同 一组成文件中就同一事项的规定或者约定不一致的，以编排顺序在后者为准；同一组成文 件不同版本之间有不一致的，以形成时间在后者为准；更正公告（澄清公告）与同步更新 的招标文件不一致时以更正公告（澄清公告）为准。按本款前述规定仍不能形成结论的， 由采购人或者采购代理机构负责解释。</w:t>
            </w:r>
          </w:p>
          <w:p w14:paraId="2680D1A8">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spacing w:val="8"/>
                <w:highlight w:val="none"/>
              </w:rPr>
            </w:pPr>
            <w:r>
              <w:rPr>
                <w:rFonts w:hint="eastAsia" w:ascii="宋体" w:hAnsi="宋体" w:eastAsia="宋体" w:cs="宋体"/>
                <w:snapToGrid/>
                <w:color w:val="auto"/>
                <w:kern w:val="2"/>
                <w:szCs w:val="21"/>
                <w:highlight w:val="none"/>
                <w:lang w:val="en-US" w:eastAsia="zh-CN"/>
              </w:rPr>
              <w:t>法律责任：本采购文件根据《中华人民共和国政府采购法》、《中华人民共和国民法典》； 《中华人民共和国政府采购法实施条例》等有关法律法规编制，参与本项目的各政府采购  当事人依法享有上述法律法规所赋予的权利与义务。</w:t>
            </w:r>
          </w:p>
        </w:tc>
      </w:tr>
      <w:tr w14:paraId="59E1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85" w:type="dxa"/>
            <w:vAlign w:val="top"/>
          </w:tcPr>
          <w:p w14:paraId="7AB47951">
            <w:pPr>
              <w:keepNext w:val="0"/>
              <w:keepLines w:val="0"/>
              <w:pageBreakBefore w:val="0"/>
              <w:wordWrap/>
              <w:overflowPunct/>
              <w:topLinePunct w:val="0"/>
              <w:bidi w:val="0"/>
              <w:spacing w:line="440" w:lineRule="exact"/>
              <w:rPr>
                <w:rFonts w:ascii="Arial"/>
                <w:color w:val="auto"/>
                <w:sz w:val="21"/>
                <w:highlight w:val="none"/>
              </w:rPr>
            </w:pPr>
          </w:p>
          <w:p w14:paraId="7AC1B741">
            <w:pPr>
              <w:keepNext w:val="0"/>
              <w:keepLines w:val="0"/>
              <w:pageBreakBefore w:val="0"/>
              <w:wordWrap/>
              <w:overflowPunct/>
              <w:topLinePunct w:val="0"/>
              <w:bidi w:val="0"/>
              <w:spacing w:line="440" w:lineRule="exact"/>
              <w:rPr>
                <w:rFonts w:ascii="Arial"/>
                <w:color w:val="auto"/>
                <w:sz w:val="21"/>
                <w:highlight w:val="none"/>
              </w:rPr>
            </w:pPr>
          </w:p>
          <w:p w14:paraId="63C76FE5">
            <w:pPr>
              <w:keepNext w:val="0"/>
              <w:keepLines w:val="0"/>
              <w:pageBreakBefore w:val="0"/>
              <w:wordWrap/>
              <w:overflowPunct/>
              <w:topLinePunct w:val="0"/>
              <w:bidi w:val="0"/>
              <w:spacing w:line="440" w:lineRule="exact"/>
              <w:rPr>
                <w:rFonts w:ascii="Arial"/>
                <w:color w:val="auto"/>
                <w:sz w:val="21"/>
                <w:highlight w:val="none"/>
              </w:rPr>
            </w:pPr>
          </w:p>
          <w:p w14:paraId="68BB238D">
            <w:pPr>
              <w:keepNext w:val="0"/>
              <w:keepLines w:val="0"/>
              <w:pageBreakBefore w:val="0"/>
              <w:wordWrap/>
              <w:overflowPunct/>
              <w:topLinePunct w:val="0"/>
              <w:bidi w:val="0"/>
              <w:spacing w:line="440" w:lineRule="exact"/>
              <w:rPr>
                <w:rFonts w:ascii="Arial"/>
                <w:color w:val="auto"/>
                <w:sz w:val="21"/>
                <w:highlight w:val="none"/>
              </w:rPr>
            </w:pPr>
          </w:p>
          <w:p w14:paraId="5B86BA18">
            <w:pPr>
              <w:keepNext w:val="0"/>
              <w:keepLines w:val="0"/>
              <w:pageBreakBefore w:val="0"/>
              <w:wordWrap/>
              <w:overflowPunct/>
              <w:topLinePunct w:val="0"/>
              <w:bidi w:val="0"/>
              <w:spacing w:line="440" w:lineRule="exact"/>
              <w:rPr>
                <w:rFonts w:ascii="Arial"/>
                <w:color w:val="auto"/>
                <w:sz w:val="21"/>
                <w:highlight w:val="none"/>
              </w:rPr>
            </w:pPr>
          </w:p>
          <w:p w14:paraId="1F50794E">
            <w:pPr>
              <w:keepNext w:val="0"/>
              <w:keepLines w:val="0"/>
              <w:pageBreakBefore w:val="0"/>
              <w:wordWrap/>
              <w:overflowPunct/>
              <w:topLinePunct w:val="0"/>
              <w:bidi w:val="0"/>
              <w:spacing w:line="440" w:lineRule="exact"/>
              <w:rPr>
                <w:rFonts w:ascii="Arial"/>
                <w:color w:val="auto"/>
                <w:sz w:val="21"/>
                <w:highlight w:val="none"/>
              </w:rPr>
            </w:pPr>
          </w:p>
          <w:p w14:paraId="4F7560ED">
            <w:pPr>
              <w:keepNext w:val="0"/>
              <w:keepLines w:val="0"/>
              <w:pageBreakBefore w:val="0"/>
              <w:wordWrap/>
              <w:overflowPunct/>
              <w:topLinePunct w:val="0"/>
              <w:bidi w:val="0"/>
              <w:spacing w:line="440" w:lineRule="exact"/>
              <w:rPr>
                <w:rFonts w:ascii="Arial"/>
                <w:color w:val="auto"/>
                <w:sz w:val="21"/>
                <w:highlight w:val="none"/>
              </w:rPr>
            </w:pPr>
          </w:p>
          <w:p w14:paraId="4BAA93CE">
            <w:pPr>
              <w:keepNext w:val="0"/>
              <w:keepLines w:val="0"/>
              <w:pageBreakBefore w:val="0"/>
              <w:wordWrap/>
              <w:overflowPunct/>
              <w:topLinePunct w:val="0"/>
              <w:bidi w:val="0"/>
              <w:spacing w:line="440" w:lineRule="exact"/>
              <w:rPr>
                <w:rFonts w:ascii="Arial"/>
                <w:color w:val="auto"/>
                <w:sz w:val="21"/>
                <w:highlight w:val="none"/>
              </w:rPr>
            </w:pPr>
          </w:p>
          <w:p w14:paraId="079CF62E">
            <w:pPr>
              <w:keepNext w:val="0"/>
              <w:keepLines w:val="0"/>
              <w:pageBreakBefore w:val="0"/>
              <w:wordWrap/>
              <w:overflowPunct/>
              <w:topLinePunct w:val="0"/>
              <w:bidi w:val="0"/>
              <w:spacing w:line="440" w:lineRule="exact"/>
              <w:rPr>
                <w:rFonts w:ascii="Arial"/>
                <w:color w:val="auto"/>
                <w:sz w:val="21"/>
                <w:highlight w:val="none"/>
              </w:rPr>
            </w:pPr>
          </w:p>
          <w:p w14:paraId="15DEDA8C">
            <w:pPr>
              <w:keepNext w:val="0"/>
              <w:keepLines w:val="0"/>
              <w:pageBreakBefore w:val="0"/>
              <w:wordWrap/>
              <w:overflowPunct/>
              <w:topLinePunct w:val="0"/>
              <w:bidi w:val="0"/>
              <w:spacing w:line="440" w:lineRule="exact"/>
              <w:rPr>
                <w:rFonts w:ascii="Arial"/>
                <w:color w:val="auto"/>
                <w:sz w:val="21"/>
                <w:highlight w:val="none"/>
              </w:rPr>
            </w:pPr>
          </w:p>
          <w:p w14:paraId="689F4C7A">
            <w:pPr>
              <w:keepNext w:val="0"/>
              <w:keepLines w:val="0"/>
              <w:pageBreakBefore w:val="0"/>
              <w:wordWrap/>
              <w:overflowPunct/>
              <w:topLinePunct w:val="0"/>
              <w:bidi w:val="0"/>
              <w:spacing w:line="440" w:lineRule="exact"/>
              <w:rPr>
                <w:rFonts w:ascii="Arial"/>
                <w:color w:val="auto"/>
                <w:sz w:val="21"/>
                <w:highlight w:val="none"/>
              </w:rPr>
            </w:pPr>
          </w:p>
          <w:p w14:paraId="0E6739CA">
            <w:pPr>
              <w:keepNext w:val="0"/>
              <w:keepLines w:val="0"/>
              <w:pageBreakBefore w:val="0"/>
              <w:wordWrap/>
              <w:overflowPunct/>
              <w:topLinePunct w:val="0"/>
              <w:bidi w:val="0"/>
              <w:spacing w:line="440" w:lineRule="exact"/>
              <w:rPr>
                <w:rFonts w:ascii="Arial"/>
                <w:color w:val="auto"/>
                <w:sz w:val="21"/>
                <w:highlight w:val="none"/>
              </w:rPr>
            </w:pPr>
          </w:p>
          <w:p w14:paraId="1D70E937">
            <w:pPr>
              <w:keepNext w:val="0"/>
              <w:keepLines w:val="0"/>
              <w:pageBreakBefore w:val="0"/>
              <w:wordWrap/>
              <w:overflowPunct/>
              <w:topLinePunct w:val="0"/>
              <w:bidi w:val="0"/>
              <w:spacing w:line="440" w:lineRule="exact"/>
              <w:rPr>
                <w:rFonts w:ascii="Arial"/>
                <w:color w:val="auto"/>
                <w:sz w:val="21"/>
                <w:highlight w:val="none"/>
              </w:rPr>
            </w:pPr>
          </w:p>
          <w:p w14:paraId="16C9923D">
            <w:pPr>
              <w:pStyle w:val="13"/>
              <w:keepNext w:val="0"/>
              <w:keepLines w:val="0"/>
              <w:pageBreakBefore w:val="0"/>
              <w:wordWrap/>
              <w:overflowPunct/>
              <w:topLinePunct w:val="0"/>
              <w:bidi w:val="0"/>
              <w:spacing w:line="440" w:lineRule="exact"/>
              <w:ind w:left="243" w:leftChars="0"/>
              <w:rPr>
                <w:color w:val="auto"/>
                <w:spacing w:val="2"/>
                <w:highlight w:val="none"/>
              </w:rPr>
            </w:pPr>
            <w:r>
              <w:rPr>
                <w:color w:val="auto"/>
                <w:spacing w:val="3"/>
                <w:highlight w:val="none"/>
              </w:rPr>
              <w:t>40.2</w:t>
            </w:r>
          </w:p>
        </w:tc>
        <w:tc>
          <w:tcPr>
            <w:tcW w:w="8430" w:type="dxa"/>
            <w:vAlign w:val="top"/>
          </w:tcPr>
          <w:p w14:paraId="7E9D5B0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1.本招标文件中描述投标人的“公章 ”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BF9D5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2.本招标文件所称的“电子签章”、“ 电子签名 ”，是指经广西政府采购云平台认可的 CA 认证的电子签名数据为表现形式的印章，可用于签署电子投标文件，电子印章与实物印章具有同等法律效力，不因其采用电子化表现形式而否定其法律效力。</w:t>
            </w:r>
          </w:p>
          <w:p w14:paraId="68FB9C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3.投标人为其他组织或者自然人时，本招标文件规定的法定代表人指负责人或者自然人。 本招标文件所称负责人是指参加投标的其他组织营业执照或者执业许可证等证照上的负责人，本招标文件所称自然人指参与投标的自然人本人，且应具备独立承担民事责任能力， 自然人应当为年满 18 岁以上成年人（十六周岁以上的未成年人，以自己的劳动收入为主 要生活来源的，视为完全民事行为能力人）。</w:t>
            </w:r>
          </w:p>
          <w:p w14:paraId="502F405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4.本招标文件中描述投标人的“签字 ”是指投标人的法定代表人或者委托代理人亲自在文件规定签字处亲笔写上个人的名字的行为，私章、签字章、印鉴、影印等其他形式均不能代替亲笔签字。</w:t>
            </w:r>
          </w:p>
          <w:p w14:paraId="31BC1CE6">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spacing w:val="8"/>
                <w:highlight w:val="none"/>
              </w:rPr>
            </w:pPr>
            <w:r>
              <w:rPr>
                <w:rFonts w:hint="eastAsia" w:ascii="宋体" w:hAnsi="宋体" w:eastAsia="宋体" w:cs="宋体"/>
                <w:snapToGrid/>
                <w:color w:val="auto"/>
                <w:kern w:val="2"/>
                <w:szCs w:val="21"/>
                <w:highlight w:val="none"/>
                <w:lang w:val="en-US" w:eastAsia="zh-CN"/>
              </w:rPr>
              <w:t>5.本招标文件所称的“ 以上 ”“以下 ”“以内 ”“届满 ”，包括本数；所称的“不满 ”“超过 ”“ 以外 ”，不包括本数。</w:t>
            </w:r>
          </w:p>
        </w:tc>
      </w:tr>
    </w:tbl>
    <w:p w14:paraId="44C8E36B">
      <w:pPr>
        <w:rPr>
          <w:rFonts w:ascii="Arial" w:hAnsi="Arial" w:eastAsia="Arial" w:cs="Arial"/>
          <w:color w:val="auto"/>
          <w:sz w:val="21"/>
          <w:szCs w:val="21"/>
          <w:highlight w:val="none"/>
        </w:rPr>
        <w:sectPr>
          <w:footerReference r:id="rId17" w:type="default"/>
          <w:pgSz w:w="11906" w:h="16839"/>
          <w:pgMar w:top="1474" w:right="1247" w:bottom="1474" w:left="1474" w:header="0" w:footer="677" w:gutter="0"/>
          <w:pgNumType w:fmt="decimal"/>
          <w:cols w:space="720" w:num="1"/>
        </w:sectPr>
      </w:pPr>
    </w:p>
    <w:p w14:paraId="5771E525">
      <w:pPr>
        <w:pStyle w:val="8"/>
        <w:keepNext w:val="0"/>
        <w:keepLines w:val="0"/>
        <w:pageBreakBefore w:val="0"/>
        <w:wordWrap/>
        <w:overflowPunct/>
        <w:topLinePunct w:val="0"/>
        <w:bidi w:val="0"/>
        <w:spacing w:line="440" w:lineRule="exact"/>
        <w:ind w:left="3540"/>
        <w:rPr>
          <w:color w:val="auto"/>
          <w:highlight w:val="none"/>
        </w:rPr>
      </w:pPr>
      <w:bookmarkStart w:id="16" w:name="bookmark8"/>
      <w:bookmarkEnd w:id="16"/>
      <w:bookmarkStart w:id="17" w:name="bookmark7"/>
      <w:bookmarkEnd w:id="17"/>
      <w:r>
        <w:rPr>
          <w:b/>
          <w:bCs/>
          <w:color w:val="auto"/>
          <w:spacing w:val="5"/>
          <w:highlight w:val="none"/>
        </w:rPr>
        <w:t>投标人须知正文</w:t>
      </w:r>
    </w:p>
    <w:p w14:paraId="6FA4F38C">
      <w:pPr>
        <w:keepNext w:val="0"/>
        <w:keepLines w:val="0"/>
        <w:pageBreakBefore w:val="0"/>
        <w:wordWrap/>
        <w:overflowPunct/>
        <w:topLinePunct w:val="0"/>
        <w:bidi w:val="0"/>
        <w:spacing w:line="440" w:lineRule="exact"/>
        <w:rPr>
          <w:rFonts w:ascii="Arial"/>
          <w:color w:val="auto"/>
          <w:sz w:val="21"/>
          <w:highlight w:val="none"/>
        </w:rPr>
      </w:pPr>
    </w:p>
    <w:p w14:paraId="14077B31">
      <w:pPr>
        <w:pStyle w:val="8"/>
        <w:keepNext w:val="0"/>
        <w:keepLines w:val="0"/>
        <w:pageBreakBefore w:val="0"/>
        <w:wordWrap/>
        <w:overflowPunct/>
        <w:topLinePunct w:val="0"/>
        <w:bidi w:val="0"/>
        <w:spacing w:line="440" w:lineRule="exact"/>
        <w:ind w:left="4180"/>
        <w:outlineLvl w:val="1"/>
        <w:rPr>
          <w:color w:val="auto"/>
          <w:sz w:val="24"/>
          <w:szCs w:val="24"/>
          <w:highlight w:val="none"/>
        </w:rPr>
      </w:pPr>
      <w:r>
        <w:rPr>
          <w:b/>
          <w:bCs/>
          <w:color w:val="auto"/>
          <w:spacing w:val="-6"/>
          <w:sz w:val="24"/>
          <w:szCs w:val="24"/>
          <w:highlight w:val="none"/>
        </w:rPr>
        <w:t>一、总则</w:t>
      </w:r>
    </w:p>
    <w:p w14:paraId="7974B8C9">
      <w:pPr>
        <w:pStyle w:val="8"/>
        <w:keepNext w:val="0"/>
        <w:keepLines w:val="0"/>
        <w:pageBreakBefore w:val="0"/>
        <w:wordWrap/>
        <w:overflowPunct/>
        <w:topLinePunct w:val="0"/>
        <w:bidi w:val="0"/>
        <w:spacing w:line="440" w:lineRule="exact"/>
        <w:ind w:left="444"/>
        <w:outlineLvl w:val="2"/>
        <w:rPr>
          <w:b/>
          <w:bCs/>
          <w:color w:val="auto"/>
          <w:spacing w:val="2"/>
          <w:sz w:val="21"/>
          <w:szCs w:val="21"/>
          <w:highlight w:val="none"/>
        </w:rPr>
      </w:pPr>
    </w:p>
    <w:p w14:paraId="7205C90B">
      <w:pPr>
        <w:pStyle w:val="8"/>
        <w:keepNext w:val="0"/>
        <w:keepLines w:val="0"/>
        <w:pageBreakBefore w:val="0"/>
        <w:wordWrap/>
        <w:overflowPunct/>
        <w:topLinePunct w:val="0"/>
        <w:bidi w:val="0"/>
        <w:spacing w:line="440" w:lineRule="exact"/>
        <w:ind w:left="444"/>
        <w:outlineLvl w:val="2"/>
        <w:rPr>
          <w:color w:val="auto"/>
          <w:sz w:val="21"/>
          <w:szCs w:val="21"/>
          <w:highlight w:val="none"/>
        </w:rPr>
      </w:pPr>
      <w:r>
        <w:rPr>
          <w:b/>
          <w:bCs/>
          <w:color w:val="auto"/>
          <w:spacing w:val="2"/>
          <w:sz w:val="21"/>
          <w:szCs w:val="21"/>
          <w:highlight w:val="none"/>
        </w:rPr>
        <w:t>1.适用范围</w:t>
      </w:r>
    </w:p>
    <w:p w14:paraId="43491C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1.1 适用法律：本项目采购人、采购代理机构、投标人、评标委员会的相关行为均受《中华人民共 和国政府采购法》、《中华人民共和国政府采购法实施条例》、《政府采购货物和服务招标投标管理 办法》及本项目本级和上级财政部门政府采购有关规定的约束和保护。</w:t>
      </w:r>
    </w:p>
    <w:p w14:paraId="7159391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1.2 本招标文件适用于本项目的所有采购程序和环节（法律法规另有规定的，从其规定）。</w:t>
      </w:r>
    </w:p>
    <w:p w14:paraId="51D434AE">
      <w:pPr>
        <w:pStyle w:val="8"/>
        <w:keepNext w:val="0"/>
        <w:keepLines w:val="0"/>
        <w:pageBreakBefore w:val="0"/>
        <w:wordWrap/>
        <w:overflowPunct/>
        <w:topLinePunct w:val="0"/>
        <w:bidi w:val="0"/>
        <w:spacing w:line="440" w:lineRule="exact"/>
        <w:ind w:left="431"/>
        <w:outlineLvl w:val="2"/>
        <w:rPr>
          <w:color w:val="auto"/>
          <w:sz w:val="21"/>
          <w:szCs w:val="21"/>
          <w:highlight w:val="none"/>
        </w:rPr>
      </w:pPr>
      <w:r>
        <w:rPr>
          <w:b/>
          <w:bCs/>
          <w:color w:val="auto"/>
          <w:spacing w:val="3"/>
          <w:sz w:val="21"/>
          <w:szCs w:val="21"/>
          <w:highlight w:val="none"/>
        </w:rPr>
        <w:t>2.定义</w:t>
      </w:r>
    </w:p>
    <w:p w14:paraId="6AD021C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2.1“采购人”是指依法进行政府采购的国家机关、事业单位、团体组织。</w:t>
      </w:r>
    </w:p>
    <w:p w14:paraId="6AAF0FD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2.2“采购代理机构”是指政府采购集中采购机构和集中采购机构以外的采购代理机构。</w:t>
      </w:r>
    </w:p>
    <w:p w14:paraId="2ABB107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2.3“供应商”是指向采购人提供货物、工程或者服务的法人、其他组织或者自然人。</w:t>
      </w:r>
    </w:p>
    <w:p w14:paraId="7DDA9A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2.4“投标人”是指响应招标、参加投标竞争的法人、非法人组织或者自然人。</w:t>
      </w:r>
    </w:p>
    <w:p w14:paraId="5F60B87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2.5“服务”是指除货物和工程以外的其他政府采购对象。</w:t>
      </w:r>
    </w:p>
    <w:p w14:paraId="5571C98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2.6“售后服务”是指商品出售以后所提供的各种服务，包含但不限于投标人须承担的备品备件、</w:t>
      </w:r>
    </w:p>
    <w:p w14:paraId="0813C8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包装、运输、装卸、保险、货到就位以及安装、调试、培训、保修以及其他各种服务。</w:t>
      </w:r>
    </w:p>
    <w:p w14:paraId="3B386F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2.7“书面形式”是指合同书、信件和数据电文（包括电报、电传、传真、电子数据交换和电子邮件）等可以有形地表现所载内容的形式。</w:t>
      </w:r>
    </w:p>
    <w:p w14:paraId="3C5252E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2.8“实质性要求”是指招标文件中已经指明不满足则投标无效的条款，或者不能偏离的条款，或者采购需求中带“▲ ”的条款。</w:t>
      </w:r>
    </w:p>
    <w:p w14:paraId="07DCF7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2.9 “正偏离”，是指投标文件对招标文件“采购需求 ”中有关条款作出的响应优于条款要求并 有利于采购人的情形。</w:t>
      </w:r>
    </w:p>
    <w:p w14:paraId="5A24B71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2.10“负偏离”，是指投标文件对招标文件“采购需求 ”中有关条款作出的响应不满足条款要求， 导致采购人要求不能得到满足的情形。</w:t>
      </w:r>
    </w:p>
    <w:p w14:paraId="5FE9EC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2.11“允许负偏离的条款”是指采购需求中的不属于“实质性要求 ”的条款。</w:t>
      </w:r>
    </w:p>
    <w:p w14:paraId="52CDFE4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3.申请人的资格要求：</w:t>
      </w:r>
    </w:p>
    <w:p w14:paraId="16B8AF5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申请人的资格要求详见“招标公告 ”。</w:t>
      </w:r>
    </w:p>
    <w:p w14:paraId="0BAD427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4.投标委托</w:t>
      </w:r>
    </w:p>
    <w:p w14:paraId="665AD2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投标人代表参加投标活动过程中必须携带个人有效身份证件。如投标人代表不是法定代表人，须 持有授权委托书（按第六章要求格式填写）。</w:t>
      </w:r>
    </w:p>
    <w:p w14:paraId="23BFF5E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5.投标费用</w:t>
      </w:r>
    </w:p>
    <w:p w14:paraId="114D080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snapToGrid/>
          <w:color w:val="auto"/>
          <w:kern w:val="2"/>
          <w:szCs w:val="21"/>
          <w:highlight w:val="none"/>
          <w:lang w:val="en-US" w:eastAsia="zh-CN"/>
        </w:rPr>
      </w:pPr>
      <w:r>
        <w:rPr>
          <w:rFonts w:hint="eastAsia" w:ascii="宋体" w:hAnsi="宋体" w:eastAsia="宋体" w:cs="宋体"/>
          <w:b w:val="0"/>
          <w:bCs w:val="0"/>
          <w:snapToGrid/>
          <w:color w:val="auto"/>
          <w:kern w:val="2"/>
          <w:szCs w:val="21"/>
          <w:highlight w:val="none"/>
          <w:lang w:val="en-US" w:eastAsia="zh-CN"/>
        </w:rPr>
        <w:t>投标费用：投标人应承担参与本次采购活动有关的所有费用，包括但不限于获取招标文件、勘查 现场、编制和提交投标文件、参加澄清说明、签订合同等，不论投标结果如何，均应自行承担。</w:t>
      </w:r>
    </w:p>
    <w:p w14:paraId="096778D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6.联合体投标</w:t>
      </w:r>
    </w:p>
    <w:p w14:paraId="6020442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6.1 本项目是否接受联合体投标，详见“投标人须知前附表 ”。</w:t>
      </w:r>
    </w:p>
    <w:p w14:paraId="0BAAA4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6.2 如接受联合体投标，联合体投标要求详见“投标人须知前附表 ”。</w:t>
      </w:r>
    </w:p>
    <w:p w14:paraId="1BF98A4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6.3 根据《政府采购促进中小企业发展管理办法》（财库[2020]46 号）第九条，《广西壮族自治区财政厅关于进一步发挥政府采购政策功能促进企业发展的通知》（桂财采〔2022〕30 号）及《广西壮族自治区财政厅广西壮族自治区工业和信息化厅转发财政部工业和信息化部政府采购促进中小企业发展管理办法的通知》（桂财采〔2021〕70 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97BAAB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7.转包与分包</w:t>
      </w:r>
    </w:p>
    <w:p w14:paraId="51757DF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7.1 本项目不允许转包。</w:t>
      </w:r>
    </w:p>
    <w:p w14:paraId="6A978D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7.2 本项目是否允许分包详见“投标人须知前附表 ”，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5FF96E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7.3 投标人根据招标文件的规定和采购项目的实际情况，拟在中标后将中标项目的非主体、非关键性工作分包的，应当在投标文件中载明分包承担主体，分包承担主体应当具备相应资质条件且不得再次分包。</w:t>
      </w:r>
    </w:p>
    <w:p w14:paraId="5B7429C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7.4 根据《政府采购促进中小企业发展管理办法》（财库[2020]46 号）第九条及《广西壮族自治</w:t>
      </w:r>
    </w:p>
    <w:p w14:paraId="10063A0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区财政厅关于进一步发挥政府采购政策功能促进企业发展的通知》（桂财采〔2022〕30 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3B2B8B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8.特别说明</w:t>
      </w:r>
    </w:p>
    <w:p w14:paraId="7122DA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8.1 如果本招标文件要求提供投标人或制造商的资格、信誉、荣誉、业绩与企业认证等材料的，资格、信誉、荣誉、业绩与企业认证等必须为投标人或者制造商所拥有或自身获得。</w:t>
      </w:r>
    </w:p>
    <w:p w14:paraId="439386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8.2 投标人应仔细阅读招标文件的所有内容，按照招标文件的要求提交投标文件，并对所提供的全部资料的真实性承担法律责任。</w:t>
      </w:r>
    </w:p>
    <w:p w14:paraId="6DF797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8.3 投标人在投标活动中提供任何虚假材料，将报监管部门查处；中标后发现的，中标人须依照《中华人民共和国消费者权益保护法》规定赔偿采购人，且民事赔偿并不免除违法投标人的行政与刑事责任。</w:t>
      </w:r>
    </w:p>
    <w:p w14:paraId="600F784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9.回避与串通投标</w:t>
      </w:r>
    </w:p>
    <w:p w14:paraId="64DC648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9.1 在政府采购活动中，采购人员及相关人员与投标人有下列利害关系之一的，应当回避：</w:t>
      </w:r>
    </w:p>
    <w:p w14:paraId="254C590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（1）参加采购活动前 3 年内与投标人存在劳动关系；</w:t>
      </w:r>
    </w:p>
    <w:p w14:paraId="547EE5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（2）参加采购活动前 3 年内担任投标人的董事、监事；</w:t>
      </w:r>
    </w:p>
    <w:p w14:paraId="476091A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（3）参加采购活动前 3 年内是投标人的控股股东或者实际控制人；</w:t>
      </w:r>
    </w:p>
    <w:p w14:paraId="15E2CB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（4）与投标人的法定代表人或者负责人有夫妻、直系血亲、三代以内旁系血亲或者近姻亲关系；</w:t>
      </w:r>
    </w:p>
    <w:p w14:paraId="60C0C7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（5）与投标人有其他可能影响政府采购活动公平、公正进行的关系。</w:t>
      </w:r>
    </w:p>
    <w:p w14:paraId="55D233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投标人认为采购人员及相关人员与其他投标人有利害关系的，可以向采购人或者采购代理机构书 面提出回避申请，并说明理由。采购人或者采购代理机构应当及时询问被申请回避人员，有利害关系的被申请回避人员应当回避。</w:t>
      </w:r>
    </w:p>
    <w:p w14:paraId="63BBEF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9.2 有下列情形之一的视为投标人相互串通投标，投标文件将被视为无效：</w:t>
      </w:r>
    </w:p>
    <w:p w14:paraId="19E80BB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（1）不同投标人的投标文件由同一单位或者个人编制；或者不同投标人报名的 IP 地址一致的； 或者编制标书硬件设备 CPU 编号、硬盘编号、网卡地址一致的情况；</w:t>
      </w:r>
    </w:p>
    <w:p w14:paraId="46C1D40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（2）不同投标人委托同一单位或者个人办理投标事宜；</w:t>
      </w:r>
    </w:p>
    <w:p w14:paraId="2778BA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（3）不同的投标人的投标文件载明的项目管理员为同一个人；</w:t>
      </w:r>
    </w:p>
    <w:p w14:paraId="48224A4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（4）不同投标人的投标文件异常一致或者投标报价呈规律性差异；</w:t>
      </w:r>
    </w:p>
    <w:p w14:paraId="3F1880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（5）不同投标人的投标文件相互混装；</w:t>
      </w:r>
    </w:p>
    <w:p w14:paraId="07DCDA0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（6）不同投标人的投标保证金从同一单位或者个人账户转出。</w:t>
      </w:r>
    </w:p>
    <w:p w14:paraId="5DB55AD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9.3 投标人有下列情形之一的，属于恶意串通行为，将报同级监督管理部门：</w:t>
      </w:r>
    </w:p>
    <w:p w14:paraId="75C481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（1）投标人直接或者间接从采购人或者采购代理机构处获得其他投标人的相关信息并修改其投标 文件或者响应文件；</w:t>
      </w:r>
    </w:p>
    <w:p w14:paraId="469D129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（2）投标人按照采购人或者采购代理机构的授意撤换、修改投标文件或者响应文件；</w:t>
      </w:r>
    </w:p>
    <w:p w14:paraId="68C2B6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（3）投标人之间协商报价、技术方案等投标文件或者响应文件的实质性内容；</w:t>
      </w:r>
    </w:p>
    <w:p w14:paraId="048196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（4）属于同一集团、协会、商会等组织成员的投标人按照该组织要求协同参加政府采购活动；</w:t>
      </w:r>
    </w:p>
    <w:p w14:paraId="5CAE80E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（5）投标人之间事先约定一致抬高或者压低投标报价，或者在招标项目中事先约定轮流以高价位或者低价位中标，或者事先约定由某一特定投标人中标，然后再参加投标；</w:t>
      </w:r>
    </w:p>
    <w:p w14:paraId="3162D6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（6）投标人之间商定部分投标人放弃参加政府采购活动或者放弃中标；</w:t>
      </w:r>
    </w:p>
    <w:p w14:paraId="583422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（7）投标人与采购人或者采购代理机构之间、投标人相互之间，为谋求特定投标人中标或者排斥其他投标人的其他串通行为。</w:t>
      </w:r>
    </w:p>
    <w:p w14:paraId="27A650C5">
      <w:pPr>
        <w:pStyle w:val="8"/>
        <w:keepNext w:val="0"/>
        <w:keepLines w:val="0"/>
        <w:pageBreakBefore w:val="0"/>
        <w:wordWrap/>
        <w:overflowPunct/>
        <w:topLinePunct w:val="0"/>
        <w:bidi w:val="0"/>
        <w:spacing w:line="440" w:lineRule="exact"/>
        <w:ind w:left="3938"/>
        <w:outlineLvl w:val="1"/>
        <w:rPr>
          <w:b/>
          <w:bCs/>
          <w:color w:val="auto"/>
          <w:spacing w:val="-4"/>
          <w:sz w:val="24"/>
          <w:szCs w:val="24"/>
          <w:highlight w:val="none"/>
        </w:rPr>
      </w:pPr>
    </w:p>
    <w:p w14:paraId="54D5BD48">
      <w:pPr>
        <w:pStyle w:val="8"/>
        <w:keepNext w:val="0"/>
        <w:keepLines w:val="0"/>
        <w:pageBreakBefore w:val="0"/>
        <w:wordWrap/>
        <w:overflowPunct/>
        <w:topLinePunct w:val="0"/>
        <w:bidi w:val="0"/>
        <w:spacing w:line="440" w:lineRule="exact"/>
        <w:ind w:left="3938"/>
        <w:outlineLvl w:val="1"/>
        <w:rPr>
          <w:color w:val="auto"/>
          <w:sz w:val="24"/>
          <w:szCs w:val="24"/>
          <w:highlight w:val="none"/>
        </w:rPr>
      </w:pPr>
      <w:r>
        <w:rPr>
          <w:b/>
          <w:bCs/>
          <w:color w:val="auto"/>
          <w:spacing w:val="-4"/>
          <w:sz w:val="24"/>
          <w:szCs w:val="24"/>
          <w:highlight w:val="none"/>
        </w:rPr>
        <w:t>二、招标文件</w:t>
      </w:r>
    </w:p>
    <w:p w14:paraId="2A27C396">
      <w:pPr>
        <w:keepNext w:val="0"/>
        <w:keepLines w:val="0"/>
        <w:pageBreakBefore w:val="0"/>
        <w:wordWrap/>
        <w:overflowPunct/>
        <w:topLinePunct w:val="0"/>
        <w:bidi w:val="0"/>
        <w:spacing w:line="440" w:lineRule="exact"/>
        <w:rPr>
          <w:rFonts w:ascii="Arial"/>
          <w:color w:val="auto"/>
          <w:sz w:val="21"/>
          <w:highlight w:val="none"/>
        </w:rPr>
      </w:pPr>
    </w:p>
    <w:p w14:paraId="393AE53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10.招标文件的组成</w:t>
      </w:r>
    </w:p>
    <w:p w14:paraId="6F876FC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（1）招标公告；</w:t>
      </w:r>
    </w:p>
    <w:p w14:paraId="194170C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（2）采购需求；</w:t>
      </w:r>
    </w:p>
    <w:p w14:paraId="40F7E8D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（3）投标人须知；</w:t>
      </w:r>
    </w:p>
    <w:p w14:paraId="7DA5B8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（4）评标方法及评标标准；</w:t>
      </w:r>
    </w:p>
    <w:p w14:paraId="7FF7E69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（5）拟签订的合同文本；</w:t>
      </w:r>
    </w:p>
    <w:p w14:paraId="02A51B8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（6）投标文件格式。</w:t>
      </w:r>
    </w:p>
    <w:p w14:paraId="398CBC5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color w:val="auto"/>
          <w:sz w:val="20"/>
          <w:szCs w:val="20"/>
          <w:highlight w:val="none"/>
        </w:rPr>
      </w:pPr>
      <w:r>
        <w:rPr>
          <w:rFonts w:hint="eastAsia" w:ascii="宋体" w:hAnsi="宋体" w:eastAsia="宋体" w:cs="宋体"/>
          <w:b/>
          <w:bCs/>
          <w:snapToGrid/>
          <w:color w:val="auto"/>
          <w:kern w:val="2"/>
          <w:szCs w:val="21"/>
          <w:highlight w:val="none"/>
          <w:lang w:val="en-US" w:eastAsia="zh-CN"/>
        </w:rPr>
        <w:t>11.招标文件的澄清、修改、现场考察和答疑会</w:t>
      </w:r>
    </w:p>
    <w:p w14:paraId="1E6FB9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11.1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A69980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澄清或者修改的内容可能影响投标文件编制的，采购人或者采购代理机构应当在投标截止时间至少 15 日前，以书面形式通知(在“投标人须知前附表 ”规定的政府采购信息发布媒体上发布更正公告或平台短信通知)所有获取招标文件的潜在投标人；不足 15 日的，采购人或者采购代理机构应当顺延提交投标文件的截止时间。</w:t>
      </w:r>
    </w:p>
    <w:p w14:paraId="5C9A441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11.2 采购人或者采购代理机构可以在招标文件提供期限截止后，组织已获取招标文件的潜在投标人现场考察或者召开开标前答疑会，具体详见“投标人须知前附表 ”。</w:t>
      </w:r>
    </w:p>
    <w:p w14:paraId="360A241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napToGrid/>
          <w:color w:val="auto"/>
          <w:kern w:val="2"/>
          <w:sz w:val="24"/>
          <w:szCs w:val="24"/>
          <w:highlight w:val="none"/>
          <w:lang w:val="en-US" w:eastAsia="zh-CN"/>
        </w:rPr>
      </w:pPr>
    </w:p>
    <w:p w14:paraId="3430097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三、投标文件的编制</w:t>
      </w:r>
    </w:p>
    <w:p w14:paraId="6B9B4570">
      <w:pPr>
        <w:keepNext w:val="0"/>
        <w:keepLines w:val="0"/>
        <w:pageBreakBefore w:val="0"/>
        <w:wordWrap/>
        <w:overflowPunct/>
        <w:topLinePunct w:val="0"/>
        <w:bidi w:val="0"/>
        <w:spacing w:line="440" w:lineRule="exact"/>
        <w:rPr>
          <w:rFonts w:ascii="Arial"/>
          <w:color w:val="auto"/>
          <w:sz w:val="21"/>
          <w:highlight w:val="none"/>
        </w:rPr>
      </w:pPr>
    </w:p>
    <w:p w14:paraId="50CED90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12.投标文件的编制原则</w:t>
      </w:r>
    </w:p>
    <w:p w14:paraId="04EADF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12.1 投标人必须按照招标文件的要求编制投标文件。投标文件必须对招标文件提出的要求和条件作出明确响应。</w:t>
      </w:r>
    </w:p>
    <w:p w14:paraId="09C889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12.2 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DF94F3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13.投标文件的组成</w:t>
      </w:r>
    </w:p>
    <w:p w14:paraId="5536A2A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投标文件由报价文件、资格证明文件、商务文件、技术文件四部分组成。</w:t>
      </w:r>
    </w:p>
    <w:p w14:paraId="1E505A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（1）报价文件：具体材料见“投标人须知前附表 ”。</w:t>
      </w:r>
    </w:p>
    <w:p w14:paraId="686FCE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（2）资格证明文件：具体材料见“投标人须知前附表 ”。</w:t>
      </w:r>
    </w:p>
    <w:p w14:paraId="29C9D6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（3）商务文件：具体材料见“投标人须知前附表 ”。</w:t>
      </w:r>
    </w:p>
    <w:p w14:paraId="1FC03B7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（4）技术文件：具体材料见“投标人须知前附表 ”。</w:t>
      </w:r>
    </w:p>
    <w:p w14:paraId="615A767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投标文件电子版：具体要求见投标文件编制。</w:t>
      </w:r>
    </w:p>
    <w:p w14:paraId="4490DC7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14.投标文件的语言及计量</w:t>
      </w:r>
    </w:p>
    <w:p w14:paraId="299ACBB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14.1 语言文字</w:t>
      </w:r>
    </w:p>
    <w:p w14:paraId="564539A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78C716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14.2 投标计量单位</w:t>
      </w:r>
    </w:p>
    <w:p w14:paraId="2503385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招标文件已有明确规定的，使用招标文件规定的计量单位；招标文件没有规定的，应采用中华人民共和国法定计量单位，货币种类为人民币，否则视同未响应。</w:t>
      </w:r>
    </w:p>
    <w:p w14:paraId="474EC30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15.投标的风险</w:t>
      </w:r>
    </w:p>
    <w:p w14:paraId="05B23224">
      <w:pPr>
        <w:pStyle w:val="8"/>
        <w:keepNext w:val="0"/>
        <w:keepLines w:val="0"/>
        <w:pageBreakBefore w:val="0"/>
        <w:wordWrap/>
        <w:overflowPunct/>
        <w:topLinePunct w:val="0"/>
        <w:bidi w:val="0"/>
        <w:spacing w:line="440" w:lineRule="exact"/>
        <w:ind w:left="8" w:right="60" w:firstLine="423"/>
        <w:rPr>
          <w:color w:val="auto"/>
          <w:sz w:val="21"/>
          <w:szCs w:val="21"/>
          <w:highlight w:val="none"/>
        </w:rPr>
      </w:pPr>
      <w:r>
        <w:rPr>
          <w:color w:val="auto"/>
          <w:spacing w:val="10"/>
          <w:sz w:val="21"/>
          <w:szCs w:val="21"/>
          <w:highlight w:val="none"/>
        </w:rPr>
        <w:t>各投标人在编制投标文件时请按照招标文件规定的格式进行，</w:t>
      </w:r>
      <w:r>
        <w:rPr>
          <w:color w:val="auto"/>
          <w:spacing w:val="9"/>
          <w:sz w:val="21"/>
          <w:szCs w:val="21"/>
          <w:highlight w:val="none"/>
        </w:rPr>
        <w:t>混乱的编排导致投标文件被误读或评标委员会查找不到有效文件是投标人的风险。</w:t>
      </w:r>
    </w:p>
    <w:p w14:paraId="498C42F1">
      <w:pPr>
        <w:pStyle w:val="8"/>
        <w:keepNext w:val="0"/>
        <w:keepLines w:val="0"/>
        <w:pageBreakBefore w:val="0"/>
        <w:wordWrap/>
        <w:overflowPunct/>
        <w:topLinePunct w:val="0"/>
        <w:bidi w:val="0"/>
        <w:spacing w:line="440" w:lineRule="exact"/>
        <w:ind w:left="19" w:right="82" w:firstLine="411"/>
        <w:rPr>
          <w:color w:val="auto"/>
          <w:sz w:val="20"/>
          <w:szCs w:val="20"/>
          <w:highlight w:val="none"/>
        </w:rPr>
      </w:pPr>
      <w:r>
        <w:rPr>
          <w:color w:val="auto"/>
          <w:spacing w:val="10"/>
          <w:sz w:val="21"/>
          <w:szCs w:val="21"/>
          <w:highlight w:val="none"/>
        </w:rPr>
        <w:t>投标文件未按规定的格式编制的、未按照招标文件要求提供</w:t>
      </w:r>
      <w:r>
        <w:rPr>
          <w:color w:val="auto"/>
          <w:spacing w:val="9"/>
          <w:sz w:val="21"/>
          <w:szCs w:val="21"/>
          <w:highlight w:val="none"/>
        </w:rPr>
        <w:t>全部资料、未对招标文件作出实质性</w:t>
      </w:r>
      <w:r>
        <w:rPr>
          <w:color w:val="auto"/>
          <w:spacing w:val="6"/>
          <w:sz w:val="21"/>
          <w:szCs w:val="21"/>
          <w:highlight w:val="none"/>
        </w:rPr>
        <w:t>响应，投标无效；</w:t>
      </w:r>
    </w:p>
    <w:p w14:paraId="524E4A3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16.投标报价</w:t>
      </w:r>
    </w:p>
    <w:p w14:paraId="69CA379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16.1 投标报价应按“第六章 投标文件格式 ”中“开标一览表 ”格式填写。</w:t>
      </w:r>
    </w:p>
    <w:p w14:paraId="728716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16.2 投标报价具体包括内容详见“投标人须知前附表 ”。</w:t>
      </w:r>
    </w:p>
    <w:p w14:paraId="2DF4C4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16.3 投标人必须就所投每个分包的全部内容分别作完整唯一总价报价，不得存在漏项报价；投标人必须就所投分包的单项内容作唯一报价。</w:t>
      </w:r>
    </w:p>
    <w:p w14:paraId="3E2C5A3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17.投标有效期</w:t>
      </w:r>
    </w:p>
    <w:p w14:paraId="61D2BE8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17.1 投标有效期是指为保证采购人有足够的时间在开标后完成评标、定标、合同签订等工作而要求投标人提交的投标文件在一定时间内保持有效的期限。</w:t>
      </w:r>
    </w:p>
    <w:p w14:paraId="451497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17.2 投标有效期应按规定的期限作出承诺，具体详见“投标人须知前附表 ”。</w:t>
      </w:r>
    </w:p>
    <w:p w14:paraId="3A5382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17.3 投标人的投标文件在投标有效期内均保持有效。</w:t>
      </w:r>
    </w:p>
    <w:p w14:paraId="1E3B7FF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18.投标保证金</w:t>
      </w:r>
    </w:p>
    <w:p w14:paraId="7A8421F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18.1 投标人须按“投标人须知前附表 ”的规定提交投标保证金。</w:t>
      </w:r>
    </w:p>
    <w:p w14:paraId="3C466FB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18.2 投标保证金的退还</w:t>
      </w:r>
    </w:p>
    <w:p w14:paraId="3799BE4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未中标人的投标保证金自中标通知书发出之日起 4 个工作日内退还；中标人的投标保证金自政府采购合同签订之日起 4 个工作日内退还。</w:t>
      </w:r>
    </w:p>
    <w:p w14:paraId="12D72F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18.3 除逾期退还投标保证金和终止招标的情形以外，投标保证金不计息。</w:t>
      </w:r>
    </w:p>
    <w:p w14:paraId="22734D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18.4 投标人有下列情形之一的，投标保证金将不予退还：</w:t>
      </w:r>
    </w:p>
    <w:p w14:paraId="0067ECD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（1）投标人在投标有效期内撤销投标文件的；</w:t>
      </w:r>
    </w:p>
    <w:p w14:paraId="4EE8AC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（2）未按规定提交履约保证金的；</w:t>
      </w:r>
    </w:p>
    <w:p w14:paraId="4EB2F4B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（3）投标人在投标过程中弄虚作假，提供虚假材料的；</w:t>
      </w:r>
    </w:p>
    <w:p w14:paraId="37C17B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（4）中标人无正当理由不与采购人签订合同的；</w:t>
      </w:r>
    </w:p>
    <w:p w14:paraId="636A775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（5）投标人出现本章第 9.2、9.3 情形的；</w:t>
      </w:r>
    </w:p>
    <w:p w14:paraId="3654BF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（6）法律法规规定的其他情形。</w:t>
      </w:r>
    </w:p>
    <w:p w14:paraId="48BC6130">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19.投标文件的编制</w:t>
      </w:r>
    </w:p>
    <w:p w14:paraId="2CFEB1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color w:val="auto"/>
          <w:sz w:val="20"/>
          <w:szCs w:val="20"/>
          <w:highlight w:val="none"/>
        </w:rPr>
      </w:pPr>
      <w:r>
        <w:rPr>
          <w:rFonts w:hint="eastAsia" w:ascii="宋体" w:hAnsi="宋体" w:eastAsia="宋体" w:cs="宋体"/>
          <w:snapToGrid/>
          <w:color w:val="auto"/>
          <w:kern w:val="2"/>
          <w:szCs w:val="21"/>
          <w:highlight w:val="none"/>
          <w:lang w:val="en-US" w:eastAsia="zh-CN"/>
        </w:rPr>
        <w:t>19.1 投标文件编制要求详见“投标人须知前附表 ”。投标人应按本招标文件规定的格式和顺序编制、装订投标文件并标注页码，投标文件内容不完整、编排混乱导致投标文件被误读、漏读或者查找不到相关内容的， 由此引发的后果由投标人承担。</w:t>
      </w:r>
    </w:p>
    <w:p w14:paraId="37E4FC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19.2 为确保网上操作合法、有效和安全，投标人应当在投标截止时间前完成在广西政府采购云平台的身份认证，确保在电子投标过程中能够对相关数据电文进行加密和使用电子签章。</w:t>
      </w:r>
    </w:p>
    <w:p w14:paraId="151E2B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19.3 投标文件须由投标人在规定位置签字（或者电子签名）、盖章（具体以投标人须知前附表或投标文件格式规定为准），</w:t>
      </w:r>
      <w:r>
        <w:rPr>
          <w:rFonts w:hint="eastAsia" w:ascii="宋体" w:hAnsi="宋体" w:eastAsia="宋体" w:cs="宋体"/>
          <w:b/>
          <w:bCs/>
          <w:snapToGrid/>
          <w:color w:val="auto"/>
          <w:kern w:val="2"/>
          <w:szCs w:val="21"/>
          <w:highlight w:val="none"/>
          <w:lang w:val="en-US" w:eastAsia="zh-CN"/>
        </w:rPr>
        <w:t>否则按无效投标处理</w:t>
      </w:r>
      <w:r>
        <w:rPr>
          <w:rFonts w:hint="eastAsia" w:ascii="宋体" w:hAnsi="宋体" w:eastAsia="宋体" w:cs="宋体"/>
          <w:snapToGrid/>
          <w:color w:val="auto"/>
          <w:kern w:val="2"/>
          <w:szCs w:val="21"/>
          <w:highlight w:val="none"/>
          <w:lang w:val="en-US" w:eastAsia="zh-CN"/>
        </w:rPr>
        <w:t>。骑缝盖公章不视为在规定位置盖章。</w:t>
      </w:r>
    </w:p>
    <w:p w14:paraId="6505293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19.4 投标文件中标注的投标人名称应与主体资格证明（如营业执照或者事业单位法人证书或者执业许可证或者登记证书等）及公章一致，并与“广西政府采购云平台 ”中获取招标文件的投标人名称一致，投标人为自然人的，标注的投标人名称应与身份证姓名及签名一致，</w:t>
      </w:r>
      <w:r>
        <w:rPr>
          <w:rFonts w:hint="eastAsia" w:ascii="宋体" w:hAnsi="宋体" w:eastAsia="宋体" w:cs="宋体"/>
          <w:b/>
          <w:bCs/>
          <w:snapToGrid/>
          <w:color w:val="auto"/>
          <w:kern w:val="2"/>
          <w:szCs w:val="21"/>
          <w:highlight w:val="none"/>
          <w:lang w:val="en-US" w:eastAsia="zh-CN"/>
        </w:rPr>
        <w:t>否则按无效投标处理</w:t>
      </w:r>
      <w:r>
        <w:rPr>
          <w:rFonts w:hint="eastAsia" w:ascii="宋体" w:hAnsi="宋体" w:eastAsia="宋体" w:cs="宋体"/>
          <w:snapToGrid/>
          <w:color w:val="auto"/>
          <w:kern w:val="2"/>
          <w:szCs w:val="21"/>
          <w:highlight w:val="none"/>
          <w:lang w:val="en-US" w:eastAsia="zh-CN"/>
        </w:rPr>
        <w:t>。</w:t>
      </w:r>
    </w:p>
    <w:p w14:paraId="3035634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19.5 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44974C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19.6 对招标文件的实质性要求和条件作出响应是指投标人必须对招标文件中标注为实质性要求和条件的服务内容及要求、商务条款及其他内容作出满足或者优于原要求和条件的承诺。</w:t>
      </w:r>
    </w:p>
    <w:p w14:paraId="50237CF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19.7 本项目为全流程电子化项目，异常情况见“第二节 投标人须知正文 ”中开标程序。</w:t>
      </w:r>
    </w:p>
    <w:p w14:paraId="11E04CE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20.电子备份投标文件</w:t>
      </w:r>
    </w:p>
    <w:p w14:paraId="3C99A4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电子备份投标文件是指通过“广西政府采购云平台电子投标客户端 ”在线编制生成且后缀名为 “bfbs ”的文件，是否接受电子备份投标文件详见在“投标人须知前附表 ”。</w:t>
      </w:r>
    </w:p>
    <w:p w14:paraId="7D273A8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21.投标文件的提交</w:t>
      </w:r>
    </w:p>
    <w:p w14:paraId="3BE49C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21.1 投标人必须在“投标人须知前附表 ”规定的投标文件接收时间和投标地点提交电子版投标文件。电子投标文件应在制作完成后，在投标截止时间前通过有效数字证书（CA 认证锁）进行电子签章、 加密，然后通过网络将加密的电子投标文件递交至“广西政府采购云平台 ”。</w:t>
      </w:r>
    </w:p>
    <w:p w14:paraId="1C3D137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21.2 未在规定时间内提交或者未按照招标文件要求加密的电子投标文件，广西政府采购云平台将 拒收。</w:t>
      </w:r>
    </w:p>
    <w:p w14:paraId="5632C7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21.3 电子版投标文件提交方式见“招标公告 ”中“四、提交投标文件截止时间、开标时间和地点 ”。</w:t>
      </w:r>
    </w:p>
    <w:p w14:paraId="58A1F8B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22. 投标文件的补充、修改、撤回与退回</w:t>
      </w:r>
    </w:p>
    <w:p w14:paraId="19F752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22.1 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进入“服务中心 ”中查看“ 电子投标文件制作与投送教程 ”）</w:t>
      </w:r>
    </w:p>
    <w:p w14:paraId="54AE28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22.2 广西政府采购云平台收到投标文件后向投标人发出确认回执通知。在投标截止时间前，除投标人补充、修改或者撤回投标文件外，任何单位和个人不得解密或提取投标文件。</w:t>
      </w:r>
    </w:p>
    <w:p w14:paraId="5B998E4F">
      <w:pPr>
        <w:pStyle w:val="8"/>
        <w:keepNext w:val="0"/>
        <w:keepLines w:val="0"/>
        <w:pageBreakBefore w:val="0"/>
        <w:wordWrap/>
        <w:overflowPunct/>
        <w:topLinePunct w:val="0"/>
        <w:bidi w:val="0"/>
        <w:spacing w:line="440" w:lineRule="exact"/>
        <w:ind w:left="432"/>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22.3 在投标截止时间后，采购人和采购代理机构对已提交的投标文件概不退回。</w:t>
      </w:r>
    </w:p>
    <w:p w14:paraId="19CDA586">
      <w:pPr>
        <w:pStyle w:val="8"/>
        <w:keepNext w:val="0"/>
        <w:keepLines w:val="0"/>
        <w:pageBreakBefore w:val="0"/>
        <w:wordWrap/>
        <w:overflowPunct/>
        <w:topLinePunct w:val="0"/>
        <w:bidi w:val="0"/>
        <w:spacing w:line="440" w:lineRule="exact"/>
        <w:ind w:left="4200"/>
        <w:outlineLvl w:val="1"/>
        <w:rPr>
          <w:b/>
          <w:bCs/>
          <w:color w:val="auto"/>
          <w:spacing w:val="-10"/>
          <w:sz w:val="24"/>
          <w:szCs w:val="24"/>
          <w:highlight w:val="none"/>
        </w:rPr>
      </w:pPr>
    </w:p>
    <w:p w14:paraId="5A25558B">
      <w:pPr>
        <w:pStyle w:val="8"/>
        <w:keepNext w:val="0"/>
        <w:keepLines w:val="0"/>
        <w:pageBreakBefore w:val="0"/>
        <w:wordWrap/>
        <w:overflowPunct/>
        <w:topLinePunct w:val="0"/>
        <w:bidi w:val="0"/>
        <w:spacing w:line="440" w:lineRule="exact"/>
        <w:ind w:left="4200"/>
        <w:outlineLvl w:val="1"/>
        <w:rPr>
          <w:b/>
          <w:bCs/>
          <w:color w:val="auto"/>
          <w:spacing w:val="-10"/>
          <w:sz w:val="24"/>
          <w:szCs w:val="24"/>
          <w:highlight w:val="none"/>
        </w:rPr>
      </w:pPr>
      <w:r>
        <w:rPr>
          <w:b/>
          <w:bCs/>
          <w:color w:val="auto"/>
          <w:spacing w:val="-10"/>
          <w:sz w:val="24"/>
          <w:szCs w:val="24"/>
          <w:highlight w:val="none"/>
        </w:rPr>
        <w:t>四、开标</w:t>
      </w:r>
    </w:p>
    <w:p w14:paraId="2D913C6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p>
    <w:p w14:paraId="6BC8936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23.开标时间和地点</w:t>
      </w:r>
    </w:p>
    <w:p w14:paraId="10C4EE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23.1 开标时间及地点详见“投标人须知前附表 ”</w:t>
      </w:r>
    </w:p>
    <w:p w14:paraId="126B85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23.2 如投标人成功解密投标文件，但未在“广西政府采购云平台 ”电子开标大厅参加开标的，视同认可开标过程和结果，由此产生的后果由投标人自行负责。</w:t>
      </w:r>
    </w:p>
    <w:p w14:paraId="3E35563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24.开标程序</w:t>
      </w:r>
    </w:p>
    <w:p w14:paraId="5A9396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24.1 提交投标文件截止时间止，投标人不足 3 家的，不得开标。</w:t>
      </w:r>
    </w:p>
    <w:p w14:paraId="6D3688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24.2 采购代理机构将按照招标文件规定的时间通过广西政府采购云平台组织线上开标活动，所有 投标人均应当准时在线参加，投标人因未在线参加开标而导致投标文件无法按时解密等一切后果由投 标人自己承担。</w:t>
      </w:r>
    </w:p>
    <w:p w14:paraId="5844EEB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24.3 开标程序</w:t>
      </w:r>
    </w:p>
    <w:p w14:paraId="6A882B4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（1）解密电子投标文件。广西政府采购云平台按开标时间自动提取所有投标文件。采购代理机构 依托广西政府采购云平台向各投标人发出电子加密投标文件【开始解密】通知，由投标人按“投标人 须知前附表 ”规定的时间内自行进行投标文件解密。投标人的法定代表人或其委托代理人须凭加密时 所用的 CA 锁准时登录到广西政府采购云平台电子开标大厅签到并对电子投标文件解密。</w:t>
      </w:r>
      <w:r>
        <w:rPr>
          <w:rFonts w:hint="eastAsia" w:ascii="宋体" w:hAnsi="宋体" w:eastAsia="宋体" w:cs="宋体"/>
          <w:b/>
          <w:bCs/>
          <w:snapToGrid/>
          <w:color w:val="auto"/>
          <w:kern w:val="2"/>
          <w:szCs w:val="21"/>
          <w:highlight w:val="none"/>
          <w:lang w:val="en-US" w:eastAsia="zh-CN"/>
        </w:rPr>
        <w:t>投标人未在规 定的时间内解密投标文件或者解密失败的，或投标人没预留联系方式或预留联系方式无效，导致代理  机构无法联系到投标人进行解密的，均视为无效投标。</w:t>
      </w:r>
    </w:p>
    <w:p w14:paraId="7DB4FB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（2）电子唱标。投标文件解密结束，宣布的内容均在广西政府采购云平台远程开标大厅展示，具体详见“投标人须知前附表 ”；</w:t>
      </w:r>
    </w:p>
    <w:p w14:paraId="7CE88D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（3）开标过程由采购代理机构如实记录，并电子留痕，由参加电子开标的各投标人代表对电子开 标记录在开标记录公布后 15 分钟内进行当场校核及勘误，并线上确认是否有异议，未确认的视同认可开标结果。</w:t>
      </w:r>
    </w:p>
    <w:p w14:paraId="066F6EF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（4）投标人代表对开标过程和开标记录有疑义，以及认为采购人、采购代理机构相关工作人员有 需要回避的情形的，应当场提出询问或者回避申请。采购人、采购代理机构对投标人代表提出的询问 或者回避申请应当及时处理。</w:t>
      </w:r>
    </w:p>
    <w:p w14:paraId="2FA2DED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（5）开标结束。</w:t>
      </w:r>
    </w:p>
    <w:p w14:paraId="2D0DD0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特别说明：如遇广西政府采购云平台电子化开标或评审程序调整的，按调整后执行。</w:t>
      </w:r>
    </w:p>
    <w:p w14:paraId="6771125E">
      <w:pPr>
        <w:pStyle w:val="8"/>
        <w:keepNext w:val="0"/>
        <w:keepLines w:val="0"/>
        <w:pageBreakBefore w:val="0"/>
        <w:wordWrap/>
        <w:overflowPunct/>
        <w:topLinePunct w:val="0"/>
        <w:bidi w:val="0"/>
        <w:spacing w:line="440" w:lineRule="exact"/>
        <w:ind w:left="3938"/>
        <w:outlineLvl w:val="1"/>
        <w:rPr>
          <w:b/>
          <w:bCs/>
          <w:color w:val="auto"/>
          <w:spacing w:val="-4"/>
          <w:sz w:val="24"/>
          <w:szCs w:val="24"/>
          <w:highlight w:val="none"/>
        </w:rPr>
      </w:pPr>
    </w:p>
    <w:p w14:paraId="5C7020DF">
      <w:pPr>
        <w:pStyle w:val="8"/>
        <w:keepNext w:val="0"/>
        <w:keepLines w:val="0"/>
        <w:pageBreakBefore w:val="0"/>
        <w:wordWrap/>
        <w:overflowPunct/>
        <w:topLinePunct w:val="0"/>
        <w:bidi w:val="0"/>
        <w:spacing w:line="440" w:lineRule="exact"/>
        <w:ind w:left="3938"/>
        <w:outlineLvl w:val="1"/>
        <w:rPr>
          <w:color w:val="auto"/>
          <w:sz w:val="24"/>
          <w:szCs w:val="24"/>
          <w:highlight w:val="none"/>
        </w:rPr>
      </w:pPr>
      <w:r>
        <w:rPr>
          <w:b/>
          <w:bCs/>
          <w:color w:val="auto"/>
          <w:spacing w:val="-4"/>
          <w:sz w:val="24"/>
          <w:szCs w:val="24"/>
          <w:highlight w:val="none"/>
        </w:rPr>
        <w:t>五、资格审查</w:t>
      </w:r>
    </w:p>
    <w:p w14:paraId="30D783A2">
      <w:pPr>
        <w:keepNext w:val="0"/>
        <w:keepLines w:val="0"/>
        <w:pageBreakBefore w:val="0"/>
        <w:wordWrap/>
        <w:overflowPunct/>
        <w:topLinePunct w:val="0"/>
        <w:bidi w:val="0"/>
        <w:spacing w:line="440" w:lineRule="exact"/>
        <w:rPr>
          <w:rFonts w:ascii="Arial"/>
          <w:color w:val="auto"/>
          <w:sz w:val="21"/>
          <w:highlight w:val="none"/>
        </w:rPr>
      </w:pPr>
    </w:p>
    <w:p w14:paraId="5BA4156F">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25.资格审查</w:t>
      </w:r>
    </w:p>
    <w:p w14:paraId="568291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25.1 开标结束后，采购人或者采购代理机构通过电子开评标系统依据招标文件对电子投标文件进行线上资格审查。</w:t>
      </w:r>
    </w:p>
    <w:p w14:paraId="73B527F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snapToGrid/>
          <w:color w:val="auto"/>
          <w:kern w:val="2"/>
          <w:szCs w:val="21"/>
          <w:highlight w:val="none"/>
          <w:lang w:val="en-US" w:eastAsia="zh-CN"/>
        </w:rPr>
        <w:t>25.2 资格审查标准为本招标文件中载明对投标人资格要求的条件。本项目资格审查采用合格制，凡符合招标文件规定的投标人资格要求的投标人均通过资格审查。</w:t>
      </w:r>
    </w:p>
    <w:p w14:paraId="4462F3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ab/>
      </w:r>
      <w:r>
        <w:rPr>
          <w:rFonts w:hint="eastAsia" w:ascii="宋体" w:hAnsi="宋体" w:eastAsia="宋体" w:cs="宋体"/>
          <w:snapToGrid/>
          <w:color w:val="auto"/>
          <w:kern w:val="2"/>
          <w:szCs w:val="21"/>
          <w:highlight w:val="none"/>
          <w:lang w:val="en-US" w:eastAsia="zh-CN"/>
        </w:rPr>
        <w:t>25.3 投标人有下列情形之一的，资格审查不通过，作无效投标处理：</w:t>
      </w:r>
    </w:p>
    <w:p w14:paraId="787BBE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（1）不具备招标文件中规定的资格要求的；</w:t>
      </w:r>
    </w:p>
    <w:p w14:paraId="11FA51B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（2）在“信用中国”网站（www.creditchina.gov.cn）、中国政府采购网（www.ccgp.gov.cn）  被列入失信被执行人、重大税收违法失信主体、政府采购严重违法失信行为记录名单及其他不符合《中华人民共和国政府采购法》第二十二条规定条件的；（注：其中信用查询规则见“投标人须知前附表 ”， 广西政府采购云平台已与“信用中国 ”网站、中国政府采购网实现数据对接，可直接在线查询）；</w:t>
      </w:r>
    </w:p>
    <w:p w14:paraId="532B5F4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（3）同一合同项下的不同投标人，单位负责人为同一人或者存在直接控股、管理关系的；为本项目提供过整体设计、规范编制或者项目管理、监理、检测等服务的投标人，再参加该采购项目的其他采购活动的；</w:t>
      </w:r>
    </w:p>
    <w:p w14:paraId="3BFE6FF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（4）投标文件中的资格证明文件缺少任一项“投标人须知前附表 ”资格证明文件规定“必须提供”的文件资料的；</w:t>
      </w:r>
    </w:p>
    <w:p w14:paraId="696AECD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（5）投标文件中的资格证明文件出现任一项不符合“投标人须知前附表 ”资格证明文件规定“必须提供”的文件资料要求或者无效的。</w:t>
      </w:r>
    </w:p>
    <w:p w14:paraId="67BDEA0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25.4 合格投标人不足 3 家的，不得评标。</w:t>
      </w:r>
    </w:p>
    <w:p w14:paraId="1486AD55">
      <w:pPr>
        <w:pStyle w:val="8"/>
        <w:keepNext w:val="0"/>
        <w:keepLines w:val="0"/>
        <w:pageBreakBefore w:val="0"/>
        <w:wordWrap/>
        <w:overflowPunct/>
        <w:topLinePunct w:val="0"/>
        <w:bidi w:val="0"/>
        <w:spacing w:line="440" w:lineRule="exact"/>
        <w:ind w:left="4178"/>
        <w:outlineLvl w:val="1"/>
        <w:rPr>
          <w:b/>
          <w:bCs/>
          <w:color w:val="auto"/>
          <w:spacing w:val="-5"/>
          <w:sz w:val="24"/>
          <w:szCs w:val="24"/>
          <w:highlight w:val="none"/>
        </w:rPr>
      </w:pPr>
    </w:p>
    <w:p w14:paraId="0F2E8C6C">
      <w:pPr>
        <w:pStyle w:val="8"/>
        <w:keepNext w:val="0"/>
        <w:keepLines w:val="0"/>
        <w:pageBreakBefore w:val="0"/>
        <w:wordWrap/>
        <w:overflowPunct/>
        <w:topLinePunct w:val="0"/>
        <w:bidi w:val="0"/>
        <w:spacing w:line="440" w:lineRule="exact"/>
        <w:ind w:left="4178"/>
        <w:outlineLvl w:val="1"/>
        <w:rPr>
          <w:color w:val="auto"/>
          <w:sz w:val="24"/>
          <w:szCs w:val="24"/>
          <w:highlight w:val="none"/>
        </w:rPr>
      </w:pPr>
      <w:r>
        <w:rPr>
          <w:b/>
          <w:bCs/>
          <w:color w:val="auto"/>
          <w:spacing w:val="-5"/>
          <w:sz w:val="24"/>
          <w:szCs w:val="24"/>
          <w:highlight w:val="none"/>
        </w:rPr>
        <w:t>六、评标</w:t>
      </w:r>
    </w:p>
    <w:p w14:paraId="2C5FA65C">
      <w:pPr>
        <w:keepNext w:val="0"/>
        <w:keepLines w:val="0"/>
        <w:pageBreakBefore w:val="0"/>
        <w:wordWrap/>
        <w:overflowPunct/>
        <w:topLinePunct w:val="0"/>
        <w:bidi w:val="0"/>
        <w:spacing w:line="440" w:lineRule="exact"/>
        <w:rPr>
          <w:rFonts w:ascii="Arial"/>
          <w:color w:val="auto"/>
          <w:sz w:val="21"/>
          <w:highlight w:val="none"/>
        </w:rPr>
      </w:pPr>
    </w:p>
    <w:p w14:paraId="228E66F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26.组建评标委员会</w:t>
      </w:r>
    </w:p>
    <w:p w14:paraId="52BBF3A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26.1 评标委员会由采购人代表和评审专家组成，具体人数详见“投标人须知前附表 ”，其中评审专家不得少于成员总数的三分之二。</w:t>
      </w:r>
    </w:p>
    <w:p w14:paraId="1C20512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26.2 参加过采购项目前期咨询论证的专家，不得参加该采购项目的评审活动。</w:t>
      </w:r>
    </w:p>
    <w:p w14:paraId="2D9796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26.3 采购代理机构应当基于广西政府采购云平台抽（选）取评审专家。</w:t>
      </w:r>
    </w:p>
    <w:p w14:paraId="2287741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27.评标的依据</w:t>
      </w:r>
    </w:p>
    <w:p w14:paraId="1212666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snapToGrid/>
          <w:color w:val="auto"/>
          <w:kern w:val="2"/>
          <w:szCs w:val="21"/>
          <w:highlight w:val="none"/>
          <w:lang w:val="en-US" w:eastAsia="zh-CN"/>
        </w:rPr>
      </w:pPr>
      <w:r>
        <w:rPr>
          <w:rFonts w:hint="eastAsia" w:ascii="宋体" w:hAnsi="宋体" w:eastAsia="宋体" w:cs="宋体"/>
          <w:b w:val="0"/>
          <w:bCs w:val="0"/>
          <w:snapToGrid/>
          <w:color w:val="auto"/>
          <w:kern w:val="2"/>
          <w:szCs w:val="21"/>
          <w:highlight w:val="none"/>
          <w:lang w:val="en-US" w:eastAsia="zh-CN"/>
        </w:rPr>
        <w:t>评标委员会以“第四章评标方法和评标标准”为依据对投标文件进行评审，没有规定的方法、评审因素和标准，不作为评标依据。</w:t>
      </w:r>
    </w:p>
    <w:p w14:paraId="57C37FC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28.评标原则</w:t>
      </w:r>
    </w:p>
    <w:p w14:paraId="01FFE4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28.1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0670B9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28.2 评委表决。评标委员会成员对需要共同认定的事项存在争议的，应当按照少数服从多数的原则作出结论。</w:t>
      </w:r>
    </w:p>
    <w:p w14:paraId="40AAD7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28.3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4ADADD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28.4 评标过程的监控。本项目电子评标过程实行网上留痕、全程录音、录像监控，</w:t>
      </w:r>
      <w:r>
        <w:rPr>
          <w:rFonts w:hint="eastAsia" w:ascii="宋体" w:hAnsi="宋体" w:eastAsia="宋体" w:cs="宋体"/>
          <w:b/>
          <w:bCs/>
          <w:snapToGrid/>
          <w:color w:val="auto"/>
          <w:kern w:val="2"/>
          <w:szCs w:val="21"/>
          <w:highlight w:val="none"/>
          <w:lang w:val="en-US" w:eastAsia="zh-CN"/>
        </w:rPr>
        <w:t>投标人在评标过程中所进行的试图影响评标结果的不公正活动，可能导致其投标按无效处理。</w:t>
      </w:r>
    </w:p>
    <w:p w14:paraId="3005AE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28.5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B946B2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29.评标方法及中标候选人推荐</w:t>
      </w:r>
    </w:p>
    <w:p w14:paraId="4EE7868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29.1 本项目的评标方法详见“投标人须知前附表 ”。</w:t>
      </w:r>
    </w:p>
    <w:p w14:paraId="6CCC205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29.2 商务/技术要求允许负偏离的条款数详见“投标人须知前附表 ”。</w:t>
      </w:r>
    </w:p>
    <w:p w14:paraId="6EBF88D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29.3 中标候选人推荐数量详见“投标人须知前附表 ”。</w:t>
      </w:r>
    </w:p>
    <w:p w14:paraId="3B74F4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29.4 电子交易活动的中止。采购过程中出现以下情形，导致电子交易平台无法正常运行，或者无法保证电子交易的公平、公正和安全时，采购代理机构可以中止电子交易活动：</w:t>
      </w:r>
    </w:p>
    <w:p w14:paraId="2DB9C1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 电子交易平台发生故障而无法登录访问的；</w:t>
      </w:r>
    </w:p>
    <w:p w14:paraId="053B893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 电子交易平台应用或数据库出现错误，不能进行正常操作的；</w:t>
      </w:r>
    </w:p>
    <w:p w14:paraId="2A94D7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 电子交易平台发现严重安全漏洞，有潜在泄密危险的；</w:t>
      </w:r>
    </w:p>
    <w:p w14:paraId="591416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 病毒发作导致不能进行正常操作的；</w:t>
      </w:r>
    </w:p>
    <w:p w14:paraId="486EA1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 其他无法保证电子交易的公平、公正和安全的情况。</w:t>
      </w:r>
    </w:p>
    <w:p w14:paraId="0F6896C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color w:val="auto"/>
          <w:highlight w:val="none"/>
          <w:lang w:val="en-US" w:eastAsia="zh-CN"/>
        </w:rPr>
      </w:pPr>
      <w:r>
        <w:rPr>
          <w:rFonts w:hint="eastAsia" w:ascii="宋体" w:hAnsi="宋体" w:eastAsia="宋体" w:cs="宋体"/>
          <w:snapToGrid/>
          <w:color w:val="auto"/>
          <w:kern w:val="2"/>
          <w:szCs w:val="21"/>
          <w:highlight w:val="none"/>
          <w:lang w:val="en-US" w:eastAsia="zh-CN"/>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E79A929">
      <w:pPr>
        <w:pStyle w:val="8"/>
        <w:keepNext w:val="0"/>
        <w:keepLines w:val="0"/>
        <w:pageBreakBefore w:val="0"/>
        <w:wordWrap/>
        <w:overflowPunct/>
        <w:topLinePunct w:val="0"/>
        <w:bidi w:val="0"/>
        <w:spacing w:line="440" w:lineRule="exact"/>
        <w:ind w:left="3813"/>
        <w:outlineLvl w:val="1"/>
        <w:rPr>
          <w:color w:val="auto"/>
          <w:sz w:val="24"/>
          <w:szCs w:val="24"/>
          <w:highlight w:val="none"/>
        </w:rPr>
      </w:pPr>
      <w:r>
        <w:rPr>
          <w:b/>
          <w:bCs/>
          <w:color w:val="auto"/>
          <w:spacing w:val="-4"/>
          <w:sz w:val="24"/>
          <w:szCs w:val="24"/>
          <w:highlight w:val="none"/>
        </w:rPr>
        <w:t>七、中标和合同</w:t>
      </w:r>
    </w:p>
    <w:p w14:paraId="5162DF13">
      <w:pPr>
        <w:keepNext w:val="0"/>
        <w:keepLines w:val="0"/>
        <w:pageBreakBefore w:val="0"/>
        <w:wordWrap/>
        <w:overflowPunct/>
        <w:topLinePunct w:val="0"/>
        <w:bidi w:val="0"/>
        <w:spacing w:line="440" w:lineRule="exact"/>
        <w:rPr>
          <w:rFonts w:ascii="Arial"/>
          <w:color w:val="auto"/>
          <w:sz w:val="21"/>
          <w:highlight w:val="none"/>
        </w:rPr>
      </w:pPr>
    </w:p>
    <w:p w14:paraId="59AE7A5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30.确定中标人</w:t>
      </w:r>
    </w:p>
    <w:p w14:paraId="043E525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30.1 采购代理机构在评标结束之日起 2 个工作日内将评标报告送采购人，采购人在收到评标报告之日起 5 个工作日内，在评标报告确定的中标候选人名单中按顺序确定中标人。</w:t>
      </w:r>
    </w:p>
    <w:p w14:paraId="384214A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采用最低评标价法的采购项目，提供相同品牌产品的不同投标人参加同一合同项下投标的， 以其中通过资格审查、符合性审查且报价最低的参加评标；报价相同的， 由采购人或者采购人委托评标委员会按照“投标人须知前附表 ”规定的方式确定一个参加评标的投标人，</w:t>
      </w:r>
      <w:r>
        <w:rPr>
          <w:rFonts w:hint="eastAsia" w:ascii="宋体" w:hAnsi="宋体" w:eastAsia="宋体" w:cs="宋体"/>
          <w:b/>
          <w:bCs/>
          <w:snapToGrid/>
          <w:color w:val="auto"/>
          <w:kern w:val="2"/>
          <w:szCs w:val="21"/>
          <w:highlight w:val="none"/>
          <w:lang w:val="en-US" w:eastAsia="zh-CN"/>
        </w:rPr>
        <w:t>其他投标无效。</w:t>
      </w:r>
    </w:p>
    <w:p w14:paraId="27F0E4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 ”规定的方式确定一个投标人获得中标人推荐资格，其他同品牌投标人不作为中标候选人。</w:t>
      </w:r>
    </w:p>
    <w:p w14:paraId="299BAE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非单一产品采购项目，多家投标人提供的核心产品品牌相同的，按前两款规定处理。</w:t>
      </w:r>
    </w:p>
    <w:p w14:paraId="56E8CA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30.2 采购人在收到评标报告 5 个工作日内未按评标报告推荐的中标候选人顺序确定中标人，又不能说明合法理由的，视同按评标报告推荐的顺序确定排名第一的中标候选人为中标人。</w:t>
      </w:r>
    </w:p>
    <w:p w14:paraId="0CB4E1D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30.3 出现下列情形之一的，应予废标：</w:t>
      </w:r>
    </w:p>
    <w:p w14:paraId="5897838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（1）符合专业条件的投标人或者对招标文件作实质响应的投标人不足三家的；</w:t>
      </w:r>
    </w:p>
    <w:p w14:paraId="3325739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（2）出现影响采购公正的违法、违规行为的；</w:t>
      </w:r>
    </w:p>
    <w:p w14:paraId="572504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（3）投标人的报价均超过了采购预算，采购人不能支付的；</w:t>
      </w:r>
    </w:p>
    <w:p w14:paraId="3D73C5D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（4）因重大变故，采购任务取消的。</w:t>
      </w:r>
    </w:p>
    <w:p w14:paraId="085D79C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废标后，采购人应当将废标理由通知所有投标人。</w:t>
      </w:r>
    </w:p>
    <w:p w14:paraId="5FBB796F">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31.结果公告</w:t>
      </w:r>
    </w:p>
    <w:p w14:paraId="672BCDB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31.1 采购人或者采购代理机构应当自中标人确定之日起 2 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4C94BC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以上信息查询记录及相关证据与采购文件一并保存。</w:t>
      </w:r>
    </w:p>
    <w:p w14:paraId="7802CA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31.2 中标投标人享受《政府采购促进中小企业发展管理办法》（财库〔2020〕46 号）规定的中小企业扶持政策的，采购人、采购代理机构应当随中标结果公开中标投标人的《中小企业声明函》。</w:t>
      </w:r>
    </w:p>
    <w:p w14:paraId="65A3D05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32.发出中标通知书</w:t>
      </w:r>
    </w:p>
    <w:p w14:paraId="1F26392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在发布中标公告的同时，采购代理机构向中标人通过广西政府采购云平台发出电子中标通知书。</w:t>
      </w:r>
    </w:p>
    <w:p w14:paraId="095B51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对未通过资格审查的投标人，应当告知其未通过的原因；采用综合评分办法评审的，还应当告知未中标人本人的评审得分与排序。</w:t>
      </w:r>
    </w:p>
    <w:p w14:paraId="7E7D8C7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33. 无义务解释未中标原因</w:t>
      </w:r>
    </w:p>
    <w:p w14:paraId="084E76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采购代理机构无义务向未中标的投标人解释未中标原因。</w:t>
      </w:r>
    </w:p>
    <w:p w14:paraId="4E180A7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34.合同授予标准</w:t>
      </w:r>
    </w:p>
    <w:p w14:paraId="21C2877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合同将授予被确定实质上响应招标文件要求，具备履行合同能力的中标人。</w:t>
      </w:r>
    </w:p>
    <w:p w14:paraId="224FB38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35.履约保证金</w:t>
      </w:r>
    </w:p>
    <w:p w14:paraId="215084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35.1 履约保证金的金额、提交方式、退付的时间和条件详见“投标人须知前附表 ”。中标人未按</w:t>
      </w:r>
    </w:p>
    <w:p w14:paraId="01BE8F9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规定提交履约保证金的，视为拒绝与采购人签订合同。</w:t>
      </w:r>
    </w:p>
    <w:p w14:paraId="61EE76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35.2 在履约保证金退还日期前，若中标人的开户名称、开户银行、账号有变动的，请以书面形式通知履约保证金收取单位，否则由此产生的后果由中标人自行承担。</w:t>
      </w:r>
    </w:p>
    <w:p w14:paraId="2841F5F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36.签订合同</w:t>
      </w:r>
    </w:p>
    <w:p w14:paraId="7ACCAF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36.1 线下签订纸质合同：投标人领取中标通知书后，按“投标人须知前附表”规定向采购人出示相关证明材料，经采购人核验合格后方可签订合同。</w:t>
      </w:r>
      <w:r>
        <w:rPr>
          <w:rFonts w:hint="eastAsia" w:ascii="宋体" w:hAnsi="宋体" w:eastAsia="宋体" w:cs="宋体"/>
          <w:b/>
          <w:bCs/>
          <w:snapToGrid/>
          <w:color w:val="auto"/>
          <w:kern w:val="2"/>
          <w:szCs w:val="21"/>
          <w:highlight w:val="none"/>
          <w:lang w:val="en-US" w:eastAsia="zh-CN"/>
        </w:rPr>
        <w:t>如中标人为联合体的，由联合体成员各方法定代表人或其授权代表与采购人代表签订合同。</w:t>
      </w:r>
    </w:p>
    <w:p w14:paraId="4423D3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36.2 签订合同时间：按中标通知书规定的时间与采购人签订合同。</w:t>
      </w:r>
    </w:p>
    <w:p w14:paraId="347452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36.3 中标人拒绝签订政府采购合同（包括但不限于放弃中标、因不可抗力不能履行合同而放弃签订合同），采购人可以按照评审报告推荐的中标候选人名单排序，确定下一候选人为中标投标人，也可以重新开展政府采购活动。如采购人无正当理由拒签合同的，给中标投标人造成损失的，中标投标人可追究采购人承担相应的法律责任。</w:t>
      </w:r>
    </w:p>
    <w:p w14:paraId="1552E78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36.4 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55B1A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36.5 采购人或中标投标人不得单方面向合同另一方提出任何招标文件没有约定的条件或不合理的要求，作为签订合同的条件；也不得协商另行订立背离招标文件和合同实质性内容的协议。</w:t>
      </w:r>
    </w:p>
    <w:p w14:paraId="7CDAE26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36.6 如签订合同并生效后，投标人无故拒绝或延期，除按照合同条款处理外，将承担相应的法律责任。</w:t>
      </w:r>
    </w:p>
    <w:p w14:paraId="67EFB9C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36.7 政府采购合同履行中，采购人需追加与合同标的相同的货物、工程或者服务的，在不改变合同其他条款的前提下，可以与投标人协商签订补充合同，但所有补充合同的采购金额不得超过原合同采购金额的 10%。</w:t>
      </w:r>
    </w:p>
    <w:p w14:paraId="7CA37B4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37.政府采购合同公告</w:t>
      </w:r>
    </w:p>
    <w:p w14:paraId="0C71BD4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采购人或者受托采购代理机构应当自政府采购合同签订之日起 2 个工作日内，将政府采购合同在省级以上人民政府财政部门指定的媒体上公告，但政府采购合同中涉及国家秘密、商业秘密的内容除外。</w:t>
      </w:r>
    </w:p>
    <w:p w14:paraId="0A5E3DB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 询问、质疑和投诉</w:t>
      </w:r>
    </w:p>
    <w:p w14:paraId="564319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38.1 投标人对政府采购活动事项有疑问的，可以向采购人提出询问，采购人或者采购代理机构应当在 3 个工作日内对投标人依法提出的询问作出答复，但答复的内容不得涉及商业秘密。</w:t>
      </w:r>
    </w:p>
    <w:p w14:paraId="6783D3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 投标人认为招标文件、采购过程或者中标结果使自己的合法权益受到损害的，必须在知道或者应知其权益受到损害之日起 7 个工作日内，以书面形式向采购人、采购代理机构提出质疑。采购人、采购代理机构接收质疑函的方式、联系部门、联系电话和通讯地址等信息详见“投标人须知前附表”。 具体质疑起算时间如下：</w:t>
      </w:r>
    </w:p>
    <w:p w14:paraId="029662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（1）对可以质疑的招标文件提出质疑的，为收到招标文件之日或者招标文件公告期限届满之日；</w:t>
      </w:r>
    </w:p>
    <w:p w14:paraId="61FACBB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（2）对采购过程提出质疑的，为各采购程序环节结束之日；</w:t>
      </w:r>
    </w:p>
    <w:p w14:paraId="5E53EA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（3）对中标结果提出质疑的，为中标结果公告期限届满之日。</w:t>
      </w:r>
    </w:p>
    <w:p w14:paraId="2B30F6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38.3 投标人提出质疑应当提交质疑函和必要的证明材料，针对同一采购程序环节的质疑必须在法定质疑期内一次性提出。质疑函应当包括下列内容（质疑函格式后附）：</w:t>
      </w:r>
    </w:p>
    <w:p w14:paraId="348DFF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（1）投标人的姓名或者名称、地址、邮编、联系人及联系电话；</w:t>
      </w:r>
    </w:p>
    <w:p w14:paraId="411F00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（2）质疑项目的名称、编号；</w:t>
      </w:r>
    </w:p>
    <w:p w14:paraId="7FC132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（3）具体、明确的质疑事项和与质疑事项相关的请求；</w:t>
      </w:r>
    </w:p>
    <w:p w14:paraId="7D26F7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（4）事实依据；</w:t>
      </w:r>
    </w:p>
    <w:p w14:paraId="68A9BB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（5）必要的法律依据；</w:t>
      </w:r>
    </w:p>
    <w:p w14:paraId="164F26D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（6）提出质疑的日期。</w:t>
      </w:r>
    </w:p>
    <w:p w14:paraId="3258CB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投标人为自然人的，应当由本人签字；投标人为法人或者其他组织的，应当由法定代表人、主要负责人，或者其委托代理人签字或者盖章，并加盖公章。</w:t>
      </w:r>
    </w:p>
    <w:p w14:paraId="4B7F2A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38.4 采购人、采购代理机构认为投标人质疑不成立，或者成立但未对中标结果构成影响的，继续开展采购活动；认为投标人质疑成立且影响或者可能影响中标结果的，按照下列情况处理：</w:t>
      </w:r>
    </w:p>
    <w:p w14:paraId="2880459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（一）对招标文件提出的质疑，依法通过澄清或者修改可以继续开展采购活动的，澄清或者修改招标文件后继续开展采购活动；否则应当修改招标文件后重新开展采购活动。</w:t>
      </w:r>
    </w:p>
    <w:p w14:paraId="7934E91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（二）对采购过程、中标结果提出的质疑，合格投标人符合法定数量时，可以从合格的中标候选人中另行确定中标投标人的，应当依法另行确定中标投标人；否则应当重新开展采购活动。</w:t>
      </w:r>
    </w:p>
    <w:p w14:paraId="55EC07E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质疑答复导致中标结果改变的，采购人或者采购代理机构应当将有关情况书面报告本级财政部门。</w:t>
      </w:r>
    </w:p>
    <w:p w14:paraId="174B0A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38.5 质疑投标人对采购人、采购代理机构的答复不满意，或者采购人、采购代理机构未在规定时间内作出答复的，可以在答复期满后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号）第六条规定的财政部门提起投诉（投诉书格式后附）。投诉方式及联系事项等信息详见“投标人须知前附表 ”。</w:t>
      </w:r>
    </w:p>
    <w:p w14:paraId="1E69896A">
      <w:pPr>
        <w:pStyle w:val="8"/>
        <w:keepNext w:val="0"/>
        <w:keepLines w:val="0"/>
        <w:pageBreakBefore w:val="0"/>
        <w:wordWrap/>
        <w:overflowPunct/>
        <w:topLinePunct w:val="0"/>
        <w:bidi w:val="0"/>
        <w:spacing w:line="440" w:lineRule="exact"/>
        <w:ind w:left="3938"/>
        <w:outlineLvl w:val="1"/>
        <w:rPr>
          <w:b/>
          <w:bCs/>
          <w:color w:val="auto"/>
          <w:spacing w:val="-4"/>
          <w:sz w:val="24"/>
          <w:szCs w:val="24"/>
          <w:highlight w:val="none"/>
        </w:rPr>
      </w:pPr>
    </w:p>
    <w:p w14:paraId="1BA69958">
      <w:pPr>
        <w:pStyle w:val="8"/>
        <w:keepNext w:val="0"/>
        <w:keepLines w:val="0"/>
        <w:pageBreakBefore w:val="0"/>
        <w:wordWrap/>
        <w:overflowPunct/>
        <w:topLinePunct w:val="0"/>
        <w:bidi w:val="0"/>
        <w:spacing w:line="440" w:lineRule="exact"/>
        <w:ind w:left="3938"/>
        <w:outlineLvl w:val="1"/>
        <w:rPr>
          <w:color w:val="auto"/>
          <w:sz w:val="24"/>
          <w:szCs w:val="24"/>
          <w:highlight w:val="none"/>
        </w:rPr>
      </w:pPr>
      <w:r>
        <w:rPr>
          <w:b/>
          <w:bCs/>
          <w:color w:val="auto"/>
          <w:spacing w:val="-4"/>
          <w:sz w:val="24"/>
          <w:szCs w:val="24"/>
          <w:highlight w:val="none"/>
        </w:rPr>
        <w:t>八、其他事项</w:t>
      </w:r>
    </w:p>
    <w:p w14:paraId="309536BD">
      <w:pPr>
        <w:keepNext w:val="0"/>
        <w:keepLines w:val="0"/>
        <w:pageBreakBefore w:val="0"/>
        <w:wordWrap/>
        <w:overflowPunct/>
        <w:topLinePunct w:val="0"/>
        <w:bidi w:val="0"/>
        <w:spacing w:line="440" w:lineRule="exact"/>
        <w:rPr>
          <w:rFonts w:ascii="Arial"/>
          <w:color w:val="auto"/>
          <w:sz w:val="21"/>
          <w:highlight w:val="none"/>
        </w:rPr>
      </w:pPr>
    </w:p>
    <w:p w14:paraId="124D2F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39.代理服务费</w:t>
      </w:r>
    </w:p>
    <w:p w14:paraId="4F5ADD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39.1 采购代理费支付方式、采购代理费收取标准、采购代理费收取银行账户详见“投标人须知前附表”，投标人为联合体的，可以由联合体中的一方或者多方共同交纳代理服务费。</w:t>
      </w:r>
    </w:p>
    <w:p w14:paraId="696B08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39.2 至中标通知书发出后，招标代理流程即完成，后续由中标人（含原中标人）投标文件原因导致质疑、响应提供虚假材料、合同履约引起的项目废标，该费用不予退还。</w:t>
      </w:r>
    </w:p>
    <w:p w14:paraId="52477008">
      <w:pPr>
        <w:pStyle w:val="8"/>
        <w:keepNext w:val="0"/>
        <w:keepLines w:val="0"/>
        <w:pageBreakBefore w:val="0"/>
        <w:wordWrap/>
        <w:overflowPunct/>
        <w:topLinePunct w:val="0"/>
        <w:bidi w:val="0"/>
        <w:spacing w:line="440" w:lineRule="exact"/>
        <w:ind w:left="428"/>
        <w:outlineLvl w:val="2"/>
        <w:rPr>
          <w:color w:val="auto"/>
          <w:sz w:val="20"/>
          <w:szCs w:val="20"/>
          <w:highlight w:val="none"/>
        </w:rPr>
      </w:pPr>
      <w:r>
        <w:rPr>
          <w:b/>
          <w:bCs/>
          <w:color w:val="auto"/>
          <w:spacing w:val="4"/>
          <w:sz w:val="20"/>
          <w:szCs w:val="20"/>
          <w:highlight w:val="none"/>
        </w:rPr>
        <w:t>40.</w:t>
      </w:r>
      <w:r>
        <w:rPr>
          <w:color w:val="auto"/>
          <w:spacing w:val="34"/>
          <w:sz w:val="20"/>
          <w:szCs w:val="20"/>
          <w:highlight w:val="none"/>
        </w:rPr>
        <w:t xml:space="preserve"> </w:t>
      </w:r>
      <w:r>
        <w:rPr>
          <w:b/>
          <w:bCs/>
          <w:color w:val="auto"/>
          <w:spacing w:val="4"/>
          <w:sz w:val="20"/>
          <w:szCs w:val="20"/>
          <w:highlight w:val="none"/>
        </w:rPr>
        <w:t>需要补充的其他内容</w:t>
      </w:r>
    </w:p>
    <w:p w14:paraId="368027B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40.1 本招标文件解释规则详见“投标人须知前附表 ”。</w:t>
      </w:r>
    </w:p>
    <w:p w14:paraId="3A48EE1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40.2 其他事项详见“投标人须知前附表”。</w:t>
      </w:r>
    </w:p>
    <w:p w14:paraId="47EF6A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40.3 如因联合体或广西政府采购云平台系统导致无法电子签章，可线下盖公章扫描上传，即按照要求盖公章或电子签章均与认可。</w:t>
      </w:r>
    </w:p>
    <w:p w14:paraId="772229C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40.4 如由于询问、质疑和投诉、验收环节，需要核实关于投标文件中的相关证明材料，投标人必须按照要求配合，否则按照虚假材料认定，并报告本级财政部门进行核实并按照规定作出相关处罚。</w:t>
      </w:r>
    </w:p>
    <w:p w14:paraId="6CFB3B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40.5 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14:paraId="061F0A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（1）在货物采购项目中，货物由中小企业制造，即货物由中小企业生产且使用该中小企业商号或者注册商标，不对其中涉及的工程承建商和服务的承接商作出要求；</w:t>
      </w:r>
    </w:p>
    <w:p w14:paraId="51A796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（2）在工程采购项目中，工程由中小企业承建，即工程施工单位为中小企业，不对其中涉及的货物的制造商和服务的承接商作出要求；</w:t>
      </w:r>
    </w:p>
    <w:p w14:paraId="2FD059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8472D5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4FD7BF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sectPr>
          <w:headerReference r:id="rId18" w:type="default"/>
          <w:footerReference r:id="rId19" w:type="default"/>
          <w:pgSz w:w="11906" w:h="16839"/>
          <w:pgMar w:top="1474" w:right="1474" w:bottom="1474" w:left="1474" w:header="963" w:footer="677" w:gutter="0"/>
          <w:pgNumType w:fmt="decimal"/>
          <w:cols w:space="720" w:num="1"/>
        </w:sectPr>
      </w:pPr>
      <w:r>
        <w:rPr>
          <w:rFonts w:hint="eastAsia" w:ascii="宋体" w:hAnsi="宋体" w:eastAsia="宋体" w:cs="宋体"/>
          <w:snapToGrid/>
          <w:color w:val="auto"/>
          <w:kern w:val="2"/>
          <w:szCs w:val="21"/>
          <w:highlight w:val="none"/>
          <w:lang w:val="en-US" w:eastAsia="zh-CN"/>
        </w:rPr>
        <w:t>依据本招标文件规定享受扶持政策获得政府采购合同的，小微企业不得将合同分包给大中型企业，中型企业不得将合同分包给大型企业。</w:t>
      </w:r>
    </w:p>
    <w:p w14:paraId="43FE6D68">
      <w:pPr>
        <w:pStyle w:val="8"/>
        <w:keepNext w:val="0"/>
        <w:keepLines w:val="0"/>
        <w:pageBreakBefore w:val="0"/>
        <w:wordWrap/>
        <w:overflowPunct/>
        <w:topLinePunct w:val="0"/>
        <w:bidi w:val="0"/>
        <w:spacing w:line="440" w:lineRule="exact"/>
        <w:ind w:left="2402"/>
        <w:outlineLvl w:val="0"/>
        <w:rPr>
          <w:color w:val="auto"/>
          <w:sz w:val="35"/>
          <w:szCs w:val="35"/>
          <w:highlight w:val="none"/>
        </w:rPr>
      </w:pPr>
      <w:r>
        <w:rPr>
          <w:b/>
          <w:bCs/>
          <w:color w:val="auto"/>
          <w:spacing w:val="6"/>
          <w:sz w:val="35"/>
          <w:szCs w:val="35"/>
          <w:highlight w:val="none"/>
        </w:rPr>
        <w:t>第四章</w:t>
      </w:r>
      <w:r>
        <w:rPr>
          <w:color w:val="auto"/>
          <w:spacing w:val="6"/>
          <w:sz w:val="35"/>
          <w:szCs w:val="35"/>
          <w:highlight w:val="none"/>
        </w:rPr>
        <w:t xml:space="preserve"> </w:t>
      </w:r>
      <w:r>
        <w:rPr>
          <w:b/>
          <w:bCs/>
          <w:color w:val="auto"/>
          <w:spacing w:val="6"/>
          <w:sz w:val="35"/>
          <w:szCs w:val="35"/>
          <w:highlight w:val="none"/>
        </w:rPr>
        <w:t>评标方法及评标标准</w:t>
      </w:r>
    </w:p>
    <w:p w14:paraId="1A81700C">
      <w:pPr>
        <w:pStyle w:val="8"/>
        <w:keepNext w:val="0"/>
        <w:keepLines w:val="0"/>
        <w:pageBreakBefore w:val="0"/>
        <w:wordWrap/>
        <w:overflowPunct/>
        <w:topLinePunct w:val="0"/>
        <w:bidi w:val="0"/>
        <w:spacing w:line="440" w:lineRule="exact"/>
        <w:ind w:left="3702"/>
        <w:outlineLvl w:val="1"/>
        <w:rPr>
          <w:b/>
          <w:bCs/>
          <w:color w:val="auto"/>
          <w:spacing w:val="4"/>
          <w:highlight w:val="none"/>
        </w:rPr>
      </w:pPr>
    </w:p>
    <w:p w14:paraId="7A4D8C91">
      <w:pPr>
        <w:pStyle w:val="8"/>
        <w:keepNext w:val="0"/>
        <w:keepLines w:val="0"/>
        <w:pageBreakBefore w:val="0"/>
        <w:wordWrap/>
        <w:overflowPunct/>
        <w:topLinePunct w:val="0"/>
        <w:bidi w:val="0"/>
        <w:spacing w:line="440" w:lineRule="exact"/>
        <w:ind w:left="3702"/>
        <w:outlineLvl w:val="1"/>
        <w:rPr>
          <w:color w:val="auto"/>
          <w:highlight w:val="none"/>
        </w:rPr>
      </w:pPr>
      <w:r>
        <w:rPr>
          <w:b/>
          <w:bCs/>
          <w:color w:val="auto"/>
          <w:spacing w:val="4"/>
          <w:highlight w:val="none"/>
        </w:rPr>
        <w:t>一、评标方法</w:t>
      </w:r>
    </w:p>
    <w:p w14:paraId="645211B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综合评分法，是指投标文件满足招标文件全部实质性要求，且按照评审因素的量化指标评审得分最高的投标人为中标候选人的评标方法。</w:t>
      </w:r>
    </w:p>
    <w:p w14:paraId="56CF7F48">
      <w:pPr>
        <w:pStyle w:val="8"/>
        <w:keepNext w:val="0"/>
        <w:keepLines w:val="0"/>
        <w:pageBreakBefore w:val="0"/>
        <w:wordWrap/>
        <w:overflowPunct/>
        <w:topLinePunct w:val="0"/>
        <w:bidi w:val="0"/>
        <w:spacing w:line="440" w:lineRule="exact"/>
        <w:ind w:left="3702"/>
        <w:outlineLvl w:val="1"/>
        <w:rPr>
          <w:b/>
          <w:bCs/>
          <w:color w:val="auto"/>
          <w:spacing w:val="4"/>
          <w:highlight w:val="none"/>
        </w:rPr>
      </w:pPr>
    </w:p>
    <w:p w14:paraId="5E9F6039">
      <w:pPr>
        <w:pStyle w:val="8"/>
        <w:keepNext w:val="0"/>
        <w:keepLines w:val="0"/>
        <w:pageBreakBefore w:val="0"/>
        <w:wordWrap/>
        <w:overflowPunct/>
        <w:topLinePunct w:val="0"/>
        <w:bidi w:val="0"/>
        <w:spacing w:line="440" w:lineRule="exact"/>
        <w:ind w:left="3702"/>
        <w:outlineLvl w:val="1"/>
        <w:rPr>
          <w:color w:val="auto"/>
          <w:highlight w:val="none"/>
        </w:rPr>
      </w:pPr>
      <w:r>
        <w:rPr>
          <w:b/>
          <w:bCs/>
          <w:color w:val="auto"/>
          <w:spacing w:val="4"/>
          <w:highlight w:val="none"/>
        </w:rPr>
        <w:t>二、评标程序</w:t>
      </w:r>
    </w:p>
    <w:p w14:paraId="4E3C1755">
      <w:pPr>
        <w:pStyle w:val="8"/>
        <w:keepNext w:val="0"/>
        <w:keepLines w:val="0"/>
        <w:pageBreakBefore w:val="0"/>
        <w:wordWrap/>
        <w:overflowPunct/>
        <w:topLinePunct w:val="0"/>
        <w:bidi w:val="0"/>
        <w:spacing w:line="440" w:lineRule="exact"/>
        <w:ind w:left="433"/>
        <w:outlineLvl w:val="3"/>
        <w:rPr>
          <w:b/>
          <w:bCs/>
          <w:color w:val="auto"/>
          <w:spacing w:val="4"/>
          <w:sz w:val="21"/>
          <w:szCs w:val="21"/>
          <w:highlight w:val="none"/>
        </w:rPr>
      </w:pPr>
      <w:r>
        <w:rPr>
          <w:b/>
          <w:bCs/>
          <w:color w:val="auto"/>
          <w:spacing w:val="4"/>
          <w:sz w:val="21"/>
          <w:szCs w:val="21"/>
          <w:highlight w:val="none"/>
        </w:rPr>
        <w:t>1.符合性审查</w:t>
      </w:r>
    </w:p>
    <w:p w14:paraId="59FDC25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评标委员会应当对符合资格的投标人的投标文件进行投标报价、商务、技术等实质性内容符合性审查，以确定其是否满足招标文件的实质性要求。</w:t>
      </w:r>
    </w:p>
    <w:p w14:paraId="3D471747">
      <w:pPr>
        <w:pStyle w:val="8"/>
        <w:keepNext w:val="0"/>
        <w:keepLines w:val="0"/>
        <w:pageBreakBefore w:val="0"/>
        <w:wordWrap/>
        <w:overflowPunct/>
        <w:topLinePunct w:val="0"/>
        <w:bidi w:val="0"/>
        <w:spacing w:line="440" w:lineRule="exact"/>
        <w:ind w:left="433"/>
        <w:outlineLvl w:val="3"/>
        <w:rPr>
          <w:b/>
          <w:bCs/>
          <w:color w:val="auto"/>
          <w:spacing w:val="4"/>
          <w:sz w:val="21"/>
          <w:szCs w:val="21"/>
          <w:highlight w:val="none"/>
        </w:rPr>
      </w:pPr>
      <w:r>
        <w:rPr>
          <w:b/>
          <w:bCs/>
          <w:color w:val="auto"/>
          <w:spacing w:val="4"/>
          <w:sz w:val="21"/>
          <w:szCs w:val="21"/>
          <w:highlight w:val="none"/>
        </w:rPr>
        <w:t>2.符合性审查不通过而导致投标无效的情形</w:t>
      </w:r>
    </w:p>
    <w:p w14:paraId="494DA2D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投标人的投标文件中存在对招标文件的任何实质性要求和条件的负偏离，将被视为投标无效。</w:t>
      </w:r>
    </w:p>
    <w:p w14:paraId="087109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2.1 在报价评审时，如发现下列情形之一的，将被视为投标无效：</w:t>
      </w:r>
    </w:p>
    <w:p w14:paraId="19988F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（1）报价文件未提供“投标人须知前附表 ”第 13 条规定中“必须提供 ”的文件资料的；</w:t>
      </w:r>
    </w:p>
    <w:p w14:paraId="5F656D5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（2）未采用人民币报价或者未按照招标文件标明的币种报价的；</w:t>
      </w:r>
    </w:p>
    <w:p w14:paraId="596BE01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（3）各分包报价超出招标文件相应分包规定最高限价，或者超出相应分包采购预算金额的；</w:t>
      </w:r>
    </w:p>
    <w:p w14:paraId="226EBD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投标人未就所投分包进行报价或者存在漏项报价；投标人未就所投分包的单项内容作唯一报价；投标人未就所投分包的全部内容作完整唯一总价报价；存在有选择、有条件报价的（招标文件允许有备选方案或者其他约定的除外）；</w:t>
      </w:r>
    </w:p>
    <w:p w14:paraId="6CCA3F6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（5）修正后的报价，投标人不确认的；</w:t>
      </w:r>
    </w:p>
    <w:p w14:paraId="0FEB74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（6）投标人属于本章第 5.1 条（2）或者第 5.2 条（2）项情形的；</w:t>
      </w:r>
    </w:p>
    <w:p w14:paraId="234F4A7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（7）报价文件响应的标的数量及单位与招标文件要求实质性不一致的。</w:t>
      </w:r>
    </w:p>
    <w:p w14:paraId="35671A6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2.2 在商务评审时，如发现下列情形之一的，将被视为投标无效：</w:t>
      </w:r>
    </w:p>
    <w:p w14:paraId="14DF04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（1）投标文件未按招标文件要求签署、盖章的；</w:t>
      </w:r>
    </w:p>
    <w:p w14:paraId="1CEE9F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（2）委托代理人未能出具有效身份证或者出具的身份证与授权委托书中的信息不符的；</w:t>
      </w:r>
    </w:p>
    <w:p w14:paraId="7F5F419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（3）为无效投标保证金的或者未按照招标文件的规定提交投标保证金的；</w:t>
      </w:r>
    </w:p>
    <w:p w14:paraId="1EB9F5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（4）投标文件未提供“投标人须知前附表 ”第 13 条规定中“必须提供 ”或者“委托时必须提供”的文件资料的；</w:t>
      </w:r>
    </w:p>
    <w:p w14:paraId="3FD3EE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（5）商务要求评审允许负偏离的条款数超过“投标人须知前附表 ”规定项数的；</w:t>
      </w:r>
    </w:p>
    <w:p w14:paraId="2F0E85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（6）投标文件的实质性内容未使用中文表述、使用计量单位不符合招标文件要求的；</w:t>
      </w:r>
    </w:p>
    <w:p w14:paraId="071B193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（7）投标文件中的文件资料因填写不齐全或者内容虚假或者出现其他情形而导致被评标委员会认定无效的；</w:t>
      </w:r>
    </w:p>
    <w:p w14:paraId="6E541E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（8）投标文件含有采购人不能接受的附加条件的；</w:t>
      </w:r>
    </w:p>
    <w:p w14:paraId="4189F6D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（9）属于投标人须知正文第 9.2 条情形的；</w:t>
      </w:r>
    </w:p>
    <w:p w14:paraId="0E094E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（10）投标文件标注的项目名称或者项目编号与招标文件标注的项目名称或者项目编号不一致的；</w:t>
      </w:r>
    </w:p>
    <w:p w14:paraId="066625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（11）招标文件明确不允许分包，投标文件拟分包的；</w:t>
      </w:r>
    </w:p>
    <w:p w14:paraId="60D400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（12）未响应招标文件实质性要求的；</w:t>
      </w:r>
    </w:p>
    <w:p w14:paraId="040DDC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（13）法律法规和招标文件规定的其他无效情形。</w:t>
      </w:r>
    </w:p>
    <w:p w14:paraId="2FFAAA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2.3 在技术评审时，如发现下列情形之一的，将被视为投标无效：</w:t>
      </w:r>
    </w:p>
    <w:p w14:paraId="1A2BABC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（1）技术要求评审允许负偏离的条款数超过“投标人须知前附表 ”规定项数的；</w:t>
      </w:r>
    </w:p>
    <w:p w14:paraId="0D98611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（2）投标文件未提供“投标人须知前附表 ”第 13 条规定中“必须提供 ”的文件资料的；</w:t>
      </w:r>
    </w:p>
    <w:p w14:paraId="17EFCF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（3）虚假投标，或者出现其他情形而导致被评标委员会认定无效的；</w:t>
      </w:r>
    </w:p>
    <w:p w14:paraId="55CAD2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（4）招标文件未载明允许提供备选（替代）投标方案或明确不允许提供备选（替代）投标方案时，投标人提供了备选（替代）投标方案的；</w:t>
      </w:r>
    </w:p>
    <w:p w14:paraId="3BAB60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（5）未响应招标文件实质性要求的。</w:t>
      </w:r>
    </w:p>
    <w:p w14:paraId="6B372019">
      <w:pPr>
        <w:pStyle w:val="8"/>
        <w:keepNext w:val="0"/>
        <w:keepLines w:val="0"/>
        <w:pageBreakBefore w:val="0"/>
        <w:wordWrap/>
        <w:overflowPunct/>
        <w:topLinePunct w:val="0"/>
        <w:bidi w:val="0"/>
        <w:spacing w:line="440" w:lineRule="exact"/>
        <w:ind w:left="433"/>
        <w:outlineLvl w:val="3"/>
        <w:rPr>
          <w:b/>
          <w:bCs/>
          <w:color w:val="auto"/>
          <w:spacing w:val="4"/>
          <w:sz w:val="21"/>
          <w:szCs w:val="21"/>
          <w:highlight w:val="none"/>
        </w:rPr>
      </w:pPr>
      <w:r>
        <w:rPr>
          <w:b/>
          <w:bCs/>
          <w:color w:val="auto"/>
          <w:spacing w:val="4"/>
          <w:sz w:val="21"/>
          <w:szCs w:val="21"/>
          <w:highlight w:val="none"/>
        </w:rPr>
        <w:t>3.澄清补正</w:t>
      </w:r>
    </w:p>
    <w:p w14:paraId="3DF3D59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 PDF 格式回函， 电子澄清答复函使用CA 证书加盖投标人电子签章后在线上传至评标委员会。投标人的澄清、说明或者补正不得超出投标文件的范围或者改变投标文件的实质性内容。</w:t>
      </w:r>
    </w:p>
    <w:p w14:paraId="493DA42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AB72D1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未按评标委员会的要求作出明确澄清、说明或者更正的投标人的投标文件将按照有利于采购人的原则由评标委员会进行判定。</w:t>
      </w:r>
    </w:p>
    <w:p w14:paraId="2184CBA8">
      <w:pPr>
        <w:pStyle w:val="8"/>
        <w:keepNext w:val="0"/>
        <w:keepLines w:val="0"/>
        <w:pageBreakBefore w:val="0"/>
        <w:wordWrap/>
        <w:overflowPunct/>
        <w:topLinePunct w:val="0"/>
        <w:bidi w:val="0"/>
        <w:spacing w:line="440" w:lineRule="exact"/>
        <w:ind w:left="433"/>
        <w:outlineLvl w:val="3"/>
        <w:rPr>
          <w:b/>
          <w:bCs/>
          <w:color w:val="auto"/>
          <w:spacing w:val="4"/>
          <w:sz w:val="21"/>
          <w:szCs w:val="21"/>
          <w:highlight w:val="none"/>
        </w:rPr>
      </w:pPr>
      <w:r>
        <w:rPr>
          <w:b/>
          <w:bCs/>
          <w:color w:val="auto"/>
          <w:spacing w:val="4"/>
          <w:sz w:val="21"/>
          <w:szCs w:val="21"/>
          <w:highlight w:val="none"/>
        </w:rPr>
        <w:t>4.投标文件修正</w:t>
      </w:r>
    </w:p>
    <w:p w14:paraId="7C9787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4.1 投标文件报价出现前后不一致的，按照下列规定修正：</w:t>
      </w:r>
    </w:p>
    <w:p w14:paraId="7B3765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（1）投标文件中开标一览表（报价表）内容与投标文件中相应内容不一致的，以开标一览表（报价表）为准；</w:t>
      </w:r>
    </w:p>
    <w:p w14:paraId="30ABE5B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（2）大写金额和小写金额不一致的，以大写金额为准；</w:t>
      </w:r>
    </w:p>
    <w:p w14:paraId="73A8A7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（3）单价金额小数点或者百分比有明显错位的， 以开标一览表的总价为准，并修改单价；</w:t>
      </w:r>
    </w:p>
    <w:p w14:paraId="228182D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（4）总价金额与按单价汇总金额不一致的，以单价金额计算结果为准。</w:t>
      </w:r>
    </w:p>
    <w:p w14:paraId="55C3A3E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同时出现两种以上不一致的，按照以上（1）-（4）规定的顺序修正。修正后的报价经投标人确认后产生约束力，投标人不确认的，</w:t>
      </w:r>
      <w:r>
        <w:rPr>
          <w:rFonts w:hint="eastAsia" w:ascii="宋体" w:hAnsi="宋体" w:eastAsia="宋体" w:cs="宋体"/>
          <w:b/>
          <w:bCs/>
          <w:snapToGrid/>
          <w:color w:val="auto"/>
          <w:kern w:val="2"/>
          <w:szCs w:val="21"/>
          <w:highlight w:val="none"/>
          <w:lang w:val="en-US" w:eastAsia="zh-CN"/>
        </w:rPr>
        <w:t>其投标无效</w:t>
      </w:r>
      <w:r>
        <w:rPr>
          <w:rFonts w:hint="eastAsia" w:ascii="宋体" w:hAnsi="宋体" w:eastAsia="宋体" w:cs="宋体"/>
          <w:snapToGrid/>
          <w:color w:val="auto"/>
          <w:kern w:val="2"/>
          <w:szCs w:val="21"/>
          <w:highlight w:val="none"/>
          <w:lang w:val="en-US" w:eastAsia="zh-CN"/>
        </w:rPr>
        <w:t>。</w:t>
      </w:r>
    </w:p>
    <w:p w14:paraId="7917749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snapToGrid/>
          <w:color w:val="auto"/>
          <w:kern w:val="2"/>
          <w:szCs w:val="21"/>
          <w:highlight w:val="none"/>
          <w:lang w:val="en-US" w:eastAsia="zh-CN"/>
        </w:rPr>
        <w:t>4.2 经投标人确认修正后的报价若超过采购预算金额或者最高限价，</w:t>
      </w:r>
      <w:r>
        <w:rPr>
          <w:rFonts w:hint="eastAsia" w:asciiTheme="minorEastAsia" w:hAnsiTheme="minorEastAsia" w:eastAsiaTheme="minorEastAsia" w:cstheme="minorEastAsia"/>
          <w:b/>
          <w:bCs/>
          <w:color w:val="auto"/>
          <w:spacing w:val="11"/>
          <w:sz w:val="21"/>
          <w:szCs w:val="21"/>
          <w:highlight w:val="none"/>
        </w:rPr>
        <w:t>投标人的投标文件作无效投</w:t>
      </w:r>
      <w:r>
        <w:rPr>
          <w:rFonts w:hint="eastAsia" w:asciiTheme="minorEastAsia" w:hAnsiTheme="minorEastAsia" w:eastAsiaTheme="minorEastAsia" w:cstheme="minorEastAsia"/>
          <w:b/>
          <w:bCs/>
          <w:color w:val="auto"/>
          <w:spacing w:val="4"/>
          <w:sz w:val="21"/>
          <w:szCs w:val="21"/>
          <w:highlight w:val="none"/>
        </w:rPr>
        <w:t>标处理</w:t>
      </w:r>
      <w:r>
        <w:rPr>
          <w:rFonts w:hint="eastAsia" w:asciiTheme="minorEastAsia" w:hAnsiTheme="minorEastAsia" w:eastAsiaTheme="minorEastAsia" w:cstheme="minorEastAsia"/>
          <w:color w:val="auto"/>
          <w:spacing w:val="4"/>
          <w:sz w:val="21"/>
          <w:szCs w:val="21"/>
          <w:highlight w:val="none"/>
        </w:rPr>
        <w:t>。</w:t>
      </w:r>
    </w:p>
    <w:p w14:paraId="5FF951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4.3 经投标人确认修正后的报价作为签订合同的依据，并以此报价计算价格分。</w:t>
      </w:r>
    </w:p>
    <w:p w14:paraId="74C8B00B">
      <w:pPr>
        <w:pStyle w:val="8"/>
        <w:keepNext w:val="0"/>
        <w:keepLines w:val="0"/>
        <w:pageBreakBefore w:val="0"/>
        <w:wordWrap/>
        <w:overflowPunct/>
        <w:topLinePunct w:val="0"/>
        <w:bidi w:val="0"/>
        <w:spacing w:line="420" w:lineRule="exact"/>
        <w:ind w:left="433"/>
        <w:outlineLvl w:val="3"/>
        <w:rPr>
          <w:b/>
          <w:bCs/>
          <w:color w:val="auto"/>
          <w:spacing w:val="4"/>
          <w:sz w:val="21"/>
          <w:szCs w:val="21"/>
          <w:highlight w:val="none"/>
        </w:rPr>
      </w:pPr>
      <w:r>
        <w:rPr>
          <w:b/>
          <w:bCs/>
          <w:color w:val="auto"/>
          <w:spacing w:val="4"/>
          <w:sz w:val="21"/>
          <w:szCs w:val="21"/>
          <w:highlight w:val="none"/>
        </w:rPr>
        <w:t>5.比较与评价</w:t>
      </w:r>
    </w:p>
    <w:p w14:paraId="11B9AC4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5.1 采用综合评分法的</w:t>
      </w:r>
    </w:p>
    <w:p w14:paraId="5C028C8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ab/>
      </w:r>
      <w:r>
        <w:rPr>
          <w:rFonts w:hint="eastAsia" w:ascii="宋体" w:hAnsi="宋体" w:eastAsia="宋体" w:cs="宋体"/>
          <w:snapToGrid/>
          <w:color w:val="auto"/>
          <w:kern w:val="2"/>
          <w:szCs w:val="21"/>
          <w:highlight w:val="none"/>
          <w:lang w:val="en-US" w:eastAsia="zh-CN"/>
        </w:rPr>
        <w:t>（1）评审委员会成员要根据政府采购法律法规和采购文件所载明的评审方法、标准进行评审。对投标人的价格分等客观评分项的评分应当一致，对其他需要借助专业知识评判的主观评分项，应当严格按照评分细则公正评分。</w:t>
      </w:r>
    </w:p>
    <w:p w14:paraId="24AC721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（2）评标委员会独立对每个投标人的投标文件进行评价，并汇总每个投标人的得分。</w:t>
      </w:r>
    </w:p>
    <w:p w14:paraId="21C417F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为了确保采购质量和维护公平的竞争，根据《中华人民共和国政府采购法》第七十七条和《中华人民共和国反不正当竞争法》第十一条，经营者不得以排挤对手为目的，以低于成本的价格销售商品（服务）。采购人不能接受供应商的恶意低价的竞争。评标委员会认为投标人的报价明显低于其他通过符合性审查投标人的报价，有可能影响产品、服务质量或者不能诚信履约的，应当要求其在评标现场合理的时间内提供书面说明，必要时提交相关证明材料；</w:t>
      </w:r>
      <w:r>
        <w:rPr>
          <w:rFonts w:hint="eastAsia" w:ascii="宋体" w:hAnsi="宋体" w:eastAsia="宋体" w:cs="宋体"/>
          <w:b/>
          <w:bCs/>
          <w:snapToGrid/>
          <w:color w:val="auto"/>
          <w:kern w:val="2"/>
          <w:szCs w:val="21"/>
          <w:highlight w:val="none"/>
          <w:lang w:val="en-US" w:eastAsia="zh-CN"/>
        </w:rPr>
        <w:t>投标人不能证明其报价合理性的，评标委 员会将其作为无效投标处理。</w:t>
      </w:r>
    </w:p>
    <w:p w14:paraId="1DD2E80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（3）评标委员会按照招标文件中规定的评标方法和标准计算各投标人的报价得分。在计算过程中，不得去掉最高报价或者最低报价。</w:t>
      </w:r>
    </w:p>
    <w:p w14:paraId="553CD66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（4）各投标人的得分为所有评委的有效评分的算术平均数。</w:t>
      </w:r>
    </w:p>
    <w:p w14:paraId="4C9C25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（5）评标委员会按照招标文件中的规定推荐中标候选人。</w:t>
      </w:r>
    </w:p>
    <w:p w14:paraId="2552EE9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D004E3D">
      <w:pPr>
        <w:pStyle w:val="8"/>
        <w:keepNext w:val="0"/>
        <w:keepLines w:val="0"/>
        <w:pageBreakBefore w:val="0"/>
        <w:wordWrap/>
        <w:overflowPunct/>
        <w:topLinePunct w:val="0"/>
        <w:bidi w:val="0"/>
        <w:spacing w:line="420" w:lineRule="exact"/>
        <w:ind w:left="3697"/>
        <w:outlineLvl w:val="1"/>
        <w:rPr>
          <w:b/>
          <w:bCs/>
          <w:color w:val="auto"/>
          <w:spacing w:val="5"/>
          <w:highlight w:val="none"/>
        </w:rPr>
      </w:pPr>
    </w:p>
    <w:p w14:paraId="7943A979">
      <w:pPr>
        <w:pStyle w:val="8"/>
        <w:keepNext w:val="0"/>
        <w:keepLines w:val="0"/>
        <w:pageBreakBefore w:val="0"/>
        <w:wordWrap/>
        <w:overflowPunct/>
        <w:topLinePunct w:val="0"/>
        <w:bidi w:val="0"/>
        <w:spacing w:line="420" w:lineRule="exact"/>
        <w:ind w:left="3697"/>
        <w:outlineLvl w:val="1"/>
        <w:rPr>
          <w:color w:val="auto"/>
          <w:highlight w:val="none"/>
        </w:rPr>
      </w:pPr>
      <w:r>
        <w:rPr>
          <w:b/>
          <w:bCs/>
          <w:color w:val="auto"/>
          <w:spacing w:val="5"/>
          <w:highlight w:val="none"/>
        </w:rPr>
        <w:t>三、评标标准</w:t>
      </w:r>
    </w:p>
    <w:p w14:paraId="567866AF">
      <w:pPr>
        <w:keepNext w:val="0"/>
        <w:keepLines w:val="0"/>
        <w:pageBreakBefore w:val="0"/>
        <w:wordWrap/>
        <w:overflowPunct/>
        <w:topLinePunct w:val="0"/>
        <w:bidi w:val="0"/>
        <w:spacing w:line="420" w:lineRule="exact"/>
        <w:rPr>
          <w:rFonts w:ascii="Arial"/>
          <w:color w:val="auto"/>
          <w:sz w:val="21"/>
          <w:highlight w:val="none"/>
        </w:rPr>
      </w:pPr>
    </w:p>
    <w:p w14:paraId="51D043D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（综合评分法，计分方法按四舍五入取至百分位）</w:t>
      </w:r>
    </w:p>
    <w:p w14:paraId="269C2C2B">
      <w:pPr>
        <w:keepNext w:val="0"/>
        <w:keepLines w:val="0"/>
        <w:pageBreakBefore w:val="0"/>
        <w:wordWrap/>
        <w:overflowPunct/>
        <w:topLinePunct w:val="0"/>
        <w:bidi w:val="0"/>
        <w:spacing w:line="420" w:lineRule="exact"/>
        <w:rPr>
          <w:color w:val="auto"/>
          <w:sz w:val="20"/>
          <w:szCs w:val="20"/>
          <w:highlight w:val="none"/>
        </w:rPr>
        <w:sectPr>
          <w:headerReference r:id="rId20" w:type="default"/>
          <w:footerReference r:id="rId21" w:type="default"/>
          <w:pgSz w:w="11906" w:h="16839"/>
          <w:pgMar w:top="1474" w:right="1474" w:bottom="1474" w:left="1474" w:header="963" w:footer="677" w:gutter="0"/>
          <w:pgNumType w:fmt="decimal"/>
          <w:cols w:space="720" w:num="1"/>
        </w:sectPr>
      </w:pPr>
    </w:p>
    <w:p w14:paraId="70CBCBF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lang w:eastAsia="zh-CN"/>
        </w:rPr>
        <w:t>包</w:t>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lang w:eastAsia="zh-CN"/>
        </w:rPr>
        <w:t>调查评估与成果集成包</w:t>
      </w:r>
    </w:p>
    <w:tbl>
      <w:tblPr>
        <w:tblStyle w:val="10"/>
        <w:tblpPr w:leftFromText="180" w:rightFromText="180" w:vertAnchor="text" w:horzAnchor="page" w:tblpX="1775" w:tblpY="5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9"/>
        <w:gridCol w:w="1140"/>
        <w:gridCol w:w="6663"/>
      </w:tblGrid>
      <w:tr w14:paraId="5860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2958AD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w:t>
            </w:r>
          </w:p>
          <w:p w14:paraId="14BB1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w:t>
            </w:r>
          </w:p>
        </w:tc>
        <w:tc>
          <w:tcPr>
            <w:tcW w:w="1140" w:type="dxa"/>
            <w:noWrap w:val="0"/>
            <w:vAlign w:val="center"/>
          </w:tcPr>
          <w:p w14:paraId="1E694C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w:t>
            </w:r>
          </w:p>
          <w:p w14:paraId="3D97B2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663" w:type="dxa"/>
            <w:noWrap w:val="0"/>
            <w:vAlign w:val="center"/>
          </w:tcPr>
          <w:p w14:paraId="768353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评标方法描述</w:t>
            </w:r>
          </w:p>
        </w:tc>
      </w:tr>
      <w:tr w14:paraId="2DADF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772" w:type="dxa"/>
            <w:gridSpan w:val="3"/>
            <w:noWrap w:val="0"/>
            <w:vAlign w:val="center"/>
          </w:tcPr>
          <w:p w14:paraId="3D4078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（一）价格分（满分10分）</w:t>
            </w:r>
          </w:p>
        </w:tc>
      </w:tr>
      <w:tr w14:paraId="7CAE4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2910E3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w:t>
            </w:r>
          </w:p>
          <w:p w14:paraId="57BC03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报价</w:t>
            </w:r>
          </w:p>
        </w:tc>
        <w:tc>
          <w:tcPr>
            <w:tcW w:w="1140" w:type="dxa"/>
            <w:noWrap w:val="0"/>
            <w:vAlign w:val="center"/>
          </w:tcPr>
          <w:p w14:paraId="470E3E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6663" w:type="dxa"/>
            <w:noWrap w:val="0"/>
            <w:vAlign w:val="center"/>
          </w:tcPr>
          <w:p w14:paraId="673F32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（1）评标报价为投标人的投标报价进行政策性扣除后的价格，评标报价只是作为评标时使用。最终中标人的中标金额等于投标报价。</w:t>
            </w:r>
          </w:p>
          <w:p w14:paraId="6A05B8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按照《政府采购促进中小企业发展管理办法》（财库〔2020〕46号）的规定，投标人在其投标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的规定对其最后报价给予10%（范围为10-20%）的扣除。</w:t>
            </w:r>
          </w:p>
          <w:p w14:paraId="1F9758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（3）按照《财政部、司法部关于政府采购支持监狱企业发展有关问题的通知》（财库〔2014〕68号）的规定，监狱企业视同小型、微型企业，享受预留份额、评审中价格扣除等促进中小企业发展 的政府采购政策。监狱企业参加政府采购活动时，应当提供由省级以上监狱管理局、戒毒管理局(含新疆生产建设兵团)出具的属于监狱企业的证明文件。不重复享受政策。</w:t>
            </w:r>
          </w:p>
          <w:p w14:paraId="32712AA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89E7AD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（5）政策性扣除计算方法。</w:t>
            </w:r>
          </w:p>
          <w:p w14:paraId="3D6BAED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在服务采购项目中，服务由小微企业承接；对符合上述要求的投标人的投标报价给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 的扣除，用扣除后的价格参加评审，扣除后的价格为评标报价，即评标报价=投标报价×（1-4%）。除上述情况外，评标报价=投标报价。</w:t>
            </w:r>
          </w:p>
          <w:p w14:paraId="302471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（6）以进入综合评分环节的最低的评标报价为基准价，基准价报价得分为 10 分。</w:t>
            </w:r>
          </w:p>
          <w:p w14:paraId="74035B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（7）价格分计算公式：</w:t>
            </w:r>
          </w:p>
          <w:p w14:paraId="030CE28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某投标人价格分=基准价/某投标人评标报价金额×10分。</w:t>
            </w:r>
          </w:p>
          <w:p w14:paraId="53921D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（8）低价说明</w:t>
            </w:r>
          </w:p>
          <w:p w14:paraId="404901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BBA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772" w:type="dxa"/>
            <w:gridSpan w:val="3"/>
            <w:noWrap w:val="0"/>
            <w:vAlign w:val="center"/>
          </w:tcPr>
          <w:p w14:paraId="50A1F1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技术分（满分58分）</w:t>
            </w:r>
          </w:p>
        </w:tc>
      </w:tr>
      <w:tr w14:paraId="2CFF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6B8611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实施方案</w:t>
            </w:r>
            <w:r>
              <w:rPr>
                <w:rFonts w:hint="eastAsia" w:asciiTheme="minorEastAsia" w:hAnsiTheme="minorEastAsia" w:eastAsiaTheme="minorEastAsia" w:cstheme="minorEastAsia"/>
                <w:b/>
                <w:bCs/>
                <w:color w:val="auto"/>
                <w:sz w:val="21"/>
                <w:szCs w:val="21"/>
                <w:highlight w:val="none"/>
                <w:lang w:val="en-US" w:eastAsia="zh-CN"/>
              </w:rPr>
              <w:t>分</w:t>
            </w:r>
          </w:p>
        </w:tc>
        <w:tc>
          <w:tcPr>
            <w:tcW w:w="1140" w:type="dxa"/>
            <w:noWrap w:val="0"/>
            <w:vAlign w:val="center"/>
          </w:tcPr>
          <w:p w14:paraId="47A4E5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40分</w:t>
            </w:r>
          </w:p>
        </w:tc>
        <w:tc>
          <w:tcPr>
            <w:tcW w:w="6663" w:type="dxa"/>
            <w:noWrap w:val="0"/>
            <w:vAlign w:val="center"/>
          </w:tcPr>
          <w:p w14:paraId="48440FE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对项目实施方案（工作内容、工作方法、技术路线、进度安排、 质量保证等指标）的合理性、科学性、可操作性进行评分：</w:t>
            </w:r>
          </w:p>
          <w:p w14:paraId="747D3B1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实施方案至少应包括：①项目背景；②项目工作原则和工作依据；③项目工作内容及技术路线分析；④质量保障、现场安全与 防护要求；⑤突发事件应急处置方案；⑥组织协调方</w:t>
            </w:r>
            <w:r>
              <w:rPr>
                <w:rFonts w:hint="eastAsia" w:asciiTheme="minorEastAsia" w:hAnsiTheme="minorEastAsia" w:eastAsiaTheme="minorEastAsia" w:cstheme="minorEastAsia"/>
                <w:color w:val="auto"/>
                <w:spacing w:val="12"/>
                <w:sz w:val="21"/>
                <w:szCs w:val="21"/>
                <w:highlight w:val="none"/>
                <w:lang w:eastAsia="zh-CN"/>
              </w:rPr>
              <w:t>案；</w:t>
            </w:r>
            <w:r>
              <w:rPr>
                <w:rFonts w:hint="eastAsia" w:asciiTheme="minorEastAsia" w:hAnsiTheme="minorEastAsia" w:eastAsiaTheme="minorEastAsia" w:cstheme="minorEastAsia"/>
                <w:snapToGrid/>
                <w:color w:val="auto"/>
                <w:kern w:val="2"/>
                <w:sz w:val="21"/>
                <w:szCs w:val="21"/>
                <w:highlight w:val="none"/>
                <w:lang w:val="en-US" w:eastAsia="zh-CN"/>
              </w:rPr>
              <w:t>⑦项目进度安排及时间节点控制方案， 内容完整、符合本项目要求， 内容完整、符合本项目要求。</w:t>
            </w:r>
          </w:p>
          <w:p w14:paraId="73879D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一档（2 分）：对本项目需求理解不够，对项目所在地实际情况熟悉程度不够，提供的项目实施方案不满足采购需求。</w:t>
            </w:r>
          </w:p>
          <w:p w14:paraId="3C84064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二档（10 分）：对本项目需求理解简单，对项目所在地实际情况熟悉程度基本了解，对矿山开采区及尾矿库基础资料掌握程度不足，项目实施方案工作研究思路与调查评价方法比较简单，未能区分矿山及尾矿库与其他地下水污染源污染特征区别，方案内容简单，仅能基本满足采购需求。</w:t>
            </w:r>
          </w:p>
          <w:p w14:paraId="4DCFB6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三档（20 分）：对本项目需求理解较准确，对项目所在地实际情况较为熟悉，理解较准确，简单掌握矿山开采区及尾矿库基础资料；项目实施方案工作研究思路与调查评价方法比较简单，未能区分矿山及尾矿库与其他地下水污染源污染特征区别，项目现状及技术路线分析简单，提供的项目实施方案能够满足项目的采购需求。</w:t>
            </w:r>
          </w:p>
          <w:p w14:paraId="43D0A32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四档（30 分）：对本项目需求理解准确，对项目所在地实际情况比较熟悉，理解比较到位，基本掌握矿山开采区及尾矿库基础资料；项目实施方案工作研究思路与调查评价方法较详细，项目现状及技术路线分析简单，基本能够区分矿山及尾矿库与其他地下水污染源污染特征区别；项目进度及时间节点控制方案和人员 保障、组织协调方案比较简单。方案总体比较具体合理项目实施 方案编制详尽；提供的项目服务方案能够较好满足项目的采购需求，合理可行。</w:t>
            </w:r>
          </w:p>
          <w:p w14:paraId="4AE32D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color w:val="auto"/>
                <w:kern w:val="2"/>
                <w:sz w:val="21"/>
                <w:szCs w:val="21"/>
                <w:highlight w:val="none"/>
                <w:lang w:val="en-US" w:eastAsia="zh-CN"/>
              </w:rPr>
              <w:t>五档（40 分）：对本项目需求理解深入透彻且完整，非常熟悉项目所在地实际情况，理解到位且阐述符合实际现状，详细掌握矿山开采区及尾矿库基础资料；项目实施方案工作研究思路与方法详细全面，有详细的项目现状及技术路线分析，能够区分矿山及尾矿库与其他地下水污染源污染特征区别；项目进度及时间节 点控制方案契合项目实际需要；有具体的人员保障、组织协调方案、突发事件应急处置方案及报告编制的质量控制方案；方案总体详实、全面，可行性强，对项目情况了解清晰，符合采购人实际需求。</w:t>
            </w:r>
          </w:p>
        </w:tc>
      </w:tr>
      <w:tr w14:paraId="3F53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598BC7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项目服务团队分</w:t>
            </w:r>
          </w:p>
        </w:tc>
        <w:tc>
          <w:tcPr>
            <w:tcW w:w="1140" w:type="dxa"/>
            <w:noWrap w:val="0"/>
            <w:vAlign w:val="center"/>
          </w:tcPr>
          <w:p w14:paraId="443CC4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15分</w:t>
            </w:r>
          </w:p>
        </w:tc>
        <w:tc>
          <w:tcPr>
            <w:tcW w:w="6663" w:type="dxa"/>
            <w:noWrap w:val="0"/>
            <w:vAlign w:val="center"/>
          </w:tcPr>
          <w:p w14:paraId="14344AE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一档（3 分）：明确具体投入到本项目的技术人员不少于 20 人，项目投入技术人员具有环境类、水文地质类等与本项目相关高级职称不少于 3 人，其中正高级职称不少于 1 人。</w:t>
            </w:r>
          </w:p>
          <w:p w14:paraId="4F5A98C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二档（6 分）：明确具体投入到本项目的技术人员不少于 20 人，项目投入技术人员具有环境类、水文地质类等与本项目相关高级职称不少于 5 人，其中正高级职称不少于 2 个。</w:t>
            </w:r>
          </w:p>
          <w:p w14:paraId="574935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三档（9 分）：明确具体投入到本项目的技术人员不少于 30 人，项目投入技术人员具有环境类、水文地质类等与本项目相关高级职称不少于 10 人，其中正高级职称不少于 4 个。</w:t>
            </w:r>
          </w:p>
          <w:p w14:paraId="2A1B5B5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四档（12分）：明确具体投入到本项目的技术人员不少于 40人，项目投入技术人员具有环境类、水文地质类等与本项目相关高级职称不少于 20 人，其中正高级职称不少于 6 个。</w:t>
            </w:r>
          </w:p>
          <w:p w14:paraId="6479C6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五档（15分）：明确具体投入到本项目的技术人员不少于 50人，项目投入技术人员具有环境类、水文地质类等与本项目相关高级职称不少于 30 人，其中正高级职称不少于 8 个。</w:t>
            </w:r>
          </w:p>
          <w:p w14:paraId="7BC12A1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注：针对上述各计分项对应提供下列证明材料：</w:t>
            </w:r>
          </w:p>
          <w:p w14:paraId="2BE269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1）拟投入本项目的以上人员是投标人在职在岗正式员工（非退休），投标文件需提供人员职称证书等证明材料复印件并加盖公章，否则不得分。</w:t>
            </w:r>
          </w:p>
          <w:p w14:paraId="4BA096D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en-US" w:bidi="ar-SA"/>
              </w:rPr>
            </w:pPr>
            <w:r>
              <w:rPr>
                <w:rFonts w:hint="eastAsia" w:asciiTheme="minorEastAsia" w:hAnsiTheme="minorEastAsia" w:eastAsiaTheme="minorEastAsia" w:cstheme="minorEastAsia"/>
                <w:snapToGrid/>
                <w:color w:val="auto"/>
                <w:kern w:val="2"/>
                <w:sz w:val="21"/>
                <w:szCs w:val="21"/>
                <w:highlight w:val="none"/>
                <w:lang w:val="en-US" w:eastAsia="zh-CN"/>
              </w:rPr>
              <w:t>2）投标人认为其他学科专业的人员能代替上述专业的，应同时提供佐证材料并应被评标委员会认可具备可代替性。</w:t>
            </w:r>
          </w:p>
        </w:tc>
      </w:tr>
      <w:tr w14:paraId="06A9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2BA194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售后</w:t>
            </w:r>
          </w:p>
          <w:p w14:paraId="727F39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服务</w:t>
            </w:r>
          </w:p>
        </w:tc>
        <w:tc>
          <w:tcPr>
            <w:tcW w:w="1140" w:type="dxa"/>
            <w:noWrap w:val="0"/>
            <w:vAlign w:val="center"/>
          </w:tcPr>
          <w:p w14:paraId="0E5D7C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3分</w:t>
            </w:r>
          </w:p>
        </w:tc>
        <w:tc>
          <w:tcPr>
            <w:tcW w:w="6663" w:type="dxa"/>
            <w:noWrap w:val="0"/>
            <w:vAlign w:val="center"/>
          </w:tcPr>
          <w:p w14:paraId="2A9236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根据投标人的项目售后服务（包括但不限于服务标准、人员调配、售后服务、技术支持等内容）进行评分：</w:t>
            </w:r>
          </w:p>
          <w:p w14:paraId="5E9E04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一档（1 分）：方案内容不完整，未针对本项目编制或存在其他 无关本项目表述。</w:t>
            </w:r>
          </w:p>
          <w:p w14:paraId="461E76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二档（2 分）方案内容基本完整，售后服务方案及承诺的服务标 准、人员调配、售后服务、技术支持等满足采购需求。</w:t>
            </w:r>
          </w:p>
          <w:p w14:paraId="7FF65D9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color w:val="auto"/>
                <w:kern w:val="2"/>
                <w:sz w:val="21"/>
                <w:szCs w:val="21"/>
                <w:highlight w:val="none"/>
                <w:lang w:val="en-US" w:eastAsia="zh-CN"/>
              </w:rPr>
              <w:t>三档（3 分）：方案内容完整，售后服务方案及承诺的服务标准、人员调配、售后服务、技术支持等满足采购需求，积极响应采购人后续需求，配合做好绩效目标考核、审计等工作。</w:t>
            </w:r>
          </w:p>
        </w:tc>
      </w:tr>
      <w:tr w14:paraId="4D555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2" w:type="dxa"/>
            <w:gridSpan w:val="3"/>
            <w:noWrap w:val="0"/>
            <w:vAlign w:val="center"/>
          </w:tcPr>
          <w:p w14:paraId="11CCA5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（三）商务分（满分32分）</w:t>
            </w:r>
          </w:p>
        </w:tc>
      </w:tr>
      <w:tr w14:paraId="6F18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341FA9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信誉分</w:t>
            </w:r>
          </w:p>
        </w:tc>
        <w:tc>
          <w:tcPr>
            <w:tcW w:w="1140" w:type="dxa"/>
            <w:noWrap w:val="0"/>
            <w:vAlign w:val="center"/>
          </w:tcPr>
          <w:p w14:paraId="4FF039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20分</w:t>
            </w:r>
          </w:p>
        </w:tc>
        <w:tc>
          <w:tcPr>
            <w:tcW w:w="6663" w:type="dxa"/>
            <w:noWrap w:val="0"/>
            <w:vAlign w:val="center"/>
          </w:tcPr>
          <w:p w14:paraId="354A3B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投标人自2019年1月1日以来，获得过地下水、土壤、矿山污染防治相关奖项的，满分8分：①省部级科技进步奖、国家级行业科技或技术进步奖，每个奖项得2分；②省级行业科技或技术进步奖或市级科技进步奖，每个奖项得1分。</w:t>
            </w:r>
          </w:p>
          <w:p w14:paraId="6D071A2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注：提供相关证书复印件，获奖证书应能体现投标人名称，并经评标委员会认可为准，否则不得分，原件备查。</w:t>
            </w:r>
          </w:p>
          <w:p w14:paraId="3A01F7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（2）投标人自 2019 年1月1日以来，参与编制矿山、地下水或土壤环境保护相关法律法规、标准、导则、规范或指南，本项满分10分：国家级每项得2分；省级每项得 1 分。</w:t>
            </w:r>
          </w:p>
          <w:p w14:paraId="27C5DF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注：①提供相关证书复印件，获奖证书应能体现投标人名称。</w:t>
            </w:r>
          </w:p>
          <w:p w14:paraId="0A3B4B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②针对上述各计分项对应提供下列证明材料：提供证明材料（或政府指令委托文件）扫描件或复印件，须能体现工作内容等，如无法体现，另附业主证明等相关证明材料扫描件或复印件体现工作内容等。</w:t>
            </w:r>
          </w:p>
          <w:p w14:paraId="502DC6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（3）投标人提供有效期内的 ISO9001质量管理体系认证证书得2分,满分2分。</w:t>
            </w:r>
          </w:p>
          <w:p w14:paraId="7C63C62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注：联合体任何一方提供有效的证书复印件并经评标委员会认可为准，否则不得分，原件备查。</w:t>
            </w:r>
          </w:p>
        </w:tc>
      </w:tr>
      <w:tr w14:paraId="35EB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203A66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业绩分</w:t>
            </w:r>
          </w:p>
        </w:tc>
        <w:tc>
          <w:tcPr>
            <w:tcW w:w="1140" w:type="dxa"/>
            <w:noWrap w:val="0"/>
            <w:vAlign w:val="center"/>
          </w:tcPr>
          <w:p w14:paraId="44D722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12分</w:t>
            </w:r>
          </w:p>
        </w:tc>
        <w:tc>
          <w:tcPr>
            <w:tcW w:w="6663" w:type="dxa"/>
            <w:noWrap w:val="0"/>
            <w:vAlign w:val="center"/>
          </w:tcPr>
          <w:p w14:paraId="1040420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投标人提供 2019 年 1 月 1日至今投标人承担的地下水环境调查评估类项目业绩，以中标（成交）通知书或签订的合同为准，每提供省级以上1个得1分，市级1个得 0.5 分，满分12分。</w:t>
            </w:r>
          </w:p>
          <w:p w14:paraId="259676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注：1）提供证明材料（中标通知书或项目合同或验收报告或 其他履行合同或政府指令委托文件，须能体现工作内容等，如无法体现，另附业主证明等相关证明材料体现工作内容等）复印件并经评标委员会认可为准，否则不得分，原件备查；</w:t>
            </w:r>
          </w:p>
          <w:p w14:paraId="31AD365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2）不包括水文地质勘察类及建设项目的地下水环境影响评价。</w:t>
            </w:r>
          </w:p>
        </w:tc>
      </w:tr>
      <w:tr w14:paraId="79BBB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2" w:type="dxa"/>
            <w:gridSpan w:val="3"/>
            <w:noWrap w:val="0"/>
            <w:vAlign w:val="center"/>
          </w:tcPr>
          <w:p w14:paraId="09F37CB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color w:val="auto"/>
                <w:spacing w:val="8"/>
                <w:sz w:val="21"/>
                <w:szCs w:val="21"/>
                <w:highlight w:val="none"/>
                <w:lang w:eastAsia="zh-CN"/>
              </w:rPr>
            </w:pPr>
            <w:bookmarkStart w:id="18" w:name="_Toc9520"/>
            <w:r>
              <w:rPr>
                <w:rFonts w:hint="eastAsia" w:asciiTheme="minorEastAsia" w:hAnsiTheme="minorEastAsia" w:eastAsiaTheme="minorEastAsia" w:cstheme="minorEastAsia"/>
                <w:b/>
                <w:color w:val="auto"/>
                <w:sz w:val="21"/>
                <w:szCs w:val="21"/>
                <w:highlight w:val="none"/>
                <w:lang w:val="en-US" w:eastAsia="zh-CN"/>
              </w:rPr>
              <w:t>总得分=</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lang w:val="en-US" w:eastAsia="zh-CN"/>
              </w:rPr>
              <w:t>+</w:t>
            </w:r>
            <w:bookmarkEnd w:id="18"/>
            <w:r>
              <w:rPr>
                <w:rFonts w:hint="eastAsia" w:asciiTheme="minorEastAsia" w:hAnsiTheme="minorEastAsia" w:eastAsiaTheme="minorEastAsia" w:cstheme="minorEastAsia"/>
                <w:b/>
                <w:bCs/>
                <w:color w:val="auto"/>
                <w:sz w:val="21"/>
                <w:szCs w:val="21"/>
                <w:highlight w:val="none"/>
                <w:lang w:val="en-US" w:eastAsia="zh-CN"/>
              </w:rPr>
              <w:t>（三）</w:t>
            </w:r>
          </w:p>
        </w:tc>
      </w:tr>
    </w:tbl>
    <w:p w14:paraId="789DE2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32"/>
          <w:szCs w:val="32"/>
          <w:highlight w:val="none"/>
          <w:lang w:val="en-US" w:eastAsia="zh-CN"/>
        </w:rPr>
      </w:pPr>
    </w:p>
    <w:p w14:paraId="62352F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auto"/>
          <w:sz w:val="32"/>
          <w:szCs w:val="32"/>
          <w:highlight w:val="none"/>
          <w:lang w:val="en-US" w:eastAsia="zh-CN"/>
        </w:rPr>
      </w:pPr>
    </w:p>
    <w:p w14:paraId="45A414D9">
      <w:pPr>
        <w:pStyle w:val="4"/>
        <w:rPr>
          <w:rFonts w:hint="eastAsia" w:asciiTheme="minorEastAsia" w:hAnsiTheme="minorEastAsia" w:eastAsiaTheme="minorEastAsia" w:cstheme="minorEastAsia"/>
          <w:b/>
          <w:bCs/>
          <w:color w:val="auto"/>
          <w:sz w:val="32"/>
          <w:szCs w:val="32"/>
          <w:highlight w:val="none"/>
          <w:lang w:val="en-US" w:eastAsia="zh-CN"/>
        </w:rPr>
      </w:pPr>
    </w:p>
    <w:p w14:paraId="021F9EF7">
      <w:pPr>
        <w:pStyle w:val="5"/>
        <w:rPr>
          <w:rFonts w:hint="eastAsia" w:asciiTheme="minorEastAsia" w:hAnsiTheme="minorEastAsia" w:eastAsiaTheme="minorEastAsia" w:cstheme="minorEastAsia"/>
          <w:b/>
          <w:bCs/>
          <w:color w:val="auto"/>
          <w:sz w:val="32"/>
          <w:szCs w:val="32"/>
          <w:highlight w:val="none"/>
          <w:lang w:val="en-US" w:eastAsia="zh-CN"/>
        </w:rPr>
      </w:pPr>
    </w:p>
    <w:p w14:paraId="71DED9FF">
      <w:pPr>
        <w:pStyle w:val="6"/>
        <w:rPr>
          <w:rFonts w:hint="eastAsia" w:asciiTheme="minorEastAsia" w:hAnsiTheme="minorEastAsia" w:eastAsiaTheme="minorEastAsia" w:cstheme="minorEastAsia"/>
          <w:b/>
          <w:bCs/>
          <w:color w:val="auto"/>
          <w:sz w:val="32"/>
          <w:szCs w:val="32"/>
          <w:highlight w:val="none"/>
          <w:lang w:val="en-US" w:eastAsia="zh-CN"/>
        </w:rPr>
      </w:pPr>
    </w:p>
    <w:p w14:paraId="7AFFCA99">
      <w:pPr>
        <w:rPr>
          <w:rFonts w:hint="eastAsia"/>
          <w:color w:val="auto"/>
          <w:highlight w:val="none"/>
          <w:lang w:val="en-US" w:eastAsia="zh-CN"/>
        </w:rPr>
      </w:pPr>
    </w:p>
    <w:p w14:paraId="2959B749">
      <w:pPr>
        <w:pStyle w:val="5"/>
        <w:rPr>
          <w:rFonts w:hint="eastAsia" w:asciiTheme="minorEastAsia" w:hAnsiTheme="minorEastAsia" w:eastAsiaTheme="minorEastAsia" w:cstheme="minorEastAsia"/>
          <w:b/>
          <w:bCs/>
          <w:color w:val="auto"/>
          <w:sz w:val="32"/>
          <w:szCs w:val="32"/>
          <w:highlight w:val="none"/>
          <w:lang w:val="en-US" w:eastAsia="zh-CN"/>
        </w:rPr>
      </w:pPr>
    </w:p>
    <w:p w14:paraId="0657C4C8">
      <w:pPr>
        <w:pStyle w:val="6"/>
        <w:rPr>
          <w:rFonts w:hint="eastAsia" w:asciiTheme="minorEastAsia" w:hAnsiTheme="minorEastAsia" w:eastAsiaTheme="minorEastAsia" w:cstheme="minorEastAsia"/>
          <w:b/>
          <w:bCs/>
          <w:color w:val="auto"/>
          <w:sz w:val="32"/>
          <w:szCs w:val="32"/>
          <w:highlight w:val="none"/>
          <w:lang w:val="en-US" w:eastAsia="zh-CN"/>
        </w:rPr>
      </w:pPr>
    </w:p>
    <w:p w14:paraId="1CDB3F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u w:val="single"/>
          <w:lang w:eastAsia="zh-CN"/>
        </w:rPr>
      </w:pPr>
      <w:r>
        <w:rPr>
          <w:rFonts w:hint="eastAsia" w:asciiTheme="minorEastAsia" w:hAnsiTheme="minorEastAsia" w:eastAsiaTheme="minorEastAsia" w:cstheme="minorEastAsia"/>
          <w:b/>
          <w:bCs/>
          <w:color w:val="auto"/>
          <w:sz w:val="28"/>
          <w:szCs w:val="28"/>
          <w:highlight w:val="none"/>
          <w:lang w:val="en-US" w:eastAsia="zh-CN"/>
        </w:rPr>
        <w:t>包2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水文地质调查与监测井建设包</w:t>
      </w:r>
    </w:p>
    <w:tbl>
      <w:tblPr>
        <w:tblStyle w:val="10"/>
        <w:tblpPr w:leftFromText="180" w:rightFromText="180" w:vertAnchor="text" w:horzAnchor="page" w:tblpX="1662" w:tblpY="5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2"/>
        <w:gridCol w:w="1140"/>
        <w:gridCol w:w="6628"/>
      </w:tblGrid>
      <w:tr w14:paraId="3AFB3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28DF58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评标项目</w:t>
            </w:r>
          </w:p>
        </w:tc>
        <w:tc>
          <w:tcPr>
            <w:tcW w:w="1140" w:type="dxa"/>
            <w:noWrap w:val="0"/>
            <w:vAlign w:val="center"/>
          </w:tcPr>
          <w:p w14:paraId="691F4C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w:t>
            </w:r>
          </w:p>
          <w:p w14:paraId="14217B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628" w:type="dxa"/>
            <w:noWrap w:val="0"/>
            <w:vAlign w:val="center"/>
          </w:tcPr>
          <w:p w14:paraId="22BC48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评标方法描述</w:t>
            </w:r>
          </w:p>
        </w:tc>
      </w:tr>
      <w:tr w14:paraId="3F873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850" w:type="dxa"/>
            <w:gridSpan w:val="3"/>
            <w:noWrap w:val="0"/>
            <w:vAlign w:val="center"/>
          </w:tcPr>
          <w:p w14:paraId="76981F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（一）价格分（满分10分）</w:t>
            </w:r>
          </w:p>
        </w:tc>
      </w:tr>
      <w:tr w14:paraId="7B610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5431BD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投标报价</w:t>
            </w:r>
          </w:p>
        </w:tc>
        <w:tc>
          <w:tcPr>
            <w:tcW w:w="1140" w:type="dxa"/>
            <w:noWrap w:val="0"/>
            <w:vAlign w:val="center"/>
          </w:tcPr>
          <w:p w14:paraId="5267E3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6628" w:type="dxa"/>
            <w:noWrap w:val="0"/>
            <w:vAlign w:val="center"/>
          </w:tcPr>
          <w:p w14:paraId="137C25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（1）评标报价为投标人的投标报价进行政策性扣除后的价格，评标报价只是作为评标时使用。最终中标人的中标金额等于投标报价。</w:t>
            </w:r>
          </w:p>
          <w:p w14:paraId="5554F59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按照《政府采购促进中小企业发展管理办法》（财库〔2020〕46号）的规定，投标人在其投标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的规定对其最后报价给予10%（范围为10-20%）的扣除。</w:t>
            </w:r>
          </w:p>
          <w:p w14:paraId="0AE895A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 级以上监狱管理局、戒毒管理局(含新疆生产建设兵团)出具的属于监狱企业的证明文件。不重复享受政策。</w:t>
            </w:r>
          </w:p>
          <w:p w14:paraId="2A0B6D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（4）按照《关于促进残疾人就业政府采购政策的通知》 （财库 〔2017〕141 号）的规定，残疾人福利性单位视同小型、微型企业，享受预留份额、评审中价格扣除等促进中小企业发展的政府采购政策。残疾人福利性单位参加政府采购活动时，应当提供该通知规定的《残疾人福利性单位声明函》 ，并对声明的真实性负责。残疾人福利性单位属于小型、微型企业的，不重复享受政策。</w:t>
            </w:r>
          </w:p>
          <w:p w14:paraId="196A0D0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（5）政策性扣除计算方法。</w:t>
            </w:r>
          </w:p>
          <w:p w14:paraId="1296F06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在服务采购项目中，服务由小微企业承接；对符合上述要求的投标人的投标报价给 10%的扣除，扣除后的价格为评标报价，即评标报价=投标报价×（1-10%） 。接受大中型企业与小微企业组成联合体或者允许大中型企业向一家或者多家小微企业分包的采购项目，联合协议或者分包意向协议约定小微企业的合同份额占到合同总金额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4%（范围为 4%-6%） 的扣除，用扣除后的价格参加评审，扣除后的价格为评标报价，即评标报价=投标报价×（1-4%）。除上述情况外，评标报价=投标报价。</w:t>
            </w:r>
          </w:p>
          <w:p w14:paraId="647530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（6）以进入综合评分环节的最低的评标报价为基准价，基准价报价得分为 10 分。</w:t>
            </w:r>
          </w:p>
          <w:p w14:paraId="22F73BD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（7）价格分计算公式：</w:t>
            </w:r>
          </w:p>
          <w:p w14:paraId="1155A1D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某投标人价格分=基准价/某投标人评标报价金额×10 分。</w:t>
            </w:r>
          </w:p>
          <w:p w14:paraId="15F639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（8）低价说明</w:t>
            </w:r>
          </w:p>
          <w:p w14:paraId="284485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1FD9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0" w:type="dxa"/>
            <w:gridSpan w:val="3"/>
            <w:noWrap w:val="0"/>
            <w:vAlign w:val="center"/>
          </w:tcPr>
          <w:p w14:paraId="6B4785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技术分（满分70分）</w:t>
            </w:r>
          </w:p>
        </w:tc>
      </w:tr>
      <w:tr w14:paraId="4100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10C675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技术</w:t>
            </w:r>
            <w:r>
              <w:rPr>
                <w:rFonts w:hint="eastAsia" w:asciiTheme="minorEastAsia" w:hAnsiTheme="minorEastAsia" w:eastAsiaTheme="minorEastAsia" w:cstheme="minorEastAsia"/>
                <w:b/>
                <w:bCs/>
                <w:color w:val="auto"/>
                <w:sz w:val="21"/>
                <w:szCs w:val="21"/>
                <w:highlight w:val="none"/>
              </w:rPr>
              <w:t>方案</w:t>
            </w:r>
            <w:r>
              <w:rPr>
                <w:rFonts w:hint="eastAsia" w:asciiTheme="minorEastAsia" w:hAnsiTheme="minorEastAsia" w:eastAsiaTheme="minorEastAsia" w:cstheme="minorEastAsia"/>
                <w:b/>
                <w:bCs/>
                <w:color w:val="auto"/>
                <w:sz w:val="21"/>
                <w:szCs w:val="21"/>
                <w:highlight w:val="none"/>
                <w:lang w:val="en-US" w:eastAsia="zh-CN"/>
              </w:rPr>
              <w:t>分</w:t>
            </w:r>
          </w:p>
        </w:tc>
        <w:tc>
          <w:tcPr>
            <w:tcW w:w="1140" w:type="dxa"/>
            <w:noWrap w:val="0"/>
            <w:vAlign w:val="center"/>
          </w:tcPr>
          <w:p w14:paraId="408BFC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40分</w:t>
            </w:r>
          </w:p>
        </w:tc>
        <w:tc>
          <w:tcPr>
            <w:tcW w:w="6628" w:type="dxa"/>
            <w:noWrap w:val="0"/>
            <w:vAlign w:val="center"/>
          </w:tcPr>
          <w:p w14:paraId="687A070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技术方案应包括：①项目背景；②工作内容与技术路线；③质量保障、现场安全与防护及安全培训要求；④突发事件应急处置方案；⑤组织协调方案；⑥售后服务方案，内容完整、符合本项目要求。</w:t>
            </w:r>
          </w:p>
          <w:p w14:paraId="475C5A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一档（10 分）：对本项目的背景、必要性理解简单，对国家法律法规和项目所在地实际情况熟悉程度缺乏了解，项目技术方案工作研究思路与方法比较简单，对矿山开采区及尾矿库基础资料掌握程度不足，方案内容简单、不够具体，仅能基本满足采购需求； 已有工作基础、进度安排、质量保障措施、售后服务方案等内容简单，合理性、可行性一般。</w:t>
            </w:r>
          </w:p>
          <w:p w14:paraId="06216E0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二档（20 分）：对本项目的背景、必要性理解较准确，对国 家法律法规和项目所在地实际情况基本了解；项目技术方案工作研究思路与方法比较简单，简单掌握矿山开采区及尾矿库基础资料，技术路线基本合理，提供的项目技术方案内容基本完整，符合项目采购需求； 已有工作基础、进度安排、质量保障措施、售后服务方案等内容较完整，基本合理可行。</w:t>
            </w:r>
          </w:p>
          <w:p w14:paraId="39ACCBE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三档（30 分）：对本项目的背景、必要性理解准确，对国家法</w:t>
            </w:r>
          </w:p>
          <w:p w14:paraId="681639E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律法规和项目所在地实际情况比较熟悉，理解比较到位；项目技术方案工作研究思路与方法较详细，基本掌握矿山开采区及尾 矿库基础资料，技术路线较合理；方案总体比较具体合理，项目技术方案内容完整； 已有工作基础、进度安排、质量保障措施、售后服务方案等内容较为详尽，能够较好满足项目的采购需求。</w:t>
            </w:r>
          </w:p>
          <w:p w14:paraId="6AA663A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color w:val="auto"/>
                <w:kern w:val="2"/>
                <w:sz w:val="21"/>
                <w:szCs w:val="21"/>
                <w:highlight w:val="none"/>
                <w:lang w:val="en-US" w:eastAsia="zh-CN"/>
              </w:rPr>
              <w:t>四档（40 分）：对本项目背景、必要性理解深入透彻且完整， 对国家法律法规理解到位，非常熟悉项目所在地实际情况，且阐述符合实际现状；项目技术方案工作研究思路与方法详细全面，技术路线科学合理；详细掌握矿山开采区及尾矿库基础资料，已有工作基础、项目进度及时间节点控制契合项目实际需要；有具体的人员保障、组织协调方案、报告编制的质量保障方案及售后服务方案，保障措施有力；方案总体详实、全面、清晰，可行性强，能够很好满足采购人实际需求。</w:t>
            </w:r>
          </w:p>
        </w:tc>
      </w:tr>
      <w:tr w14:paraId="1D128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208882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技术水平能力分</w:t>
            </w:r>
          </w:p>
        </w:tc>
        <w:tc>
          <w:tcPr>
            <w:tcW w:w="1140" w:type="dxa"/>
            <w:noWrap w:val="0"/>
            <w:vAlign w:val="center"/>
          </w:tcPr>
          <w:p w14:paraId="4048C6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10分</w:t>
            </w:r>
          </w:p>
        </w:tc>
        <w:tc>
          <w:tcPr>
            <w:tcW w:w="6628" w:type="dxa"/>
            <w:noWrap w:val="0"/>
            <w:vAlign w:val="center"/>
          </w:tcPr>
          <w:p w14:paraId="51A982E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3分）：项目负责人具有水文地质与工程地质、水文与水资源工程、地下水科学与工程、环境科学、环境工程、地质资源与工程、物化探与遥感、测绘或地球化学等相关专业学士学位且具有副高及以上技术职称。</w:t>
            </w:r>
          </w:p>
          <w:p w14:paraId="4B7C5B4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5分）：项目负责人具有水文地质与工程地质、水文与水资源工程、地下水科学与工程、环境科学、环境工程、地质资源与工程、物化探与遥感、测绘或地球化学等相关专业硕士学位且具有正高及以上技术职称。</w:t>
            </w:r>
          </w:p>
          <w:p w14:paraId="2B0F95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三档（10 分）：项目负责人具有水文地质与工程地质、水文与水资源工程、地下水科学与工程、环境科学、环境工程、地质资源与工程、物化探与遥感、测绘或地球化学等相关专业博士学位且具有正高及以上技术职称，入选省部级土壤或地下水污染防治库专家。</w:t>
            </w:r>
          </w:p>
          <w:p w14:paraId="55C98B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en-US" w:bidi="ar-SA"/>
              </w:rPr>
            </w:pPr>
            <w:r>
              <w:rPr>
                <w:rFonts w:hint="eastAsia" w:asciiTheme="minorEastAsia" w:hAnsiTheme="minorEastAsia" w:eastAsiaTheme="minorEastAsia" w:cstheme="minorEastAsia"/>
                <w:snapToGrid/>
                <w:color w:val="auto"/>
                <w:kern w:val="2"/>
                <w:sz w:val="21"/>
                <w:szCs w:val="21"/>
                <w:highlight w:val="none"/>
                <w:lang w:val="en-US" w:eastAsia="zh-CN"/>
              </w:rPr>
              <w:t>注：拟投入本项目的项目负责人是投标人在职在岗正式员工（非退休），投标文件需提供人员职称证书等证明材料复印件并加盖投标人公章（或 CA电子签章），提供省部级单位出具的专家入库通知证明材料，否则不得分。</w:t>
            </w:r>
          </w:p>
        </w:tc>
      </w:tr>
      <w:tr w14:paraId="68EE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75ECB8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p>
          <w:p w14:paraId="178765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p>
          <w:p w14:paraId="3992B2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p>
          <w:p w14:paraId="320F6F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p>
          <w:p w14:paraId="697B2C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p>
          <w:p w14:paraId="087D38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项目服务团队分</w:t>
            </w:r>
          </w:p>
        </w:tc>
        <w:tc>
          <w:tcPr>
            <w:tcW w:w="1140" w:type="dxa"/>
            <w:noWrap w:val="0"/>
            <w:vAlign w:val="center"/>
          </w:tcPr>
          <w:p w14:paraId="2FAEA5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20分</w:t>
            </w:r>
          </w:p>
        </w:tc>
        <w:tc>
          <w:tcPr>
            <w:tcW w:w="6628" w:type="dxa"/>
            <w:noWrap w:val="0"/>
            <w:vAlign w:val="center"/>
          </w:tcPr>
          <w:p w14:paraId="116AD87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一档（2分）：明确投入到本项目的技术人员不少于20 人且具有水文地质与工程地质、水文与水资源工程、地下水科学与工程、环境科学、环境工程、地质资源与工程、物化探与遥感、测绘或地球化学等相关专业本科及以上的学历。拟投入人员中具有高级职称的不少于 3 人。</w:t>
            </w:r>
          </w:p>
          <w:p w14:paraId="716F50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二档（5分）：明确投入到本项目的技术人员不少于 25 人且 具有水文地质与工程地质、水文与水资源工程、地下水科学与工程、环境科学、环境工程、地质资源与工程、物化探与遥感、测绘或地球化学等相关专业本科及以上的学历。拟投入人员中具有高级职称的不少于 10 人（其中正高职称不少于 3 人）。</w:t>
            </w:r>
          </w:p>
          <w:p w14:paraId="30D129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三档（10 分）：明确投入到本项目的技术人员不少于 30 人且具有水文地质与工程地质、水文与水资源工程、地下水科学与工程、环境科学、环境工程、地质资源与工程、物化探与遥感、测绘或地球化学等相关专业本科及以上的学历。拟投入人员中具有高级职称的不少于 15 人（其中正高职称不少于 5 人）。</w:t>
            </w:r>
          </w:p>
          <w:p w14:paraId="4F8E8F1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四档（15 分）：明确投入到本项目的技术人员不少于 35 人且具有水文地质与工程地质、水文与水资源工程、地下水科学与工程、环境科学、环境工程、地质资源与工程、物化探与遥感、测绘或地球化学等相关专业本科及以上的学历。拟投入人员中具有高级职称的不少于 20 人（其中正高职称不少于 7 人）。</w:t>
            </w:r>
          </w:p>
          <w:p w14:paraId="55E1C46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五档（20 分）：明确投入到本项目的技术人员不少于 40 人且具有水文地质与工程地质、水文与水资源工程、地下水科学与工程、环境科学、环境工程、地质资源与工程、物化探与遥感、测绘或地球化学等相关专业本科及以上的学历。拟投入人员中具有高级职称的不少于 25 人（其中正高职称不少于 10 人）。</w:t>
            </w:r>
          </w:p>
          <w:p w14:paraId="41B6D3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注：针对上述各计分项对应提供下列证明材料：</w:t>
            </w:r>
          </w:p>
          <w:p w14:paraId="1992BAE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1）拟投入本项目的以上人员（不含项目负责人）是投标人在职在岗正式员工（非退休），投标文件需提供人员职称证书等证明材料复印件并加盖投标人公章（或 CA电子签章），否则不得分。</w:t>
            </w:r>
          </w:p>
          <w:p w14:paraId="36F6B4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color w:val="auto"/>
                <w:kern w:val="2"/>
                <w:sz w:val="21"/>
                <w:szCs w:val="21"/>
                <w:highlight w:val="none"/>
                <w:lang w:val="en-US" w:eastAsia="zh-CN"/>
              </w:rPr>
              <w:t>2）投标人认为其他学科专业的人员能代替上述专业的，应同时 提供佐证材料并应被评标委员会认可具备可代替性。</w:t>
            </w:r>
          </w:p>
        </w:tc>
      </w:tr>
      <w:tr w14:paraId="398B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0" w:type="dxa"/>
            <w:gridSpan w:val="3"/>
            <w:noWrap w:val="0"/>
            <w:vAlign w:val="center"/>
          </w:tcPr>
          <w:p w14:paraId="189929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（三）商务分（满分20分）</w:t>
            </w:r>
          </w:p>
        </w:tc>
      </w:tr>
      <w:tr w14:paraId="617FF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110563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信誉分</w:t>
            </w:r>
          </w:p>
        </w:tc>
        <w:tc>
          <w:tcPr>
            <w:tcW w:w="1140" w:type="dxa"/>
            <w:noWrap w:val="0"/>
            <w:vAlign w:val="center"/>
          </w:tcPr>
          <w:p w14:paraId="21DA2C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6628" w:type="dxa"/>
            <w:noWrap w:val="0"/>
            <w:vAlign w:val="center"/>
          </w:tcPr>
          <w:p w14:paraId="27EB382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1）投标人具有有效的 ISO9001质量管理体系认证证书得2分。本项满分2分。（须提供有效的证明材料复印件，否则不计分）</w:t>
            </w:r>
          </w:p>
          <w:p w14:paraId="4A02A8B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2）投标人在职员工拥有有效期内的民用无人驾驶航空器操控员执照得2分。本项目满分2分。（须提供有效的证明材料复印件， 否则不计分）</w:t>
            </w:r>
          </w:p>
          <w:p w14:paraId="1A45253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3）投标人自2019年1月1日以来获得过生态环境领域省部级及以上奖项的，每提供1个加 2分，本项满分6分。（须提供奖状复印件，否则不计分。）</w:t>
            </w:r>
          </w:p>
        </w:tc>
      </w:tr>
      <w:tr w14:paraId="2264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2" w:type="dxa"/>
            <w:noWrap w:val="0"/>
            <w:vAlign w:val="center"/>
          </w:tcPr>
          <w:p w14:paraId="019B6B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业绩分</w:t>
            </w:r>
          </w:p>
        </w:tc>
        <w:tc>
          <w:tcPr>
            <w:tcW w:w="1140" w:type="dxa"/>
            <w:noWrap w:val="0"/>
            <w:vAlign w:val="center"/>
          </w:tcPr>
          <w:p w14:paraId="62A23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6628" w:type="dxa"/>
            <w:noWrap w:val="0"/>
            <w:vAlign w:val="center"/>
          </w:tcPr>
          <w:p w14:paraId="0F5C64F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投标人自2019年1月1日以来有承担同类土壤或地下水污染状况调查等项目的，每个得1分，本项满分10分。（提供中标（成交）通知书或签订的合同等相关证明材料复印件，否则不计分）</w:t>
            </w:r>
          </w:p>
        </w:tc>
      </w:tr>
      <w:tr w14:paraId="3A5D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0" w:type="dxa"/>
            <w:gridSpan w:val="3"/>
            <w:noWrap w:val="0"/>
            <w:vAlign w:val="center"/>
          </w:tcPr>
          <w:p w14:paraId="775CCF9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总得分=</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（三）</w:t>
            </w:r>
          </w:p>
        </w:tc>
      </w:tr>
    </w:tbl>
    <w:p w14:paraId="1C967F5C">
      <w:pPr>
        <w:spacing w:line="560" w:lineRule="exact"/>
        <w:ind w:firstLine="643" w:firstLineChars="200"/>
        <w:rPr>
          <w:rFonts w:hint="eastAsia" w:asciiTheme="minorEastAsia" w:hAnsiTheme="minorEastAsia" w:eastAsiaTheme="minorEastAsia" w:cstheme="minorEastAsia"/>
          <w:b/>
          <w:bCs/>
          <w:color w:val="auto"/>
          <w:sz w:val="32"/>
          <w:szCs w:val="32"/>
          <w:highlight w:val="none"/>
          <w:lang w:val="en-US" w:eastAsia="zh-CN"/>
        </w:rPr>
      </w:pPr>
    </w:p>
    <w:p w14:paraId="1D1AAB83">
      <w:pPr>
        <w:spacing w:line="560" w:lineRule="exact"/>
        <w:ind w:firstLine="643" w:firstLineChars="200"/>
        <w:rPr>
          <w:rFonts w:hint="eastAsia" w:asciiTheme="minorEastAsia" w:hAnsiTheme="minorEastAsia" w:eastAsiaTheme="minorEastAsia" w:cstheme="minorEastAsia"/>
          <w:b/>
          <w:bCs/>
          <w:color w:val="auto"/>
          <w:sz w:val="32"/>
          <w:szCs w:val="32"/>
          <w:highlight w:val="none"/>
          <w:lang w:val="en-US" w:eastAsia="zh-CN"/>
        </w:rPr>
      </w:pPr>
    </w:p>
    <w:p w14:paraId="4406EE0E">
      <w:pPr>
        <w:spacing w:line="560" w:lineRule="exact"/>
        <w:ind w:firstLine="643" w:firstLineChars="200"/>
        <w:rPr>
          <w:rFonts w:hint="eastAsia" w:asciiTheme="minorEastAsia" w:hAnsiTheme="minorEastAsia" w:eastAsiaTheme="minorEastAsia" w:cstheme="minorEastAsia"/>
          <w:b/>
          <w:bCs/>
          <w:color w:val="auto"/>
          <w:sz w:val="32"/>
          <w:szCs w:val="32"/>
          <w:highlight w:val="none"/>
          <w:lang w:val="en-US" w:eastAsia="zh-CN"/>
        </w:rPr>
      </w:pPr>
    </w:p>
    <w:p w14:paraId="718F902A">
      <w:pPr>
        <w:pStyle w:val="2"/>
        <w:rPr>
          <w:rFonts w:hint="eastAsia" w:asciiTheme="minorEastAsia" w:hAnsiTheme="minorEastAsia" w:eastAsiaTheme="minorEastAsia" w:cstheme="minorEastAsia"/>
          <w:b/>
          <w:bCs/>
          <w:color w:val="auto"/>
          <w:sz w:val="32"/>
          <w:szCs w:val="32"/>
          <w:highlight w:val="none"/>
          <w:lang w:val="en-US" w:eastAsia="zh-CN"/>
        </w:rPr>
      </w:pPr>
    </w:p>
    <w:p w14:paraId="0F5A674E">
      <w:pPr>
        <w:pStyle w:val="2"/>
        <w:rPr>
          <w:rFonts w:hint="eastAsia" w:asciiTheme="minorEastAsia" w:hAnsiTheme="minorEastAsia" w:eastAsiaTheme="minorEastAsia" w:cstheme="minorEastAsia"/>
          <w:b/>
          <w:bCs/>
          <w:color w:val="auto"/>
          <w:sz w:val="32"/>
          <w:szCs w:val="32"/>
          <w:highlight w:val="none"/>
          <w:lang w:val="en-US" w:eastAsia="zh-CN"/>
        </w:rPr>
      </w:pPr>
    </w:p>
    <w:p w14:paraId="2E18B436">
      <w:pPr>
        <w:pStyle w:val="2"/>
        <w:rPr>
          <w:rFonts w:hint="eastAsia" w:asciiTheme="minorEastAsia" w:hAnsiTheme="minorEastAsia" w:eastAsiaTheme="minorEastAsia" w:cstheme="minorEastAsia"/>
          <w:b/>
          <w:bCs/>
          <w:color w:val="auto"/>
          <w:sz w:val="32"/>
          <w:szCs w:val="32"/>
          <w:highlight w:val="none"/>
          <w:lang w:val="en-US" w:eastAsia="zh-CN"/>
        </w:rPr>
      </w:pPr>
    </w:p>
    <w:p w14:paraId="3B9DC6B1">
      <w:pPr>
        <w:pStyle w:val="2"/>
        <w:rPr>
          <w:rFonts w:hint="eastAsia" w:asciiTheme="minorEastAsia" w:hAnsiTheme="minorEastAsia" w:eastAsiaTheme="minorEastAsia" w:cstheme="minorEastAsia"/>
          <w:b/>
          <w:bCs/>
          <w:color w:val="auto"/>
          <w:sz w:val="32"/>
          <w:szCs w:val="32"/>
          <w:highlight w:val="none"/>
          <w:lang w:val="en-US" w:eastAsia="zh-CN"/>
        </w:rPr>
      </w:pPr>
    </w:p>
    <w:p w14:paraId="1CB12B13">
      <w:pPr>
        <w:pStyle w:val="2"/>
        <w:rPr>
          <w:rFonts w:hint="eastAsia" w:asciiTheme="minorEastAsia" w:hAnsiTheme="minorEastAsia" w:eastAsiaTheme="minorEastAsia" w:cstheme="minorEastAsia"/>
          <w:b/>
          <w:bCs/>
          <w:color w:val="auto"/>
          <w:sz w:val="32"/>
          <w:szCs w:val="32"/>
          <w:highlight w:val="none"/>
          <w:lang w:val="en-US" w:eastAsia="zh-CN"/>
        </w:rPr>
      </w:pPr>
    </w:p>
    <w:p w14:paraId="0E7F0489">
      <w:pPr>
        <w:pStyle w:val="2"/>
        <w:rPr>
          <w:rFonts w:hint="eastAsia" w:asciiTheme="minorEastAsia" w:hAnsiTheme="minorEastAsia" w:eastAsiaTheme="minorEastAsia" w:cstheme="minorEastAsia"/>
          <w:b/>
          <w:bCs/>
          <w:color w:val="auto"/>
          <w:sz w:val="32"/>
          <w:szCs w:val="32"/>
          <w:highlight w:val="none"/>
          <w:lang w:val="en-US" w:eastAsia="zh-CN"/>
        </w:rPr>
      </w:pPr>
    </w:p>
    <w:p w14:paraId="334331AE">
      <w:pPr>
        <w:pStyle w:val="2"/>
        <w:rPr>
          <w:rFonts w:hint="eastAsia" w:asciiTheme="minorEastAsia" w:hAnsiTheme="minorEastAsia" w:eastAsiaTheme="minorEastAsia" w:cstheme="minorEastAsia"/>
          <w:b/>
          <w:bCs/>
          <w:color w:val="auto"/>
          <w:sz w:val="32"/>
          <w:szCs w:val="32"/>
          <w:highlight w:val="none"/>
          <w:lang w:val="en-US" w:eastAsia="zh-CN"/>
        </w:rPr>
      </w:pPr>
    </w:p>
    <w:p w14:paraId="33578D97">
      <w:pPr>
        <w:pStyle w:val="2"/>
        <w:rPr>
          <w:rFonts w:hint="eastAsia" w:asciiTheme="minorEastAsia" w:hAnsiTheme="minorEastAsia" w:eastAsiaTheme="minorEastAsia" w:cstheme="minorEastAsia"/>
          <w:b/>
          <w:bCs/>
          <w:color w:val="auto"/>
          <w:sz w:val="32"/>
          <w:szCs w:val="32"/>
          <w:highlight w:val="none"/>
          <w:lang w:val="en-US" w:eastAsia="zh-CN"/>
        </w:rPr>
      </w:pPr>
    </w:p>
    <w:p w14:paraId="26C44EAB">
      <w:pPr>
        <w:pStyle w:val="2"/>
        <w:rPr>
          <w:rFonts w:hint="eastAsia" w:asciiTheme="minorEastAsia" w:hAnsiTheme="minorEastAsia" w:eastAsiaTheme="minorEastAsia" w:cstheme="minorEastAsia"/>
          <w:b/>
          <w:bCs/>
          <w:color w:val="auto"/>
          <w:sz w:val="32"/>
          <w:szCs w:val="32"/>
          <w:highlight w:val="none"/>
          <w:lang w:val="en-US" w:eastAsia="zh-CN"/>
        </w:rPr>
      </w:pPr>
    </w:p>
    <w:p w14:paraId="2CED3683">
      <w:pPr>
        <w:spacing w:line="560" w:lineRule="exact"/>
        <w:rPr>
          <w:rFonts w:hint="eastAsia" w:asciiTheme="minorEastAsia" w:hAnsiTheme="minorEastAsia" w:eastAsiaTheme="minorEastAsia" w:cstheme="minorEastAsia"/>
          <w:color w:val="auto"/>
          <w:sz w:val="28"/>
          <w:szCs w:val="28"/>
          <w:highlight w:val="none"/>
          <w:u w:val="single"/>
          <w:lang w:eastAsia="zh-CN"/>
        </w:rPr>
      </w:pPr>
      <w:r>
        <w:rPr>
          <w:rFonts w:hint="eastAsia" w:asciiTheme="minorEastAsia" w:hAnsiTheme="minorEastAsia" w:eastAsiaTheme="minorEastAsia" w:cstheme="minorEastAsia"/>
          <w:b/>
          <w:bCs/>
          <w:color w:val="auto"/>
          <w:sz w:val="28"/>
          <w:szCs w:val="28"/>
          <w:highlight w:val="none"/>
          <w:lang w:val="en-US" w:eastAsia="zh-CN"/>
        </w:rPr>
        <w:t>包3</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样品采集与测试分析包</w:t>
      </w:r>
    </w:p>
    <w:tbl>
      <w:tblPr>
        <w:tblStyle w:val="10"/>
        <w:tblpPr w:leftFromText="180" w:rightFromText="180" w:vertAnchor="text" w:horzAnchor="page" w:tblpX="1775" w:tblpY="5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9"/>
        <w:gridCol w:w="1140"/>
        <w:gridCol w:w="6413"/>
      </w:tblGrid>
      <w:tr w14:paraId="29B2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5E6F42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w:t>
            </w:r>
          </w:p>
          <w:p w14:paraId="6278EC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w:t>
            </w:r>
          </w:p>
        </w:tc>
        <w:tc>
          <w:tcPr>
            <w:tcW w:w="1140" w:type="dxa"/>
            <w:noWrap w:val="0"/>
            <w:vAlign w:val="center"/>
          </w:tcPr>
          <w:p w14:paraId="35DD3B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w:t>
            </w:r>
          </w:p>
          <w:p w14:paraId="1FA044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413" w:type="dxa"/>
            <w:noWrap w:val="0"/>
            <w:vAlign w:val="center"/>
          </w:tcPr>
          <w:p w14:paraId="6227E5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评标方法描述</w:t>
            </w:r>
          </w:p>
        </w:tc>
      </w:tr>
      <w:tr w14:paraId="2CC06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522" w:type="dxa"/>
            <w:gridSpan w:val="3"/>
            <w:noWrap w:val="0"/>
            <w:vAlign w:val="center"/>
          </w:tcPr>
          <w:p w14:paraId="43AF76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（一）价格分（满分10分）</w:t>
            </w:r>
          </w:p>
        </w:tc>
      </w:tr>
      <w:tr w14:paraId="7054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75B3B5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投标报价</w:t>
            </w:r>
          </w:p>
        </w:tc>
        <w:tc>
          <w:tcPr>
            <w:tcW w:w="1140" w:type="dxa"/>
            <w:noWrap w:val="0"/>
            <w:vAlign w:val="center"/>
          </w:tcPr>
          <w:p w14:paraId="1889F8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6413" w:type="dxa"/>
            <w:noWrap w:val="0"/>
            <w:vAlign w:val="center"/>
          </w:tcPr>
          <w:p w14:paraId="049374B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（1）评标报价为投标人的投标报价进行政策性扣除后的价格，评标报价只是作为评标时使用。最终中标人的中标金额等于投标报价。</w:t>
            </w:r>
          </w:p>
          <w:p w14:paraId="487F33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按照《政府采购促进中小企业发展管理办法》（财库〔2020〕46号）的规定，投标人在其投标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的规定对其最后报价给予10%（范围为10-20%）的扣除。</w:t>
            </w:r>
          </w:p>
          <w:p w14:paraId="222B6A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4C699D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（4）按照《关于促进残疾人就业政府采购政策的通知》 （财库〔2017〕141 号）的规定，残疾人福利性单位视同小型、微型企业， 享受预留份额、评审中价格扣除等促进中小企业发展的政府采购政策。残疾人福利性单位参加政府采购活动时，应当提供该通知规定的《残疾人福利性单位声明函》 ，并对声明的真实性负责。残疾人福利性单位属于小型、微型企业的，不重复享受政策。</w:t>
            </w:r>
          </w:p>
          <w:p w14:paraId="02A8DD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（5）政策性扣除计算方法。</w:t>
            </w:r>
          </w:p>
          <w:p w14:paraId="3D34C3B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在服务采购项目中，服务由小微企业承接；对符合上述要求的投 标人的投标报价给 10%的扣除，扣除后的价格为评标报价，即评标报价=投标报价×（1-10%） 。接受大中型企业与小微企业组成联 合体或者允许大中型企业向一家或者多家小微企业分包的采购项目，联合协议或者分包意向协议约定小微企业的合同份额占到合同总金额 30%以上的，采购人、采购代理机构应当对联合体或者大中型企业的报价给予4%（范围为4%-6%） 的扣除，用扣除后的价格参加评审，扣除后的价格为评标报价，即评标报价=投标报价×（1-4%）。除上述情况外，评标报价=投标报价。</w:t>
            </w:r>
          </w:p>
          <w:p w14:paraId="61F73F5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（6）以进入综合评分环节的最低的评标报价为基准价，基准价报价得分为 10 分。</w:t>
            </w:r>
          </w:p>
          <w:p w14:paraId="51B87F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（7）价格分计算公式：</w:t>
            </w:r>
          </w:p>
          <w:p w14:paraId="7E5D79C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价格分=(评标基准价／评标报价)×10分。</w:t>
            </w:r>
          </w:p>
          <w:p w14:paraId="2FE8FB3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（8）低价说明</w:t>
            </w:r>
          </w:p>
          <w:p w14:paraId="3FD35F9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2E9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3"/>
            <w:noWrap w:val="0"/>
            <w:vAlign w:val="center"/>
          </w:tcPr>
          <w:p w14:paraId="3C985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技术分（满分78分）</w:t>
            </w:r>
          </w:p>
        </w:tc>
      </w:tr>
      <w:tr w14:paraId="14E78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6D6FCF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实施方案</w:t>
            </w:r>
            <w:r>
              <w:rPr>
                <w:rFonts w:hint="eastAsia" w:asciiTheme="minorEastAsia" w:hAnsiTheme="minorEastAsia" w:eastAsiaTheme="minorEastAsia" w:cstheme="minorEastAsia"/>
                <w:b/>
                <w:bCs/>
                <w:color w:val="auto"/>
                <w:sz w:val="21"/>
                <w:szCs w:val="21"/>
                <w:highlight w:val="none"/>
                <w:lang w:val="en-US" w:eastAsia="zh-CN"/>
              </w:rPr>
              <w:t>分</w:t>
            </w:r>
          </w:p>
        </w:tc>
        <w:tc>
          <w:tcPr>
            <w:tcW w:w="1140" w:type="dxa"/>
            <w:noWrap w:val="0"/>
            <w:vAlign w:val="center"/>
          </w:tcPr>
          <w:p w14:paraId="3FD408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30分</w:t>
            </w:r>
          </w:p>
        </w:tc>
        <w:tc>
          <w:tcPr>
            <w:tcW w:w="6413" w:type="dxa"/>
            <w:noWrap w:val="0"/>
            <w:vAlign w:val="center"/>
          </w:tcPr>
          <w:p w14:paraId="397721A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对项目实施方案（包含服务措施方案、进度安排、工作配合、现场安全与防护及安全培训要求、响应时效性（重点针对样品保存运输以及样品分析的时效性）等指标）的合理性科学性、可操 作性进行评分：</w:t>
            </w:r>
          </w:p>
          <w:p w14:paraId="09E9C5F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一档（0 分）：方案不完整，未针对本项目编写或存在其他无关本项目表述。</w:t>
            </w:r>
          </w:p>
          <w:p w14:paraId="469FD72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二档（12 分）：方案符合项目要求，服务措施、进度安排、工作衔接等各项工作内容按照项目需求制定且规范，对各项工作任务无细化，数据整理、报告编制、清单编制方案具有可行性，样品运输和样品分析流程安排满足要求，安全保证机制完整、服务响应满足时效性要求。</w:t>
            </w:r>
          </w:p>
          <w:p w14:paraId="375E02B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三档（18 分）：方案符合项目要求，服务措施、进度安排、工作衔接等各项工作内容按照项目需求制定且规范，对各项工作任务分析全面，有细化的数据整理、报告编制、清单编制任务进度计划流程，分工明确，样品运输和样品分析流程安排满足要求，安全保证机制完整、服务响应满足时效性要求。方案完整且具有 1 点以上针对性实施步骤方案。</w:t>
            </w:r>
          </w:p>
          <w:p w14:paraId="6DEA83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四档（24 分）：方案符合项目要求，服务措施、进度安排、工作衔接等各项工作内容按照项目需求制定且规范，对各项工作任务分析全面、完全把握采购目的，能科学合理地细化数据整理、报告编制、清单编制任务进度计任务，流程规划描述详细、规划合理， 内容充分切合本项目特色，样品运输和样品分析流程安排满足要求，安全保证机制完整、服务响应满足时效性要求。方案完整且具有 2 点以上针对性实施步骤方案。</w:t>
            </w:r>
          </w:p>
          <w:p w14:paraId="1DC0331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color w:val="auto"/>
                <w:kern w:val="2"/>
                <w:sz w:val="21"/>
                <w:szCs w:val="21"/>
                <w:highlight w:val="none"/>
                <w:lang w:val="en-US" w:eastAsia="zh-CN"/>
              </w:rPr>
              <w:t>五档（30 分）:在满足四档的基础上，实施方案措施充分考虑 可能的外在因素（不限于天气、重大会议、重大活动、特殊管控等），进度、组织措施和质保有外在因素并提出 1 点以上应对表述且经评委认可，可行性强。方案框架完整，措施和实施人员安排满足项目质控要求，纠错流程完整,质控方案在执行过程实施部门和人员安排充足,提供的应急预案考虑周到，方案内容完善，能满足本次采购需求，各环节均有二次复核控制且具有 1 点以上可行的针对性措施方案。</w:t>
            </w:r>
          </w:p>
        </w:tc>
      </w:tr>
      <w:tr w14:paraId="5827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23C380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质量控制</w:t>
            </w:r>
            <w:r>
              <w:rPr>
                <w:rFonts w:hint="eastAsia" w:asciiTheme="minorEastAsia" w:hAnsiTheme="minorEastAsia" w:eastAsiaTheme="minorEastAsia" w:cstheme="minorEastAsia"/>
                <w:b/>
                <w:bCs/>
                <w:color w:val="auto"/>
                <w:sz w:val="21"/>
                <w:szCs w:val="21"/>
                <w:highlight w:val="none"/>
              </w:rPr>
              <w:t>方案</w:t>
            </w:r>
            <w:r>
              <w:rPr>
                <w:rFonts w:hint="eastAsia" w:asciiTheme="minorEastAsia" w:hAnsiTheme="minorEastAsia" w:eastAsiaTheme="minorEastAsia" w:cstheme="minorEastAsia"/>
                <w:b/>
                <w:bCs/>
                <w:color w:val="auto"/>
                <w:sz w:val="21"/>
                <w:szCs w:val="21"/>
                <w:highlight w:val="none"/>
                <w:lang w:val="en-US" w:eastAsia="zh-CN"/>
              </w:rPr>
              <w:t>分</w:t>
            </w:r>
          </w:p>
        </w:tc>
        <w:tc>
          <w:tcPr>
            <w:tcW w:w="1140" w:type="dxa"/>
            <w:noWrap w:val="0"/>
            <w:vAlign w:val="center"/>
          </w:tcPr>
          <w:p w14:paraId="56F66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20分</w:t>
            </w:r>
          </w:p>
        </w:tc>
        <w:tc>
          <w:tcPr>
            <w:tcW w:w="6413" w:type="dxa"/>
            <w:noWrap w:val="0"/>
            <w:vAlign w:val="center"/>
          </w:tcPr>
          <w:p w14:paraId="359A5A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对质量控制方案（包括但不限于：控制项目、控制措施、控制环节、质量评价指标和标准、 内部质量监督、实施频次和时间、实施部门和人员、应急预案等方面） 的合理性、科学性，从以下方面进行评分：</w:t>
            </w:r>
          </w:p>
          <w:p w14:paraId="064D9D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一档（0 分）：方案不完整，未针对本项目编写或存在其他无关本项目表述。</w:t>
            </w:r>
          </w:p>
          <w:p w14:paraId="2C23DD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二档（5 分）：方案框架无缺失，措施和实施人员安排满足项目质控要求，纠错流程完整但质控方案在执行过程人员安排重复，部分内容穿插无序。</w:t>
            </w:r>
          </w:p>
          <w:p w14:paraId="528746D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三档（10 分）：方案框架完整，措施和实施人员安排满足项目 质控要求，纠错流程完整,质控方案在执行过程实施部门和人员安 排充足，提供有应急预案，各环节均有二次复核控制。</w:t>
            </w:r>
          </w:p>
          <w:p w14:paraId="39EB34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四档（15 分）：在满足三档的基础上，各控制环节均有二次复 核控制，各环节和实施人员均有备用方案，且具有 1 点以上可行 的针对性措施方案。</w:t>
            </w:r>
          </w:p>
          <w:p w14:paraId="5D2495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en-US" w:bidi="ar-SA"/>
              </w:rPr>
            </w:pPr>
            <w:r>
              <w:rPr>
                <w:rFonts w:hint="eastAsia" w:asciiTheme="minorEastAsia" w:hAnsiTheme="minorEastAsia" w:eastAsiaTheme="minorEastAsia" w:cstheme="minorEastAsia"/>
                <w:snapToGrid/>
                <w:color w:val="auto"/>
                <w:kern w:val="2"/>
                <w:sz w:val="21"/>
                <w:szCs w:val="21"/>
                <w:highlight w:val="none"/>
                <w:lang w:val="en-US" w:eastAsia="zh-CN"/>
              </w:rPr>
              <w:t>五档（20分）：在满足四档的基础上，对质量评价指标和标准 高于现行的标准并优于项目采购需求，结合项目实施方案、外在因素（如天气、重大会议、重大活动、特殊管控等）充分分析并提出1 点以上应对表述且经评委认可，可行性强。</w:t>
            </w:r>
          </w:p>
        </w:tc>
      </w:tr>
      <w:tr w14:paraId="7CEC8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34200A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项目服务团队分</w:t>
            </w:r>
          </w:p>
        </w:tc>
        <w:tc>
          <w:tcPr>
            <w:tcW w:w="1140" w:type="dxa"/>
            <w:noWrap w:val="0"/>
            <w:vAlign w:val="center"/>
          </w:tcPr>
          <w:p w14:paraId="7C44E4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20分</w:t>
            </w:r>
          </w:p>
        </w:tc>
        <w:tc>
          <w:tcPr>
            <w:tcW w:w="6413" w:type="dxa"/>
            <w:noWrap w:val="0"/>
            <w:vAlign w:val="center"/>
          </w:tcPr>
          <w:p w14:paraId="529462C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1）项目负责人（仅限1人）（满分5分）</w:t>
            </w:r>
          </w:p>
          <w:p w14:paraId="771BA4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具有环境监测/环境工程/检测/化学等相关专业（“下同 ”）基础上，具有相关专业副高级职称，得2分；具有相关专业正高级或以上职称或同等能力，得5分。</w:t>
            </w:r>
          </w:p>
          <w:p w14:paraId="660060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2）质量管理员（仅限1人）（满分5分）</w:t>
            </w:r>
          </w:p>
          <w:p w14:paraId="242DED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具有环境监测/环境工程/检测/化学等相关专业（“下同 ”）基 础上，具有相关专业中级职称，得1分；具有相关专业副高级，得 3分；具有相关专业正高级职称，得5分。</w:t>
            </w:r>
          </w:p>
          <w:p w14:paraId="6C39ED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3）项目其他人员（满分10分）</w:t>
            </w:r>
          </w:p>
          <w:p w14:paraId="0000F4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具备环境监测/环境工程/检测/化学相关专业的基础上，中级职称，每人得 1 分；具备副高级职称，每人得1.5分，具有正高级职称，每人得 2分。</w:t>
            </w:r>
          </w:p>
          <w:p w14:paraId="28447E4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注：针对上述各计分项对应提供下列证明材料：</w:t>
            </w:r>
          </w:p>
          <w:p w14:paraId="6955B2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1）拟投入本项目的项目负责人是投标人在职在岗正式员工（非退休），投标文件需提供人员职称证书等证明材料复印件并加盖投标人公章（或 CA电子签章），否则不得分。</w:t>
            </w:r>
          </w:p>
          <w:p w14:paraId="456A8D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en-US"/>
              </w:rPr>
            </w:pPr>
            <w:r>
              <w:rPr>
                <w:rFonts w:hint="eastAsia" w:asciiTheme="minorEastAsia" w:hAnsiTheme="minorEastAsia" w:eastAsiaTheme="minorEastAsia" w:cstheme="minorEastAsia"/>
                <w:snapToGrid/>
                <w:color w:val="auto"/>
                <w:kern w:val="2"/>
                <w:sz w:val="21"/>
                <w:szCs w:val="21"/>
                <w:highlight w:val="none"/>
                <w:lang w:val="en-US" w:eastAsia="zh-CN"/>
              </w:rPr>
              <w:t>2）投标人认为其他学科专业的人员能代替上述专业的，应同时 提供佐证材料并应被评标委员会认可具备可代替性。</w:t>
            </w:r>
          </w:p>
        </w:tc>
      </w:tr>
      <w:tr w14:paraId="476B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159B06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售后服务</w:t>
            </w:r>
          </w:p>
        </w:tc>
        <w:tc>
          <w:tcPr>
            <w:tcW w:w="1140" w:type="dxa"/>
            <w:noWrap w:val="0"/>
            <w:vAlign w:val="center"/>
          </w:tcPr>
          <w:p w14:paraId="57F68D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413" w:type="dxa"/>
            <w:noWrap w:val="0"/>
            <w:vAlign w:val="center"/>
          </w:tcPr>
          <w:p w14:paraId="6D9636A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根据投标人的项目售后服务（包括但不限于服务标准、人员调配、售后服务、技术支持等内容）进行评分：</w:t>
            </w:r>
          </w:p>
          <w:p w14:paraId="42C358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一档（2分）：方案内容不完整，未针对本项目编制或存在其他 无关本项目表述。</w:t>
            </w:r>
          </w:p>
          <w:p w14:paraId="7F43D2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二档（5分）方案内容基本完整，售后服务方案及承诺的服务标准、人员调配、售后服务、技术支持等满足采购需求。</w:t>
            </w:r>
          </w:p>
          <w:p w14:paraId="62C4006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三档（8分）：方案内容完整，售后服务方案及承诺的服务标准、人员调配、售后服务、技术支持等满足采购需求，积极响应业主后续需求，配合做好绩效目标考核、审计等工作。</w:t>
            </w:r>
          </w:p>
        </w:tc>
      </w:tr>
      <w:tr w14:paraId="5C873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3"/>
            <w:noWrap w:val="0"/>
            <w:vAlign w:val="center"/>
          </w:tcPr>
          <w:p w14:paraId="58878E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（三）商务分（满分12分）</w:t>
            </w:r>
          </w:p>
        </w:tc>
      </w:tr>
      <w:tr w14:paraId="6929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59AF30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业绩</w:t>
            </w:r>
            <w:r>
              <w:rPr>
                <w:rFonts w:hint="eastAsia" w:asciiTheme="minorEastAsia" w:hAnsiTheme="minorEastAsia" w:eastAsiaTheme="minorEastAsia" w:cstheme="minorEastAsia"/>
                <w:b/>
                <w:bCs/>
                <w:color w:val="auto"/>
                <w:sz w:val="21"/>
                <w:szCs w:val="21"/>
                <w:highlight w:val="none"/>
              </w:rPr>
              <w:t>信誉分</w:t>
            </w:r>
          </w:p>
        </w:tc>
        <w:tc>
          <w:tcPr>
            <w:tcW w:w="1140" w:type="dxa"/>
            <w:noWrap w:val="0"/>
            <w:vAlign w:val="center"/>
          </w:tcPr>
          <w:p w14:paraId="521124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2分</w:t>
            </w:r>
          </w:p>
        </w:tc>
        <w:tc>
          <w:tcPr>
            <w:tcW w:w="6413" w:type="dxa"/>
            <w:noWrap w:val="0"/>
            <w:vAlign w:val="center"/>
          </w:tcPr>
          <w:p w14:paraId="05FF2E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投标人提供有效期内的ISO9001质量管理体系认证证书得2 分,满分 2 分。</w:t>
            </w:r>
          </w:p>
          <w:p w14:paraId="0428B5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注：提供有效的证书复印件并经评标委员会认可为准，否则不得分，原件备查。</w:t>
            </w:r>
          </w:p>
        </w:tc>
      </w:tr>
      <w:tr w14:paraId="07525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noWrap w:val="0"/>
            <w:vAlign w:val="center"/>
          </w:tcPr>
          <w:p w14:paraId="745F47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业绩分</w:t>
            </w:r>
          </w:p>
        </w:tc>
        <w:tc>
          <w:tcPr>
            <w:tcW w:w="1140" w:type="dxa"/>
            <w:noWrap w:val="0"/>
            <w:vAlign w:val="center"/>
          </w:tcPr>
          <w:p w14:paraId="5EDD4A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6413" w:type="dxa"/>
            <w:noWrap w:val="0"/>
            <w:vAlign w:val="center"/>
          </w:tcPr>
          <w:p w14:paraId="79DEE0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val="en-US" w:eastAsia="zh-CN"/>
              </w:rPr>
            </w:pPr>
            <w:r>
              <w:rPr>
                <w:rFonts w:hint="eastAsia" w:asciiTheme="minorEastAsia" w:hAnsiTheme="minorEastAsia" w:eastAsiaTheme="minorEastAsia" w:cstheme="minorEastAsia"/>
                <w:snapToGrid/>
                <w:color w:val="auto"/>
                <w:kern w:val="2"/>
                <w:sz w:val="21"/>
                <w:szCs w:val="21"/>
                <w:highlight w:val="none"/>
                <w:lang w:val="en-US" w:eastAsia="zh-CN"/>
              </w:rPr>
              <w:t>投标人提供2019年1月1日至今投标人承担过类似项目业绩， 以中标（成交）通知书或签订的合同为准，每提供一个得2分， 满分10分。</w:t>
            </w:r>
          </w:p>
        </w:tc>
      </w:tr>
      <w:tr w14:paraId="307E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3"/>
            <w:noWrap w:val="0"/>
            <w:vAlign w:val="center"/>
          </w:tcPr>
          <w:p w14:paraId="0686ACA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总得分=</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（三）</w:t>
            </w:r>
          </w:p>
        </w:tc>
      </w:tr>
    </w:tbl>
    <w:p w14:paraId="1A23DBB6">
      <w:pPr>
        <w:spacing w:line="257" w:lineRule="auto"/>
        <w:rPr>
          <w:rFonts w:ascii="Arial"/>
          <w:color w:val="auto"/>
          <w:sz w:val="21"/>
          <w:highlight w:val="none"/>
        </w:rPr>
      </w:pPr>
    </w:p>
    <w:p w14:paraId="3E77ABCA">
      <w:pPr>
        <w:pStyle w:val="2"/>
        <w:rPr>
          <w:rFonts w:ascii="Arial"/>
          <w:color w:val="auto"/>
          <w:sz w:val="21"/>
          <w:highlight w:val="none"/>
        </w:rPr>
      </w:pPr>
    </w:p>
    <w:p w14:paraId="6EAEEAF2">
      <w:pPr>
        <w:rPr>
          <w:rFonts w:ascii="Arial"/>
          <w:color w:val="auto"/>
          <w:sz w:val="21"/>
          <w:highlight w:val="none"/>
        </w:rPr>
      </w:pPr>
    </w:p>
    <w:p w14:paraId="6303889A">
      <w:pPr>
        <w:pStyle w:val="8"/>
        <w:spacing w:before="101" w:line="224" w:lineRule="auto"/>
        <w:ind w:left="3247"/>
        <w:outlineLvl w:val="0"/>
        <w:rPr>
          <w:b/>
          <w:bCs/>
          <w:color w:val="auto"/>
          <w:spacing w:val="3"/>
          <w:highlight w:val="none"/>
        </w:rPr>
      </w:pPr>
    </w:p>
    <w:p w14:paraId="344F16A9">
      <w:pPr>
        <w:pStyle w:val="8"/>
        <w:keepNext w:val="0"/>
        <w:keepLines w:val="0"/>
        <w:pageBreakBefore w:val="0"/>
        <w:wordWrap/>
        <w:overflowPunct/>
        <w:topLinePunct w:val="0"/>
        <w:bidi w:val="0"/>
        <w:spacing w:line="440" w:lineRule="exact"/>
        <w:ind w:left="3247"/>
        <w:outlineLvl w:val="0"/>
        <w:rPr>
          <w:b/>
          <w:bCs/>
          <w:color w:val="auto"/>
          <w:spacing w:val="3"/>
          <w:highlight w:val="none"/>
        </w:rPr>
      </w:pPr>
      <w:r>
        <w:rPr>
          <w:b/>
          <w:bCs/>
          <w:color w:val="auto"/>
          <w:spacing w:val="3"/>
          <w:highlight w:val="none"/>
        </w:rPr>
        <w:t>四、中标候选人推荐</w:t>
      </w:r>
    </w:p>
    <w:p w14:paraId="7DE70BB4">
      <w:pPr>
        <w:pStyle w:val="8"/>
        <w:keepNext w:val="0"/>
        <w:keepLines w:val="0"/>
        <w:pageBreakBefore w:val="0"/>
        <w:wordWrap/>
        <w:overflowPunct/>
        <w:topLinePunct w:val="0"/>
        <w:bidi w:val="0"/>
        <w:spacing w:line="440" w:lineRule="exact"/>
        <w:ind w:firstLine="462" w:firstLineChars="200"/>
        <w:outlineLvl w:val="0"/>
        <w:rPr>
          <w:b/>
          <w:bCs/>
          <w:color w:val="auto"/>
          <w:spacing w:val="-5"/>
          <w:sz w:val="24"/>
          <w:szCs w:val="24"/>
          <w:highlight w:val="none"/>
        </w:rPr>
      </w:pPr>
    </w:p>
    <w:p w14:paraId="4DA99566">
      <w:pPr>
        <w:pStyle w:val="8"/>
        <w:keepNext w:val="0"/>
        <w:keepLines w:val="0"/>
        <w:pageBreakBefore w:val="0"/>
        <w:wordWrap/>
        <w:overflowPunct/>
        <w:topLinePunct w:val="0"/>
        <w:bidi w:val="0"/>
        <w:spacing w:line="440" w:lineRule="exact"/>
        <w:ind w:firstLine="462" w:firstLineChars="200"/>
        <w:outlineLvl w:val="0"/>
        <w:rPr>
          <w:color w:val="auto"/>
          <w:sz w:val="24"/>
          <w:szCs w:val="24"/>
          <w:highlight w:val="none"/>
        </w:rPr>
      </w:pPr>
      <w:r>
        <w:rPr>
          <w:b/>
          <w:bCs/>
          <w:color w:val="auto"/>
          <w:spacing w:val="-5"/>
          <w:sz w:val="24"/>
          <w:szCs w:val="24"/>
          <w:highlight w:val="none"/>
        </w:rPr>
        <w:t>（一）综合评分法</w:t>
      </w:r>
    </w:p>
    <w:p w14:paraId="05798D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1.评标委员会根据原始评标记录和评标结果编写评标报告，并通过电子交易平台向采购人、采购代理机构提交。</w:t>
      </w:r>
    </w:p>
    <w:p w14:paraId="07BA1C9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评标委员会将根据总得分由高到低排列次序并推荐中标候选人。总得分相同的，依次按技术评分高的优先、商务评分高的优先、投标报价低的优先的顺序确定，评审得分、技术得分、商务评分、最后报价（不计算价格折扣）均相同的， 由评标委员会采用不记名投票决定，票数高的优先推荐。</w:t>
      </w:r>
    </w:p>
    <w:p w14:paraId="460A9B27">
      <w:pPr>
        <w:keepNext w:val="0"/>
        <w:keepLines w:val="0"/>
        <w:pageBreakBefore w:val="0"/>
        <w:wordWrap/>
        <w:overflowPunct/>
        <w:topLinePunct w:val="0"/>
        <w:bidi w:val="0"/>
        <w:spacing w:line="440" w:lineRule="exact"/>
        <w:rPr>
          <w:color w:val="auto"/>
          <w:sz w:val="20"/>
          <w:szCs w:val="20"/>
          <w:highlight w:val="none"/>
        </w:rPr>
        <w:sectPr>
          <w:headerReference r:id="rId22" w:type="default"/>
          <w:footerReference r:id="rId23" w:type="default"/>
          <w:pgSz w:w="11906" w:h="16839"/>
          <w:pgMar w:top="1701" w:right="1474" w:bottom="1701" w:left="1587" w:header="963" w:footer="675" w:gutter="0"/>
          <w:pgNumType w:fmt="decimal"/>
          <w:cols w:space="0" w:num="1"/>
          <w:rtlGutter w:val="0"/>
          <w:docGrid w:linePitch="0" w:charSpace="0"/>
        </w:sectPr>
      </w:pPr>
    </w:p>
    <w:p w14:paraId="146F392E">
      <w:pPr>
        <w:pStyle w:val="8"/>
        <w:spacing w:before="209" w:line="224" w:lineRule="auto"/>
        <w:ind w:left="2585"/>
        <w:outlineLvl w:val="0"/>
        <w:rPr>
          <w:color w:val="auto"/>
          <w:sz w:val="35"/>
          <w:szCs w:val="35"/>
          <w:highlight w:val="none"/>
        </w:rPr>
      </w:pPr>
      <w:bookmarkStart w:id="19" w:name="bookmark9"/>
      <w:bookmarkEnd w:id="19"/>
      <w:bookmarkStart w:id="20" w:name="bookmark10"/>
      <w:bookmarkEnd w:id="20"/>
      <w:r>
        <w:rPr>
          <w:b/>
          <w:bCs/>
          <w:color w:val="auto"/>
          <w:spacing w:val="6"/>
          <w:sz w:val="35"/>
          <w:szCs w:val="35"/>
          <w:highlight w:val="none"/>
        </w:rPr>
        <w:t>第五章</w:t>
      </w:r>
      <w:r>
        <w:rPr>
          <w:color w:val="auto"/>
          <w:spacing w:val="6"/>
          <w:sz w:val="35"/>
          <w:szCs w:val="35"/>
          <w:highlight w:val="none"/>
        </w:rPr>
        <w:t xml:space="preserve"> </w:t>
      </w:r>
      <w:r>
        <w:rPr>
          <w:b/>
          <w:bCs/>
          <w:color w:val="auto"/>
          <w:spacing w:val="6"/>
          <w:sz w:val="35"/>
          <w:szCs w:val="35"/>
          <w:highlight w:val="none"/>
        </w:rPr>
        <w:t>拟签订的合同文本</w:t>
      </w:r>
    </w:p>
    <w:p w14:paraId="41063916">
      <w:pPr>
        <w:spacing w:line="224" w:lineRule="auto"/>
        <w:rPr>
          <w:color w:val="auto"/>
          <w:sz w:val="35"/>
          <w:szCs w:val="35"/>
          <w:highlight w:val="none"/>
        </w:rPr>
        <w:sectPr>
          <w:footerReference r:id="rId24" w:type="default"/>
          <w:pgSz w:w="11906" w:h="16839"/>
          <w:pgMar w:top="1701" w:right="1474" w:bottom="1701" w:left="1587" w:header="963" w:footer="675" w:gutter="0"/>
          <w:pgNumType w:fmt="decimal"/>
          <w:cols w:space="0" w:num="1"/>
          <w:rtlGutter w:val="0"/>
          <w:docGrid w:linePitch="0" w:charSpace="0"/>
        </w:sectPr>
      </w:pPr>
    </w:p>
    <w:p w14:paraId="6F53DF69">
      <w:pPr>
        <w:spacing w:line="600" w:lineRule="exact"/>
        <w:rPr>
          <w:rFonts w:hint="eastAsia" w:asciiTheme="minorEastAsia" w:hAnsiTheme="minorEastAsia" w:eastAsiaTheme="minorEastAsia" w:cstheme="minorEastAsia"/>
          <w:color w:val="auto"/>
          <w:sz w:val="32"/>
          <w:szCs w:val="32"/>
          <w:highlight w:val="none"/>
        </w:rPr>
      </w:pPr>
      <w:bookmarkStart w:id="21" w:name="OLE_LINK8"/>
      <w:r>
        <w:rPr>
          <w:rFonts w:hint="eastAsia" w:asciiTheme="minorEastAsia" w:hAnsiTheme="minorEastAsia" w:eastAsiaTheme="minorEastAsia" w:cstheme="minorEastAsia"/>
          <w:color w:val="auto"/>
          <w:sz w:val="32"/>
          <w:szCs w:val="32"/>
          <w:highlight w:val="none"/>
        </w:rPr>
        <w:t>合同编号：</w:t>
      </w:r>
      <w:r>
        <w:rPr>
          <w:rFonts w:hint="eastAsia" w:asciiTheme="minorEastAsia" w:hAnsiTheme="minorEastAsia" w:eastAsiaTheme="minorEastAsia" w:cstheme="minorEastAsia"/>
          <w:color w:val="auto"/>
          <w:kern w:val="0"/>
          <w:sz w:val="32"/>
          <w:szCs w:val="32"/>
          <w:highlight w:val="none"/>
        </w:rPr>
        <w:t xml:space="preserve">            </w:t>
      </w:r>
    </w:p>
    <w:p w14:paraId="0AFEF62E">
      <w:pPr>
        <w:spacing w:line="600" w:lineRule="exact"/>
        <w:rPr>
          <w:rFonts w:hint="eastAsia" w:asciiTheme="minorEastAsia" w:hAnsiTheme="minorEastAsia" w:eastAsiaTheme="minorEastAsia" w:cstheme="minorEastAsia"/>
          <w:color w:val="auto"/>
          <w:sz w:val="28"/>
          <w:szCs w:val="28"/>
          <w:highlight w:val="none"/>
        </w:rPr>
      </w:pPr>
    </w:p>
    <w:p w14:paraId="02074728">
      <w:pPr>
        <w:spacing w:line="600" w:lineRule="exact"/>
        <w:jc w:val="center"/>
        <w:rPr>
          <w:rFonts w:hint="eastAsia" w:asciiTheme="minorEastAsia" w:hAnsiTheme="minorEastAsia" w:eastAsiaTheme="minorEastAsia" w:cstheme="minorEastAsia"/>
          <w:color w:val="auto"/>
          <w:kern w:val="0"/>
          <w:sz w:val="44"/>
          <w:szCs w:val="44"/>
          <w:highlight w:val="none"/>
        </w:rPr>
      </w:pPr>
      <w:r>
        <w:rPr>
          <w:rFonts w:hint="eastAsia" w:asciiTheme="minorEastAsia" w:hAnsiTheme="minorEastAsia" w:eastAsiaTheme="minorEastAsia" w:cstheme="minorEastAsia"/>
          <w:color w:val="auto"/>
          <w:kern w:val="0"/>
          <w:sz w:val="44"/>
          <w:szCs w:val="44"/>
          <w:highlight w:val="none"/>
        </w:rPr>
        <w:t>政府采购技术服务合同</w:t>
      </w:r>
    </w:p>
    <w:p w14:paraId="619BFE0D">
      <w:pPr>
        <w:spacing w:line="600" w:lineRule="exact"/>
        <w:rPr>
          <w:rFonts w:hint="eastAsia" w:asciiTheme="minorEastAsia" w:hAnsiTheme="minorEastAsia" w:eastAsiaTheme="minorEastAsia" w:cstheme="minorEastAsia"/>
          <w:color w:val="auto"/>
          <w:kern w:val="0"/>
          <w:sz w:val="44"/>
          <w:szCs w:val="44"/>
          <w:highlight w:val="none"/>
        </w:rPr>
      </w:pPr>
    </w:p>
    <w:p w14:paraId="6A5FDECE">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采购计划号：</w:t>
      </w:r>
      <w:r>
        <w:rPr>
          <w:rFonts w:hint="eastAsia" w:asciiTheme="minorEastAsia" w:hAnsiTheme="minorEastAsia" w:eastAsiaTheme="minorEastAsia" w:cstheme="minorEastAsia"/>
          <w:color w:val="auto"/>
          <w:sz w:val="32"/>
          <w:szCs w:val="32"/>
          <w:highlight w:val="none"/>
          <w:u w:val="single"/>
        </w:rPr>
        <w:t xml:space="preserve">                                            </w:t>
      </w:r>
    </w:p>
    <w:p w14:paraId="756291F7">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项目名称：</w:t>
      </w:r>
      <w:r>
        <w:rPr>
          <w:rFonts w:hint="eastAsia" w:asciiTheme="minorEastAsia" w:hAnsiTheme="minorEastAsia" w:eastAsiaTheme="minorEastAsia" w:cstheme="minorEastAsia"/>
          <w:color w:val="auto"/>
          <w:sz w:val="32"/>
          <w:szCs w:val="32"/>
          <w:highlight w:val="none"/>
          <w:u w:val="single"/>
        </w:rPr>
        <w:t xml:space="preserve">                                              </w:t>
      </w:r>
    </w:p>
    <w:p w14:paraId="3BA95FBE">
      <w:pPr>
        <w:spacing w:line="600" w:lineRule="exact"/>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项目编号：</w:t>
      </w:r>
      <w:r>
        <w:rPr>
          <w:rFonts w:hint="eastAsia" w:asciiTheme="minorEastAsia" w:hAnsiTheme="minorEastAsia" w:eastAsiaTheme="minorEastAsia" w:cstheme="minorEastAsia"/>
          <w:color w:val="auto"/>
          <w:kern w:val="0"/>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3AB9490">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签订地点：</w:t>
      </w:r>
      <w:r>
        <w:rPr>
          <w:rFonts w:hint="eastAsia" w:asciiTheme="minorEastAsia" w:hAnsiTheme="minorEastAsia" w:eastAsiaTheme="minorEastAsia" w:cstheme="minorEastAsia"/>
          <w:color w:val="auto"/>
          <w:sz w:val="32"/>
          <w:szCs w:val="32"/>
          <w:highlight w:val="none"/>
          <w:u w:val="single"/>
        </w:rPr>
        <w:t xml:space="preserve">                                              </w:t>
      </w:r>
    </w:p>
    <w:p w14:paraId="47111AFD">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签订时间：</w:t>
      </w:r>
      <w:r>
        <w:rPr>
          <w:rFonts w:hint="eastAsia" w:asciiTheme="minorEastAsia" w:hAnsiTheme="minorEastAsia" w:eastAsiaTheme="minorEastAsia" w:cstheme="minorEastAsia"/>
          <w:color w:val="auto"/>
          <w:sz w:val="32"/>
          <w:szCs w:val="32"/>
          <w:highlight w:val="none"/>
          <w:u w:val="single"/>
        </w:rPr>
        <w:t xml:space="preserve">                                              </w:t>
      </w:r>
    </w:p>
    <w:p w14:paraId="416676B6">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甲方（采购人）：</w:t>
      </w:r>
      <w:r>
        <w:rPr>
          <w:rFonts w:hint="eastAsia" w:asciiTheme="minorEastAsia" w:hAnsiTheme="minorEastAsia" w:eastAsiaTheme="minorEastAsia" w:cstheme="minorEastAsia"/>
          <w:color w:val="auto"/>
          <w:kern w:val="0"/>
          <w:sz w:val="32"/>
          <w:szCs w:val="32"/>
          <w:highlight w:val="none"/>
          <w:u w:val="single"/>
        </w:rPr>
        <w:t xml:space="preserve">                                        </w:t>
      </w:r>
    </w:p>
    <w:p w14:paraId="66DCA0D9">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住所地：</w:t>
      </w:r>
      <w:r>
        <w:rPr>
          <w:rFonts w:hint="eastAsia" w:asciiTheme="minorEastAsia" w:hAnsiTheme="minorEastAsia" w:eastAsiaTheme="minorEastAsia" w:cstheme="minorEastAsia"/>
          <w:color w:val="auto"/>
          <w:kern w:val="0"/>
          <w:sz w:val="32"/>
          <w:szCs w:val="32"/>
          <w:highlight w:val="none"/>
          <w:u w:val="single"/>
        </w:rPr>
        <w:t xml:space="preserve">                                                </w:t>
      </w:r>
    </w:p>
    <w:p w14:paraId="7645309F">
      <w:pPr>
        <w:spacing w:line="600" w:lineRule="exact"/>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法定代表人：</w:t>
      </w:r>
      <w:r>
        <w:rPr>
          <w:rFonts w:hint="eastAsia" w:asciiTheme="minorEastAsia" w:hAnsiTheme="minorEastAsia" w:eastAsiaTheme="minorEastAsia" w:cstheme="minorEastAsia"/>
          <w:color w:val="auto"/>
          <w:kern w:val="0"/>
          <w:sz w:val="32"/>
          <w:szCs w:val="32"/>
          <w:highlight w:val="none"/>
          <w:u w:val="single"/>
        </w:rPr>
        <w:t xml:space="preserve">                                            </w:t>
      </w:r>
    </w:p>
    <w:p w14:paraId="044E0E4C">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通讯地址：</w:t>
      </w:r>
      <w:r>
        <w:rPr>
          <w:rFonts w:hint="eastAsia" w:asciiTheme="minorEastAsia" w:hAnsiTheme="minorEastAsia" w:eastAsiaTheme="minorEastAsia" w:cstheme="minorEastAsia"/>
          <w:color w:val="auto"/>
          <w:kern w:val="0"/>
          <w:sz w:val="32"/>
          <w:szCs w:val="32"/>
          <w:highlight w:val="none"/>
          <w:u w:val="single"/>
        </w:rPr>
        <w:t xml:space="preserve">                                              </w:t>
      </w:r>
    </w:p>
    <w:p w14:paraId="16D380A2">
      <w:pPr>
        <w:spacing w:line="600" w:lineRule="exact"/>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联系电话：</w:t>
      </w:r>
      <w:r>
        <w:rPr>
          <w:rFonts w:hint="eastAsia" w:asciiTheme="minorEastAsia" w:hAnsiTheme="minorEastAsia" w:eastAsiaTheme="minorEastAsia" w:cstheme="minorEastAsia"/>
          <w:color w:val="auto"/>
          <w:kern w:val="0"/>
          <w:sz w:val="32"/>
          <w:szCs w:val="32"/>
          <w:highlight w:val="none"/>
          <w:u w:val="single"/>
        </w:rPr>
        <w:t xml:space="preserve">                                              </w:t>
      </w:r>
    </w:p>
    <w:p w14:paraId="305E9BE1">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电子邮箱：</w:t>
      </w:r>
      <w:r>
        <w:rPr>
          <w:rFonts w:hint="eastAsia" w:asciiTheme="minorEastAsia" w:hAnsiTheme="minorEastAsia" w:eastAsiaTheme="minorEastAsia" w:cstheme="minorEastAsia"/>
          <w:color w:val="auto"/>
          <w:kern w:val="0"/>
          <w:sz w:val="32"/>
          <w:szCs w:val="32"/>
          <w:highlight w:val="none"/>
          <w:u w:val="single"/>
        </w:rPr>
        <w:t xml:space="preserve">                                              </w:t>
      </w:r>
    </w:p>
    <w:p w14:paraId="6BF4286C">
      <w:pPr>
        <w:spacing w:line="600" w:lineRule="exact"/>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乙方（供应商）：</w:t>
      </w:r>
      <w:r>
        <w:rPr>
          <w:rFonts w:hint="eastAsia" w:asciiTheme="minorEastAsia" w:hAnsiTheme="minorEastAsia" w:eastAsiaTheme="minorEastAsia" w:cstheme="minorEastAsia"/>
          <w:color w:val="auto"/>
          <w:kern w:val="0"/>
          <w:sz w:val="32"/>
          <w:szCs w:val="32"/>
          <w:highlight w:val="none"/>
          <w:u w:val="single"/>
        </w:rPr>
        <w:t xml:space="preserve">                                        </w:t>
      </w:r>
    </w:p>
    <w:p w14:paraId="5F2A44D0">
      <w:pPr>
        <w:spacing w:line="600" w:lineRule="exact"/>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住所地：</w:t>
      </w:r>
      <w:r>
        <w:rPr>
          <w:rFonts w:hint="eastAsia" w:asciiTheme="minorEastAsia" w:hAnsiTheme="minorEastAsia" w:eastAsiaTheme="minorEastAsia" w:cstheme="minorEastAsia"/>
          <w:color w:val="auto"/>
          <w:kern w:val="0"/>
          <w:sz w:val="32"/>
          <w:szCs w:val="32"/>
          <w:highlight w:val="none"/>
          <w:u w:val="single"/>
        </w:rPr>
        <w:t xml:space="preserve">                                                </w:t>
      </w:r>
    </w:p>
    <w:p w14:paraId="2AA9264C">
      <w:pPr>
        <w:spacing w:line="600" w:lineRule="exact"/>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法定代表人：</w:t>
      </w:r>
      <w:r>
        <w:rPr>
          <w:rFonts w:hint="eastAsia" w:asciiTheme="minorEastAsia" w:hAnsiTheme="minorEastAsia" w:eastAsiaTheme="minorEastAsia" w:cstheme="minorEastAsia"/>
          <w:color w:val="auto"/>
          <w:kern w:val="0"/>
          <w:sz w:val="32"/>
          <w:szCs w:val="32"/>
          <w:highlight w:val="none"/>
          <w:u w:val="single"/>
        </w:rPr>
        <w:t xml:space="preserve">                                            </w:t>
      </w:r>
    </w:p>
    <w:p w14:paraId="622B29C4">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通讯地址：</w:t>
      </w:r>
      <w:r>
        <w:rPr>
          <w:rFonts w:hint="eastAsia" w:asciiTheme="minorEastAsia" w:hAnsiTheme="minorEastAsia" w:eastAsiaTheme="minorEastAsia" w:cstheme="minorEastAsia"/>
          <w:color w:val="auto"/>
          <w:kern w:val="0"/>
          <w:sz w:val="32"/>
          <w:szCs w:val="32"/>
          <w:highlight w:val="none"/>
          <w:u w:val="single"/>
        </w:rPr>
        <w:t xml:space="preserve">                                              </w:t>
      </w:r>
    </w:p>
    <w:p w14:paraId="46CE1F2D">
      <w:pPr>
        <w:spacing w:line="600" w:lineRule="exac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联系电话：</w:t>
      </w:r>
      <w:r>
        <w:rPr>
          <w:rFonts w:hint="eastAsia" w:asciiTheme="minorEastAsia" w:hAnsiTheme="minorEastAsia" w:eastAsiaTheme="minorEastAsia" w:cstheme="minorEastAsia"/>
          <w:color w:val="auto"/>
          <w:kern w:val="0"/>
          <w:sz w:val="32"/>
          <w:szCs w:val="32"/>
          <w:highlight w:val="none"/>
          <w:u w:val="single"/>
        </w:rPr>
        <w:t xml:space="preserve">                                              </w:t>
      </w:r>
    </w:p>
    <w:p w14:paraId="5F163D52">
      <w:pPr>
        <w:spacing w:line="600" w:lineRule="exact"/>
        <w:jc w:val="left"/>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kern w:val="0"/>
          <w:sz w:val="32"/>
          <w:szCs w:val="32"/>
          <w:highlight w:val="none"/>
        </w:rPr>
        <w:t>电子邮箱：</w:t>
      </w:r>
      <w:r>
        <w:rPr>
          <w:rFonts w:hint="eastAsia" w:asciiTheme="minorEastAsia" w:hAnsiTheme="minorEastAsia" w:eastAsiaTheme="minorEastAsia" w:cstheme="minorEastAsia"/>
          <w:color w:val="auto"/>
          <w:kern w:val="0"/>
          <w:sz w:val="32"/>
          <w:szCs w:val="32"/>
          <w:highlight w:val="none"/>
          <w:u w:val="single"/>
        </w:rPr>
        <w:t xml:space="preserve">                                              </w:t>
      </w:r>
      <w:bookmarkStart w:id="22" w:name="OLE_LINK9"/>
    </w:p>
    <w:p w14:paraId="7BE8CCF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val="en-US" w:eastAsia="zh-CN"/>
        </w:rPr>
      </w:pPr>
    </w:p>
    <w:p w14:paraId="64D87C8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val="en-US" w:eastAsia="zh-CN"/>
        </w:rPr>
      </w:pPr>
    </w:p>
    <w:p w14:paraId="4997935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根据《中华人民共和国政府采购法》《中华人民共和国民法典》等法律、法规规定，按照招标文件（采购文件）规定条款和投标文件及承诺，采购人（甲方）与中标人（乙方）双方签订本合同。</w:t>
      </w:r>
    </w:p>
    <w:p w14:paraId="225A18C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第一条　合同标的</w:t>
      </w:r>
    </w:p>
    <w:p w14:paraId="28D69B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1.服务一览表</w:t>
      </w:r>
    </w:p>
    <w:tbl>
      <w:tblPr>
        <w:tblStyle w:val="10"/>
        <w:tblW w:w="898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90"/>
        <w:gridCol w:w="1850"/>
        <w:gridCol w:w="1200"/>
        <w:gridCol w:w="1045"/>
        <w:gridCol w:w="1275"/>
        <w:gridCol w:w="1380"/>
      </w:tblGrid>
      <w:tr w14:paraId="4BC8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4F295CA9">
            <w:pPr>
              <w:keepNext w:val="0"/>
              <w:keepLines w:val="0"/>
              <w:pageBreakBefore w:val="0"/>
              <w:wordWrap/>
              <w:overflowPunct/>
              <w:topLinePunct w:val="0"/>
              <w:bidi w:val="0"/>
              <w:spacing w:line="440" w:lineRule="exact"/>
              <w:ind w:firstLine="211" w:firstLineChars="100"/>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AC72FE4">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名称</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4AEE1AA3">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服务内容</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27CB737">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数量</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BF93B17">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9CECDB">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单价（元）</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664BD64">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总价（元）</w:t>
            </w:r>
          </w:p>
        </w:tc>
      </w:tr>
      <w:tr w14:paraId="0656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3A0C9C80">
            <w:pPr>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42BBE59">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D7696E8">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9B92CB1">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3807576">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DF907E6">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AF26DFE">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p>
        </w:tc>
      </w:tr>
      <w:tr w14:paraId="13EA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5B5AA0A9">
            <w:pPr>
              <w:keepNext w:val="0"/>
              <w:keepLines w:val="0"/>
              <w:pageBreakBefore w:val="0"/>
              <w:wordWrap/>
              <w:overflowPunct/>
              <w:topLinePunct w:val="0"/>
              <w:bidi w:val="0"/>
              <w:spacing w:line="440" w:lineRule="exact"/>
              <w:jc w:val="left"/>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F92F3D7">
            <w:pPr>
              <w:keepNext w:val="0"/>
              <w:keepLines w:val="0"/>
              <w:pageBreakBefore w:val="0"/>
              <w:wordWrap/>
              <w:overflowPunct/>
              <w:topLinePunct w:val="0"/>
              <w:bidi w:val="0"/>
              <w:spacing w:line="440" w:lineRule="exact"/>
              <w:ind w:firstLine="480" w:firstLineChars="200"/>
              <w:jc w:val="left"/>
              <w:rPr>
                <w:rFonts w:hint="eastAsia" w:asciiTheme="minorEastAsia" w:hAnsiTheme="minorEastAsia" w:eastAsiaTheme="minorEastAsia" w:cstheme="minorEastAsia"/>
                <w:color w:val="auto"/>
                <w:sz w:val="24"/>
                <w:szCs w:val="24"/>
                <w:highlight w:val="none"/>
                <w:u w:val="none"/>
                <w:lang w:val="en-US" w:eastAsia="zh-CN"/>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754DD6B">
            <w:pPr>
              <w:keepNext w:val="0"/>
              <w:keepLines w:val="0"/>
              <w:pageBreakBefore w:val="0"/>
              <w:wordWrap/>
              <w:overflowPunct/>
              <w:topLinePunct w:val="0"/>
              <w:bidi w:val="0"/>
              <w:spacing w:line="440" w:lineRule="exact"/>
              <w:ind w:firstLine="480" w:firstLineChars="200"/>
              <w:jc w:val="left"/>
              <w:rPr>
                <w:rFonts w:hint="eastAsia" w:asciiTheme="minorEastAsia" w:hAnsiTheme="minorEastAsia" w:eastAsiaTheme="minorEastAsia" w:cstheme="minorEastAsia"/>
                <w:color w:val="auto"/>
                <w:sz w:val="24"/>
                <w:szCs w:val="24"/>
                <w:highlight w:val="none"/>
                <w:u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6E41606">
            <w:pPr>
              <w:keepNext w:val="0"/>
              <w:keepLines w:val="0"/>
              <w:pageBreakBefore w:val="0"/>
              <w:wordWrap/>
              <w:overflowPunct/>
              <w:topLinePunct w:val="0"/>
              <w:bidi w:val="0"/>
              <w:spacing w:line="440" w:lineRule="exact"/>
              <w:ind w:firstLine="480" w:firstLineChars="200"/>
              <w:jc w:val="left"/>
              <w:rPr>
                <w:rFonts w:hint="eastAsia" w:asciiTheme="minorEastAsia" w:hAnsiTheme="minorEastAsia" w:eastAsiaTheme="minorEastAsia" w:cstheme="minorEastAsia"/>
                <w:color w:val="auto"/>
                <w:sz w:val="24"/>
                <w:szCs w:val="24"/>
                <w:highlight w:val="none"/>
                <w:u w:val="none"/>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1133CA15">
            <w:pPr>
              <w:keepNext w:val="0"/>
              <w:keepLines w:val="0"/>
              <w:pageBreakBefore w:val="0"/>
              <w:wordWrap/>
              <w:overflowPunct/>
              <w:topLinePunct w:val="0"/>
              <w:bidi w:val="0"/>
              <w:spacing w:line="440" w:lineRule="exact"/>
              <w:ind w:firstLine="480" w:firstLineChars="200"/>
              <w:jc w:val="left"/>
              <w:rPr>
                <w:rFonts w:hint="eastAsia" w:asciiTheme="minorEastAsia" w:hAnsiTheme="minorEastAsia" w:eastAsiaTheme="minorEastAsia" w:cstheme="minorEastAsia"/>
                <w:color w:val="auto"/>
                <w:sz w:val="24"/>
                <w:szCs w:val="24"/>
                <w:highlight w:val="none"/>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528668B">
            <w:pPr>
              <w:keepNext w:val="0"/>
              <w:keepLines w:val="0"/>
              <w:pageBreakBefore w:val="0"/>
              <w:wordWrap/>
              <w:overflowPunct/>
              <w:topLinePunct w:val="0"/>
              <w:bidi w:val="0"/>
              <w:spacing w:line="440" w:lineRule="exact"/>
              <w:ind w:firstLine="480" w:firstLineChars="200"/>
              <w:jc w:val="left"/>
              <w:rPr>
                <w:rFonts w:hint="eastAsia" w:asciiTheme="minorEastAsia" w:hAnsiTheme="minorEastAsia" w:eastAsiaTheme="minorEastAsia" w:cstheme="minorEastAsia"/>
                <w:color w:val="auto"/>
                <w:sz w:val="24"/>
                <w:szCs w:val="24"/>
                <w:highlight w:val="none"/>
                <w:u w:val="none"/>
                <w:lang w:val="en-US" w:eastAsia="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CCB4F8">
            <w:pPr>
              <w:keepNext w:val="0"/>
              <w:keepLines w:val="0"/>
              <w:pageBreakBefore w:val="0"/>
              <w:wordWrap/>
              <w:overflowPunct/>
              <w:topLinePunct w:val="0"/>
              <w:bidi w:val="0"/>
              <w:spacing w:line="440" w:lineRule="exact"/>
              <w:ind w:firstLine="480" w:firstLineChars="200"/>
              <w:jc w:val="left"/>
              <w:rPr>
                <w:rFonts w:hint="eastAsia" w:asciiTheme="minorEastAsia" w:hAnsiTheme="minorEastAsia" w:eastAsiaTheme="minorEastAsia" w:cstheme="minorEastAsia"/>
                <w:color w:val="auto"/>
                <w:sz w:val="24"/>
                <w:szCs w:val="24"/>
                <w:highlight w:val="none"/>
                <w:u w:val="none"/>
                <w:lang w:val="en-US" w:eastAsia="zh-CN"/>
              </w:rPr>
            </w:pPr>
          </w:p>
        </w:tc>
      </w:tr>
      <w:tr w14:paraId="2208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985" w:type="dxa"/>
            <w:gridSpan w:val="7"/>
            <w:tcBorders>
              <w:top w:val="single" w:color="auto" w:sz="4" w:space="0"/>
              <w:left w:val="single" w:color="auto" w:sz="4" w:space="0"/>
              <w:bottom w:val="single" w:color="auto" w:sz="4" w:space="0"/>
              <w:right w:val="single" w:color="auto" w:sz="4" w:space="0"/>
            </w:tcBorders>
            <w:noWrap w:val="0"/>
            <w:vAlign w:val="center"/>
          </w:tcPr>
          <w:p w14:paraId="08AD7AB8">
            <w:pPr>
              <w:keepNext w:val="0"/>
              <w:keepLines w:val="0"/>
              <w:pageBreakBefore w:val="0"/>
              <w:wordWrap/>
              <w:overflowPunct/>
              <w:topLinePunct w:val="0"/>
              <w:bidi w:val="0"/>
              <w:spacing w:line="440" w:lineRule="exact"/>
              <w:jc w:val="left"/>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合同合计金额（人民币，大写）：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元整（￥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p>
        </w:tc>
      </w:tr>
    </w:tbl>
    <w:p w14:paraId="26490E4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2.合同合计金额包括现场勘察、协调、实验研究、技术处理、方案编制、报批、项目评审费等工作所需的一切人工、机械、材料、利润、税金、保险等相关的费用。除合同约定的变更以外，该费用不予增减。</w:t>
      </w:r>
    </w:p>
    <w:p w14:paraId="198BB038">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第二条　质量保证</w:t>
      </w:r>
    </w:p>
    <w:p w14:paraId="69A87F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 乙方应建立和完善履行合同的内部质量保证体系，并提供相关内部规章制度给甲方，以便甲方进行监督检查；</w:t>
      </w:r>
    </w:p>
    <w:p w14:paraId="1A13CE8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2. 乙方应保证履行合同的人员数量和素质、软件和硬件设备的配置、场地、环境和设施等满足全面履行合同的要求，并应接受甲方的监督检查。</w:t>
      </w:r>
    </w:p>
    <w:p w14:paraId="29A5C5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乙方所提供的服务、服务质量及服务内容必须与合同、招标文件、投标文件及承诺相一致。有国家强制性标准的，还必须符合国家强制性标准的规定；没有国家强制性标准但有其他标准的，必须符合其他标准的规定。</w:t>
      </w:r>
    </w:p>
    <w:p w14:paraId="592BCFCC">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第三条　权利保证</w:t>
      </w:r>
    </w:p>
    <w:p w14:paraId="6165921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kern w:val="2"/>
          <w:sz w:val="21"/>
          <w:szCs w:val="21"/>
          <w:highlight w:val="none"/>
          <w:u w:val="none"/>
          <w:lang w:val="en-US" w:eastAsia="zh-CN" w:bidi="ar-SA"/>
        </w:rPr>
        <w:t>1.甲方根据工作需要，可为乙方提供相关资料等。</w:t>
      </w:r>
    </w:p>
    <w:p w14:paraId="4115A9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2.甲方有权随时向乙方了解服务进度和对服务资金使用情况进行监督、检查，并要求乙方提供相关资料。</w:t>
      </w:r>
    </w:p>
    <w:p w14:paraId="41551CC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甲方有权按照合同约定或有关法律法规、政府管理的相关职能规定，对乙方服务进行监督和检查，有权要求乙方按照监督检查情况制定相应措施并加以整改。甲方不因行使该监督和检查权而承担任何责任，也不因此而减轻或免除乙方根据合同约定或相关法律法规规定应承担的任何义务或责任。</w:t>
      </w:r>
    </w:p>
    <w:p w14:paraId="1C0DE79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4.乙方应保证所提供服务在使用时不会侵犯任何第三方的专利权、商标权、工业设计权等知识产权及其他合法权利，且所有权、处分权等没有受到任何限制。</w:t>
      </w:r>
    </w:p>
    <w:p w14:paraId="2FF9B0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14:paraId="5438A4D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6.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14:paraId="6535DA50">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第四条　交付和验收</w:t>
      </w:r>
    </w:p>
    <w:p w14:paraId="0F8632BB">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1.服务时间：</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起至</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426C3668">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2.服务地点：</w:t>
      </w:r>
      <w:r>
        <w:rPr>
          <w:rFonts w:hint="eastAsia" w:asciiTheme="minorEastAsia" w:hAnsiTheme="minorEastAsia" w:eastAsiaTheme="minorEastAsia" w:cstheme="minorEastAsia"/>
          <w:color w:val="auto"/>
          <w:sz w:val="21"/>
          <w:szCs w:val="21"/>
          <w:highlight w:val="none"/>
          <w:u w:val="single"/>
          <w:lang w:val="en-US" w:eastAsia="zh-CN"/>
        </w:rPr>
        <w:t>　  采购人指定地点          　</w:t>
      </w:r>
      <w:r>
        <w:rPr>
          <w:rFonts w:hint="eastAsia" w:asciiTheme="minorEastAsia" w:hAnsiTheme="minorEastAsia" w:eastAsiaTheme="minorEastAsia" w:cstheme="minorEastAsia"/>
          <w:color w:val="auto"/>
          <w:sz w:val="21"/>
          <w:szCs w:val="21"/>
          <w:highlight w:val="none"/>
          <w:u w:val="none"/>
          <w:lang w:val="en-US" w:eastAsia="zh-CN"/>
        </w:rPr>
        <w:t>。</w:t>
      </w:r>
    </w:p>
    <w:p w14:paraId="08142BE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3.乙方应按合同、招标文件、投标文件及承诺向甲方提供相应的服务，并提供服务质量和服务内容的相关技术资料。</w:t>
      </w:r>
    </w:p>
    <w:p w14:paraId="6974E2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4.乙方提供不符合合同、招标文件、投标文件规定的服务成果，甲方有权拒绝接受。</w:t>
      </w:r>
    </w:p>
    <w:p w14:paraId="17F4B6D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5.乙方在完成服务前应对服务作出全面检查和对验收文件进行整理，并列出清单，作为甲方服务验收的技术依据，清单应随提交的服务成果交给甲方。</w:t>
      </w:r>
    </w:p>
    <w:p w14:paraId="151DA1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6.乙方完成服务后应及时书面通知甲方进行验收，甲方应在收到通知后七个工作日内进行验收，逾期不开始验收的，乙方可视同验收合格。</w:t>
      </w:r>
    </w:p>
    <w:p w14:paraId="459BEBA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7.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w:t>
      </w:r>
    </w:p>
    <w:p w14:paraId="5A562D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8.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40DDEC1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9.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p>
    <w:p w14:paraId="4B3A9132">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第五条　售后服务、服务质量保证期及培训</w:t>
      </w:r>
    </w:p>
    <w:p w14:paraId="1AEABE2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1.乙方应按照国家有关法律法规、合同、招标文件、投标文件所附的《服务承诺》要求为甲方提供相应的服务。</w:t>
      </w:r>
    </w:p>
    <w:p w14:paraId="21679A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2.乙方提供服务的质量保证期按交付服务成果验收合格并签署验收合格单之日起计算，为</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日，在质量保证期内因服务成果本身的技术问题，乙方应对服务出现的问题负责处理解决，并承担一切费用。</w:t>
      </w:r>
    </w:p>
    <w:p w14:paraId="06234E0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3.在质量保证期内发生技术服务问题，乙方应在接到甲方通知后24小时内到达甲方现场，在甲方指定的期限内解决问题。</w:t>
      </w:r>
    </w:p>
    <w:p w14:paraId="1827F63A">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4.乙方负责甲方有关人员的培训。</w:t>
      </w:r>
    </w:p>
    <w:p w14:paraId="147BAB93">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培训时间：</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66AEA5BB">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培训地点：</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0A0C2D1C">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第六条　付款方式</w:t>
      </w:r>
    </w:p>
    <w:p w14:paraId="0EF3FA06">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1.资金性质：</w:t>
      </w:r>
      <w:r>
        <w:rPr>
          <w:rFonts w:hint="eastAsia" w:asciiTheme="minorEastAsia" w:hAnsiTheme="minorEastAsia" w:eastAsiaTheme="minorEastAsia" w:cstheme="minorEastAsia"/>
          <w:color w:val="auto"/>
          <w:sz w:val="21"/>
          <w:szCs w:val="21"/>
          <w:highlight w:val="none"/>
          <w:u w:val="single"/>
          <w:lang w:val="en-US" w:eastAsia="zh-CN"/>
        </w:rPr>
        <w:t>财政资金</w:t>
      </w:r>
      <w:r>
        <w:rPr>
          <w:rFonts w:hint="eastAsia" w:asciiTheme="minorEastAsia" w:hAnsiTheme="minorEastAsia" w:eastAsiaTheme="minorEastAsia" w:cstheme="minorEastAsia"/>
          <w:color w:val="auto"/>
          <w:sz w:val="21"/>
          <w:szCs w:val="21"/>
          <w:highlight w:val="none"/>
          <w:u w:val="none"/>
          <w:lang w:val="en-US" w:eastAsia="zh-CN"/>
        </w:rPr>
        <w:t>。</w:t>
      </w:r>
    </w:p>
    <w:p w14:paraId="09D58688">
      <w:pPr>
        <w:keepNext w:val="0"/>
        <w:keepLines w:val="0"/>
        <w:pageBreakBefore w:val="0"/>
        <w:widowControl w:val="0"/>
        <w:wordWrap/>
        <w:overflowPunct/>
        <w:topLinePunct w:val="0"/>
        <w:bidi w:val="0"/>
        <w:spacing w:line="440" w:lineRule="exact"/>
        <w:ind w:firstLine="420" w:firstLineChars="200"/>
        <w:jc w:val="both"/>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2.付款方式</w:t>
      </w:r>
    </w:p>
    <w:p w14:paraId="107ECE8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14" w:firstLineChars="200"/>
        <w:jc w:val="both"/>
        <w:textAlignment w:val="baseline"/>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spacing w:val="-2"/>
          <w:kern w:val="0"/>
          <w:sz w:val="21"/>
          <w:szCs w:val="21"/>
          <w:highlight w:val="none"/>
        </w:rPr>
        <w:t>包</w:t>
      </w:r>
      <w:r>
        <w:rPr>
          <w:rFonts w:hint="eastAsia" w:asciiTheme="minorEastAsia" w:hAnsiTheme="minorEastAsia" w:eastAsiaTheme="minorEastAsia" w:cstheme="minorEastAsia"/>
          <w:b/>
          <w:bCs/>
          <w:snapToGrid w:val="0"/>
          <w:color w:val="auto"/>
          <w:spacing w:val="-25"/>
          <w:kern w:val="0"/>
          <w:sz w:val="21"/>
          <w:szCs w:val="21"/>
          <w:highlight w:val="none"/>
        </w:rPr>
        <w:t xml:space="preserve"> </w:t>
      </w:r>
      <w:r>
        <w:rPr>
          <w:rFonts w:hint="eastAsia" w:asciiTheme="minorEastAsia" w:hAnsiTheme="minorEastAsia" w:eastAsiaTheme="minorEastAsia" w:cstheme="minorEastAsia"/>
          <w:b/>
          <w:bCs/>
          <w:snapToGrid w:val="0"/>
          <w:color w:val="auto"/>
          <w:spacing w:val="-2"/>
          <w:kern w:val="0"/>
          <w:sz w:val="21"/>
          <w:szCs w:val="21"/>
          <w:highlight w:val="none"/>
        </w:rPr>
        <w:t>1：甲乙双方同意按以下方式支付合同合计金额：</w:t>
      </w:r>
    </w:p>
    <w:p w14:paraId="0F47B98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Theme="minorEastAsia" w:hAnsiTheme="minorEastAsia" w:eastAsiaTheme="minorEastAsia" w:cstheme="minorEastAsia"/>
          <w:snapToGrid w:val="0"/>
          <w:color w:val="auto"/>
          <w:spacing w:val="-1"/>
          <w:kern w:val="0"/>
          <w:sz w:val="21"/>
          <w:szCs w:val="21"/>
          <w:highlight w:val="none"/>
        </w:rPr>
      </w:pPr>
      <w:r>
        <w:rPr>
          <w:rFonts w:hint="eastAsia" w:asciiTheme="minorEastAsia" w:hAnsiTheme="minorEastAsia" w:eastAsiaTheme="minorEastAsia" w:cstheme="minorEastAsia"/>
          <w:snapToGrid w:val="0"/>
          <w:color w:val="auto"/>
          <w:spacing w:val="-1"/>
          <w:kern w:val="0"/>
          <w:sz w:val="21"/>
          <w:szCs w:val="21"/>
          <w:highlight w:val="none"/>
          <w:lang w:val="en-US" w:eastAsia="zh-CN"/>
        </w:rPr>
        <w:t>（1）</w:t>
      </w:r>
      <w:r>
        <w:rPr>
          <w:rFonts w:hint="eastAsia" w:asciiTheme="minorEastAsia" w:hAnsiTheme="minorEastAsia" w:eastAsiaTheme="minorEastAsia" w:cstheme="minorEastAsia"/>
          <w:snapToGrid w:val="0"/>
          <w:color w:val="auto"/>
          <w:spacing w:val="-1"/>
          <w:kern w:val="0"/>
          <w:sz w:val="21"/>
          <w:szCs w:val="21"/>
          <w:highlight w:val="none"/>
        </w:rPr>
        <w:t>合同签订后10个工作日内，甲方向乙方支付50%合同款；</w:t>
      </w:r>
    </w:p>
    <w:p w14:paraId="70FAF3C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Theme="minorEastAsia" w:hAnsiTheme="minorEastAsia" w:eastAsiaTheme="minorEastAsia" w:cstheme="minorEastAsia"/>
          <w:snapToGrid w:val="0"/>
          <w:color w:val="auto"/>
          <w:spacing w:val="-1"/>
          <w:kern w:val="0"/>
          <w:sz w:val="21"/>
          <w:szCs w:val="21"/>
          <w:highlight w:val="none"/>
        </w:rPr>
      </w:pPr>
      <w:r>
        <w:rPr>
          <w:rFonts w:hint="eastAsia" w:asciiTheme="minorEastAsia" w:hAnsiTheme="minorEastAsia" w:eastAsiaTheme="minorEastAsia" w:cstheme="minorEastAsia"/>
          <w:snapToGrid w:val="0"/>
          <w:color w:val="auto"/>
          <w:spacing w:val="-1"/>
          <w:kern w:val="0"/>
          <w:sz w:val="21"/>
          <w:szCs w:val="21"/>
          <w:highlight w:val="none"/>
        </w:rPr>
        <w:t>（2）乙方按照合同要求</w:t>
      </w:r>
      <w:r>
        <w:rPr>
          <w:rFonts w:hint="eastAsia" w:asciiTheme="minorEastAsia" w:hAnsiTheme="minorEastAsia" w:eastAsiaTheme="minorEastAsia" w:cstheme="minorEastAsia"/>
          <w:snapToGrid w:val="0"/>
          <w:color w:val="auto"/>
          <w:spacing w:val="-1"/>
          <w:kern w:val="0"/>
          <w:sz w:val="21"/>
          <w:szCs w:val="21"/>
          <w:highlight w:val="none"/>
          <w:lang w:val="en-US" w:eastAsia="zh-CN"/>
        </w:rPr>
        <w:t>向甲方</w:t>
      </w:r>
      <w:r>
        <w:rPr>
          <w:rFonts w:hint="eastAsia" w:asciiTheme="minorEastAsia" w:hAnsiTheme="minorEastAsia" w:eastAsiaTheme="minorEastAsia" w:cstheme="minorEastAsia"/>
          <w:snapToGrid w:val="0"/>
          <w:color w:val="auto"/>
          <w:spacing w:val="-1"/>
          <w:kern w:val="0"/>
          <w:sz w:val="21"/>
          <w:szCs w:val="21"/>
          <w:highlight w:val="none"/>
        </w:rPr>
        <w:t>提交项目地下水环境状况调查评估技术方案并经采购人确认合格后，甲方于10个工作日内支付40%合同款；</w:t>
      </w:r>
    </w:p>
    <w:p w14:paraId="7778366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Theme="minorEastAsia" w:hAnsiTheme="minorEastAsia" w:eastAsiaTheme="minorEastAsia" w:cstheme="minorEastAsia"/>
          <w:snapToGrid w:val="0"/>
          <w:color w:val="auto"/>
          <w:spacing w:val="-1"/>
          <w:kern w:val="0"/>
          <w:sz w:val="21"/>
          <w:szCs w:val="21"/>
          <w:highlight w:val="none"/>
          <w:lang w:eastAsia="zh-CN"/>
        </w:rPr>
      </w:pPr>
      <w:r>
        <w:rPr>
          <w:rFonts w:hint="eastAsia" w:asciiTheme="minorEastAsia" w:hAnsiTheme="minorEastAsia" w:eastAsiaTheme="minorEastAsia" w:cstheme="minorEastAsia"/>
          <w:snapToGrid w:val="0"/>
          <w:color w:val="auto"/>
          <w:spacing w:val="-1"/>
          <w:kern w:val="0"/>
          <w:sz w:val="21"/>
          <w:szCs w:val="21"/>
          <w:highlight w:val="none"/>
        </w:rPr>
        <w:t>（3）乙方按照合同要求提交所有服务成果并经</w:t>
      </w:r>
      <w:r>
        <w:rPr>
          <w:rFonts w:hint="eastAsia" w:asciiTheme="minorEastAsia" w:hAnsiTheme="minorEastAsia" w:eastAsiaTheme="minorEastAsia" w:cstheme="minorEastAsia"/>
          <w:snapToGrid w:val="0"/>
          <w:color w:val="auto"/>
          <w:spacing w:val="-3"/>
          <w:kern w:val="0"/>
          <w:sz w:val="21"/>
          <w:szCs w:val="21"/>
          <w:highlight w:val="none"/>
        </w:rPr>
        <w:t>甲方</w:t>
      </w:r>
      <w:r>
        <w:rPr>
          <w:rFonts w:hint="eastAsia" w:asciiTheme="minorEastAsia" w:hAnsiTheme="minorEastAsia" w:eastAsiaTheme="minorEastAsia" w:cstheme="minorEastAsia"/>
          <w:snapToGrid w:val="0"/>
          <w:color w:val="auto"/>
          <w:spacing w:val="-1"/>
          <w:kern w:val="0"/>
          <w:sz w:val="21"/>
          <w:szCs w:val="21"/>
          <w:highlight w:val="none"/>
        </w:rPr>
        <w:t>验收合格后，甲方于10个工作日内支付剩余10%合同款</w:t>
      </w:r>
      <w:r>
        <w:rPr>
          <w:rFonts w:hint="eastAsia" w:asciiTheme="minorEastAsia" w:hAnsiTheme="minorEastAsia" w:eastAsiaTheme="minorEastAsia" w:cstheme="minorEastAsia"/>
          <w:snapToGrid w:val="0"/>
          <w:color w:val="auto"/>
          <w:spacing w:val="-1"/>
          <w:kern w:val="0"/>
          <w:sz w:val="21"/>
          <w:szCs w:val="21"/>
          <w:highlight w:val="none"/>
          <w:lang w:eastAsia="zh-CN"/>
        </w:rPr>
        <w:t>。</w:t>
      </w:r>
    </w:p>
    <w:p w14:paraId="00F266D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18" w:firstLineChars="200"/>
        <w:jc w:val="both"/>
        <w:textAlignment w:val="baseline"/>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spacing w:val="-1"/>
          <w:kern w:val="0"/>
          <w:sz w:val="21"/>
          <w:szCs w:val="21"/>
          <w:highlight w:val="none"/>
        </w:rPr>
        <w:t>包</w:t>
      </w:r>
      <w:r>
        <w:rPr>
          <w:rFonts w:hint="eastAsia" w:asciiTheme="minorEastAsia" w:hAnsiTheme="minorEastAsia" w:eastAsiaTheme="minorEastAsia" w:cstheme="minorEastAsia"/>
          <w:b/>
          <w:bCs/>
          <w:snapToGrid w:val="0"/>
          <w:color w:val="auto"/>
          <w:spacing w:val="-48"/>
          <w:kern w:val="0"/>
          <w:sz w:val="21"/>
          <w:szCs w:val="21"/>
          <w:highlight w:val="none"/>
        </w:rPr>
        <w:t xml:space="preserve"> </w:t>
      </w:r>
      <w:r>
        <w:rPr>
          <w:rFonts w:hint="eastAsia" w:asciiTheme="minorEastAsia" w:hAnsiTheme="minorEastAsia" w:eastAsiaTheme="minorEastAsia" w:cstheme="minorEastAsia"/>
          <w:b/>
          <w:bCs/>
          <w:snapToGrid w:val="0"/>
          <w:color w:val="auto"/>
          <w:spacing w:val="-1"/>
          <w:kern w:val="0"/>
          <w:sz w:val="21"/>
          <w:szCs w:val="21"/>
          <w:highlight w:val="none"/>
        </w:rPr>
        <w:t>2：甲乙双方同意按以下方式支付合同合计金额：</w:t>
      </w:r>
    </w:p>
    <w:p w14:paraId="0B1FA4B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40" w:lineRule="exact"/>
        <w:ind w:firstLine="408" w:firstLineChars="200"/>
        <w:jc w:val="both"/>
        <w:textAlignment w:val="baseline"/>
        <w:rPr>
          <w:rFonts w:hint="eastAsia" w:asciiTheme="minorEastAsia" w:hAnsiTheme="minorEastAsia" w:eastAsiaTheme="minorEastAsia" w:cstheme="minorEastAsia"/>
          <w:snapToGrid w:val="0"/>
          <w:color w:val="auto"/>
          <w:spacing w:val="-3"/>
          <w:kern w:val="0"/>
          <w:sz w:val="21"/>
          <w:szCs w:val="21"/>
          <w:highlight w:val="none"/>
        </w:rPr>
      </w:pPr>
      <w:r>
        <w:rPr>
          <w:rFonts w:hint="eastAsia" w:asciiTheme="minorEastAsia" w:hAnsiTheme="minorEastAsia" w:eastAsiaTheme="minorEastAsia" w:cstheme="minorEastAsia"/>
          <w:snapToGrid w:val="0"/>
          <w:color w:val="auto"/>
          <w:spacing w:val="-3"/>
          <w:kern w:val="0"/>
          <w:sz w:val="21"/>
          <w:szCs w:val="21"/>
          <w:highlight w:val="none"/>
          <w:lang w:eastAsia="zh-CN"/>
        </w:rPr>
        <w:t>（</w:t>
      </w:r>
      <w:r>
        <w:rPr>
          <w:rFonts w:hint="eastAsia" w:asciiTheme="minorEastAsia" w:hAnsiTheme="minorEastAsia" w:eastAsiaTheme="minorEastAsia" w:cstheme="minorEastAsia"/>
          <w:snapToGrid w:val="0"/>
          <w:color w:val="auto"/>
          <w:spacing w:val="-3"/>
          <w:kern w:val="0"/>
          <w:sz w:val="21"/>
          <w:szCs w:val="21"/>
          <w:highlight w:val="none"/>
          <w:lang w:val="en-US" w:eastAsia="zh-CN"/>
        </w:rPr>
        <w:t>1）</w:t>
      </w:r>
      <w:r>
        <w:rPr>
          <w:rFonts w:hint="eastAsia" w:asciiTheme="minorEastAsia" w:hAnsiTheme="minorEastAsia" w:eastAsiaTheme="minorEastAsia" w:cstheme="minorEastAsia"/>
          <w:snapToGrid w:val="0"/>
          <w:color w:val="auto"/>
          <w:spacing w:val="-3"/>
          <w:kern w:val="0"/>
          <w:sz w:val="21"/>
          <w:szCs w:val="21"/>
          <w:highlight w:val="none"/>
        </w:rPr>
        <w:t>合同签订后10个工作日内，甲方向乙方支付50%合同款；</w:t>
      </w:r>
    </w:p>
    <w:p w14:paraId="2473AC0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Theme="minorEastAsia" w:hAnsiTheme="minorEastAsia" w:eastAsiaTheme="minorEastAsia" w:cstheme="minorEastAsia"/>
          <w:snapToGrid w:val="0"/>
          <w:color w:val="auto"/>
          <w:spacing w:val="-3"/>
          <w:kern w:val="0"/>
          <w:sz w:val="21"/>
          <w:szCs w:val="21"/>
          <w:highlight w:val="none"/>
        </w:rPr>
      </w:pPr>
      <w:r>
        <w:rPr>
          <w:rFonts w:hint="eastAsia" w:asciiTheme="minorEastAsia" w:hAnsiTheme="minorEastAsia" w:eastAsiaTheme="minorEastAsia" w:cstheme="minorEastAsia"/>
          <w:snapToGrid w:val="0"/>
          <w:color w:val="auto"/>
          <w:spacing w:val="-1"/>
          <w:kern w:val="0"/>
          <w:sz w:val="21"/>
          <w:szCs w:val="21"/>
          <w:highlight w:val="none"/>
        </w:rPr>
        <w:t>（2）乙方按照合同要求</w:t>
      </w:r>
      <w:r>
        <w:rPr>
          <w:rFonts w:hint="eastAsia" w:asciiTheme="minorEastAsia" w:hAnsiTheme="minorEastAsia" w:eastAsiaTheme="minorEastAsia" w:cstheme="minorEastAsia"/>
          <w:snapToGrid w:val="0"/>
          <w:color w:val="auto"/>
          <w:spacing w:val="-1"/>
          <w:kern w:val="0"/>
          <w:sz w:val="21"/>
          <w:szCs w:val="21"/>
          <w:highlight w:val="none"/>
          <w:lang w:val="en-US" w:eastAsia="zh-CN"/>
        </w:rPr>
        <w:t>向甲方</w:t>
      </w:r>
      <w:r>
        <w:rPr>
          <w:rFonts w:hint="eastAsia" w:asciiTheme="minorEastAsia" w:hAnsiTheme="minorEastAsia" w:eastAsiaTheme="minorEastAsia" w:cstheme="minorEastAsia"/>
          <w:snapToGrid w:val="0"/>
          <w:color w:val="auto"/>
          <w:spacing w:val="-1"/>
          <w:kern w:val="0"/>
          <w:sz w:val="21"/>
          <w:szCs w:val="21"/>
          <w:highlight w:val="none"/>
        </w:rPr>
        <w:t>提交项目水文地质调查与地球物理勘探技术方案并经采购人确认合格后，甲方于10个工作日内支付40%合同款；</w:t>
      </w:r>
    </w:p>
    <w:p w14:paraId="462020DA">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08" w:firstLineChars="200"/>
        <w:jc w:val="both"/>
        <w:textAlignment w:val="baseline"/>
        <w:rPr>
          <w:rFonts w:hint="eastAsia" w:asciiTheme="minorEastAsia" w:hAnsiTheme="minorEastAsia" w:eastAsiaTheme="minorEastAsia" w:cstheme="minorEastAsia"/>
          <w:snapToGrid w:val="0"/>
          <w:color w:val="auto"/>
          <w:spacing w:val="-3"/>
          <w:kern w:val="0"/>
          <w:sz w:val="21"/>
          <w:szCs w:val="21"/>
          <w:highlight w:val="none"/>
          <w:lang w:eastAsia="zh-CN"/>
        </w:rPr>
      </w:pPr>
      <w:r>
        <w:rPr>
          <w:rFonts w:hint="eastAsia" w:asciiTheme="minorEastAsia" w:hAnsiTheme="minorEastAsia" w:eastAsiaTheme="minorEastAsia" w:cstheme="minorEastAsia"/>
          <w:snapToGrid w:val="0"/>
          <w:color w:val="auto"/>
          <w:spacing w:val="-3"/>
          <w:kern w:val="0"/>
          <w:sz w:val="21"/>
          <w:szCs w:val="21"/>
          <w:highlight w:val="none"/>
        </w:rPr>
        <w:t>（3）乙方按照合同要求提交所有服务成果并经甲方验收合格后，甲方于10个工作日内支付剩余10%合同款</w:t>
      </w:r>
      <w:r>
        <w:rPr>
          <w:rFonts w:hint="eastAsia" w:asciiTheme="minorEastAsia" w:hAnsiTheme="minorEastAsia" w:eastAsiaTheme="minorEastAsia" w:cstheme="minorEastAsia"/>
          <w:snapToGrid w:val="0"/>
          <w:color w:val="auto"/>
          <w:spacing w:val="-3"/>
          <w:kern w:val="0"/>
          <w:sz w:val="21"/>
          <w:szCs w:val="21"/>
          <w:highlight w:val="none"/>
          <w:lang w:eastAsia="zh-CN"/>
        </w:rPr>
        <w:t>。</w:t>
      </w:r>
    </w:p>
    <w:p w14:paraId="50AFFC4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18" w:firstLineChars="200"/>
        <w:jc w:val="both"/>
        <w:textAlignment w:val="baseline"/>
        <w:rPr>
          <w:rFonts w:hint="eastAsia" w:asciiTheme="minorEastAsia" w:hAnsiTheme="minorEastAsia" w:eastAsiaTheme="minorEastAsia" w:cstheme="minorEastAsia"/>
          <w:b/>
          <w:bCs/>
          <w:snapToGrid w:val="0"/>
          <w:color w:val="auto"/>
          <w:spacing w:val="-2"/>
          <w:kern w:val="0"/>
          <w:sz w:val="21"/>
          <w:szCs w:val="21"/>
          <w:highlight w:val="none"/>
        </w:rPr>
      </w:pPr>
      <w:r>
        <w:rPr>
          <w:rFonts w:hint="eastAsia" w:asciiTheme="minorEastAsia" w:hAnsiTheme="minorEastAsia" w:eastAsiaTheme="minorEastAsia" w:cstheme="minorEastAsia"/>
          <w:b/>
          <w:bCs/>
          <w:snapToGrid w:val="0"/>
          <w:color w:val="auto"/>
          <w:spacing w:val="-1"/>
          <w:kern w:val="0"/>
          <w:sz w:val="21"/>
          <w:szCs w:val="21"/>
          <w:highlight w:val="none"/>
        </w:rPr>
        <w:t>包</w:t>
      </w:r>
      <w:r>
        <w:rPr>
          <w:rFonts w:hint="eastAsia" w:asciiTheme="minorEastAsia" w:hAnsiTheme="minorEastAsia" w:eastAsiaTheme="minorEastAsia" w:cstheme="minorEastAsia"/>
          <w:b/>
          <w:bCs/>
          <w:snapToGrid w:val="0"/>
          <w:color w:val="auto"/>
          <w:spacing w:val="-46"/>
          <w:kern w:val="0"/>
          <w:sz w:val="21"/>
          <w:szCs w:val="21"/>
          <w:highlight w:val="none"/>
        </w:rPr>
        <w:t xml:space="preserve"> </w:t>
      </w:r>
      <w:r>
        <w:rPr>
          <w:rFonts w:hint="eastAsia" w:asciiTheme="minorEastAsia" w:hAnsiTheme="minorEastAsia" w:eastAsiaTheme="minorEastAsia" w:cstheme="minorEastAsia"/>
          <w:b/>
          <w:bCs/>
          <w:snapToGrid w:val="0"/>
          <w:color w:val="auto"/>
          <w:spacing w:val="-1"/>
          <w:kern w:val="0"/>
          <w:sz w:val="21"/>
          <w:szCs w:val="21"/>
          <w:highlight w:val="none"/>
        </w:rPr>
        <w:t>3：甲乙双方同意按以下方式支付合同合计金</w:t>
      </w:r>
      <w:r>
        <w:rPr>
          <w:rFonts w:hint="eastAsia" w:asciiTheme="minorEastAsia" w:hAnsiTheme="minorEastAsia" w:eastAsiaTheme="minorEastAsia" w:cstheme="minorEastAsia"/>
          <w:b/>
          <w:bCs/>
          <w:snapToGrid w:val="0"/>
          <w:color w:val="auto"/>
          <w:spacing w:val="-2"/>
          <w:kern w:val="0"/>
          <w:sz w:val="21"/>
          <w:szCs w:val="21"/>
          <w:highlight w:val="none"/>
        </w:rPr>
        <w:t>额：</w:t>
      </w:r>
    </w:p>
    <w:p w14:paraId="07B831A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08" w:firstLineChars="200"/>
        <w:jc w:val="both"/>
        <w:textAlignment w:val="baseline"/>
        <w:rPr>
          <w:rFonts w:hint="eastAsia" w:asciiTheme="minorEastAsia" w:hAnsiTheme="minorEastAsia" w:eastAsiaTheme="minorEastAsia" w:cstheme="minorEastAsia"/>
          <w:snapToGrid w:val="0"/>
          <w:color w:val="auto"/>
          <w:spacing w:val="-3"/>
          <w:kern w:val="0"/>
          <w:sz w:val="21"/>
          <w:szCs w:val="21"/>
          <w:highlight w:val="none"/>
        </w:rPr>
      </w:pPr>
      <w:r>
        <w:rPr>
          <w:rFonts w:hint="eastAsia" w:asciiTheme="minorEastAsia" w:hAnsiTheme="minorEastAsia" w:eastAsiaTheme="minorEastAsia" w:cstheme="minorEastAsia"/>
          <w:snapToGrid w:val="0"/>
          <w:color w:val="auto"/>
          <w:spacing w:val="-3"/>
          <w:kern w:val="0"/>
          <w:sz w:val="21"/>
          <w:szCs w:val="21"/>
          <w:highlight w:val="none"/>
          <w:lang w:val="en-US" w:eastAsia="zh-CN"/>
        </w:rPr>
        <w:t>（1）</w:t>
      </w:r>
      <w:r>
        <w:rPr>
          <w:rFonts w:hint="eastAsia" w:asciiTheme="minorEastAsia" w:hAnsiTheme="minorEastAsia" w:eastAsiaTheme="minorEastAsia" w:cstheme="minorEastAsia"/>
          <w:snapToGrid w:val="0"/>
          <w:color w:val="auto"/>
          <w:spacing w:val="-3"/>
          <w:kern w:val="0"/>
          <w:sz w:val="21"/>
          <w:szCs w:val="21"/>
          <w:highlight w:val="none"/>
        </w:rPr>
        <w:t>合同签订后10个工作日内，甲方向乙方支付50%合同款；</w:t>
      </w:r>
    </w:p>
    <w:p w14:paraId="12E10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Theme="minorEastAsia" w:hAnsiTheme="minorEastAsia" w:eastAsiaTheme="minorEastAsia" w:cstheme="minorEastAsia"/>
          <w:snapToGrid w:val="0"/>
          <w:color w:val="auto"/>
          <w:spacing w:val="-1"/>
          <w:kern w:val="0"/>
          <w:sz w:val="21"/>
          <w:szCs w:val="21"/>
          <w:highlight w:val="none"/>
        </w:rPr>
      </w:pPr>
      <w:r>
        <w:rPr>
          <w:rFonts w:hint="eastAsia" w:asciiTheme="minorEastAsia" w:hAnsiTheme="minorEastAsia" w:eastAsiaTheme="minorEastAsia" w:cstheme="minorEastAsia"/>
          <w:snapToGrid w:val="0"/>
          <w:color w:val="auto"/>
          <w:spacing w:val="-1"/>
          <w:kern w:val="0"/>
          <w:sz w:val="21"/>
          <w:szCs w:val="21"/>
          <w:highlight w:val="none"/>
        </w:rPr>
        <w:t>（2）乙方按照合同要求</w:t>
      </w:r>
      <w:r>
        <w:rPr>
          <w:rFonts w:hint="eastAsia" w:asciiTheme="minorEastAsia" w:hAnsiTheme="minorEastAsia" w:eastAsiaTheme="minorEastAsia" w:cstheme="minorEastAsia"/>
          <w:snapToGrid w:val="0"/>
          <w:color w:val="auto"/>
          <w:spacing w:val="-1"/>
          <w:kern w:val="0"/>
          <w:sz w:val="21"/>
          <w:szCs w:val="21"/>
          <w:highlight w:val="none"/>
          <w:lang w:val="en-US" w:eastAsia="zh-CN"/>
        </w:rPr>
        <w:t>向甲方</w:t>
      </w:r>
      <w:r>
        <w:rPr>
          <w:rFonts w:hint="eastAsia" w:asciiTheme="minorEastAsia" w:hAnsiTheme="minorEastAsia" w:eastAsiaTheme="minorEastAsia" w:cstheme="minorEastAsia"/>
          <w:snapToGrid w:val="0"/>
          <w:color w:val="auto"/>
          <w:spacing w:val="-1"/>
          <w:kern w:val="0"/>
          <w:sz w:val="21"/>
          <w:szCs w:val="21"/>
          <w:highlight w:val="none"/>
        </w:rPr>
        <w:t>提交项目样品采集与分析测试技术方案并经采购人确认合格后，甲方于10个工作日内支付40%合同款；</w:t>
      </w:r>
    </w:p>
    <w:p w14:paraId="6406EB29">
      <w:pPr>
        <w:keepNext w:val="0"/>
        <w:keepLines w:val="0"/>
        <w:pageBreakBefore w:val="0"/>
        <w:widowControl w:val="0"/>
        <w:wordWrap/>
        <w:overflowPunct/>
        <w:topLinePunct w:val="0"/>
        <w:bidi w:val="0"/>
        <w:spacing w:line="440" w:lineRule="exact"/>
        <w:ind w:firstLine="408" w:firstLineChars="200"/>
        <w:jc w:val="both"/>
        <w:rPr>
          <w:rFonts w:hint="eastAsia" w:asciiTheme="minorEastAsia" w:hAnsiTheme="minorEastAsia" w:eastAsiaTheme="minorEastAsia" w:cstheme="minorEastAsia"/>
          <w:snapToGrid w:val="0"/>
          <w:color w:val="auto"/>
          <w:spacing w:val="-3"/>
          <w:kern w:val="0"/>
          <w:sz w:val="21"/>
          <w:szCs w:val="21"/>
          <w:highlight w:val="none"/>
          <w:lang w:val="en-US" w:eastAsia="zh-CN"/>
        </w:rPr>
      </w:pPr>
      <w:r>
        <w:rPr>
          <w:rFonts w:hint="eastAsia" w:asciiTheme="minorEastAsia" w:hAnsiTheme="minorEastAsia" w:eastAsiaTheme="minorEastAsia" w:cstheme="minorEastAsia"/>
          <w:snapToGrid w:val="0"/>
          <w:color w:val="auto"/>
          <w:spacing w:val="-3"/>
          <w:kern w:val="0"/>
          <w:sz w:val="21"/>
          <w:szCs w:val="21"/>
          <w:highlight w:val="none"/>
          <w:lang w:eastAsia="zh-CN"/>
        </w:rPr>
        <w:t>（</w:t>
      </w:r>
      <w:r>
        <w:rPr>
          <w:rFonts w:hint="eastAsia" w:asciiTheme="minorEastAsia" w:hAnsiTheme="minorEastAsia" w:eastAsiaTheme="minorEastAsia" w:cstheme="minorEastAsia"/>
          <w:snapToGrid w:val="0"/>
          <w:color w:val="auto"/>
          <w:spacing w:val="-3"/>
          <w:kern w:val="0"/>
          <w:sz w:val="21"/>
          <w:szCs w:val="21"/>
          <w:highlight w:val="none"/>
          <w:lang w:val="en-US" w:eastAsia="zh-CN"/>
        </w:rPr>
        <w:t>3）</w:t>
      </w:r>
      <w:r>
        <w:rPr>
          <w:rFonts w:hint="eastAsia" w:asciiTheme="minorEastAsia" w:hAnsiTheme="minorEastAsia" w:eastAsiaTheme="minorEastAsia" w:cstheme="minorEastAsia"/>
          <w:snapToGrid w:val="0"/>
          <w:color w:val="auto"/>
          <w:spacing w:val="-3"/>
          <w:kern w:val="0"/>
          <w:sz w:val="21"/>
          <w:szCs w:val="21"/>
          <w:highlight w:val="none"/>
        </w:rPr>
        <w:t>中标人按照合同要求提交所有服务成果并经采购人验收合格后，采购人于10个工作日内支付剩余10%合同款</w:t>
      </w:r>
      <w:r>
        <w:rPr>
          <w:rFonts w:hint="eastAsia" w:asciiTheme="minorEastAsia" w:hAnsiTheme="minorEastAsia" w:eastAsiaTheme="minorEastAsia" w:cstheme="minorEastAsia"/>
          <w:snapToGrid w:val="0"/>
          <w:color w:val="auto"/>
          <w:spacing w:val="-3"/>
          <w:kern w:val="0"/>
          <w:sz w:val="21"/>
          <w:szCs w:val="21"/>
          <w:highlight w:val="none"/>
          <w:lang w:eastAsia="zh-CN"/>
        </w:rPr>
        <w:t>。</w:t>
      </w:r>
    </w:p>
    <w:p w14:paraId="7B708DE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甲方在支付每笔款项前，乙方应当提供可供政府审计并且符合税务规定的正式发票，否则甲方有权拒付相应款项直至乙方能提供符合规定的发票为止。</w:t>
      </w:r>
    </w:p>
    <w:p w14:paraId="0CA36FCD">
      <w:pPr>
        <w:keepNext w:val="0"/>
        <w:keepLines w:val="0"/>
        <w:pageBreakBefore w:val="0"/>
        <w:widowControl w:val="0"/>
        <w:wordWrap/>
        <w:overflowPunct/>
        <w:topLinePunct w:val="0"/>
        <w:bidi w:val="0"/>
        <w:spacing w:line="440" w:lineRule="exact"/>
        <w:ind w:firstLine="420" w:firstLineChars="200"/>
        <w:jc w:val="both"/>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3.乙方指定以下账户为接受本合同价款的账户，并对其指定的下列账户信息真实性、安全性、准确性负责。</w:t>
      </w:r>
    </w:p>
    <w:p w14:paraId="159ACF94">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账户名称：</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60CE18A1">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开户银行：</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10C12AD0">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银行账号：</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764585C1">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联系人：</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0E8A6016">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联系电话：</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69E1DE1D">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如乙方上述账户信息发生变更，乙方应提前向甲方发送书面通知，未能提前书面通知而产生的不利后果由乙方自行承担。</w:t>
      </w:r>
    </w:p>
    <w:p w14:paraId="23B9CCC1">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4.甲方在支付每笔款项前，乙方应当提供可供政府审计并且符合税务规定的正式发票，否则甲方有权拒付相应款项直至乙方能提供符合规定的发票为止。</w:t>
      </w:r>
    </w:p>
    <w:p w14:paraId="05F83B84">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第七条　履约保证金</w:t>
      </w:r>
    </w:p>
    <w:p w14:paraId="5CBCB0B9">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1.乙方提供的履约保证金金额为：</w:t>
      </w:r>
      <w:r>
        <w:rPr>
          <w:rFonts w:hint="eastAsia" w:asciiTheme="minorEastAsia" w:hAnsiTheme="minorEastAsia" w:eastAsiaTheme="minorEastAsia" w:cstheme="minorEastAsia"/>
          <w:bCs/>
          <w:color w:val="auto"/>
          <w:sz w:val="21"/>
          <w:szCs w:val="21"/>
          <w:highlight w:val="none"/>
          <w:u w:val="none"/>
        </w:rPr>
        <w:t>履约保证金</w:t>
      </w:r>
      <w:r>
        <w:rPr>
          <w:rFonts w:hint="eastAsia" w:asciiTheme="minorEastAsia" w:hAnsiTheme="minorEastAsia" w:eastAsiaTheme="minorEastAsia" w:cstheme="minorEastAsia"/>
          <w:bCs/>
          <w:color w:val="auto"/>
          <w:sz w:val="21"/>
          <w:szCs w:val="21"/>
          <w:highlight w:val="none"/>
          <w:u w:val="none"/>
          <w:lang w:eastAsia="zh-CN"/>
        </w:rPr>
        <w:t>金额为</w:t>
      </w:r>
      <w:r>
        <w:rPr>
          <w:rFonts w:hint="eastAsia" w:asciiTheme="minorEastAsia" w:hAnsiTheme="minorEastAsia" w:eastAsiaTheme="minorEastAsia" w:cstheme="minorEastAsia"/>
          <w:snapToGrid/>
          <w:color w:val="auto"/>
          <w:sz w:val="21"/>
          <w:szCs w:val="21"/>
          <w:highlight w:val="none"/>
          <w:u w:val="none"/>
        </w:rPr>
        <w:t>本项目成交</w:t>
      </w:r>
      <w:r>
        <w:rPr>
          <w:rFonts w:hint="eastAsia" w:asciiTheme="minorEastAsia" w:hAnsiTheme="minorEastAsia" w:eastAsiaTheme="minorEastAsia" w:cstheme="minorEastAsia"/>
          <w:snapToGrid/>
          <w:color w:val="auto"/>
          <w:sz w:val="21"/>
          <w:szCs w:val="21"/>
          <w:highlight w:val="none"/>
          <w:u w:val="none"/>
          <w:lang w:val="en-US" w:eastAsia="zh-CN"/>
        </w:rPr>
        <w:t>总</w:t>
      </w:r>
      <w:r>
        <w:rPr>
          <w:rFonts w:hint="eastAsia" w:asciiTheme="minorEastAsia" w:hAnsiTheme="minorEastAsia" w:eastAsiaTheme="minorEastAsia" w:cstheme="minorEastAsia"/>
          <w:snapToGrid/>
          <w:color w:val="auto"/>
          <w:sz w:val="21"/>
          <w:szCs w:val="21"/>
          <w:highlight w:val="none"/>
          <w:u w:val="none"/>
        </w:rPr>
        <w:t>金额5%</w:t>
      </w:r>
      <w:r>
        <w:rPr>
          <w:rFonts w:hint="eastAsia" w:asciiTheme="minorEastAsia" w:hAnsiTheme="minorEastAsia" w:eastAsiaTheme="minorEastAsia" w:cstheme="minorEastAsia"/>
          <w:snapToGrid/>
          <w:color w:val="auto"/>
          <w:sz w:val="21"/>
          <w:szCs w:val="21"/>
          <w:highlight w:val="none"/>
          <w:u w:val="none"/>
          <w:lang w:eastAsia="zh-CN"/>
        </w:rPr>
        <w:t>（中小企业缴纳成交总金额</w:t>
      </w:r>
      <w:r>
        <w:rPr>
          <w:rFonts w:hint="eastAsia" w:asciiTheme="minorEastAsia" w:hAnsiTheme="minorEastAsia" w:eastAsiaTheme="minorEastAsia" w:cstheme="minorEastAsia"/>
          <w:snapToGrid/>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lang w:val="en-US" w:eastAsia="zh-CN"/>
        </w:rPr>
        <w:t>。</w:t>
      </w:r>
    </w:p>
    <w:p w14:paraId="0FCA1F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2.履约保证金递交方式：支票、汇票、本票或者金融、担保机构出具的保函等非现金方式。</w:t>
      </w:r>
    </w:p>
    <w:p w14:paraId="50D5C84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履约保证金退付方式、时间及条件：由乙方向甲方提供《广西壮族自治区政府采购项目合同验收书》及《政府采购项目履约保证金退付意见书》，甲方在收到合格材料后五个工作日内办理退还手续（不计利息）。</w:t>
      </w:r>
    </w:p>
    <w:p w14:paraId="6AE297E0">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第八条　税费</w:t>
      </w:r>
    </w:p>
    <w:p w14:paraId="221A5F5C">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合同执行中相关的一切税费均由乙方负担。</w:t>
      </w:r>
    </w:p>
    <w:p w14:paraId="0B48F264">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第九条　违约责任</w:t>
      </w:r>
    </w:p>
    <w:p w14:paraId="38F776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除不可抵抗力等原因外，乙方没有按照合同、招标文件、投标文件规定的时间或期限提供服务的，每逾期一日，应按合同合计金额的3‰向甲方支付逾期提供服务的违约金；逾期超过十日的，甲方有权单方解除合同，并要求乙方退还已收取的款项，同时乙方应按照合同合计金额的10%向甲方支付违约金并承担因此给甲方造成的经济损失。</w:t>
      </w:r>
    </w:p>
    <w:p w14:paraId="6AE50A9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63B70D1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14:paraId="2C2018C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4.乙方因履行合同所发生的其他违约行为，每违约一次，应按合同合计金额的5%向甲方支付违约金，并赔偿甲方因此所造成全部损失。</w:t>
      </w:r>
    </w:p>
    <w:p w14:paraId="6BC02F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5.乙方支付的违约金不足以弥补甲方损失的，应承担赔偿责任，甲方有权继续向乙方追偿。乙方应支付给甲方的任何款项，甲方有权从任何应支付未支付给乙方的款项中直接抵扣。</w:t>
      </w:r>
    </w:p>
    <w:p w14:paraId="466B692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6.本合同所称的甲方经济损失或者甲方损失，包括甲方遭受的全部直接经济损失及为此支出的合理费用（包括但不限于为此支出的调查费、诉讼费、保全费、律师费、差旅费等）。</w:t>
      </w:r>
    </w:p>
    <w:p w14:paraId="2FC8AF4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7.甲方延期付款的，每天向乙方偿付延期款额3‰的违约金，但违约金累计不得超过延期款额的5%。</w:t>
      </w:r>
    </w:p>
    <w:p w14:paraId="4BE59876">
      <w:pPr>
        <w:pStyle w:val="15"/>
        <w:keepNext w:val="0"/>
        <w:keepLines w:val="0"/>
        <w:pageBreakBefore w:val="0"/>
        <w:kinsoku/>
        <w:wordWrap/>
        <w:overflowPunct/>
        <w:topLinePunct w:val="0"/>
        <w:autoSpaceDE/>
        <w:autoSpaceDN/>
        <w:bidi w:val="0"/>
        <w:snapToGrid/>
        <w:spacing w:afterLines="0" w:line="440" w:lineRule="exact"/>
        <w:jc w:val="both"/>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color w:val="auto"/>
          <w:kern w:val="2"/>
          <w:sz w:val="21"/>
          <w:szCs w:val="21"/>
          <w:highlight w:val="none"/>
          <w:u w:val="none"/>
          <w:lang w:val="en-US" w:eastAsia="zh-CN" w:bidi="ar-SA"/>
        </w:rPr>
        <w:t>8.由于甲方的原因造成合同不能如期履行的，双方可根据具体情况顺延合同的履行期，对乙方因此遭受的损失，甲方应予以补偿。</w:t>
      </w:r>
    </w:p>
    <w:p w14:paraId="13508606">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第十条　知识产权归属</w:t>
      </w:r>
    </w:p>
    <w:p w14:paraId="6F491347">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乙方保证，甲乙双方在本合同执行中形成的任何成果或知识产权的所有权，归甲方所有，而且乙方应当完成甲方知识产权所有权确认所必需的全部行为、证书和文件等，并提供相应的支持和协助。</w:t>
      </w:r>
    </w:p>
    <w:p w14:paraId="49232F98">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第十一条　保密条款</w:t>
      </w:r>
    </w:p>
    <w:p w14:paraId="09CCAAA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1.甲乙双方都负有保守对方的单位机密或商业秘密的义务，保密范围包括但不限于技术情报、数据资料及其他公开后对对方造成影响或损失的秘密。</w:t>
      </w:r>
    </w:p>
    <w:p w14:paraId="485F9AB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2.任何一方违反保密条款，给对方造成损失，应按对方的实际损失承担赔偿责任。</w:t>
      </w:r>
    </w:p>
    <w:p w14:paraId="3ACFB712">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3.本条款不因合同的变更、解除和终止而失效。</w:t>
      </w:r>
    </w:p>
    <w:p w14:paraId="4D7954FF">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第十二条　不可抗力事件处理</w:t>
      </w:r>
    </w:p>
    <w:p w14:paraId="3857B002">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1.在合同有效期内，任何一方因不可抗力事件导致不能履行合同，则合同履行期可延长，其延长期与不可抗力影响期相同。</w:t>
      </w:r>
    </w:p>
    <w:p w14:paraId="78E30F13">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2.不可抗力事件发生后，应立即通知对方，并寄送有关权威机构出具的证明。</w:t>
      </w:r>
    </w:p>
    <w:p w14:paraId="1D33BE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3.不可抗力事件延续一百二十天以上，双方应通过友好协商，确定是否继续履行合同。</w:t>
      </w:r>
    </w:p>
    <w:p w14:paraId="2FE55A4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4.合同履行过程中，因接受政府行政指令而无法履行的，接受政府行政指令的一方可以免除责任。</w:t>
      </w:r>
    </w:p>
    <w:p w14:paraId="394F16E8">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第十三条　合同争议解决</w:t>
      </w:r>
    </w:p>
    <w:p w14:paraId="43043D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1.因服务质量问题发生争议的，甲方应提交具有相应资质的机构进行鉴定。服务符合标准的，鉴定费由甲方承担；服务不符合标准的，鉴定费由乙方承担。</w:t>
      </w:r>
    </w:p>
    <w:p w14:paraId="58C9240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2.因履行本合同引起的或者与本合同有关的争议，甲乙双方应首先通过友好协商解决，如果协商不能解决，可向甲方所在地有管辖权人民法院提起诉讼。</w:t>
      </w:r>
    </w:p>
    <w:p w14:paraId="422881C3">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第十四条　合同生效及其他</w:t>
      </w:r>
    </w:p>
    <w:p w14:paraId="23037EF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1.合同经甲乙双方法定代表人或者授权代表签字并加盖单位公章后生效。</w:t>
      </w:r>
    </w:p>
    <w:p w14:paraId="047C7A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2.合同执行中涉及采购资金和采购内容修改或者补充的，须经政府采购监管部门审批，并签书面补充协议报政府采购监管部门备案，方可作为主合同不可分割的一部分。</w:t>
      </w:r>
    </w:p>
    <w:p w14:paraId="65CFEF0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3.合同未尽事宜，遵照《中华人民共和国民法典》等相关法律、法规规定有关条文执行。</w:t>
      </w:r>
    </w:p>
    <w:p w14:paraId="12AC770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第十五条　合同的变更、终止与转让</w:t>
      </w:r>
    </w:p>
    <w:p w14:paraId="52A3BD7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1.除《中华人民共和国政府采购法》第五十条规定的情形外，本合同一经签订，甲乙双方不得擅自变更、中止或者终止。</w:t>
      </w:r>
    </w:p>
    <w:p w14:paraId="1234C7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2.未经甲方书面同意，乙方不得擅自转让其应履行的合同义务。</w:t>
      </w:r>
    </w:p>
    <w:p w14:paraId="04BF0781">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第十六条　本合同与下列文件一起构成合同文件</w:t>
      </w:r>
    </w:p>
    <w:p w14:paraId="01C7235D">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1.中标通知书；</w:t>
      </w:r>
    </w:p>
    <w:p w14:paraId="37A27FD3">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2.开标一览表；</w:t>
      </w:r>
    </w:p>
    <w:p w14:paraId="676A1DD4">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3.采购需求；</w:t>
      </w:r>
    </w:p>
    <w:p w14:paraId="624416FE">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4.投标函；</w:t>
      </w:r>
    </w:p>
    <w:p w14:paraId="634EDB60">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5.商务条款偏离表和服务需求偏离表；</w:t>
      </w:r>
    </w:p>
    <w:p w14:paraId="4D363124">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6.服务方案；</w:t>
      </w:r>
    </w:p>
    <w:p w14:paraId="4FFA58A3">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7.投标文件中的其他相关文件。</w:t>
      </w:r>
    </w:p>
    <w:p w14:paraId="20EA2D30">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上述合同文件互相补充和解释。如果合同文件之间存在矛盾或者不一致之处，以本合同、上述文件的排列顺序在先者为准。</w:t>
      </w:r>
    </w:p>
    <w:p w14:paraId="6D4E276D">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第十七条　其他约定事项</w:t>
      </w:r>
    </w:p>
    <w:p w14:paraId="2C20356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1.本合同所有附件及相关文件均为本合同的有效组成部分，与本合同具有同等法律效力。若合同附件与本合同存在不一致的，则以本合同为准。</w:t>
      </w:r>
    </w:p>
    <w:p w14:paraId="458E57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2.在履行本合同过程中，所有经甲乙双方签署确认的文件（包括会议纪要、补充协议、往来信函、电子邮件等）即成为本合同的有效组成部分。</w:t>
      </w:r>
    </w:p>
    <w:p w14:paraId="74A00880">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3.甲乙双方确认，以下为各方真实有效通讯地址：</w:t>
      </w:r>
    </w:p>
    <w:p w14:paraId="361AFF99">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甲方：</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，地址：</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7B6BEB8B">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收件人：</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，联系电话：</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25FE348C">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电子邮箱：</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329CB0D0">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乙方：</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，地址：</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07BAFBBC">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收件人：</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，联系电话：</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73116B43">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电子邮箱：</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w:t>
      </w:r>
    </w:p>
    <w:p w14:paraId="4F1983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4B32544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4.本合同一式</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份，具有同等法律效力，采购代理机构</w:t>
      </w:r>
      <w:r>
        <w:rPr>
          <w:rFonts w:hint="eastAsia" w:ascii="宋体" w:hAnsi="宋体" w:eastAsia="宋体" w:cs="宋体"/>
          <w:color w:val="auto"/>
          <w:szCs w:val="21"/>
          <w:highlight w:val="none"/>
        </w:rPr>
        <w:t>壹</w:t>
      </w:r>
      <w:r>
        <w:rPr>
          <w:rFonts w:hint="eastAsia" w:asciiTheme="minorEastAsia" w:hAnsiTheme="minorEastAsia" w:eastAsiaTheme="minorEastAsia" w:cstheme="minorEastAsia"/>
          <w:color w:val="auto"/>
          <w:sz w:val="21"/>
          <w:szCs w:val="21"/>
          <w:highlight w:val="none"/>
          <w:u w:val="none"/>
          <w:lang w:val="en-US" w:eastAsia="zh-CN"/>
        </w:rPr>
        <w:t>份，甲乙双方各</w:t>
      </w:r>
      <w:r>
        <w:rPr>
          <w:rFonts w:hint="eastAsia" w:asciiTheme="minorEastAsia" w:hAnsiTheme="minorEastAsia" w:eastAsiaTheme="minorEastAsia" w:cstheme="minorEastAsia"/>
          <w:color w:val="auto"/>
          <w:sz w:val="21"/>
          <w:szCs w:val="21"/>
          <w:highlight w:val="none"/>
          <w:u w:val="single"/>
          <w:lang w:val="en-US" w:eastAsia="zh-CN"/>
        </w:rPr>
        <w:t>　　</w:t>
      </w:r>
      <w:r>
        <w:rPr>
          <w:rFonts w:hint="eastAsia" w:asciiTheme="minorEastAsia" w:hAnsiTheme="minorEastAsia" w:eastAsiaTheme="minorEastAsia" w:cstheme="minorEastAsia"/>
          <w:color w:val="auto"/>
          <w:sz w:val="21"/>
          <w:szCs w:val="21"/>
          <w:highlight w:val="none"/>
          <w:u w:val="none"/>
          <w:lang w:val="en-US" w:eastAsia="zh-CN"/>
        </w:rPr>
        <w:t>份。</w:t>
      </w:r>
    </w:p>
    <w:p w14:paraId="55194471">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本条款不因合同的变更、解除和终止而失效。</w:t>
      </w:r>
    </w:p>
    <w:p w14:paraId="4C5F3C67">
      <w:pPr>
        <w:keepNext w:val="0"/>
        <w:keepLines w:val="0"/>
        <w:pageBreakBefore w:val="0"/>
        <w:wordWrap/>
        <w:overflowPunct/>
        <w:topLinePunct w:val="0"/>
        <w:bidi w:val="0"/>
        <w:spacing w:line="440" w:lineRule="exact"/>
        <w:ind w:firstLine="422" w:firstLineChars="200"/>
        <w:jc w:val="left"/>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第十八条　合同附件</w:t>
      </w:r>
    </w:p>
    <w:p w14:paraId="4EAC2146">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附件一：</w:t>
      </w:r>
      <w:r>
        <w:rPr>
          <w:rFonts w:hint="eastAsia" w:asciiTheme="minorEastAsia" w:hAnsiTheme="minorEastAsia" w:eastAsiaTheme="minorEastAsia" w:cstheme="minorEastAsia"/>
          <w:color w:val="auto"/>
          <w:sz w:val="21"/>
          <w:szCs w:val="21"/>
          <w:highlight w:val="none"/>
        </w:rPr>
        <w:t>……</w:t>
      </w:r>
    </w:p>
    <w:p w14:paraId="42686731">
      <w:pPr>
        <w:keepNext w:val="0"/>
        <w:keepLines w:val="0"/>
        <w:pageBreakBefore w:val="0"/>
        <w:wordWrap/>
        <w:overflowPunct/>
        <w:topLinePunct w:val="0"/>
        <w:bidi w:val="0"/>
        <w:spacing w:line="44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val="en-US" w:eastAsia="zh-CN"/>
        </w:rPr>
        <w:t>附件二：</w:t>
      </w:r>
      <w:r>
        <w:rPr>
          <w:rFonts w:hint="eastAsia" w:asciiTheme="minorEastAsia" w:hAnsiTheme="minorEastAsia" w:eastAsiaTheme="minorEastAsia" w:cstheme="minorEastAsia"/>
          <w:color w:val="auto"/>
          <w:sz w:val="21"/>
          <w:szCs w:val="21"/>
          <w:highlight w:val="none"/>
        </w:rPr>
        <w:t>……</w:t>
      </w:r>
    </w:p>
    <w:p w14:paraId="611EF4F5">
      <w:pPr>
        <w:keepNext w:val="0"/>
        <w:keepLines w:val="0"/>
        <w:pageBreakBefore w:val="0"/>
        <w:wordWrap/>
        <w:overflowPunct/>
        <w:topLinePunct w:val="0"/>
        <w:bidi w:val="0"/>
        <w:spacing w:line="440" w:lineRule="exact"/>
        <w:rPr>
          <w:color w:val="auto"/>
          <w:highlight w:val="none"/>
        </w:rPr>
      </w:pPr>
    </w:p>
    <w:p w14:paraId="25C43AE3">
      <w:pPr>
        <w:pStyle w:val="2"/>
        <w:keepNext w:val="0"/>
        <w:keepLines w:val="0"/>
        <w:pageBreakBefore w:val="0"/>
        <w:wordWrap/>
        <w:overflowPunct/>
        <w:topLinePunct w:val="0"/>
        <w:bidi w:val="0"/>
        <w:spacing w:line="440" w:lineRule="exact"/>
        <w:rPr>
          <w:color w:val="auto"/>
          <w:highlight w:val="none"/>
        </w:rPr>
      </w:pPr>
    </w:p>
    <w:p w14:paraId="7E5826E8">
      <w:pPr>
        <w:keepNext w:val="0"/>
        <w:keepLines w:val="0"/>
        <w:pageBreakBefore w:val="0"/>
        <w:wordWrap/>
        <w:overflowPunct/>
        <w:topLinePunct w:val="0"/>
        <w:bidi w:val="0"/>
        <w:spacing w:line="440" w:lineRule="exact"/>
        <w:rPr>
          <w:color w:val="auto"/>
          <w:highlight w:val="none"/>
        </w:rPr>
      </w:pPr>
    </w:p>
    <w:p w14:paraId="188E18C1">
      <w:pPr>
        <w:pStyle w:val="2"/>
        <w:keepNext w:val="0"/>
        <w:keepLines w:val="0"/>
        <w:pageBreakBefore w:val="0"/>
        <w:wordWrap/>
        <w:overflowPunct/>
        <w:topLinePunct w:val="0"/>
        <w:bidi w:val="0"/>
        <w:spacing w:line="440" w:lineRule="exact"/>
        <w:rPr>
          <w:color w:val="auto"/>
          <w:highlight w:val="none"/>
        </w:rPr>
      </w:pPr>
    </w:p>
    <w:p w14:paraId="71013F27">
      <w:pPr>
        <w:keepNext w:val="0"/>
        <w:keepLines w:val="0"/>
        <w:pageBreakBefore w:val="0"/>
        <w:wordWrap/>
        <w:overflowPunct/>
        <w:topLinePunct w:val="0"/>
        <w:bidi w:val="0"/>
        <w:spacing w:line="440" w:lineRule="exact"/>
        <w:rPr>
          <w:color w:val="auto"/>
          <w:highlight w:val="none"/>
        </w:rPr>
      </w:pPr>
    </w:p>
    <w:tbl>
      <w:tblPr>
        <w:tblStyle w:val="12"/>
        <w:tblW w:w="9223"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1"/>
        <w:gridCol w:w="4072"/>
      </w:tblGrid>
      <w:tr w14:paraId="05763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151" w:type="dxa"/>
            <w:vAlign w:val="top"/>
          </w:tcPr>
          <w:p w14:paraId="00269B0D">
            <w:pPr>
              <w:keepNext w:val="0"/>
              <w:keepLines w:val="0"/>
              <w:pageBreakBefore w:val="0"/>
              <w:wordWrap/>
              <w:overflowPunct/>
              <w:topLinePunct w:val="0"/>
              <w:bidi w:val="0"/>
              <w:spacing w:line="440" w:lineRule="exact"/>
              <w:rPr>
                <w:rFonts w:ascii="Arial"/>
                <w:color w:val="auto"/>
                <w:sz w:val="21"/>
                <w:szCs w:val="21"/>
                <w:highlight w:val="none"/>
              </w:rPr>
            </w:pPr>
            <w:bookmarkStart w:id="23" w:name="OLE_LINK13"/>
          </w:p>
          <w:p w14:paraId="421550E7">
            <w:pPr>
              <w:pStyle w:val="13"/>
              <w:keepNext w:val="0"/>
              <w:keepLines w:val="0"/>
              <w:pageBreakBefore w:val="0"/>
              <w:wordWrap/>
              <w:overflowPunct/>
              <w:topLinePunct w:val="0"/>
              <w:bidi w:val="0"/>
              <w:spacing w:line="440" w:lineRule="exact"/>
              <w:ind w:left="147"/>
              <w:rPr>
                <w:color w:val="auto"/>
                <w:sz w:val="21"/>
                <w:szCs w:val="21"/>
                <w:highlight w:val="none"/>
              </w:rPr>
            </w:pPr>
            <w:r>
              <w:rPr>
                <w:color w:val="auto"/>
                <w:spacing w:val="-3"/>
                <w:sz w:val="21"/>
                <w:szCs w:val="21"/>
                <w:highlight w:val="none"/>
              </w:rPr>
              <w:t>甲方：广西壮族自治区生态环境厅</w:t>
            </w:r>
          </w:p>
        </w:tc>
        <w:tc>
          <w:tcPr>
            <w:tcW w:w="4072" w:type="dxa"/>
            <w:vAlign w:val="top"/>
          </w:tcPr>
          <w:p w14:paraId="270D3C6C">
            <w:pPr>
              <w:keepNext w:val="0"/>
              <w:keepLines w:val="0"/>
              <w:pageBreakBefore w:val="0"/>
              <w:wordWrap/>
              <w:overflowPunct/>
              <w:topLinePunct w:val="0"/>
              <w:bidi w:val="0"/>
              <w:spacing w:line="440" w:lineRule="exact"/>
              <w:rPr>
                <w:rFonts w:ascii="Arial"/>
                <w:color w:val="auto"/>
                <w:sz w:val="21"/>
                <w:szCs w:val="21"/>
                <w:highlight w:val="none"/>
              </w:rPr>
            </w:pPr>
          </w:p>
          <w:p w14:paraId="49E652B8">
            <w:pPr>
              <w:pStyle w:val="13"/>
              <w:keepNext w:val="0"/>
              <w:keepLines w:val="0"/>
              <w:pageBreakBefore w:val="0"/>
              <w:wordWrap/>
              <w:overflowPunct/>
              <w:topLinePunct w:val="0"/>
              <w:bidi w:val="0"/>
              <w:spacing w:line="440" w:lineRule="exact"/>
              <w:ind w:left="139"/>
              <w:rPr>
                <w:color w:val="auto"/>
                <w:sz w:val="21"/>
                <w:szCs w:val="21"/>
                <w:highlight w:val="none"/>
              </w:rPr>
            </w:pPr>
            <w:r>
              <w:rPr>
                <w:color w:val="auto"/>
                <w:spacing w:val="-11"/>
                <w:sz w:val="21"/>
                <w:szCs w:val="21"/>
                <w:highlight w:val="none"/>
              </w:rPr>
              <w:t>乙方：</w:t>
            </w:r>
          </w:p>
        </w:tc>
      </w:tr>
      <w:tr w14:paraId="3EEB5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151" w:type="dxa"/>
            <w:vAlign w:val="top"/>
          </w:tcPr>
          <w:p w14:paraId="2B119890">
            <w:pPr>
              <w:keepNext w:val="0"/>
              <w:keepLines w:val="0"/>
              <w:pageBreakBefore w:val="0"/>
              <w:wordWrap/>
              <w:overflowPunct/>
              <w:topLinePunct w:val="0"/>
              <w:bidi w:val="0"/>
              <w:spacing w:line="440" w:lineRule="exact"/>
              <w:rPr>
                <w:rFonts w:ascii="Arial"/>
                <w:color w:val="auto"/>
                <w:sz w:val="21"/>
                <w:szCs w:val="21"/>
                <w:highlight w:val="none"/>
              </w:rPr>
            </w:pPr>
          </w:p>
          <w:p w14:paraId="5766DA49">
            <w:pPr>
              <w:pStyle w:val="13"/>
              <w:keepNext w:val="0"/>
              <w:keepLines w:val="0"/>
              <w:pageBreakBefore w:val="0"/>
              <w:wordWrap/>
              <w:overflowPunct/>
              <w:topLinePunct w:val="0"/>
              <w:bidi w:val="0"/>
              <w:spacing w:line="440" w:lineRule="exact"/>
              <w:ind w:left="117"/>
              <w:rPr>
                <w:color w:val="auto"/>
                <w:sz w:val="21"/>
                <w:szCs w:val="21"/>
                <w:highlight w:val="none"/>
              </w:rPr>
            </w:pPr>
            <w:r>
              <w:rPr>
                <w:color w:val="auto"/>
                <w:spacing w:val="-2"/>
                <w:sz w:val="21"/>
                <w:szCs w:val="21"/>
                <w:highlight w:val="none"/>
              </w:rPr>
              <w:t>法定代表人（负责人</w:t>
            </w:r>
            <w:r>
              <w:rPr>
                <w:color w:val="auto"/>
                <w:spacing w:val="3"/>
                <w:sz w:val="21"/>
                <w:szCs w:val="21"/>
                <w:highlight w:val="none"/>
              </w:rPr>
              <w:t>）：</w:t>
            </w:r>
          </w:p>
        </w:tc>
        <w:tc>
          <w:tcPr>
            <w:tcW w:w="4072" w:type="dxa"/>
            <w:vAlign w:val="top"/>
          </w:tcPr>
          <w:p w14:paraId="24504845">
            <w:pPr>
              <w:keepNext w:val="0"/>
              <w:keepLines w:val="0"/>
              <w:pageBreakBefore w:val="0"/>
              <w:wordWrap/>
              <w:overflowPunct/>
              <w:topLinePunct w:val="0"/>
              <w:bidi w:val="0"/>
              <w:spacing w:line="440" w:lineRule="exact"/>
              <w:rPr>
                <w:rFonts w:ascii="Arial"/>
                <w:color w:val="auto"/>
                <w:sz w:val="21"/>
                <w:szCs w:val="21"/>
                <w:highlight w:val="none"/>
              </w:rPr>
            </w:pPr>
          </w:p>
          <w:p w14:paraId="077C4F50">
            <w:pPr>
              <w:pStyle w:val="13"/>
              <w:keepNext w:val="0"/>
              <w:keepLines w:val="0"/>
              <w:pageBreakBefore w:val="0"/>
              <w:wordWrap/>
              <w:overflowPunct/>
              <w:topLinePunct w:val="0"/>
              <w:bidi w:val="0"/>
              <w:spacing w:line="440" w:lineRule="exact"/>
              <w:ind w:left="116"/>
              <w:rPr>
                <w:color w:val="auto"/>
                <w:sz w:val="21"/>
                <w:szCs w:val="21"/>
                <w:highlight w:val="none"/>
              </w:rPr>
            </w:pPr>
            <w:r>
              <w:rPr>
                <w:color w:val="auto"/>
                <w:spacing w:val="-2"/>
                <w:sz w:val="21"/>
                <w:szCs w:val="21"/>
                <w:highlight w:val="none"/>
              </w:rPr>
              <w:t>法定代表人（负责人</w:t>
            </w:r>
            <w:r>
              <w:rPr>
                <w:color w:val="auto"/>
                <w:spacing w:val="3"/>
                <w:sz w:val="21"/>
                <w:szCs w:val="21"/>
                <w:highlight w:val="none"/>
              </w:rPr>
              <w:t>）：</w:t>
            </w:r>
          </w:p>
        </w:tc>
      </w:tr>
      <w:tr w14:paraId="3F332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151" w:type="dxa"/>
            <w:vAlign w:val="top"/>
          </w:tcPr>
          <w:p w14:paraId="50AD7B79">
            <w:pPr>
              <w:keepNext w:val="0"/>
              <w:keepLines w:val="0"/>
              <w:pageBreakBefore w:val="0"/>
              <w:wordWrap/>
              <w:overflowPunct/>
              <w:topLinePunct w:val="0"/>
              <w:bidi w:val="0"/>
              <w:spacing w:line="440" w:lineRule="exact"/>
              <w:rPr>
                <w:rFonts w:ascii="Arial"/>
                <w:color w:val="auto"/>
                <w:sz w:val="21"/>
                <w:szCs w:val="21"/>
                <w:highlight w:val="none"/>
              </w:rPr>
            </w:pPr>
          </w:p>
          <w:p w14:paraId="22ABB6E7">
            <w:pPr>
              <w:pStyle w:val="13"/>
              <w:keepNext w:val="0"/>
              <w:keepLines w:val="0"/>
              <w:pageBreakBefore w:val="0"/>
              <w:wordWrap/>
              <w:overflowPunct/>
              <w:topLinePunct w:val="0"/>
              <w:bidi w:val="0"/>
              <w:spacing w:line="440" w:lineRule="exact"/>
              <w:ind w:left="115"/>
              <w:rPr>
                <w:color w:val="auto"/>
                <w:sz w:val="21"/>
                <w:szCs w:val="21"/>
                <w:highlight w:val="none"/>
              </w:rPr>
            </w:pPr>
            <w:r>
              <w:rPr>
                <w:color w:val="auto"/>
                <w:spacing w:val="-2"/>
                <w:sz w:val="21"/>
                <w:szCs w:val="21"/>
                <w:highlight w:val="none"/>
              </w:rPr>
              <w:t>授权代表：</w:t>
            </w:r>
          </w:p>
        </w:tc>
        <w:tc>
          <w:tcPr>
            <w:tcW w:w="4072" w:type="dxa"/>
            <w:vAlign w:val="top"/>
          </w:tcPr>
          <w:p w14:paraId="42BB094D">
            <w:pPr>
              <w:keepNext w:val="0"/>
              <w:keepLines w:val="0"/>
              <w:pageBreakBefore w:val="0"/>
              <w:wordWrap/>
              <w:overflowPunct/>
              <w:topLinePunct w:val="0"/>
              <w:bidi w:val="0"/>
              <w:spacing w:line="440" w:lineRule="exact"/>
              <w:rPr>
                <w:rFonts w:ascii="Arial"/>
                <w:color w:val="auto"/>
                <w:sz w:val="21"/>
                <w:szCs w:val="21"/>
                <w:highlight w:val="none"/>
              </w:rPr>
            </w:pPr>
          </w:p>
          <w:p w14:paraId="1851A4B0">
            <w:pPr>
              <w:pStyle w:val="13"/>
              <w:keepNext w:val="0"/>
              <w:keepLines w:val="0"/>
              <w:pageBreakBefore w:val="0"/>
              <w:wordWrap/>
              <w:overflowPunct/>
              <w:topLinePunct w:val="0"/>
              <w:bidi w:val="0"/>
              <w:spacing w:line="440" w:lineRule="exact"/>
              <w:ind w:left="114"/>
              <w:rPr>
                <w:color w:val="auto"/>
                <w:sz w:val="21"/>
                <w:szCs w:val="21"/>
                <w:highlight w:val="none"/>
              </w:rPr>
            </w:pPr>
            <w:r>
              <w:rPr>
                <w:color w:val="auto"/>
                <w:spacing w:val="-2"/>
                <w:sz w:val="21"/>
                <w:szCs w:val="21"/>
                <w:highlight w:val="none"/>
              </w:rPr>
              <w:t>授权代表：</w:t>
            </w:r>
          </w:p>
        </w:tc>
      </w:tr>
      <w:tr w14:paraId="5B30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151" w:type="dxa"/>
            <w:vAlign w:val="top"/>
          </w:tcPr>
          <w:p w14:paraId="6566522E">
            <w:pPr>
              <w:keepNext w:val="0"/>
              <w:keepLines w:val="0"/>
              <w:pageBreakBefore w:val="0"/>
              <w:wordWrap/>
              <w:overflowPunct/>
              <w:topLinePunct w:val="0"/>
              <w:bidi w:val="0"/>
              <w:spacing w:line="440" w:lineRule="exact"/>
              <w:rPr>
                <w:rFonts w:ascii="Arial"/>
                <w:color w:val="auto"/>
                <w:sz w:val="21"/>
                <w:szCs w:val="21"/>
                <w:highlight w:val="none"/>
              </w:rPr>
            </w:pPr>
          </w:p>
          <w:p w14:paraId="16497213">
            <w:pPr>
              <w:pStyle w:val="13"/>
              <w:keepNext w:val="0"/>
              <w:keepLines w:val="0"/>
              <w:pageBreakBefore w:val="0"/>
              <w:wordWrap/>
              <w:overflowPunct/>
              <w:topLinePunct w:val="0"/>
              <w:bidi w:val="0"/>
              <w:spacing w:line="440" w:lineRule="exact"/>
              <w:ind w:left="157"/>
              <w:rPr>
                <w:color w:val="auto"/>
                <w:sz w:val="21"/>
                <w:szCs w:val="21"/>
                <w:highlight w:val="none"/>
              </w:rPr>
            </w:pPr>
            <w:r>
              <w:rPr>
                <w:color w:val="auto"/>
                <w:spacing w:val="-13"/>
                <w:sz w:val="21"/>
                <w:szCs w:val="21"/>
                <w:highlight w:val="none"/>
              </w:rPr>
              <w:t>日期：</w:t>
            </w:r>
            <w:r>
              <w:rPr>
                <w:color w:val="auto"/>
                <w:spacing w:val="1"/>
                <w:sz w:val="21"/>
                <w:szCs w:val="21"/>
                <w:highlight w:val="none"/>
              </w:rPr>
              <w:t xml:space="preserve">       </w:t>
            </w:r>
            <w:r>
              <w:rPr>
                <w:color w:val="auto"/>
                <w:spacing w:val="-13"/>
                <w:sz w:val="21"/>
                <w:szCs w:val="21"/>
                <w:highlight w:val="none"/>
              </w:rPr>
              <w:t>年</w:t>
            </w:r>
            <w:r>
              <w:rPr>
                <w:color w:val="auto"/>
                <w:spacing w:val="3"/>
                <w:sz w:val="21"/>
                <w:szCs w:val="21"/>
                <w:highlight w:val="none"/>
              </w:rPr>
              <w:t xml:space="preserve">     </w:t>
            </w:r>
            <w:r>
              <w:rPr>
                <w:color w:val="auto"/>
                <w:spacing w:val="-13"/>
                <w:sz w:val="21"/>
                <w:szCs w:val="21"/>
                <w:highlight w:val="none"/>
              </w:rPr>
              <w:t>月</w:t>
            </w:r>
            <w:r>
              <w:rPr>
                <w:color w:val="auto"/>
                <w:spacing w:val="13"/>
                <w:sz w:val="21"/>
                <w:szCs w:val="21"/>
                <w:highlight w:val="none"/>
              </w:rPr>
              <w:t xml:space="preserve">    </w:t>
            </w:r>
            <w:r>
              <w:rPr>
                <w:color w:val="auto"/>
                <w:spacing w:val="-13"/>
                <w:sz w:val="21"/>
                <w:szCs w:val="21"/>
                <w:highlight w:val="none"/>
              </w:rPr>
              <w:t>日</w:t>
            </w:r>
          </w:p>
        </w:tc>
        <w:tc>
          <w:tcPr>
            <w:tcW w:w="4072" w:type="dxa"/>
            <w:vAlign w:val="top"/>
          </w:tcPr>
          <w:p w14:paraId="3A848F2A">
            <w:pPr>
              <w:keepNext w:val="0"/>
              <w:keepLines w:val="0"/>
              <w:pageBreakBefore w:val="0"/>
              <w:wordWrap/>
              <w:overflowPunct/>
              <w:topLinePunct w:val="0"/>
              <w:bidi w:val="0"/>
              <w:spacing w:line="440" w:lineRule="exact"/>
              <w:rPr>
                <w:rFonts w:ascii="Arial"/>
                <w:color w:val="auto"/>
                <w:sz w:val="21"/>
                <w:szCs w:val="21"/>
                <w:highlight w:val="none"/>
              </w:rPr>
            </w:pPr>
          </w:p>
          <w:p w14:paraId="07862446">
            <w:pPr>
              <w:pStyle w:val="13"/>
              <w:keepNext w:val="0"/>
              <w:keepLines w:val="0"/>
              <w:pageBreakBefore w:val="0"/>
              <w:wordWrap/>
              <w:overflowPunct/>
              <w:topLinePunct w:val="0"/>
              <w:bidi w:val="0"/>
              <w:spacing w:line="440" w:lineRule="exact"/>
              <w:ind w:left="157"/>
              <w:rPr>
                <w:color w:val="auto"/>
                <w:sz w:val="21"/>
                <w:szCs w:val="21"/>
                <w:highlight w:val="none"/>
              </w:rPr>
            </w:pPr>
            <w:r>
              <w:rPr>
                <w:color w:val="auto"/>
                <w:spacing w:val="-13"/>
                <w:sz w:val="21"/>
                <w:szCs w:val="21"/>
                <w:highlight w:val="none"/>
              </w:rPr>
              <w:t>日期：</w:t>
            </w:r>
            <w:r>
              <w:rPr>
                <w:color w:val="auto"/>
                <w:spacing w:val="3"/>
                <w:sz w:val="21"/>
                <w:szCs w:val="21"/>
                <w:highlight w:val="none"/>
              </w:rPr>
              <w:t xml:space="preserve">   </w:t>
            </w:r>
            <w:r>
              <w:rPr>
                <w:color w:val="auto"/>
                <w:spacing w:val="-13"/>
                <w:sz w:val="21"/>
                <w:szCs w:val="21"/>
                <w:highlight w:val="none"/>
              </w:rPr>
              <w:t>年</w:t>
            </w:r>
            <w:r>
              <w:rPr>
                <w:color w:val="auto"/>
                <w:spacing w:val="3"/>
                <w:sz w:val="21"/>
                <w:szCs w:val="21"/>
                <w:highlight w:val="none"/>
              </w:rPr>
              <w:t xml:space="preserve">     </w:t>
            </w:r>
            <w:r>
              <w:rPr>
                <w:color w:val="auto"/>
                <w:spacing w:val="-13"/>
                <w:sz w:val="21"/>
                <w:szCs w:val="21"/>
                <w:highlight w:val="none"/>
              </w:rPr>
              <w:t>月</w:t>
            </w:r>
            <w:r>
              <w:rPr>
                <w:color w:val="auto"/>
                <w:spacing w:val="13"/>
                <w:sz w:val="21"/>
                <w:szCs w:val="21"/>
                <w:highlight w:val="none"/>
              </w:rPr>
              <w:t xml:space="preserve">    </w:t>
            </w:r>
            <w:r>
              <w:rPr>
                <w:color w:val="auto"/>
                <w:spacing w:val="-13"/>
                <w:sz w:val="21"/>
                <w:szCs w:val="21"/>
                <w:highlight w:val="none"/>
              </w:rPr>
              <w:t>日</w:t>
            </w:r>
          </w:p>
        </w:tc>
      </w:tr>
      <w:bookmarkEnd w:id="21"/>
      <w:bookmarkEnd w:id="23"/>
    </w:tbl>
    <w:p w14:paraId="2A539AE0">
      <w:pPr>
        <w:rPr>
          <w:rFonts w:ascii="Arial" w:hAnsi="Arial" w:eastAsia="Arial" w:cs="Arial"/>
          <w:color w:val="auto"/>
          <w:sz w:val="21"/>
          <w:szCs w:val="21"/>
          <w:highlight w:val="none"/>
        </w:rPr>
        <w:sectPr>
          <w:headerReference r:id="rId25" w:type="default"/>
          <w:footerReference r:id="rId26" w:type="default"/>
          <w:pgSz w:w="11906" w:h="16839"/>
          <w:pgMar w:top="1474" w:right="1474" w:bottom="1474" w:left="1587" w:header="0" w:footer="675" w:gutter="0"/>
          <w:pgNumType w:fmt="decimal"/>
          <w:cols w:space="0" w:num="1"/>
          <w:rtlGutter w:val="0"/>
          <w:docGrid w:linePitch="0" w:charSpace="0"/>
        </w:sectPr>
      </w:pPr>
    </w:p>
    <w:bookmarkEnd w:id="22"/>
    <w:p w14:paraId="3B6CD815">
      <w:pPr>
        <w:pageBreakBefore/>
        <w:spacing w:line="560" w:lineRule="exact"/>
        <w:jc w:val="left"/>
        <w:rPr>
          <w:rFonts w:hint="eastAsia" w:ascii="宋体" w:hAnsi="宋体" w:eastAsia="宋体" w:cs="宋体"/>
          <w:bCs/>
          <w:color w:val="auto"/>
          <w:sz w:val="32"/>
          <w:szCs w:val="32"/>
          <w:highlight w:val="none"/>
        </w:rPr>
      </w:pPr>
      <w:bookmarkStart w:id="24" w:name="bookmark11"/>
      <w:bookmarkEnd w:id="24"/>
      <w:bookmarkStart w:id="25" w:name="bookmark12"/>
      <w:bookmarkEnd w:id="25"/>
      <w:r>
        <w:rPr>
          <w:rFonts w:hint="eastAsia" w:ascii="宋体" w:hAnsi="宋体" w:eastAsia="宋体" w:cs="宋体"/>
          <w:bCs/>
          <w:color w:val="auto"/>
          <w:sz w:val="32"/>
          <w:szCs w:val="32"/>
          <w:highlight w:val="none"/>
        </w:rPr>
        <w:t>附件一</w:t>
      </w:r>
    </w:p>
    <w:p w14:paraId="13FFC741">
      <w:pPr>
        <w:keepNext/>
        <w:adjustRightInd w:val="0"/>
        <w:snapToGrid w:val="0"/>
        <w:spacing w:line="480" w:lineRule="exact"/>
        <w:jc w:val="center"/>
        <w:outlineLvl w:val="2"/>
        <w:rPr>
          <w:rFonts w:hint="eastAsia" w:ascii="宋体" w:hAnsi="宋体" w:eastAsia="宋体" w:cs="宋体"/>
          <w:bCs/>
          <w:color w:val="auto"/>
          <w:sz w:val="32"/>
          <w:szCs w:val="32"/>
          <w:highlight w:val="none"/>
        </w:rPr>
      </w:pPr>
      <w:bookmarkStart w:id="26" w:name="_Toc132707357"/>
      <w:r>
        <w:rPr>
          <w:rFonts w:hint="eastAsia" w:ascii="宋体" w:hAnsi="宋体" w:eastAsia="宋体" w:cs="宋体"/>
          <w:bCs/>
          <w:color w:val="auto"/>
          <w:sz w:val="32"/>
          <w:szCs w:val="32"/>
          <w:highlight w:val="none"/>
        </w:rPr>
        <w:t>保密协议</w:t>
      </w:r>
      <w:bookmarkEnd w:id="26"/>
    </w:p>
    <w:p w14:paraId="1DE4B5E0">
      <w:pPr>
        <w:adjustRightInd w:val="0"/>
        <w:snapToGrid w:val="0"/>
        <w:spacing w:line="4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w:t>
      </w:r>
    </w:p>
    <w:p w14:paraId="6FF7F572">
      <w:pPr>
        <w:adjustRightInd w:val="0"/>
        <w:snapToGrid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p w14:paraId="637444EE">
      <w:pPr>
        <w:adjustRightInd w:val="0"/>
        <w:snapToGrid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3ACCA78">
      <w:pPr>
        <w:adjustRightInd w:val="0"/>
        <w:snapToGrid w:val="0"/>
        <w:spacing w:line="4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乙方： </w:t>
      </w:r>
    </w:p>
    <w:p w14:paraId="146C0F2D">
      <w:pPr>
        <w:adjustRightInd w:val="0"/>
        <w:snapToGrid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1B49F49E">
      <w:pPr>
        <w:adjustRightInd w:val="0"/>
        <w:snapToGrid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p w14:paraId="513EF887">
      <w:pPr>
        <w:adjustRightInd w:val="0"/>
        <w:snapToGrid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p>
    <w:p w14:paraId="45A4C6EF">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甲乙双方就双方签订的编号为的《》及其等开展业务/合作；在开展业务/合作的合过程中，预计甲方将为上述之目的向乙方披露甲方的专有信息且此等信息均被视为保密信息；因此，双方在此达成如下保密协议：</w:t>
      </w:r>
    </w:p>
    <w:p w14:paraId="58651228">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b/>
          <w:color w:val="auto"/>
          <w:sz w:val="21"/>
          <w:szCs w:val="21"/>
          <w:highlight w:val="none"/>
          <w:lang w:eastAsia="zh-CN"/>
        </w:rPr>
      </w:pPr>
      <w:bookmarkStart w:id="27" w:name="_Toc1584680693"/>
      <w:bookmarkStart w:id="28" w:name="_Toc132707358"/>
      <w:r>
        <w:rPr>
          <w:rFonts w:hint="eastAsia" w:ascii="宋体" w:hAnsi="宋体" w:eastAsia="宋体" w:cs="宋体"/>
          <w:b/>
          <w:color w:val="auto"/>
          <w:sz w:val="21"/>
          <w:szCs w:val="21"/>
          <w:highlight w:val="none"/>
          <w:lang w:eastAsia="zh-CN"/>
        </w:rPr>
        <w:t>一、本协议保密信息的界定</w:t>
      </w:r>
      <w:bookmarkEnd w:id="27"/>
      <w:bookmarkEnd w:id="28"/>
    </w:p>
    <w:p w14:paraId="61CAF296">
      <w:pPr>
        <w:pStyle w:val="16"/>
        <w:widowControl w:val="0"/>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29" w:name="_Toc132707359"/>
      <w:bookmarkStart w:id="30" w:name="_Toc1710318546"/>
      <w:r>
        <w:rPr>
          <w:rFonts w:hint="eastAsia" w:ascii="宋体" w:hAnsi="宋体" w:eastAsia="宋体" w:cs="宋体"/>
          <w:color w:val="auto"/>
          <w:sz w:val="21"/>
          <w:szCs w:val="21"/>
          <w:highlight w:val="none"/>
          <w:lang w:eastAsia="zh-CN"/>
        </w:rPr>
        <w:t>（一）为本协议之目的，“保密信息”是指为实现前述业务/合作目的,甲方向乙方提供或披露的任何甲方不欲公开的机密信息，或者任何其它非公开或专有的信息、数据、设想或概念、标准，和/或其中的任何知识产权，无论该等信息或数据的载体形式、也不论披露是在本协议生效之前或之后。</w:t>
      </w:r>
      <w:r>
        <w:rPr>
          <w:rFonts w:hint="eastAsia" w:ascii="宋体" w:hAnsi="宋体" w:eastAsia="宋体" w:cs="宋体"/>
          <w:color w:val="auto"/>
          <w:kern w:val="2"/>
          <w:sz w:val="21"/>
          <w:szCs w:val="21"/>
          <w:highlight w:val="none"/>
          <w:lang w:eastAsia="zh-CN"/>
        </w:rPr>
        <w:t>本协议所指保密信息包括但不限于以下内容：</w:t>
      </w:r>
      <w:bookmarkEnd w:id="29"/>
      <w:bookmarkEnd w:id="30"/>
    </w:p>
    <w:p w14:paraId="32716870">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color w:val="auto"/>
          <w:kern w:val="2"/>
          <w:sz w:val="21"/>
          <w:szCs w:val="21"/>
          <w:highlight w:val="none"/>
          <w:lang w:eastAsia="zh-CN"/>
        </w:rPr>
      </w:pPr>
      <w:bookmarkStart w:id="31" w:name="_Toc1676583173"/>
      <w:bookmarkStart w:id="32" w:name="_Toc132707360"/>
      <w:r>
        <w:rPr>
          <w:rFonts w:hint="eastAsia" w:ascii="宋体" w:hAnsi="宋体" w:eastAsia="宋体" w:cs="宋体"/>
          <w:b/>
          <w:bCs/>
          <w:color w:val="auto"/>
          <w:kern w:val="2"/>
          <w:sz w:val="21"/>
          <w:szCs w:val="21"/>
          <w:highlight w:val="none"/>
          <w:lang w:eastAsia="zh-CN"/>
        </w:rPr>
        <w:t>技术信息</w:t>
      </w:r>
      <w:r>
        <w:rPr>
          <w:rFonts w:hint="eastAsia" w:ascii="宋体" w:hAnsi="宋体" w:eastAsia="宋体" w:cs="宋体"/>
          <w:color w:val="auto"/>
          <w:kern w:val="2"/>
          <w:sz w:val="21"/>
          <w:szCs w:val="21"/>
          <w:highlight w:val="none"/>
          <w:lang w:eastAsia="zh-CN"/>
        </w:rPr>
        <w:t>：包括甲方专有的技术方案、网络组织、系统及应用软件、数据库、未公开的具有国内先进水平以上的科技成果、技术文档、商务合同、招标方案、评标结果、涉及商业秘密的业务函电等。</w:t>
      </w:r>
      <w:bookmarkEnd w:id="31"/>
      <w:bookmarkEnd w:id="32"/>
    </w:p>
    <w:p w14:paraId="7BD27724">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color w:val="auto"/>
          <w:kern w:val="2"/>
          <w:sz w:val="21"/>
          <w:szCs w:val="21"/>
          <w:highlight w:val="none"/>
          <w:lang w:eastAsia="zh-CN"/>
        </w:rPr>
      </w:pPr>
      <w:bookmarkStart w:id="33" w:name="_Toc1177140318"/>
      <w:bookmarkStart w:id="34" w:name="_Toc132707361"/>
      <w:r>
        <w:rPr>
          <w:rFonts w:hint="eastAsia" w:ascii="宋体" w:hAnsi="宋体" w:eastAsia="宋体" w:cs="宋体"/>
          <w:b/>
          <w:bCs/>
          <w:color w:val="auto"/>
          <w:kern w:val="2"/>
          <w:sz w:val="21"/>
          <w:szCs w:val="21"/>
          <w:highlight w:val="none"/>
          <w:lang w:eastAsia="zh-CN"/>
        </w:rPr>
        <w:t>经营信息：</w:t>
      </w:r>
      <w:r>
        <w:rPr>
          <w:rFonts w:hint="eastAsia" w:ascii="宋体" w:hAnsi="宋体" w:eastAsia="宋体" w:cs="宋体"/>
          <w:color w:val="auto"/>
          <w:kern w:val="2"/>
          <w:sz w:val="21"/>
          <w:szCs w:val="21"/>
          <w:highlight w:val="none"/>
          <w:lang w:eastAsia="zh-CN"/>
        </w:rPr>
        <w:t>包括甲方发展战略规划、投资计划及年度计划；甲方策略、资料、重大活动计划及安排、暂不公开或不公开的对接单位、合作伙伴相关信息；甲方重要会议内容及记录、以及管理相关文件。</w:t>
      </w:r>
      <w:bookmarkEnd w:id="33"/>
      <w:bookmarkEnd w:id="34"/>
    </w:p>
    <w:p w14:paraId="18D41E64">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color w:val="auto"/>
          <w:kern w:val="2"/>
          <w:sz w:val="21"/>
          <w:szCs w:val="21"/>
          <w:highlight w:val="none"/>
          <w:lang w:eastAsia="zh-CN"/>
        </w:rPr>
      </w:pPr>
      <w:bookmarkStart w:id="35" w:name="_Toc2119817172"/>
      <w:bookmarkStart w:id="36" w:name="_Toc132707362"/>
      <w:r>
        <w:rPr>
          <w:rFonts w:hint="eastAsia" w:ascii="宋体" w:hAnsi="宋体" w:eastAsia="宋体" w:cs="宋体"/>
          <w:b/>
          <w:bCs/>
          <w:color w:val="auto"/>
          <w:kern w:val="2"/>
          <w:sz w:val="21"/>
          <w:szCs w:val="21"/>
          <w:highlight w:val="none"/>
          <w:lang w:eastAsia="zh-CN"/>
        </w:rPr>
        <w:t>其他：</w:t>
      </w:r>
      <w:r>
        <w:rPr>
          <w:rFonts w:hint="eastAsia" w:ascii="宋体" w:hAnsi="宋体" w:eastAsia="宋体" w:cs="宋体"/>
          <w:color w:val="auto"/>
          <w:kern w:val="2"/>
          <w:sz w:val="21"/>
          <w:szCs w:val="21"/>
          <w:highlight w:val="none"/>
          <w:lang w:eastAsia="zh-CN"/>
        </w:rPr>
        <w:t>针对</w:t>
      </w:r>
      <w:r>
        <w:rPr>
          <w:rFonts w:hint="eastAsia" w:ascii="宋体" w:hAnsi="宋体" w:eastAsia="宋体" w:cs="宋体"/>
          <w:color w:val="auto"/>
          <w:sz w:val="21"/>
          <w:szCs w:val="21"/>
          <w:highlight w:val="none"/>
          <w:lang w:eastAsia="zh-CN"/>
        </w:rPr>
        <w:t>业务/合作</w:t>
      </w:r>
      <w:r>
        <w:rPr>
          <w:rFonts w:hint="eastAsia" w:ascii="宋体" w:hAnsi="宋体" w:eastAsia="宋体" w:cs="宋体"/>
          <w:color w:val="auto"/>
          <w:kern w:val="2"/>
          <w:sz w:val="21"/>
          <w:szCs w:val="21"/>
          <w:highlight w:val="none"/>
          <w:lang w:eastAsia="zh-CN"/>
        </w:rPr>
        <w:t>需要，甲方向乙方提供的所有相关资料和数据。</w:t>
      </w:r>
      <w:bookmarkEnd w:id="35"/>
      <w:bookmarkEnd w:id="36"/>
    </w:p>
    <w:p w14:paraId="309DED21">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（二）上述保密信息的披露，包括但不限于以数据、文字、录音及记载上述内容的文档、光盘、软件、图书等有形介质体现，也可通过口头等视听方式传递。</w:t>
      </w:r>
    </w:p>
    <w:p w14:paraId="027568CC">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b/>
          <w:color w:val="auto"/>
          <w:kern w:val="2"/>
          <w:sz w:val="21"/>
          <w:szCs w:val="21"/>
          <w:highlight w:val="none"/>
          <w:lang w:eastAsia="zh-CN"/>
        </w:rPr>
      </w:pPr>
      <w:bookmarkStart w:id="37" w:name="_Toc1121355855"/>
      <w:bookmarkStart w:id="38" w:name="_Toc132707363"/>
      <w:r>
        <w:rPr>
          <w:rFonts w:hint="eastAsia" w:ascii="宋体" w:hAnsi="宋体" w:eastAsia="宋体" w:cs="宋体"/>
          <w:b/>
          <w:color w:val="auto"/>
          <w:kern w:val="2"/>
          <w:sz w:val="21"/>
          <w:szCs w:val="21"/>
          <w:highlight w:val="none"/>
          <w:lang w:eastAsia="zh-CN"/>
        </w:rPr>
        <w:t>二、以下信息不属于本协议所定义的保密信息，不受本协议的约束：</w:t>
      </w:r>
      <w:bookmarkEnd w:id="37"/>
      <w:bookmarkEnd w:id="38"/>
    </w:p>
    <w:p w14:paraId="7B25412F">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39" w:name="_Toc1638646153"/>
      <w:bookmarkStart w:id="40" w:name="_Toc132707364"/>
      <w:r>
        <w:rPr>
          <w:rFonts w:hint="eastAsia" w:ascii="宋体" w:hAnsi="宋体" w:eastAsia="宋体" w:cs="宋体"/>
          <w:color w:val="auto"/>
          <w:kern w:val="2"/>
          <w:sz w:val="21"/>
          <w:szCs w:val="21"/>
          <w:highlight w:val="none"/>
          <w:lang w:eastAsia="zh-CN"/>
        </w:rPr>
        <w:t>（一）乙方能够证明已处于公开状态或并不违反本协议即可获得的任何信息；</w:t>
      </w:r>
      <w:bookmarkEnd w:id="39"/>
      <w:bookmarkEnd w:id="40"/>
    </w:p>
    <w:p w14:paraId="3379F979">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sz w:val="21"/>
          <w:szCs w:val="21"/>
          <w:highlight w:val="none"/>
          <w:lang w:eastAsia="zh-CN"/>
        </w:rPr>
      </w:pPr>
      <w:bookmarkStart w:id="41" w:name="_Toc132707365"/>
      <w:bookmarkStart w:id="42" w:name="_Toc1676986016"/>
      <w:r>
        <w:rPr>
          <w:rFonts w:hint="eastAsia" w:ascii="宋体" w:hAnsi="宋体" w:eastAsia="宋体" w:cs="宋体"/>
          <w:color w:val="auto"/>
          <w:sz w:val="21"/>
          <w:szCs w:val="21"/>
          <w:highlight w:val="none"/>
          <w:lang w:eastAsia="zh-CN"/>
        </w:rPr>
        <w:t>（二）书面记录能够证明从甲方收到前乙方已经掌握的信息；</w:t>
      </w:r>
      <w:bookmarkEnd w:id="41"/>
      <w:bookmarkEnd w:id="42"/>
    </w:p>
    <w:p w14:paraId="6AFD4147">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43" w:name="_Toc1259475693"/>
      <w:bookmarkStart w:id="44" w:name="_Toc132707366"/>
      <w:r>
        <w:rPr>
          <w:rFonts w:hint="eastAsia" w:ascii="宋体" w:hAnsi="宋体" w:eastAsia="宋体" w:cs="宋体"/>
          <w:color w:val="auto"/>
          <w:kern w:val="2"/>
          <w:sz w:val="21"/>
          <w:szCs w:val="21"/>
          <w:highlight w:val="none"/>
          <w:lang w:eastAsia="zh-CN"/>
        </w:rPr>
        <w:t>（三）经甲方书面同意披露或许可使用的信息。</w:t>
      </w:r>
      <w:bookmarkEnd w:id="43"/>
      <w:bookmarkEnd w:id="44"/>
    </w:p>
    <w:p w14:paraId="608E5384">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b/>
          <w:color w:val="auto"/>
          <w:kern w:val="2"/>
          <w:sz w:val="21"/>
          <w:szCs w:val="21"/>
          <w:highlight w:val="none"/>
          <w:lang w:eastAsia="zh-CN"/>
        </w:rPr>
      </w:pPr>
      <w:bookmarkStart w:id="45" w:name="_Toc132707367"/>
      <w:bookmarkStart w:id="46" w:name="_Toc1364483399"/>
      <w:r>
        <w:rPr>
          <w:rFonts w:hint="eastAsia" w:ascii="宋体" w:hAnsi="宋体" w:eastAsia="宋体" w:cs="宋体"/>
          <w:b/>
          <w:color w:val="auto"/>
          <w:kern w:val="2"/>
          <w:sz w:val="21"/>
          <w:szCs w:val="21"/>
          <w:highlight w:val="none"/>
          <w:lang w:eastAsia="zh-CN"/>
        </w:rPr>
        <w:t>三、保密义务及具体要求</w:t>
      </w:r>
      <w:bookmarkEnd w:id="45"/>
      <w:bookmarkEnd w:id="46"/>
    </w:p>
    <w:p w14:paraId="21224EC1">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47" w:name="_Toc132707368"/>
      <w:bookmarkStart w:id="48" w:name="_Toc1861507462"/>
      <w:r>
        <w:rPr>
          <w:rFonts w:hint="eastAsia" w:ascii="宋体" w:hAnsi="宋体" w:eastAsia="宋体" w:cs="宋体"/>
          <w:color w:val="auto"/>
          <w:kern w:val="2"/>
          <w:sz w:val="21"/>
          <w:szCs w:val="21"/>
          <w:highlight w:val="none"/>
          <w:lang w:eastAsia="zh-CN"/>
        </w:rPr>
        <w:t>（一）乙方应以对待自己同等重要的保密文件一样的谨慎态度对待甲方提供的保密信息，乙方应要求其获悉保密信息的所有人员采取必要的措施对收到的保密信息进行存档和保密，避免任何其他第三方及乙方的无关人员以任何方式获得此保密信息；</w:t>
      </w:r>
      <w:bookmarkEnd w:id="47"/>
      <w:bookmarkEnd w:id="48"/>
    </w:p>
    <w:p w14:paraId="51A358AD">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49" w:name="_Toc32822840"/>
      <w:bookmarkStart w:id="50" w:name="_Toc132707369"/>
      <w:r>
        <w:rPr>
          <w:rFonts w:hint="eastAsia" w:ascii="宋体" w:hAnsi="宋体" w:eastAsia="宋体" w:cs="宋体"/>
          <w:color w:val="auto"/>
          <w:kern w:val="2"/>
          <w:sz w:val="21"/>
          <w:szCs w:val="21"/>
          <w:highlight w:val="none"/>
          <w:lang w:eastAsia="zh-CN"/>
        </w:rPr>
        <w:t>（二）乙方保证该保密信息仅用于与业务/合作有关的用途。未经甲方书面同意，乙方不得将保密信息用于业务/合作以外的任何用途、不得对保密信息进行复制、或利用保密信息进行新的研究或开发；</w:t>
      </w:r>
      <w:bookmarkEnd w:id="49"/>
      <w:bookmarkEnd w:id="50"/>
    </w:p>
    <w:p w14:paraId="67F387CA">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51" w:name="_Toc132707370"/>
      <w:bookmarkStart w:id="52" w:name="_Toc1692559735"/>
      <w:r>
        <w:rPr>
          <w:rFonts w:hint="eastAsia" w:ascii="宋体" w:hAnsi="宋体" w:eastAsia="宋体" w:cs="宋体"/>
          <w:color w:val="auto"/>
          <w:kern w:val="2"/>
          <w:sz w:val="21"/>
          <w:szCs w:val="21"/>
          <w:highlight w:val="none"/>
          <w:lang w:eastAsia="zh-CN"/>
        </w:rPr>
        <w:t>（三）乙方保证仅为与甲方业务/合作的目的向乙方确有知悉必要的雇员、董事、顾问和/或咨询人员披露保密信息，且对保密信息的披露及利用符合甲方的利益。在乙方上述人员知悉该保密信息前，应向其说明保密信息的保密性及其应承担的义务，保证上述人员同意接收本协议条款的约束，并对上述人员的保密行为进行有效的监督管理。因前述人员违背上述承诺，向第三方披露保密信息，或依据该等保密信息向第三方做出任何建议，都被视为乙方违反本协议，乙方应承担全部责任，且乙方应采取有效措施防止泄密进一步扩大，并及时告知甲方；</w:t>
      </w:r>
      <w:bookmarkEnd w:id="51"/>
      <w:bookmarkEnd w:id="52"/>
    </w:p>
    <w:p w14:paraId="342C510B">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53" w:name="_Toc132707371"/>
      <w:bookmarkStart w:id="54" w:name="_Toc915692807"/>
      <w:r>
        <w:rPr>
          <w:rFonts w:hint="eastAsia" w:ascii="宋体" w:hAnsi="宋体" w:eastAsia="宋体" w:cs="宋体"/>
          <w:color w:val="auto"/>
          <w:kern w:val="2"/>
          <w:sz w:val="21"/>
          <w:szCs w:val="21"/>
          <w:highlight w:val="none"/>
          <w:lang w:eastAsia="zh-CN"/>
        </w:rPr>
        <w:t>（四）甲方的保密信息的部分或个别要素虽被披露成为公知信息，但该信息的其它部分或整体尚未成为公知信息的，乙方仍应按本协议约定对未公开部分的信息履行保密义务；</w:t>
      </w:r>
      <w:bookmarkEnd w:id="53"/>
      <w:bookmarkEnd w:id="54"/>
    </w:p>
    <w:p w14:paraId="0AAC4D0C">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55" w:name="_Toc1707662881"/>
      <w:bookmarkStart w:id="56" w:name="_Toc132707372"/>
      <w:r>
        <w:rPr>
          <w:rFonts w:hint="eastAsia" w:ascii="宋体" w:hAnsi="宋体" w:eastAsia="宋体" w:cs="宋体"/>
          <w:color w:val="auto"/>
          <w:kern w:val="2"/>
          <w:sz w:val="21"/>
          <w:szCs w:val="21"/>
          <w:highlight w:val="none"/>
          <w:lang w:eastAsia="zh-CN"/>
        </w:rPr>
        <w:t>（五）对于本协议签署前、签署过程及履行等过程中，乙方所接触到的甲方及甲方关联单位的保密信息，乙方应依据本协议约定履行保密义务。</w:t>
      </w:r>
      <w:bookmarkEnd w:id="55"/>
      <w:bookmarkEnd w:id="56"/>
    </w:p>
    <w:p w14:paraId="71294666">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57" w:name="_Toc1925938929"/>
      <w:bookmarkStart w:id="58" w:name="_Toc132707373"/>
      <w:r>
        <w:rPr>
          <w:rFonts w:hint="eastAsia" w:ascii="宋体" w:hAnsi="宋体" w:eastAsia="宋体" w:cs="宋体"/>
          <w:bCs/>
          <w:color w:val="auto"/>
          <w:kern w:val="2"/>
          <w:sz w:val="21"/>
          <w:szCs w:val="21"/>
          <w:highlight w:val="none"/>
          <w:lang w:eastAsia="zh-CN"/>
        </w:rPr>
        <w:t>（六）</w:t>
      </w:r>
      <w:r>
        <w:rPr>
          <w:rFonts w:hint="eastAsia" w:ascii="宋体" w:hAnsi="宋体" w:eastAsia="宋体" w:cs="宋体"/>
          <w:color w:val="auto"/>
          <w:kern w:val="2"/>
          <w:sz w:val="21"/>
          <w:szCs w:val="21"/>
          <w:highlight w:val="none"/>
          <w:lang w:eastAsia="zh-CN"/>
        </w:rPr>
        <w:t>甲方如发现乙方存在涉及保密信息保护措施缺失、数据滥用、严重泄露等问题，甲方有权按照本协议相关条款进行处理，并且对于已产生的实际损失和不良影响，由乙方全责承担。</w:t>
      </w:r>
      <w:bookmarkEnd w:id="57"/>
      <w:bookmarkEnd w:id="58"/>
    </w:p>
    <w:p w14:paraId="2BC77188">
      <w:pPr>
        <w:pStyle w:val="16"/>
        <w:widowControl w:val="0"/>
        <w:tabs>
          <w:tab w:val="left" w:pos="709"/>
        </w:tabs>
        <w:adjustRightInd w:val="0"/>
        <w:snapToGrid w:val="0"/>
        <w:spacing w:after="0" w:line="480" w:lineRule="exact"/>
        <w:ind w:firstLine="426" w:firstLineChars="202"/>
        <w:outlineLvl w:val="9"/>
        <w:rPr>
          <w:rFonts w:hint="eastAsia" w:ascii="宋体" w:hAnsi="宋体" w:eastAsia="宋体" w:cs="宋体"/>
          <w:b/>
          <w:color w:val="auto"/>
          <w:kern w:val="2"/>
          <w:sz w:val="21"/>
          <w:szCs w:val="21"/>
          <w:highlight w:val="none"/>
          <w:lang w:eastAsia="zh-CN"/>
        </w:rPr>
      </w:pPr>
      <w:bookmarkStart w:id="59" w:name="_Toc1127185982"/>
      <w:bookmarkStart w:id="60" w:name="_Toc132707374"/>
      <w:r>
        <w:rPr>
          <w:rFonts w:hint="eastAsia" w:ascii="宋体" w:hAnsi="宋体" w:eastAsia="宋体" w:cs="宋体"/>
          <w:b/>
          <w:color w:val="auto"/>
          <w:kern w:val="2"/>
          <w:sz w:val="21"/>
          <w:szCs w:val="21"/>
          <w:highlight w:val="none"/>
          <w:lang w:eastAsia="zh-CN"/>
        </w:rPr>
        <w:t>四、保密期限</w:t>
      </w:r>
      <w:bookmarkEnd w:id="59"/>
      <w:bookmarkEnd w:id="60"/>
    </w:p>
    <w:p w14:paraId="753AA05A">
      <w:pPr>
        <w:pStyle w:val="16"/>
        <w:tabs>
          <w:tab w:val="left" w:pos="0"/>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61" w:name="_Toc1266928463"/>
      <w:bookmarkStart w:id="62" w:name="_Toc132707375"/>
      <w:r>
        <w:rPr>
          <w:rFonts w:hint="eastAsia" w:ascii="宋体" w:hAnsi="宋体" w:eastAsia="宋体" w:cs="宋体"/>
          <w:color w:val="auto"/>
          <w:kern w:val="2"/>
          <w:sz w:val="21"/>
          <w:szCs w:val="21"/>
          <w:highlight w:val="none"/>
          <w:lang w:eastAsia="zh-CN"/>
        </w:rPr>
        <w:t>（一）乙方保密的义务长期有效。无论双方业务/合作协议是否成立、届满、终止或被取代，乙方在的保密义务应持续有效，直到甲方以书面形式明确说明解除乙方此项义务，或事实上不会因违反保密义务而给甲方造成任何形式的损害时为止；</w:t>
      </w:r>
      <w:bookmarkEnd w:id="61"/>
      <w:bookmarkEnd w:id="62"/>
    </w:p>
    <w:p w14:paraId="2A08ED12">
      <w:pPr>
        <w:pStyle w:val="16"/>
        <w:tabs>
          <w:tab w:val="left" w:pos="709"/>
        </w:tabs>
        <w:adjustRightInd w:val="0"/>
        <w:snapToGrid w:val="0"/>
        <w:spacing w:after="0" w:line="480" w:lineRule="exact"/>
        <w:ind w:firstLine="420" w:firstLineChars="200"/>
        <w:outlineLvl w:val="9"/>
        <w:rPr>
          <w:rFonts w:hint="eastAsia" w:ascii="宋体" w:hAnsi="宋体" w:eastAsia="宋体" w:cs="宋体"/>
          <w:color w:val="auto"/>
          <w:kern w:val="2"/>
          <w:sz w:val="21"/>
          <w:szCs w:val="21"/>
          <w:highlight w:val="none"/>
          <w:lang w:eastAsia="zh-CN"/>
        </w:rPr>
      </w:pPr>
      <w:bookmarkStart w:id="63" w:name="_Toc914130467"/>
      <w:bookmarkStart w:id="64" w:name="_Toc132707376"/>
      <w:r>
        <w:rPr>
          <w:rFonts w:hint="eastAsia" w:ascii="宋体" w:hAnsi="宋体" w:eastAsia="宋体" w:cs="宋体"/>
          <w:color w:val="auto"/>
          <w:kern w:val="2"/>
          <w:sz w:val="21"/>
          <w:szCs w:val="21"/>
          <w:highlight w:val="none"/>
          <w:lang w:eastAsia="zh-CN"/>
        </w:rPr>
        <w:t>（二）双方业务/合作终止后，乙方应及时将承载保密信息的介质原件及复制件全部返还甲方，或对复制件进行彻底销毁，或按甲方要求的其他形式处理。最迟不得超过甲方发出交还或处理通知之日起三十日。</w:t>
      </w:r>
      <w:bookmarkEnd w:id="63"/>
      <w:bookmarkEnd w:id="64"/>
    </w:p>
    <w:p w14:paraId="251903EC">
      <w:pPr>
        <w:pStyle w:val="16"/>
        <w:widowControl w:val="0"/>
        <w:tabs>
          <w:tab w:val="left" w:pos="709"/>
        </w:tabs>
        <w:adjustRightInd w:val="0"/>
        <w:snapToGrid w:val="0"/>
        <w:spacing w:after="0" w:line="480" w:lineRule="exact"/>
        <w:ind w:firstLine="422" w:firstLineChars="200"/>
        <w:outlineLvl w:val="9"/>
        <w:rPr>
          <w:rFonts w:hint="eastAsia" w:ascii="宋体" w:hAnsi="宋体" w:eastAsia="宋体" w:cs="宋体"/>
          <w:b/>
          <w:color w:val="auto"/>
          <w:kern w:val="2"/>
          <w:sz w:val="21"/>
          <w:szCs w:val="21"/>
          <w:highlight w:val="none"/>
          <w:lang w:eastAsia="zh-CN"/>
        </w:rPr>
      </w:pPr>
      <w:bookmarkStart w:id="65" w:name="_Toc512442950"/>
      <w:bookmarkStart w:id="66" w:name="_Toc132707377"/>
      <w:r>
        <w:rPr>
          <w:rFonts w:hint="eastAsia" w:ascii="宋体" w:hAnsi="宋体" w:eastAsia="宋体" w:cs="宋体"/>
          <w:b/>
          <w:color w:val="auto"/>
          <w:kern w:val="2"/>
          <w:sz w:val="21"/>
          <w:szCs w:val="21"/>
          <w:highlight w:val="none"/>
          <w:lang w:eastAsia="zh-CN"/>
        </w:rPr>
        <w:t>五、违约责任</w:t>
      </w:r>
      <w:bookmarkEnd w:id="65"/>
      <w:bookmarkEnd w:id="66"/>
    </w:p>
    <w:p w14:paraId="325E01D8">
      <w:pPr>
        <w:widowControl/>
        <w:adjustRightInd w:val="0"/>
        <w:snapToGrid w:val="0"/>
        <w:spacing w:line="48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（一）如乙方有违反本协议的情形，无论故意与过失，应当立即停止侵害，并在第一时间采取一切必要措施防止保密信息的扩散，尽最大可能消除影响；</w:t>
      </w:r>
    </w:p>
    <w:p w14:paraId="4EB3F505">
      <w:pPr>
        <w:widowControl/>
        <w:adjustRightInd w:val="0"/>
        <w:snapToGrid w:val="0"/>
        <w:spacing w:line="48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（二）乙方未履行或未完全履行本协议项下的条款均构成违约，乙方应赔偿因此而给甲方造成的一切损失，包括但不限于甲方因调查违约行为、仲裁、诉讼、聘请律师、保全等而支付的合理费用和开支。</w:t>
      </w:r>
    </w:p>
    <w:p w14:paraId="1D8040A2">
      <w:pPr>
        <w:adjustRightInd w:val="0"/>
        <w:snapToGrid w:val="0"/>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六、其他</w:t>
      </w:r>
    </w:p>
    <w:p w14:paraId="1B41FEAC">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（一）本协议适用中华人民共和国法律法规的规定，凡因本协议引起的或与本协议有关的任何争议，双方可通过协商解决。协商不成则将争议提交甲方所在地有管辖权的人民法院通过诉讼方式解决。</w:t>
      </w:r>
    </w:p>
    <w:p w14:paraId="2615C3BB">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作过程中，甲方披露的保密信息的权属可能归属于甲方的关联公司，乙方同意该等信息的保密按本协议约定履行。本协议所指甲方关联公司为：甲方在签订本协议时或将来直接或间接控制该方、或由该方控制、或与该方共同受他方控制的任何实体。</w:t>
      </w:r>
    </w:p>
    <w:p w14:paraId="12B8F678">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（三）本协议经双方法定代表人或授权代表签署后生效，一式贰份，甲方执壹份，乙方执壹份，协议具有同等法律效力。</w:t>
      </w:r>
    </w:p>
    <w:p w14:paraId="1AED6E85">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（四）本协议之条款非经双方签署书面文件不得加以修改、放弃。</w:t>
      </w:r>
    </w:p>
    <w:p w14:paraId="1DF1D323">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w:t>
      </w:r>
    </w:p>
    <w:p w14:paraId="6A61D9E9">
      <w:pPr>
        <w:adjustRightInd w:val="0"/>
        <w:snapToGrid w:val="0"/>
        <w:spacing w:line="480" w:lineRule="exact"/>
        <w:ind w:firstLine="420" w:firstLineChars="200"/>
        <w:rPr>
          <w:rFonts w:hint="eastAsia" w:ascii="宋体" w:hAnsi="宋体" w:eastAsia="宋体" w:cs="宋体"/>
          <w:color w:val="auto"/>
          <w:szCs w:val="21"/>
          <w:highlight w:val="none"/>
        </w:rPr>
      </w:pPr>
    </w:p>
    <w:p w14:paraId="6D2BEBA3">
      <w:pPr>
        <w:adjustRightInd w:val="0"/>
        <w:snapToGrid w:val="0"/>
        <w:spacing w:line="480" w:lineRule="exact"/>
        <w:ind w:firstLine="420" w:firstLineChars="200"/>
        <w:rPr>
          <w:rFonts w:hint="eastAsia" w:ascii="宋体" w:hAnsi="宋体" w:eastAsia="宋体" w:cs="宋体"/>
          <w:color w:val="auto"/>
          <w:szCs w:val="21"/>
          <w:highlight w:val="none"/>
        </w:rPr>
      </w:pPr>
    </w:p>
    <w:p w14:paraId="1D9B453B">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甲方单位（章）                      乙方单位（章）</w:t>
      </w:r>
    </w:p>
    <w:p w14:paraId="71C6C17F">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               法定代表人/授权代表：</w:t>
      </w:r>
    </w:p>
    <w:p w14:paraId="696F9DD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C7F4D47">
      <w:pPr>
        <w:pStyle w:val="8"/>
        <w:spacing w:before="114" w:line="224" w:lineRule="auto"/>
        <w:jc w:val="center"/>
        <w:outlineLvl w:val="0"/>
        <w:rPr>
          <w:b/>
          <w:bCs/>
          <w:color w:val="auto"/>
          <w:spacing w:val="5"/>
          <w:sz w:val="35"/>
          <w:szCs w:val="35"/>
          <w:highlight w:val="none"/>
        </w:rPr>
      </w:pPr>
    </w:p>
    <w:p w14:paraId="61081C1A">
      <w:pPr>
        <w:pStyle w:val="8"/>
        <w:spacing w:before="114" w:line="224" w:lineRule="auto"/>
        <w:jc w:val="center"/>
        <w:outlineLvl w:val="0"/>
        <w:rPr>
          <w:b/>
          <w:bCs/>
          <w:color w:val="auto"/>
          <w:spacing w:val="5"/>
          <w:sz w:val="35"/>
          <w:szCs w:val="35"/>
          <w:highlight w:val="none"/>
        </w:rPr>
      </w:pPr>
    </w:p>
    <w:p w14:paraId="60C8AAA3">
      <w:pPr>
        <w:pStyle w:val="8"/>
        <w:spacing w:before="114" w:line="224" w:lineRule="auto"/>
        <w:jc w:val="center"/>
        <w:outlineLvl w:val="0"/>
        <w:rPr>
          <w:b/>
          <w:bCs/>
          <w:color w:val="auto"/>
          <w:spacing w:val="5"/>
          <w:sz w:val="35"/>
          <w:szCs w:val="35"/>
          <w:highlight w:val="none"/>
        </w:rPr>
      </w:pPr>
    </w:p>
    <w:p w14:paraId="0793E39A">
      <w:pPr>
        <w:pStyle w:val="8"/>
        <w:spacing w:before="114" w:line="224" w:lineRule="auto"/>
        <w:jc w:val="center"/>
        <w:outlineLvl w:val="0"/>
        <w:rPr>
          <w:b/>
          <w:bCs/>
          <w:color w:val="auto"/>
          <w:spacing w:val="5"/>
          <w:sz w:val="35"/>
          <w:szCs w:val="35"/>
          <w:highlight w:val="none"/>
        </w:rPr>
      </w:pPr>
    </w:p>
    <w:p w14:paraId="58F53232">
      <w:pPr>
        <w:pStyle w:val="8"/>
        <w:spacing w:before="114" w:line="224" w:lineRule="auto"/>
        <w:jc w:val="center"/>
        <w:outlineLvl w:val="0"/>
        <w:rPr>
          <w:b/>
          <w:bCs/>
          <w:color w:val="auto"/>
          <w:spacing w:val="5"/>
          <w:sz w:val="35"/>
          <w:szCs w:val="35"/>
          <w:highlight w:val="none"/>
        </w:rPr>
      </w:pPr>
    </w:p>
    <w:p w14:paraId="4C572684">
      <w:pPr>
        <w:pStyle w:val="8"/>
        <w:spacing w:before="114" w:line="224" w:lineRule="auto"/>
        <w:jc w:val="center"/>
        <w:outlineLvl w:val="0"/>
        <w:rPr>
          <w:b/>
          <w:bCs/>
          <w:color w:val="auto"/>
          <w:spacing w:val="5"/>
          <w:sz w:val="35"/>
          <w:szCs w:val="35"/>
          <w:highlight w:val="none"/>
        </w:rPr>
      </w:pPr>
    </w:p>
    <w:p w14:paraId="4D958232">
      <w:pPr>
        <w:pStyle w:val="8"/>
        <w:spacing w:before="114" w:line="224" w:lineRule="auto"/>
        <w:jc w:val="center"/>
        <w:outlineLvl w:val="0"/>
        <w:rPr>
          <w:color w:val="auto"/>
          <w:sz w:val="35"/>
          <w:szCs w:val="35"/>
          <w:highlight w:val="none"/>
        </w:rPr>
      </w:pPr>
      <w:r>
        <w:rPr>
          <w:b/>
          <w:bCs/>
          <w:color w:val="auto"/>
          <w:spacing w:val="5"/>
          <w:sz w:val="35"/>
          <w:szCs w:val="35"/>
          <w:highlight w:val="none"/>
        </w:rPr>
        <w:t>第六章</w:t>
      </w:r>
      <w:r>
        <w:rPr>
          <w:color w:val="auto"/>
          <w:spacing w:val="5"/>
          <w:sz w:val="35"/>
          <w:szCs w:val="35"/>
          <w:highlight w:val="none"/>
        </w:rPr>
        <w:t xml:space="preserve"> </w:t>
      </w:r>
      <w:r>
        <w:rPr>
          <w:b/>
          <w:bCs/>
          <w:color w:val="auto"/>
          <w:spacing w:val="5"/>
          <w:sz w:val="35"/>
          <w:szCs w:val="35"/>
          <w:highlight w:val="none"/>
        </w:rPr>
        <w:t>投标文件格式</w:t>
      </w:r>
    </w:p>
    <w:p w14:paraId="67995B08">
      <w:pPr>
        <w:spacing w:line="305" w:lineRule="auto"/>
        <w:rPr>
          <w:rFonts w:ascii="Arial"/>
          <w:color w:val="auto"/>
          <w:sz w:val="21"/>
          <w:highlight w:val="none"/>
        </w:rPr>
      </w:pPr>
    </w:p>
    <w:p w14:paraId="4373616F">
      <w:pPr>
        <w:spacing w:line="306" w:lineRule="auto"/>
        <w:rPr>
          <w:rFonts w:ascii="Arial"/>
          <w:color w:val="auto"/>
          <w:sz w:val="21"/>
          <w:highlight w:val="none"/>
        </w:rPr>
      </w:pPr>
    </w:p>
    <w:p w14:paraId="06A45443">
      <w:pPr>
        <w:pStyle w:val="8"/>
        <w:spacing w:before="91" w:line="219" w:lineRule="auto"/>
        <w:outlineLvl w:val="1"/>
        <w:rPr>
          <w:color w:val="auto"/>
          <w:sz w:val="28"/>
          <w:szCs w:val="28"/>
          <w:highlight w:val="none"/>
        </w:rPr>
      </w:pPr>
      <w:r>
        <w:rPr>
          <w:b/>
          <w:bCs/>
          <w:color w:val="auto"/>
          <w:spacing w:val="-4"/>
          <w:sz w:val="28"/>
          <w:szCs w:val="28"/>
          <w:highlight w:val="none"/>
        </w:rPr>
        <w:t>一、报价文件格式</w:t>
      </w:r>
    </w:p>
    <w:p w14:paraId="16E5E9BC">
      <w:pPr>
        <w:spacing w:line="248" w:lineRule="auto"/>
        <w:rPr>
          <w:rFonts w:ascii="Arial"/>
          <w:color w:val="auto"/>
          <w:sz w:val="21"/>
          <w:highlight w:val="none"/>
        </w:rPr>
      </w:pPr>
    </w:p>
    <w:p w14:paraId="5935A931">
      <w:pPr>
        <w:pStyle w:val="8"/>
        <w:spacing w:before="78" w:line="218" w:lineRule="auto"/>
        <w:ind w:left="153"/>
        <w:outlineLvl w:val="2"/>
        <w:rPr>
          <w:color w:val="auto"/>
          <w:sz w:val="24"/>
          <w:szCs w:val="24"/>
          <w:highlight w:val="none"/>
        </w:rPr>
      </w:pPr>
      <w:r>
        <w:rPr>
          <w:b/>
          <w:bCs/>
          <w:color w:val="auto"/>
          <w:spacing w:val="-4"/>
          <w:sz w:val="24"/>
          <w:szCs w:val="24"/>
          <w:highlight w:val="none"/>
        </w:rPr>
        <w:t>1.</w:t>
      </w:r>
      <w:r>
        <w:rPr>
          <w:color w:val="auto"/>
          <w:spacing w:val="-4"/>
          <w:sz w:val="24"/>
          <w:szCs w:val="24"/>
          <w:highlight w:val="none"/>
        </w:rPr>
        <w:t xml:space="preserve"> </w:t>
      </w:r>
      <w:r>
        <w:rPr>
          <w:b/>
          <w:bCs/>
          <w:color w:val="auto"/>
          <w:spacing w:val="-4"/>
          <w:sz w:val="24"/>
          <w:szCs w:val="24"/>
          <w:highlight w:val="none"/>
        </w:rPr>
        <w:t>报价文件封面格式：</w:t>
      </w:r>
    </w:p>
    <w:p w14:paraId="3011C7E7">
      <w:pPr>
        <w:pStyle w:val="8"/>
        <w:spacing w:before="339" w:line="223" w:lineRule="auto"/>
        <w:ind w:left="3337"/>
        <w:outlineLvl w:val="3"/>
        <w:rPr>
          <w:color w:val="auto"/>
          <w:sz w:val="47"/>
          <w:szCs w:val="47"/>
          <w:highlight w:val="none"/>
        </w:rPr>
      </w:pPr>
      <w:r>
        <w:rPr>
          <w:color w:val="auto"/>
          <w:spacing w:val="-3"/>
          <w:sz w:val="47"/>
          <w:szCs w:val="47"/>
          <w:highlight w:val="none"/>
        </w:rPr>
        <w:t>电子投标文件</w:t>
      </w:r>
    </w:p>
    <w:p w14:paraId="503DECC9">
      <w:pPr>
        <w:spacing w:line="244" w:lineRule="auto"/>
        <w:rPr>
          <w:rFonts w:ascii="Arial"/>
          <w:color w:val="auto"/>
          <w:sz w:val="21"/>
          <w:highlight w:val="none"/>
        </w:rPr>
      </w:pPr>
    </w:p>
    <w:p w14:paraId="62B930B0">
      <w:pPr>
        <w:spacing w:line="244" w:lineRule="auto"/>
        <w:rPr>
          <w:rFonts w:ascii="Arial"/>
          <w:color w:val="auto"/>
          <w:sz w:val="21"/>
          <w:highlight w:val="none"/>
        </w:rPr>
      </w:pPr>
    </w:p>
    <w:p w14:paraId="3E4815F3">
      <w:pPr>
        <w:spacing w:line="245" w:lineRule="auto"/>
        <w:rPr>
          <w:rFonts w:ascii="Arial"/>
          <w:color w:val="auto"/>
          <w:sz w:val="21"/>
          <w:highlight w:val="none"/>
        </w:rPr>
      </w:pPr>
    </w:p>
    <w:p w14:paraId="04954815">
      <w:pPr>
        <w:pStyle w:val="8"/>
        <w:spacing w:before="139" w:line="222" w:lineRule="auto"/>
        <w:ind w:left="2881"/>
        <w:outlineLvl w:val="2"/>
        <w:rPr>
          <w:color w:val="auto"/>
          <w:sz w:val="43"/>
          <w:szCs w:val="43"/>
          <w:highlight w:val="none"/>
        </w:rPr>
      </w:pPr>
      <w:r>
        <w:rPr>
          <w:b/>
          <w:bCs/>
          <w:color w:val="auto"/>
          <w:spacing w:val="4"/>
          <w:sz w:val="43"/>
          <w:szCs w:val="43"/>
          <w:highlight w:val="none"/>
        </w:rPr>
        <w:t>第一部分报价文件</w:t>
      </w:r>
    </w:p>
    <w:p w14:paraId="4A2A7DF9">
      <w:pPr>
        <w:spacing w:line="282" w:lineRule="auto"/>
        <w:rPr>
          <w:rFonts w:ascii="Arial"/>
          <w:color w:val="auto"/>
          <w:sz w:val="21"/>
          <w:highlight w:val="none"/>
        </w:rPr>
      </w:pPr>
    </w:p>
    <w:p w14:paraId="1E7CDB70">
      <w:pPr>
        <w:spacing w:line="283" w:lineRule="auto"/>
        <w:rPr>
          <w:rFonts w:ascii="Arial"/>
          <w:color w:val="auto"/>
          <w:sz w:val="21"/>
          <w:highlight w:val="none"/>
        </w:rPr>
      </w:pPr>
    </w:p>
    <w:p w14:paraId="00F5AF7E">
      <w:pPr>
        <w:spacing w:line="283" w:lineRule="auto"/>
        <w:rPr>
          <w:rFonts w:ascii="Arial"/>
          <w:color w:val="auto"/>
          <w:sz w:val="21"/>
          <w:highlight w:val="none"/>
        </w:rPr>
      </w:pPr>
    </w:p>
    <w:p w14:paraId="038C8BB1">
      <w:pPr>
        <w:spacing w:line="283" w:lineRule="auto"/>
        <w:rPr>
          <w:rFonts w:ascii="Arial"/>
          <w:color w:val="auto"/>
          <w:sz w:val="21"/>
          <w:highlight w:val="none"/>
        </w:rPr>
      </w:pPr>
    </w:p>
    <w:p w14:paraId="4CFCF6BE">
      <w:pPr>
        <w:pStyle w:val="8"/>
        <w:spacing w:before="78" w:line="220" w:lineRule="auto"/>
        <w:ind w:left="1197"/>
        <w:rPr>
          <w:color w:val="auto"/>
          <w:sz w:val="21"/>
          <w:szCs w:val="21"/>
          <w:highlight w:val="none"/>
        </w:rPr>
      </w:pPr>
      <w:r>
        <w:rPr>
          <w:color w:val="auto"/>
          <w:spacing w:val="-3"/>
          <w:sz w:val="21"/>
          <w:szCs w:val="21"/>
          <w:highlight w:val="none"/>
        </w:rPr>
        <w:t>项目名称：</w:t>
      </w:r>
      <w:r>
        <w:rPr>
          <w:color w:val="auto"/>
          <w:sz w:val="21"/>
          <w:szCs w:val="21"/>
          <w:highlight w:val="none"/>
          <w:u w:val="single" w:color="auto"/>
        </w:rPr>
        <w:t xml:space="preserve">                            </w:t>
      </w:r>
    </w:p>
    <w:p w14:paraId="3DC3B027">
      <w:pPr>
        <w:spacing w:line="335" w:lineRule="auto"/>
        <w:rPr>
          <w:rFonts w:ascii="Arial"/>
          <w:color w:val="auto"/>
          <w:sz w:val="21"/>
          <w:szCs w:val="21"/>
          <w:highlight w:val="none"/>
        </w:rPr>
      </w:pPr>
    </w:p>
    <w:p w14:paraId="2D3B3B2C">
      <w:pPr>
        <w:spacing w:line="336" w:lineRule="auto"/>
        <w:rPr>
          <w:rFonts w:ascii="Arial"/>
          <w:color w:val="auto"/>
          <w:sz w:val="21"/>
          <w:szCs w:val="21"/>
          <w:highlight w:val="none"/>
        </w:rPr>
      </w:pPr>
    </w:p>
    <w:p w14:paraId="1F7D73DE">
      <w:pPr>
        <w:pStyle w:val="8"/>
        <w:spacing w:before="79" w:line="219" w:lineRule="auto"/>
        <w:ind w:left="1197"/>
        <w:rPr>
          <w:color w:val="auto"/>
          <w:sz w:val="21"/>
          <w:szCs w:val="21"/>
          <w:highlight w:val="none"/>
        </w:rPr>
      </w:pPr>
      <w:r>
        <w:rPr>
          <w:color w:val="auto"/>
          <w:spacing w:val="-3"/>
          <w:sz w:val="21"/>
          <w:szCs w:val="21"/>
          <w:highlight w:val="none"/>
        </w:rPr>
        <w:t>项目编号：</w:t>
      </w:r>
      <w:r>
        <w:rPr>
          <w:color w:val="auto"/>
          <w:sz w:val="21"/>
          <w:szCs w:val="21"/>
          <w:highlight w:val="none"/>
          <w:u w:val="single" w:color="auto"/>
        </w:rPr>
        <w:t xml:space="preserve">                            </w:t>
      </w:r>
    </w:p>
    <w:p w14:paraId="1F844C14">
      <w:pPr>
        <w:spacing w:line="335" w:lineRule="auto"/>
        <w:rPr>
          <w:rFonts w:ascii="Arial"/>
          <w:color w:val="auto"/>
          <w:sz w:val="21"/>
          <w:szCs w:val="21"/>
          <w:highlight w:val="none"/>
        </w:rPr>
      </w:pPr>
    </w:p>
    <w:p w14:paraId="76525EF9">
      <w:pPr>
        <w:spacing w:line="336" w:lineRule="auto"/>
        <w:rPr>
          <w:rFonts w:ascii="Arial"/>
          <w:color w:val="auto"/>
          <w:sz w:val="21"/>
          <w:szCs w:val="21"/>
          <w:highlight w:val="none"/>
        </w:rPr>
      </w:pPr>
    </w:p>
    <w:p w14:paraId="48C25E68">
      <w:pPr>
        <w:pStyle w:val="8"/>
        <w:spacing w:before="79" w:line="220" w:lineRule="auto"/>
        <w:ind w:left="1193"/>
        <w:rPr>
          <w:color w:val="auto"/>
          <w:sz w:val="21"/>
          <w:szCs w:val="21"/>
          <w:highlight w:val="none"/>
        </w:rPr>
      </w:pPr>
      <w:r>
        <w:rPr>
          <w:color w:val="auto"/>
          <w:spacing w:val="-3"/>
          <w:sz w:val="21"/>
          <w:szCs w:val="21"/>
          <w:highlight w:val="none"/>
        </w:rPr>
        <w:t>所投分包：</w:t>
      </w:r>
      <w:r>
        <w:rPr>
          <w:color w:val="auto"/>
          <w:sz w:val="21"/>
          <w:szCs w:val="21"/>
          <w:highlight w:val="none"/>
          <w:u w:val="single" w:color="auto"/>
        </w:rPr>
        <w:t xml:space="preserve">                            </w:t>
      </w:r>
    </w:p>
    <w:p w14:paraId="2C40AAF3">
      <w:pPr>
        <w:spacing w:line="336" w:lineRule="auto"/>
        <w:rPr>
          <w:rFonts w:ascii="Arial"/>
          <w:color w:val="auto"/>
          <w:sz w:val="21"/>
          <w:szCs w:val="21"/>
          <w:highlight w:val="none"/>
        </w:rPr>
      </w:pPr>
    </w:p>
    <w:p w14:paraId="0892A256">
      <w:pPr>
        <w:spacing w:line="337" w:lineRule="auto"/>
        <w:rPr>
          <w:rFonts w:ascii="Arial"/>
          <w:color w:val="auto"/>
          <w:sz w:val="21"/>
          <w:szCs w:val="21"/>
          <w:highlight w:val="none"/>
        </w:rPr>
      </w:pPr>
    </w:p>
    <w:p w14:paraId="37A19354">
      <w:pPr>
        <w:pStyle w:val="8"/>
        <w:spacing w:before="78" w:line="220" w:lineRule="auto"/>
        <w:ind w:left="1196"/>
        <w:rPr>
          <w:color w:val="auto"/>
          <w:sz w:val="21"/>
          <w:szCs w:val="21"/>
          <w:highlight w:val="none"/>
        </w:rPr>
      </w:pPr>
      <w:r>
        <w:rPr>
          <w:color w:val="auto"/>
          <w:spacing w:val="-3"/>
          <w:sz w:val="21"/>
          <w:szCs w:val="21"/>
          <w:highlight w:val="none"/>
        </w:rPr>
        <w:t>投标人名称：</w:t>
      </w:r>
      <w:r>
        <w:rPr>
          <w:color w:val="auto"/>
          <w:sz w:val="21"/>
          <w:szCs w:val="21"/>
          <w:highlight w:val="none"/>
          <w:u w:val="single" w:color="auto"/>
        </w:rPr>
        <w:t xml:space="preserve">                          </w:t>
      </w:r>
    </w:p>
    <w:p w14:paraId="5A98B6C1">
      <w:pPr>
        <w:spacing w:line="335" w:lineRule="auto"/>
        <w:rPr>
          <w:rFonts w:ascii="Arial"/>
          <w:color w:val="auto"/>
          <w:sz w:val="21"/>
          <w:szCs w:val="21"/>
          <w:highlight w:val="none"/>
        </w:rPr>
      </w:pPr>
    </w:p>
    <w:p w14:paraId="3E1AB59F">
      <w:pPr>
        <w:spacing w:line="336" w:lineRule="auto"/>
        <w:rPr>
          <w:rFonts w:ascii="Arial"/>
          <w:color w:val="auto"/>
          <w:sz w:val="21"/>
          <w:szCs w:val="21"/>
          <w:highlight w:val="none"/>
        </w:rPr>
      </w:pPr>
    </w:p>
    <w:p w14:paraId="58215965">
      <w:pPr>
        <w:pStyle w:val="8"/>
        <w:spacing w:before="78" w:line="220" w:lineRule="auto"/>
        <w:ind w:left="1196"/>
        <w:rPr>
          <w:color w:val="auto"/>
          <w:sz w:val="21"/>
          <w:szCs w:val="21"/>
          <w:highlight w:val="none"/>
        </w:rPr>
      </w:pPr>
      <w:r>
        <w:rPr>
          <w:color w:val="auto"/>
          <w:spacing w:val="-3"/>
          <w:sz w:val="21"/>
          <w:szCs w:val="21"/>
          <w:highlight w:val="none"/>
        </w:rPr>
        <w:t>投标人地址：</w:t>
      </w:r>
      <w:r>
        <w:rPr>
          <w:color w:val="auto"/>
          <w:sz w:val="21"/>
          <w:szCs w:val="21"/>
          <w:highlight w:val="none"/>
          <w:u w:val="single" w:color="auto"/>
        </w:rPr>
        <w:t xml:space="preserve">                          </w:t>
      </w:r>
    </w:p>
    <w:p w14:paraId="5BB36694">
      <w:pPr>
        <w:spacing w:line="297" w:lineRule="auto"/>
        <w:rPr>
          <w:rFonts w:ascii="Arial"/>
          <w:color w:val="auto"/>
          <w:sz w:val="21"/>
          <w:szCs w:val="21"/>
          <w:highlight w:val="none"/>
        </w:rPr>
      </w:pPr>
    </w:p>
    <w:p w14:paraId="41D6E336">
      <w:pPr>
        <w:spacing w:line="297" w:lineRule="auto"/>
        <w:rPr>
          <w:rFonts w:ascii="Arial"/>
          <w:color w:val="auto"/>
          <w:sz w:val="21"/>
          <w:szCs w:val="21"/>
          <w:highlight w:val="none"/>
        </w:rPr>
      </w:pPr>
    </w:p>
    <w:p w14:paraId="45C04E26">
      <w:pPr>
        <w:spacing w:line="297" w:lineRule="auto"/>
        <w:rPr>
          <w:rFonts w:ascii="Arial"/>
          <w:color w:val="auto"/>
          <w:sz w:val="21"/>
          <w:szCs w:val="21"/>
          <w:highlight w:val="none"/>
        </w:rPr>
      </w:pPr>
    </w:p>
    <w:p w14:paraId="0E5699B1">
      <w:pPr>
        <w:spacing w:line="298" w:lineRule="auto"/>
        <w:rPr>
          <w:rFonts w:ascii="Arial"/>
          <w:color w:val="auto"/>
          <w:sz w:val="21"/>
          <w:szCs w:val="21"/>
          <w:highlight w:val="none"/>
        </w:rPr>
      </w:pPr>
    </w:p>
    <w:p w14:paraId="56AA066B">
      <w:pPr>
        <w:pStyle w:val="8"/>
        <w:spacing w:before="78" w:line="219" w:lineRule="auto"/>
        <w:ind w:left="4043"/>
        <w:rPr>
          <w:color w:val="auto"/>
          <w:sz w:val="20"/>
          <w:szCs w:val="20"/>
          <w:highlight w:val="none"/>
        </w:rPr>
      </w:pPr>
      <w:r>
        <w:rPr>
          <w:color w:val="auto"/>
          <w:spacing w:val="-9"/>
          <w:sz w:val="21"/>
          <w:szCs w:val="21"/>
          <w:highlight w:val="none"/>
        </w:rPr>
        <w:t>年</w:t>
      </w:r>
      <w:r>
        <w:rPr>
          <w:color w:val="auto"/>
          <w:spacing w:val="7"/>
          <w:sz w:val="21"/>
          <w:szCs w:val="21"/>
          <w:highlight w:val="none"/>
        </w:rPr>
        <w:t xml:space="preserve">  </w:t>
      </w:r>
      <w:r>
        <w:rPr>
          <w:color w:val="auto"/>
          <w:spacing w:val="-9"/>
          <w:sz w:val="21"/>
          <w:szCs w:val="21"/>
          <w:highlight w:val="none"/>
        </w:rPr>
        <w:t>月</w:t>
      </w:r>
      <w:r>
        <w:rPr>
          <w:color w:val="auto"/>
          <w:spacing w:val="26"/>
          <w:sz w:val="21"/>
          <w:szCs w:val="21"/>
          <w:highlight w:val="none"/>
        </w:rPr>
        <w:t xml:space="preserve">  </w:t>
      </w:r>
      <w:r>
        <w:rPr>
          <w:color w:val="auto"/>
          <w:spacing w:val="-9"/>
          <w:sz w:val="21"/>
          <w:szCs w:val="21"/>
          <w:highlight w:val="none"/>
        </w:rPr>
        <w:t>日</w:t>
      </w:r>
    </w:p>
    <w:p w14:paraId="2F286181">
      <w:pPr>
        <w:spacing w:line="219" w:lineRule="auto"/>
        <w:rPr>
          <w:color w:val="auto"/>
          <w:sz w:val="20"/>
          <w:szCs w:val="20"/>
          <w:highlight w:val="none"/>
        </w:rPr>
        <w:sectPr>
          <w:footerReference r:id="rId27" w:type="default"/>
          <w:pgSz w:w="11906" w:h="16839"/>
          <w:pgMar w:top="1474" w:right="1474" w:bottom="1474" w:left="1587" w:header="0" w:footer="675" w:gutter="0"/>
          <w:pgNumType w:fmt="decimal"/>
          <w:cols w:space="0" w:num="1"/>
          <w:rtlGutter w:val="0"/>
          <w:docGrid w:linePitch="0" w:charSpace="0"/>
        </w:sectPr>
      </w:pPr>
    </w:p>
    <w:p w14:paraId="2DE10554">
      <w:pPr>
        <w:pStyle w:val="8"/>
        <w:spacing w:before="262" w:line="218" w:lineRule="auto"/>
        <w:ind w:left="13"/>
        <w:outlineLvl w:val="2"/>
        <w:rPr>
          <w:color w:val="auto"/>
          <w:sz w:val="24"/>
          <w:szCs w:val="24"/>
          <w:highlight w:val="none"/>
        </w:rPr>
      </w:pPr>
      <w:r>
        <w:rPr>
          <w:b/>
          <w:bCs/>
          <w:color w:val="auto"/>
          <w:spacing w:val="-4"/>
          <w:sz w:val="24"/>
          <w:szCs w:val="24"/>
          <w:highlight w:val="none"/>
        </w:rPr>
        <w:t>2.报价文件目录</w:t>
      </w:r>
    </w:p>
    <w:p w14:paraId="4931BC09">
      <w:pPr>
        <w:pStyle w:val="8"/>
        <w:spacing w:before="232" w:line="219" w:lineRule="auto"/>
        <w:ind w:left="490"/>
        <w:rPr>
          <w:color w:val="auto"/>
          <w:sz w:val="21"/>
          <w:szCs w:val="21"/>
          <w:highlight w:val="none"/>
        </w:rPr>
      </w:pPr>
      <w:r>
        <w:rPr>
          <w:color w:val="auto"/>
          <w:spacing w:val="-1"/>
          <w:sz w:val="21"/>
          <w:szCs w:val="21"/>
          <w:highlight w:val="none"/>
        </w:rPr>
        <w:t>根据招标文件规定及投标人提供的材料自行编写目录。</w:t>
      </w:r>
    </w:p>
    <w:p w14:paraId="5DDF57F5">
      <w:pPr>
        <w:spacing w:line="219" w:lineRule="auto"/>
        <w:rPr>
          <w:color w:val="auto"/>
          <w:sz w:val="24"/>
          <w:szCs w:val="24"/>
          <w:highlight w:val="none"/>
        </w:rPr>
        <w:sectPr>
          <w:headerReference r:id="rId28" w:type="default"/>
          <w:footerReference r:id="rId29" w:type="default"/>
          <w:pgSz w:w="11906" w:h="16839"/>
          <w:pgMar w:top="2098" w:right="1474" w:bottom="1984" w:left="1587" w:header="963" w:footer="677" w:gutter="0"/>
          <w:pgNumType w:fmt="decimal"/>
          <w:cols w:space="720" w:num="1"/>
          <w:rtlGutter w:val="0"/>
          <w:docGrid w:linePitch="0" w:charSpace="0"/>
        </w:sectPr>
      </w:pPr>
    </w:p>
    <w:p w14:paraId="67D44784">
      <w:pPr>
        <w:pStyle w:val="8"/>
        <w:keepNext w:val="0"/>
        <w:keepLines w:val="0"/>
        <w:pageBreakBefore w:val="0"/>
        <w:wordWrap/>
        <w:overflowPunct/>
        <w:topLinePunct w:val="0"/>
        <w:bidi w:val="0"/>
        <w:spacing w:line="440" w:lineRule="exact"/>
        <w:ind w:left="156"/>
        <w:rPr>
          <w:color w:val="auto"/>
          <w:sz w:val="24"/>
          <w:szCs w:val="24"/>
          <w:highlight w:val="none"/>
        </w:rPr>
      </w:pPr>
      <w:r>
        <w:rPr>
          <w:b/>
          <w:bCs/>
          <w:color w:val="auto"/>
          <w:spacing w:val="-4"/>
          <w:sz w:val="24"/>
          <w:szCs w:val="24"/>
          <w:highlight w:val="none"/>
        </w:rPr>
        <w:t>3.投标函格式：</w:t>
      </w:r>
    </w:p>
    <w:p w14:paraId="391A6C4E">
      <w:pPr>
        <w:pStyle w:val="8"/>
        <w:keepNext w:val="0"/>
        <w:keepLines w:val="0"/>
        <w:pageBreakBefore w:val="0"/>
        <w:wordWrap/>
        <w:overflowPunct/>
        <w:topLinePunct w:val="0"/>
        <w:bidi w:val="0"/>
        <w:spacing w:line="440" w:lineRule="exact"/>
        <w:ind w:left="4183"/>
        <w:rPr>
          <w:color w:val="auto"/>
          <w:sz w:val="28"/>
          <w:szCs w:val="28"/>
          <w:highlight w:val="none"/>
        </w:rPr>
      </w:pPr>
      <w:r>
        <w:rPr>
          <w:b/>
          <w:bCs/>
          <w:color w:val="auto"/>
          <w:spacing w:val="2"/>
          <w:sz w:val="28"/>
          <w:szCs w:val="28"/>
          <w:highlight w:val="none"/>
        </w:rPr>
        <w:t>投标函</w:t>
      </w:r>
    </w:p>
    <w:p w14:paraId="34EF180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致</w:t>
      </w:r>
      <w:r>
        <w:rPr>
          <w:rFonts w:hint="eastAsia" w:ascii="宋体" w:hAnsi="宋体" w:eastAsia="宋体" w:cs="宋体"/>
          <w:snapToGrid/>
          <w:color w:val="auto"/>
          <w:kern w:val="2"/>
          <w:szCs w:val="21"/>
          <w:highlight w:val="none"/>
          <w:u w:val="single"/>
          <w:lang w:val="en-US" w:eastAsia="zh-CN"/>
        </w:rPr>
        <w:t>采购代理机构/采购人</w:t>
      </w:r>
      <w:r>
        <w:rPr>
          <w:rFonts w:hint="eastAsia" w:ascii="宋体" w:hAnsi="宋体" w:eastAsia="宋体" w:cs="宋体"/>
          <w:snapToGrid/>
          <w:color w:val="auto"/>
          <w:kern w:val="2"/>
          <w:szCs w:val="21"/>
          <w:highlight w:val="none"/>
          <w:lang w:val="en-US" w:eastAsia="zh-CN"/>
        </w:rPr>
        <w:t>：</w:t>
      </w:r>
    </w:p>
    <w:p w14:paraId="080CD8C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我方已仔细阅读了贵方组织的（</w:t>
      </w:r>
      <w:r>
        <w:rPr>
          <w:rFonts w:hint="eastAsia" w:ascii="宋体" w:hAnsi="宋体" w:eastAsia="宋体" w:cs="宋体"/>
          <w:snapToGrid/>
          <w:color w:val="auto"/>
          <w:kern w:val="2"/>
          <w:szCs w:val="21"/>
          <w:highlight w:val="none"/>
          <w:u w:val="single"/>
          <w:lang w:val="en-US" w:eastAsia="zh-CN"/>
        </w:rPr>
        <w:t>项目名称/项目编号</w:t>
      </w:r>
      <w:r>
        <w:rPr>
          <w:rFonts w:hint="eastAsia" w:ascii="宋体" w:hAnsi="宋体" w:eastAsia="宋体" w:cs="宋体"/>
          <w:snapToGrid/>
          <w:color w:val="auto"/>
          <w:kern w:val="2"/>
          <w:szCs w:val="21"/>
          <w:highlight w:val="none"/>
          <w:lang w:val="en-US" w:eastAsia="zh-CN"/>
        </w:rPr>
        <w:t>）招标文件的全部内容，授权（</w:t>
      </w:r>
      <w:r>
        <w:rPr>
          <w:rFonts w:hint="eastAsia" w:ascii="宋体" w:hAnsi="宋体" w:eastAsia="宋体" w:cs="宋体"/>
          <w:snapToGrid/>
          <w:color w:val="auto"/>
          <w:kern w:val="2"/>
          <w:szCs w:val="21"/>
          <w:highlight w:val="none"/>
          <w:u w:val="single"/>
          <w:lang w:val="en-US" w:eastAsia="zh-CN"/>
        </w:rPr>
        <w:t>姓 名/职务</w:t>
      </w:r>
      <w:r>
        <w:rPr>
          <w:rFonts w:hint="eastAsia" w:ascii="宋体" w:hAnsi="宋体" w:eastAsia="宋体" w:cs="宋体"/>
          <w:snapToGrid/>
          <w:color w:val="auto"/>
          <w:kern w:val="2"/>
          <w:szCs w:val="21"/>
          <w:highlight w:val="none"/>
          <w:lang w:val="en-US" w:eastAsia="zh-CN"/>
        </w:rPr>
        <w:t>)为全权代表，现正式递交下述文件参加贵方组织的本次政府采购活动：</w:t>
      </w:r>
    </w:p>
    <w:p w14:paraId="54D4E96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报价文件电子版一份（包含按投标人须知前附表要求提交的全部文件）；</w:t>
      </w:r>
    </w:p>
    <w:p w14:paraId="203E19E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资格文件电子版一份（包含按投标人须知前附表要求提交的全部文件）；</w:t>
      </w:r>
    </w:p>
    <w:p w14:paraId="73633D1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 xml:space="preserve">商务文件电子版一份（包含按投标人须知前附表要求提交的全部文件）； </w:t>
      </w:r>
    </w:p>
    <w:p w14:paraId="0087A52D">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技术文件电子版一份（包含按投标人须知前附表要求提交的全部文件）；据此函，我方宣布同意如下：</w:t>
      </w:r>
    </w:p>
    <w:p w14:paraId="2BBA2A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1.我方愿意以报价文件电子版的开标一览表中的投标总报价，按照我方承诺的内容提供本项目招标文件第二章“采购需求”中的相应的采购内容。</w:t>
      </w:r>
    </w:p>
    <w:p w14:paraId="30BC25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2.我方同意自本项目招标文件“第三章投标人须知 ”第一节投标人须知前附表第 21.2 项规定的投标截止时间（开标时间）起遵循本投标函，并承诺在“投标人须知前附表 ”第 17.2 项规定的投标有效期内不修改、撤销投标文件。</w:t>
      </w:r>
    </w:p>
    <w:p w14:paraId="44734FD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3.我方所递交的投标文件及有关资料都是内容完整、真实和准确的。</w:t>
      </w:r>
    </w:p>
    <w:p w14:paraId="22883F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4.我方承诺已经具备《中华人民共和国政府采购法》中规定的参加政府采购活动的投标人应当具备的全部条件。</w:t>
      </w:r>
    </w:p>
    <w:p w14:paraId="69BE683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5.如本项目采购内容涉及须符合国家强制规定的，我方承诺我方本次投标（包括资格条件和所投产品）均符合国家有关强制规定。</w:t>
      </w:r>
    </w:p>
    <w:p w14:paraId="293D8A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8578F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7.我方已详细审核招标文件，我方知道必须放弃提出含糊不清或误解问题的权利。</w:t>
      </w:r>
    </w:p>
    <w:p w14:paraId="4A97DE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8.我方同意应贵方要求提供与本投标有关的任何数据或资料。若贵方需要，我方愿意提供我方作出的一切承诺的证明材料。</w:t>
      </w:r>
    </w:p>
    <w:p w14:paraId="1594738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9.我方完全理解贵方不一定接受投标报价最低的投标人为中标投标人的行为。</w:t>
      </w:r>
    </w:p>
    <w:p w14:paraId="2D35422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ascii="Arial"/>
          <w:color w:val="auto"/>
          <w:sz w:val="21"/>
          <w:highlight w:val="none"/>
        </w:rPr>
      </w:pPr>
      <w:r>
        <w:rPr>
          <w:rFonts w:hint="eastAsia" w:ascii="宋体" w:hAnsi="宋体" w:eastAsia="宋体" w:cs="宋体"/>
          <w:snapToGrid/>
          <w:color w:val="auto"/>
          <w:kern w:val="2"/>
          <w:szCs w:val="21"/>
          <w:highlight w:val="none"/>
          <w:lang w:val="en-US" w:eastAsia="zh-CN"/>
        </w:rPr>
        <w:t>10.我方将严格遵守《中华人民共和国政府采购法》第七十七条的规定，即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1B48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（1）提供虚假材料谋取中标、成交的；</w:t>
      </w:r>
    </w:p>
    <w:p w14:paraId="32CAC8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（2）采取不正当手段诋毁、排挤其他投标人的；</w:t>
      </w:r>
    </w:p>
    <w:p w14:paraId="201FF9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（3）与采购人、其他投标人或者采购代理机构恶意串通的；</w:t>
      </w:r>
    </w:p>
    <w:p w14:paraId="3268D60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（4）向采购人、采购代理机构行贿或者提供其他不正当利益的；</w:t>
      </w:r>
    </w:p>
    <w:p w14:paraId="017CBA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（5）在招标采购过程中与采购人进行协商谈判的；</w:t>
      </w:r>
    </w:p>
    <w:p w14:paraId="41350ED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（6）拒绝有关部门监督检查或提供虚假情况的。</w:t>
      </w:r>
    </w:p>
    <w:p w14:paraId="1E61F99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11.我方及由本人担任法定代表人的其他机构最近三年内被处罚的违法行为有：</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宋体"/>
          <w:snapToGrid/>
          <w:color w:val="auto"/>
          <w:kern w:val="2"/>
          <w:szCs w:val="21"/>
          <w:highlight w:val="none"/>
          <w:lang w:val="en-US" w:eastAsia="zh-CN"/>
        </w:rPr>
        <w:t>。</w:t>
      </w:r>
    </w:p>
    <w:p w14:paraId="5E3793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12.以上事项如有虚假或隐瞒，我方愿意承担一切后果，并不再寻求任何旨在减轻或免除法律责任的辩解。</w:t>
      </w:r>
    </w:p>
    <w:p w14:paraId="71DADFA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13.与本投标有关的一切正式往来信函请寄：</w:t>
      </w:r>
    </w:p>
    <w:p w14:paraId="562B721C">
      <w:pPr>
        <w:pStyle w:val="8"/>
        <w:keepNext w:val="0"/>
        <w:keepLines w:val="0"/>
        <w:pageBreakBefore w:val="0"/>
        <w:wordWrap/>
        <w:overflowPunct/>
        <w:topLinePunct w:val="0"/>
        <w:bidi w:val="0"/>
        <w:spacing w:line="440" w:lineRule="exact"/>
        <w:ind w:left="430"/>
        <w:rPr>
          <w:color w:val="auto"/>
          <w:sz w:val="21"/>
          <w:szCs w:val="21"/>
          <w:highlight w:val="none"/>
        </w:rPr>
      </w:pPr>
      <w:r>
        <w:rPr>
          <w:color w:val="auto"/>
          <w:spacing w:val="-4"/>
          <w:sz w:val="21"/>
          <w:szCs w:val="21"/>
          <w:highlight w:val="none"/>
        </w:rPr>
        <w:t>地址：</w:t>
      </w:r>
      <w:r>
        <w:rPr>
          <w:color w:val="auto"/>
          <w:sz w:val="21"/>
          <w:szCs w:val="21"/>
          <w:highlight w:val="none"/>
          <w:u w:val="single" w:color="auto"/>
        </w:rPr>
        <w:t xml:space="preserve">                       </w:t>
      </w:r>
    </w:p>
    <w:p w14:paraId="12F048C7">
      <w:pPr>
        <w:pStyle w:val="8"/>
        <w:keepNext w:val="0"/>
        <w:keepLines w:val="0"/>
        <w:pageBreakBefore w:val="0"/>
        <w:tabs>
          <w:tab w:val="left" w:pos="7500"/>
          <w:tab w:val="left" w:pos="7620"/>
        </w:tabs>
        <w:wordWrap/>
        <w:overflowPunct/>
        <w:topLinePunct w:val="0"/>
        <w:bidi w:val="0"/>
        <w:spacing w:line="440" w:lineRule="exact"/>
        <w:ind w:left="447" w:right="1758" w:hanging="16"/>
        <w:jc w:val="both"/>
        <w:rPr>
          <w:color w:val="auto"/>
          <w:sz w:val="21"/>
          <w:szCs w:val="21"/>
          <w:highlight w:val="none"/>
        </w:rPr>
      </w:pPr>
      <w:r>
        <w:rPr>
          <w:color w:val="auto"/>
          <w:spacing w:val="-1"/>
          <w:sz w:val="21"/>
          <w:szCs w:val="21"/>
          <w:highlight w:val="none"/>
        </w:rPr>
        <w:t>联系人：</w:t>
      </w:r>
      <w:r>
        <w:rPr>
          <w:color w:val="auto"/>
          <w:spacing w:val="-1"/>
          <w:sz w:val="21"/>
          <w:szCs w:val="21"/>
          <w:highlight w:val="none"/>
          <w:u w:val="single" w:color="auto"/>
        </w:rPr>
        <w:t xml:space="preserve">                    </w:t>
      </w:r>
      <w:r>
        <w:rPr>
          <w:color w:val="auto"/>
          <w:spacing w:val="-104"/>
          <w:sz w:val="21"/>
          <w:szCs w:val="21"/>
          <w:highlight w:val="none"/>
        </w:rPr>
        <w:t xml:space="preserve"> </w:t>
      </w:r>
      <w:r>
        <w:rPr>
          <w:color w:val="auto"/>
          <w:spacing w:val="-1"/>
          <w:sz w:val="21"/>
          <w:szCs w:val="21"/>
          <w:highlight w:val="none"/>
        </w:rPr>
        <w:t>联系电话：</w:t>
      </w:r>
      <w:r>
        <w:rPr>
          <w:color w:val="auto"/>
          <w:sz w:val="21"/>
          <w:szCs w:val="21"/>
          <w:highlight w:val="none"/>
          <w:u w:val="single" w:color="auto"/>
        </w:rPr>
        <w:tab/>
      </w:r>
      <w:r>
        <w:rPr>
          <w:color w:val="auto"/>
          <w:sz w:val="21"/>
          <w:szCs w:val="21"/>
          <w:highlight w:val="none"/>
        </w:rPr>
        <w:t xml:space="preserve">  </w:t>
      </w:r>
      <w:r>
        <w:rPr>
          <w:color w:val="auto"/>
          <w:spacing w:val="-5"/>
          <w:sz w:val="21"/>
          <w:szCs w:val="21"/>
          <w:highlight w:val="none"/>
        </w:rPr>
        <w:t>电子邮箱：</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5"/>
          <w:sz w:val="21"/>
          <w:szCs w:val="21"/>
          <w:highlight w:val="none"/>
        </w:rPr>
        <w:t>传真：</w:t>
      </w:r>
      <w:r>
        <w:rPr>
          <w:color w:val="auto"/>
          <w:sz w:val="21"/>
          <w:szCs w:val="21"/>
          <w:highlight w:val="none"/>
          <w:u w:val="single" w:color="auto"/>
        </w:rPr>
        <w:tab/>
      </w:r>
      <w:r>
        <w:rPr>
          <w:color w:val="auto"/>
          <w:sz w:val="21"/>
          <w:szCs w:val="21"/>
          <w:highlight w:val="none"/>
          <w:u w:val="single" w:color="auto"/>
        </w:rPr>
        <w:tab/>
      </w:r>
      <w:r>
        <w:rPr>
          <w:color w:val="auto"/>
          <w:sz w:val="21"/>
          <w:szCs w:val="21"/>
          <w:highlight w:val="none"/>
        </w:rPr>
        <w:t xml:space="preserve"> </w:t>
      </w:r>
      <w:r>
        <w:rPr>
          <w:color w:val="auto"/>
          <w:spacing w:val="-6"/>
          <w:sz w:val="21"/>
          <w:szCs w:val="21"/>
          <w:highlight w:val="none"/>
        </w:rPr>
        <w:t>邮政编码：</w:t>
      </w:r>
      <w:r>
        <w:rPr>
          <w:color w:val="auto"/>
          <w:sz w:val="21"/>
          <w:szCs w:val="21"/>
          <w:highlight w:val="none"/>
          <w:u w:val="single" w:color="auto"/>
        </w:rPr>
        <w:t xml:space="preserve">                  </w:t>
      </w:r>
    </w:p>
    <w:p w14:paraId="0FB2953D">
      <w:pPr>
        <w:pStyle w:val="8"/>
        <w:keepNext w:val="0"/>
        <w:keepLines w:val="0"/>
        <w:pageBreakBefore w:val="0"/>
        <w:wordWrap/>
        <w:overflowPunct/>
        <w:topLinePunct w:val="0"/>
        <w:bidi w:val="0"/>
        <w:spacing w:line="440" w:lineRule="exact"/>
        <w:ind w:left="431" w:right="1638"/>
        <w:rPr>
          <w:color w:val="auto"/>
          <w:sz w:val="21"/>
          <w:szCs w:val="21"/>
          <w:highlight w:val="none"/>
        </w:rPr>
      </w:pPr>
      <w:r>
        <w:rPr>
          <w:color w:val="auto"/>
          <w:sz w:val="21"/>
          <w:szCs w:val="21"/>
          <w:highlight w:val="none"/>
        </w:rPr>
        <w:t>开户名称：</w:t>
      </w:r>
      <w:r>
        <w:rPr>
          <w:color w:val="auto"/>
          <w:sz w:val="21"/>
          <w:szCs w:val="21"/>
          <w:highlight w:val="none"/>
          <w:u w:val="single" w:color="auto"/>
        </w:rPr>
        <w:t xml:space="preserve">                </w:t>
      </w:r>
      <w:r>
        <w:rPr>
          <w:color w:val="auto"/>
          <w:spacing w:val="-109"/>
          <w:sz w:val="21"/>
          <w:szCs w:val="21"/>
          <w:highlight w:val="none"/>
        </w:rPr>
        <w:t xml:space="preserve"> </w:t>
      </w:r>
      <w:r>
        <w:rPr>
          <w:color w:val="auto"/>
          <w:sz w:val="21"/>
          <w:szCs w:val="21"/>
          <w:highlight w:val="none"/>
        </w:rPr>
        <w:t>开户银行</w:t>
      </w:r>
      <w:r>
        <w:rPr>
          <w:color w:val="auto"/>
          <w:spacing w:val="-1"/>
          <w:sz w:val="21"/>
          <w:szCs w:val="21"/>
          <w:highlight w:val="none"/>
        </w:rPr>
        <w:t>：</w:t>
      </w:r>
      <w:r>
        <w:rPr>
          <w:color w:val="auto"/>
          <w:spacing w:val="-1"/>
          <w:sz w:val="21"/>
          <w:szCs w:val="21"/>
          <w:highlight w:val="none"/>
          <w:u w:val="single" w:color="auto"/>
        </w:rPr>
        <w:t xml:space="preserve">                 </w:t>
      </w:r>
      <w:r>
        <w:rPr>
          <w:color w:val="auto"/>
          <w:spacing w:val="-3"/>
          <w:sz w:val="21"/>
          <w:szCs w:val="21"/>
          <w:highlight w:val="none"/>
        </w:rPr>
        <w:t>银行账号：</w:t>
      </w:r>
      <w:r>
        <w:rPr>
          <w:rFonts w:hint="eastAsia"/>
          <w:color w:val="auto"/>
          <w:spacing w:val="-3"/>
          <w:sz w:val="21"/>
          <w:szCs w:val="21"/>
          <w:highlight w:val="none"/>
          <w:u w:val="single" w:color="auto"/>
          <w:lang w:val="en-US" w:eastAsia="zh-CN"/>
        </w:rPr>
        <w:t xml:space="preserve">   </w:t>
      </w:r>
      <w:r>
        <w:rPr>
          <w:color w:val="auto"/>
          <w:spacing w:val="-1"/>
          <w:sz w:val="21"/>
          <w:szCs w:val="21"/>
          <w:highlight w:val="none"/>
          <w:u w:val="single" w:color="auto"/>
        </w:rPr>
        <w:t xml:space="preserve"> </w:t>
      </w:r>
      <w:r>
        <w:rPr>
          <w:rFonts w:hint="eastAsia"/>
          <w:color w:val="auto"/>
          <w:spacing w:val="-1"/>
          <w:sz w:val="21"/>
          <w:szCs w:val="21"/>
          <w:highlight w:val="none"/>
          <w:u w:val="single" w:color="auto"/>
          <w:lang w:val="en-US" w:eastAsia="zh-CN"/>
        </w:rPr>
        <w:t xml:space="preserve">      </w:t>
      </w:r>
      <w:r>
        <w:rPr>
          <w:color w:val="auto"/>
          <w:spacing w:val="-1"/>
          <w:sz w:val="21"/>
          <w:szCs w:val="21"/>
          <w:highlight w:val="none"/>
          <w:u w:val="single" w:color="auto"/>
        </w:rPr>
        <w:t xml:space="preserve"> </w:t>
      </w:r>
      <w:r>
        <w:rPr>
          <w:rFonts w:hint="eastAsia"/>
          <w:color w:val="auto"/>
          <w:spacing w:val="-1"/>
          <w:sz w:val="21"/>
          <w:szCs w:val="21"/>
          <w:highlight w:val="none"/>
          <w:u w:val="single" w:color="auto"/>
          <w:lang w:val="en-US" w:eastAsia="zh-CN"/>
        </w:rPr>
        <w:t xml:space="preserve">  </w:t>
      </w:r>
      <w:r>
        <w:rPr>
          <w:color w:val="auto"/>
          <w:spacing w:val="-1"/>
          <w:sz w:val="21"/>
          <w:szCs w:val="21"/>
          <w:highlight w:val="none"/>
          <w:u w:val="single" w:color="auto"/>
        </w:rPr>
        <w:t xml:space="preserve">          </w:t>
      </w:r>
      <w:r>
        <w:rPr>
          <w:color w:val="auto"/>
          <w:sz w:val="21"/>
          <w:szCs w:val="21"/>
          <w:highlight w:val="none"/>
          <w:u w:val="single" w:color="auto"/>
        </w:rPr>
        <w:t xml:space="preserve">               </w:t>
      </w:r>
    </w:p>
    <w:p w14:paraId="5CB98FDE">
      <w:pPr>
        <w:keepNext w:val="0"/>
        <w:keepLines w:val="0"/>
        <w:pageBreakBefore w:val="0"/>
        <w:wordWrap/>
        <w:overflowPunct/>
        <w:topLinePunct w:val="0"/>
        <w:bidi w:val="0"/>
        <w:spacing w:line="440" w:lineRule="exact"/>
        <w:rPr>
          <w:rFonts w:ascii="Arial"/>
          <w:color w:val="auto"/>
          <w:sz w:val="21"/>
          <w:szCs w:val="21"/>
          <w:highlight w:val="none"/>
        </w:rPr>
      </w:pPr>
    </w:p>
    <w:p w14:paraId="0ED9EE99">
      <w:pPr>
        <w:pStyle w:val="8"/>
        <w:keepNext w:val="0"/>
        <w:keepLines w:val="0"/>
        <w:pageBreakBefore w:val="0"/>
        <w:wordWrap/>
        <w:overflowPunct/>
        <w:topLinePunct w:val="0"/>
        <w:bidi w:val="0"/>
        <w:spacing w:line="440" w:lineRule="exact"/>
        <w:ind w:left="531" w:right="6077" w:hanging="38"/>
        <w:rPr>
          <w:color w:val="auto"/>
          <w:sz w:val="21"/>
          <w:szCs w:val="21"/>
          <w:highlight w:val="none"/>
        </w:rPr>
      </w:pPr>
      <w:r>
        <w:rPr>
          <w:color w:val="auto"/>
          <w:spacing w:val="-2"/>
          <w:sz w:val="21"/>
          <w:szCs w:val="21"/>
          <w:highlight w:val="none"/>
        </w:rPr>
        <w:t>投标人名称（电子签章</w:t>
      </w:r>
      <w:r>
        <w:rPr>
          <w:color w:val="auto"/>
          <w:spacing w:val="-27"/>
          <w:sz w:val="21"/>
          <w:szCs w:val="21"/>
          <w:highlight w:val="none"/>
        </w:rPr>
        <w:t>）：</w:t>
      </w:r>
      <w:r>
        <w:rPr>
          <w:color w:val="auto"/>
          <w:sz w:val="21"/>
          <w:szCs w:val="21"/>
          <w:highlight w:val="none"/>
        </w:rPr>
        <w:t xml:space="preserve"> </w:t>
      </w:r>
    </w:p>
    <w:p w14:paraId="301C7190">
      <w:pPr>
        <w:pStyle w:val="8"/>
        <w:keepNext w:val="0"/>
        <w:keepLines w:val="0"/>
        <w:pageBreakBefore w:val="0"/>
        <w:wordWrap/>
        <w:overflowPunct/>
        <w:topLinePunct w:val="0"/>
        <w:bidi w:val="0"/>
        <w:spacing w:line="440" w:lineRule="exact"/>
        <w:ind w:left="531" w:right="6077" w:hanging="38"/>
        <w:rPr>
          <w:color w:val="auto"/>
          <w:sz w:val="21"/>
          <w:szCs w:val="21"/>
          <w:highlight w:val="none"/>
        </w:rPr>
        <w:sectPr>
          <w:headerReference r:id="rId30" w:type="default"/>
          <w:footerReference r:id="rId31" w:type="default"/>
          <w:pgSz w:w="11906" w:h="16839"/>
          <w:pgMar w:top="977" w:right="1167" w:bottom="839" w:left="1360" w:header="963" w:footer="677" w:gutter="0"/>
          <w:pgNumType w:fmt="decimal"/>
          <w:cols w:space="720" w:num="1"/>
        </w:sectPr>
      </w:pPr>
      <w:r>
        <w:rPr>
          <w:color w:val="auto"/>
          <w:spacing w:val="-13"/>
          <w:sz w:val="21"/>
          <w:szCs w:val="21"/>
          <w:highlight w:val="none"/>
        </w:rPr>
        <w:t>日期：</w:t>
      </w:r>
      <w:r>
        <w:rPr>
          <w:color w:val="auto"/>
          <w:spacing w:val="5"/>
          <w:sz w:val="21"/>
          <w:szCs w:val="21"/>
          <w:highlight w:val="none"/>
        </w:rPr>
        <w:t xml:space="preserve">  </w:t>
      </w:r>
      <w:r>
        <w:rPr>
          <w:color w:val="auto"/>
          <w:spacing w:val="-13"/>
          <w:sz w:val="21"/>
          <w:szCs w:val="21"/>
          <w:highlight w:val="none"/>
        </w:rPr>
        <w:t>年</w:t>
      </w:r>
      <w:r>
        <w:rPr>
          <w:color w:val="auto"/>
          <w:spacing w:val="8"/>
          <w:sz w:val="21"/>
          <w:szCs w:val="21"/>
          <w:highlight w:val="none"/>
        </w:rPr>
        <w:t xml:space="preserve">  </w:t>
      </w:r>
      <w:r>
        <w:rPr>
          <w:color w:val="auto"/>
          <w:spacing w:val="-13"/>
          <w:sz w:val="21"/>
          <w:szCs w:val="21"/>
          <w:highlight w:val="none"/>
        </w:rPr>
        <w:t>月</w:t>
      </w:r>
      <w:r>
        <w:rPr>
          <w:color w:val="auto"/>
          <w:spacing w:val="25"/>
          <w:sz w:val="21"/>
          <w:szCs w:val="21"/>
          <w:highlight w:val="none"/>
        </w:rPr>
        <w:t xml:space="preserve">  </w:t>
      </w:r>
      <w:r>
        <w:rPr>
          <w:color w:val="auto"/>
          <w:spacing w:val="-13"/>
          <w:sz w:val="21"/>
          <w:szCs w:val="21"/>
          <w:highlight w:val="none"/>
        </w:rPr>
        <w:t>日</w:t>
      </w:r>
    </w:p>
    <w:p w14:paraId="19EF18E0">
      <w:pPr>
        <w:pStyle w:val="8"/>
        <w:keepNext w:val="0"/>
        <w:keepLines w:val="0"/>
        <w:pageBreakBefore w:val="0"/>
        <w:wordWrap/>
        <w:overflowPunct/>
        <w:topLinePunct w:val="0"/>
        <w:bidi w:val="0"/>
        <w:spacing w:line="440" w:lineRule="exact"/>
        <w:rPr>
          <w:color w:val="auto"/>
          <w:sz w:val="21"/>
          <w:szCs w:val="21"/>
          <w:highlight w:val="none"/>
        </w:rPr>
      </w:pPr>
      <w:r>
        <w:rPr>
          <w:b/>
          <w:bCs/>
          <w:color w:val="auto"/>
          <w:spacing w:val="-4"/>
          <w:sz w:val="24"/>
          <w:szCs w:val="24"/>
          <w:highlight w:val="none"/>
        </w:rPr>
        <w:t>4.开标一览表</w:t>
      </w:r>
    </w:p>
    <w:p w14:paraId="6DB2201E">
      <w:pPr>
        <w:pStyle w:val="8"/>
        <w:keepNext w:val="0"/>
        <w:keepLines w:val="0"/>
        <w:pageBreakBefore w:val="0"/>
        <w:wordWrap/>
        <w:overflowPunct/>
        <w:topLinePunct w:val="0"/>
        <w:bidi w:val="0"/>
        <w:spacing w:line="440" w:lineRule="exact"/>
        <w:ind w:left="3908"/>
        <w:rPr>
          <w:color w:val="auto"/>
          <w:sz w:val="28"/>
          <w:szCs w:val="28"/>
          <w:highlight w:val="none"/>
        </w:rPr>
      </w:pPr>
      <w:r>
        <w:rPr>
          <w:b/>
          <w:bCs/>
          <w:color w:val="auto"/>
          <w:spacing w:val="-5"/>
          <w:sz w:val="28"/>
          <w:szCs w:val="28"/>
          <w:highlight w:val="none"/>
        </w:rPr>
        <w:t>开标一览表</w:t>
      </w:r>
    </w:p>
    <w:p w14:paraId="7682A414">
      <w:pPr>
        <w:pStyle w:val="8"/>
        <w:keepNext w:val="0"/>
        <w:keepLines w:val="0"/>
        <w:pageBreakBefore w:val="0"/>
        <w:wordWrap/>
        <w:overflowPunct/>
        <w:topLinePunct w:val="0"/>
        <w:bidi w:val="0"/>
        <w:spacing w:line="440" w:lineRule="exact"/>
        <w:ind w:left="14"/>
        <w:rPr>
          <w:color w:val="auto"/>
          <w:sz w:val="21"/>
          <w:szCs w:val="21"/>
          <w:highlight w:val="none"/>
        </w:rPr>
      </w:pPr>
      <w:r>
        <w:rPr>
          <w:color w:val="auto"/>
          <w:spacing w:val="-1"/>
          <w:sz w:val="21"/>
          <w:szCs w:val="21"/>
          <w:highlight w:val="none"/>
        </w:rPr>
        <w:t>项目名称：</w:t>
      </w:r>
      <w:r>
        <w:rPr>
          <w:color w:val="auto"/>
          <w:spacing w:val="-1"/>
          <w:sz w:val="21"/>
          <w:szCs w:val="21"/>
          <w:highlight w:val="none"/>
          <w:u w:val="single" w:color="auto"/>
        </w:rPr>
        <w:t xml:space="preserve">                   </w:t>
      </w:r>
      <w:r>
        <w:rPr>
          <w:color w:val="auto"/>
          <w:spacing w:val="1"/>
          <w:sz w:val="21"/>
          <w:szCs w:val="21"/>
          <w:highlight w:val="none"/>
        </w:rPr>
        <w:t xml:space="preserve">         </w:t>
      </w:r>
      <w:r>
        <w:rPr>
          <w:color w:val="auto"/>
          <w:spacing w:val="-1"/>
          <w:sz w:val="21"/>
          <w:szCs w:val="21"/>
          <w:highlight w:val="none"/>
        </w:rPr>
        <w:t>项目编号：</w:t>
      </w:r>
      <w:r>
        <w:rPr>
          <w:color w:val="auto"/>
          <w:sz w:val="21"/>
          <w:szCs w:val="21"/>
          <w:highlight w:val="none"/>
          <w:u w:val="single" w:color="auto"/>
        </w:rPr>
        <w:t xml:space="preserve">            </w:t>
      </w:r>
    </w:p>
    <w:p w14:paraId="128A2CD2">
      <w:pPr>
        <w:pStyle w:val="8"/>
        <w:keepNext w:val="0"/>
        <w:keepLines w:val="0"/>
        <w:pageBreakBefore w:val="0"/>
        <w:wordWrap/>
        <w:overflowPunct/>
        <w:topLinePunct w:val="0"/>
        <w:bidi w:val="0"/>
        <w:spacing w:line="440" w:lineRule="exact"/>
        <w:ind w:left="13"/>
        <w:rPr>
          <w:color w:val="auto"/>
          <w:sz w:val="21"/>
          <w:szCs w:val="21"/>
          <w:highlight w:val="none"/>
        </w:rPr>
      </w:pPr>
      <w:r>
        <w:rPr>
          <w:color w:val="auto"/>
          <w:spacing w:val="-3"/>
          <w:sz w:val="21"/>
          <w:szCs w:val="21"/>
          <w:highlight w:val="none"/>
        </w:rPr>
        <w:t>投标人名称：</w:t>
      </w:r>
      <w:r>
        <w:rPr>
          <w:color w:val="auto"/>
          <w:sz w:val="21"/>
          <w:szCs w:val="21"/>
          <w:highlight w:val="none"/>
          <w:u w:val="single" w:color="auto"/>
        </w:rPr>
        <w:t xml:space="preserve">                 </w:t>
      </w:r>
    </w:p>
    <w:p w14:paraId="462F8924">
      <w:pPr>
        <w:keepNext w:val="0"/>
        <w:keepLines w:val="0"/>
        <w:pageBreakBefore w:val="0"/>
        <w:wordWrap/>
        <w:overflowPunct/>
        <w:topLinePunct w:val="0"/>
        <w:bidi w:val="0"/>
        <w:spacing w:line="440" w:lineRule="exact"/>
        <w:rPr>
          <w:color w:val="auto"/>
          <w:sz w:val="21"/>
          <w:szCs w:val="21"/>
          <w:highlight w:val="none"/>
        </w:rPr>
      </w:pPr>
    </w:p>
    <w:tbl>
      <w:tblPr>
        <w:tblStyle w:val="12"/>
        <w:tblW w:w="888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267"/>
        <w:gridCol w:w="1133"/>
        <w:gridCol w:w="1133"/>
        <w:gridCol w:w="1983"/>
        <w:gridCol w:w="1528"/>
      </w:tblGrid>
      <w:tr w14:paraId="734D1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36" w:type="dxa"/>
            <w:vAlign w:val="top"/>
          </w:tcPr>
          <w:p w14:paraId="3EDB4D9F">
            <w:pPr>
              <w:pStyle w:val="13"/>
              <w:keepNext w:val="0"/>
              <w:keepLines w:val="0"/>
              <w:pageBreakBefore w:val="0"/>
              <w:wordWrap/>
              <w:overflowPunct/>
              <w:topLinePunct w:val="0"/>
              <w:bidi w:val="0"/>
              <w:spacing w:line="440" w:lineRule="exact"/>
              <w:ind w:left="184"/>
              <w:rPr>
                <w:color w:val="auto"/>
                <w:sz w:val="21"/>
                <w:szCs w:val="21"/>
                <w:highlight w:val="none"/>
              </w:rPr>
            </w:pPr>
            <w:r>
              <w:rPr>
                <w:color w:val="auto"/>
                <w:spacing w:val="-5"/>
                <w:sz w:val="21"/>
                <w:szCs w:val="21"/>
                <w:highlight w:val="none"/>
              </w:rPr>
              <w:t>序号</w:t>
            </w:r>
          </w:p>
        </w:tc>
        <w:tc>
          <w:tcPr>
            <w:tcW w:w="2267" w:type="dxa"/>
            <w:vAlign w:val="top"/>
          </w:tcPr>
          <w:p w14:paraId="64C91353">
            <w:pPr>
              <w:pStyle w:val="13"/>
              <w:keepNext w:val="0"/>
              <w:keepLines w:val="0"/>
              <w:pageBreakBefore w:val="0"/>
              <w:wordWrap/>
              <w:overflowPunct/>
              <w:topLinePunct w:val="0"/>
              <w:bidi w:val="0"/>
              <w:spacing w:line="440" w:lineRule="exact"/>
              <w:ind w:left="660"/>
              <w:rPr>
                <w:color w:val="auto"/>
                <w:sz w:val="21"/>
                <w:szCs w:val="21"/>
                <w:highlight w:val="none"/>
              </w:rPr>
            </w:pPr>
            <w:r>
              <w:rPr>
                <w:color w:val="auto"/>
                <w:spacing w:val="-3"/>
                <w:sz w:val="21"/>
                <w:szCs w:val="21"/>
                <w:highlight w:val="none"/>
              </w:rPr>
              <w:t>标的名称</w:t>
            </w:r>
          </w:p>
        </w:tc>
        <w:tc>
          <w:tcPr>
            <w:tcW w:w="1133" w:type="dxa"/>
            <w:vAlign w:val="top"/>
          </w:tcPr>
          <w:p w14:paraId="2457BFEF">
            <w:pPr>
              <w:pStyle w:val="13"/>
              <w:keepNext w:val="0"/>
              <w:keepLines w:val="0"/>
              <w:pageBreakBefore w:val="0"/>
              <w:wordWrap/>
              <w:overflowPunct/>
              <w:topLinePunct w:val="0"/>
              <w:bidi w:val="0"/>
              <w:spacing w:line="440" w:lineRule="exact"/>
              <w:ind w:left="333"/>
              <w:rPr>
                <w:color w:val="auto"/>
                <w:sz w:val="21"/>
                <w:szCs w:val="21"/>
                <w:highlight w:val="none"/>
              </w:rPr>
            </w:pPr>
            <w:r>
              <w:rPr>
                <w:color w:val="auto"/>
                <w:spacing w:val="-6"/>
                <w:sz w:val="21"/>
                <w:szCs w:val="21"/>
                <w:highlight w:val="none"/>
              </w:rPr>
              <w:t>数量</w:t>
            </w:r>
          </w:p>
        </w:tc>
        <w:tc>
          <w:tcPr>
            <w:tcW w:w="1133" w:type="dxa"/>
            <w:vAlign w:val="top"/>
          </w:tcPr>
          <w:p w14:paraId="024FCE6D">
            <w:pPr>
              <w:pStyle w:val="13"/>
              <w:keepNext w:val="0"/>
              <w:keepLines w:val="0"/>
              <w:pageBreakBefore w:val="0"/>
              <w:wordWrap/>
              <w:overflowPunct/>
              <w:topLinePunct w:val="0"/>
              <w:bidi w:val="0"/>
              <w:spacing w:line="440" w:lineRule="exact"/>
              <w:ind w:left="336"/>
              <w:rPr>
                <w:color w:val="auto"/>
                <w:sz w:val="21"/>
                <w:szCs w:val="21"/>
                <w:highlight w:val="none"/>
              </w:rPr>
            </w:pPr>
            <w:r>
              <w:rPr>
                <w:color w:val="auto"/>
                <w:spacing w:val="-6"/>
                <w:sz w:val="21"/>
                <w:szCs w:val="21"/>
                <w:highlight w:val="none"/>
              </w:rPr>
              <w:t>单位</w:t>
            </w:r>
          </w:p>
        </w:tc>
        <w:tc>
          <w:tcPr>
            <w:tcW w:w="1983" w:type="dxa"/>
            <w:vAlign w:val="top"/>
          </w:tcPr>
          <w:p w14:paraId="4BDB8EC8">
            <w:pPr>
              <w:pStyle w:val="13"/>
              <w:keepNext w:val="0"/>
              <w:keepLines w:val="0"/>
              <w:pageBreakBefore w:val="0"/>
              <w:wordWrap/>
              <w:overflowPunct/>
              <w:topLinePunct w:val="0"/>
              <w:bidi w:val="0"/>
              <w:spacing w:line="440" w:lineRule="exact"/>
              <w:ind w:left="403"/>
              <w:rPr>
                <w:color w:val="auto"/>
                <w:sz w:val="21"/>
                <w:szCs w:val="21"/>
                <w:highlight w:val="none"/>
              </w:rPr>
            </w:pPr>
            <w:r>
              <w:rPr>
                <w:color w:val="auto"/>
                <w:spacing w:val="-3"/>
                <w:sz w:val="21"/>
                <w:szCs w:val="21"/>
                <w:highlight w:val="none"/>
              </w:rPr>
              <w:t>单价（元）</w:t>
            </w:r>
          </w:p>
        </w:tc>
        <w:tc>
          <w:tcPr>
            <w:tcW w:w="1528" w:type="dxa"/>
            <w:vAlign w:val="top"/>
          </w:tcPr>
          <w:p w14:paraId="01611DCB">
            <w:pPr>
              <w:pStyle w:val="13"/>
              <w:keepNext w:val="0"/>
              <w:keepLines w:val="0"/>
              <w:pageBreakBefore w:val="0"/>
              <w:wordWrap/>
              <w:overflowPunct/>
              <w:topLinePunct w:val="0"/>
              <w:bidi w:val="0"/>
              <w:spacing w:line="440" w:lineRule="exact"/>
              <w:ind w:left="368"/>
              <w:rPr>
                <w:color w:val="auto"/>
                <w:sz w:val="21"/>
                <w:szCs w:val="21"/>
                <w:highlight w:val="none"/>
              </w:rPr>
            </w:pPr>
            <w:r>
              <w:rPr>
                <w:color w:val="auto"/>
                <w:spacing w:val="-4"/>
                <w:sz w:val="21"/>
                <w:szCs w:val="21"/>
                <w:highlight w:val="none"/>
              </w:rPr>
              <w:t>总价（元）</w:t>
            </w:r>
          </w:p>
        </w:tc>
      </w:tr>
      <w:tr w14:paraId="66A6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36" w:type="dxa"/>
            <w:vAlign w:val="top"/>
          </w:tcPr>
          <w:p w14:paraId="20DC7609">
            <w:pPr>
              <w:pStyle w:val="13"/>
              <w:keepNext w:val="0"/>
              <w:keepLines w:val="0"/>
              <w:pageBreakBefore w:val="0"/>
              <w:wordWrap/>
              <w:overflowPunct/>
              <w:topLinePunct w:val="0"/>
              <w:bidi w:val="0"/>
              <w:spacing w:line="440" w:lineRule="exact"/>
              <w:ind w:left="383"/>
              <w:rPr>
                <w:color w:val="auto"/>
                <w:sz w:val="21"/>
                <w:szCs w:val="21"/>
                <w:highlight w:val="none"/>
              </w:rPr>
            </w:pPr>
            <w:r>
              <w:rPr>
                <w:color w:val="auto"/>
                <w:sz w:val="21"/>
                <w:szCs w:val="21"/>
                <w:highlight w:val="none"/>
              </w:rPr>
              <w:t>1</w:t>
            </w:r>
          </w:p>
        </w:tc>
        <w:tc>
          <w:tcPr>
            <w:tcW w:w="2267" w:type="dxa"/>
            <w:vAlign w:val="top"/>
          </w:tcPr>
          <w:p w14:paraId="4FBF5F56">
            <w:pPr>
              <w:keepNext w:val="0"/>
              <w:keepLines w:val="0"/>
              <w:pageBreakBefore w:val="0"/>
              <w:wordWrap/>
              <w:overflowPunct/>
              <w:topLinePunct w:val="0"/>
              <w:bidi w:val="0"/>
              <w:spacing w:line="440" w:lineRule="exact"/>
              <w:rPr>
                <w:rFonts w:ascii="Arial"/>
                <w:color w:val="auto"/>
                <w:sz w:val="21"/>
                <w:szCs w:val="21"/>
                <w:highlight w:val="none"/>
              </w:rPr>
            </w:pPr>
          </w:p>
        </w:tc>
        <w:tc>
          <w:tcPr>
            <w:tcW w:w="1133" w:type="dxa"/>
            <w:vAlign w:val="top"/>
          </w:tcPr>
          <w:p w14:paraId="76285D11">
            <w:pPr>
              <w:pStyle w:val="13"/>
              <w:keepNext w:val="0"/>
              <w:keepLines w:val="0"/>
              <w:pageBreakBefore w:val="0"/>
              <w:wordWrap/>
              <w:overflowPunct/>
              <w:topLinePunct w:val="0"/>
              <w:bidi w:val="0"/>
              <w:spacing w:line="440" w:lineRule="exact"/>
              <w:ind w:left="529"/>
              <w:rPr>
                <w:color w:val="auto"/>
                <w:sz w:val="21"/>
                <w:szCs w:val="21"/>
                <w:highlight w:val="none"/>
              </w:rPr>
            </w:pPr>
            <w:r>
              <w:rPr>
                <w:color w:val="auto"/>
                <w:sz w:val="21"/>
                <w:szCs w:val="21"/>
                <w:highlight w:val="none"/>
              </w:rPr>
              <w:t>1</w:t>
            </w:r>
          </w:p>
        </w:tc>
        <w:tc>
          <w:tcPr>
            <w:tcW w:w="1133" w:type="dxa"/>
            <w:vAlign w:val="top"/>
          </w:tcPr>
          <w:p w14:paraId="6F63B6BF">
            <w:pPr>
              <w:pStyle w:val="13"/>
              <w:keepNext w:val="0"/>
              <w:keepLines w:val="0"/>
              <w:pageBreakBefore w:val="0"/>
              <w:wordWrap/>
              <w:overflowPunct/>
              <w:topLinePunct w:val="0"/>
              <w:bidi w:val="0"/>
              <w:spacing w:line="440" w:lineRule="exact"/>
              <w:ind w:left="457"/>
              <w:rPr>
                <w:color w:val="auto"/>
                <w:sz w:val="21"/>
                <w:szCs w:val="21"/>
                <w:highlight w:val="none"/>
              </w:rPr>
            </w:pPr>
            <w:r>
              <w:rPr>
                <w:color w:val="auto"/>
                <w:sz w:val="21"/>
                <w:szCs w:val="21"/>
                <w:highlight w:val="none"/>
              </w:rPr>
              <w:t>项</w:t>
            </w:r>
          </w:p>
        </w:tc>
        <w:tc>
          <w:tcPr>
            <w:tcW w:w="1983" w:type="dxa"/>
            <w:vAlign w:val="top"/>
          </w:tcPr>
          <w:p w14:paraId="6CB72E2A">
            <w:pPr>
              <w:keepNext w:val="0"/>
              <w:keepLines w:val="0"/>
              <w:pageBreakBefore w:val="0"/>
              <w:wordWrap/>
              <w:overflowPunct/>
              <w:topLinePunct w:val="0"/>
              <w:bidi w:val="0"/>
              <w:spacing w:line="440" w:lineRule="exact"/>
              <w:rPr>
                <w:rFonts w:ascii="Arial"/>
                <w:color w:val="auto"/>
                <w:sz w:val="21"/>
                <w:szCs w:val="21"/>
                <w:highlight w:val="none"/>
              </w:rPr>
            </w:pPr>
          </w:p>
        </w:tc>
        <w:tc>
          <w:tcPr>
            <w:tcW w:w="1528" w:type="dxa"/>
            <w:vAlign w:val="top"/>
          </w:tcPr>
          <w:p w14:paraId="70EB24B2">
            <w:pPr>
              <w:keepNext w:val="0"/>
              <w:keepLines w:val="0"/>
              <w:pageBreakBefore w:val="0"/>
              <w:wordWrap/>
              <w:overflowPunct/>
              <w:topLinePunct w:val="0"/>
              <w:bidi w:val="0"/>
              <w:spacing w:line="440" w:lineRule="exact"/>
              <w:rPr>
                <w:rFonts w:ascii="Arial"/>
                <w:color w:val="auto"/>
                <w:sz w:val="21"/>
                <w:szCs w:val="21"/>
                <w:highlight w:val="none"/>
              </w:rPr>
            </w:pPr>
          </w:p>
        </w:tc>
      </w:tr>
      <w:tr w14:paraId="204C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36" w:type="dxa"/>
            <w:vAlign w:val="top"/>
          </w:tcPr>
          <w:p w14:paraId="62143CE5">
            <w:pPr>
              <w:pStyle w:val="13"/>
              <w:keepNext w:val="0"/>
              <w:keepLines w:val="0"/>
              <w:pageBreakBefore w:val="0"/>
              <w:wordWrap/>
              <w:overflowPunct/>
              <w:topLinePunct w:val="0"/>
              <w:bidi w:val="0"/>
              <w:spacing w:line="440" w:lineRule="exact"/>
              <w:ind w:left="368"/>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2267" w:type="dxa"/>
            <w:vAlign w:val="top"/>
          </w:tcPr>
          <w:p w14:paraId="7A533D25">
            <w:pPr>
              <w:keepNext w:val="0"/>
              <w:keepLines w:val="0"/>
              <w:pageBreakBefore w:val="0"/>
              <w:wordWrap/>
              <w:overflowPunct/>
              <w:topLinePunct w:val="0"/>
              <w:bidi w:val="0"/>
              <w:spacing w:line="440" w:lineRule="exact"/>
              <w:rPr>
                <w:rFonts w:ascii="Arial"/>
                <w:color w:val="auto"/>
                <w:sz w:val="21"/>
                <w:szCs w:val="21"/>
                <w:highlight w:val="none"/>
              </w:rPr>
            </w:pPr>
          </w:p>
        </w:tc>
        <w:tc>
          <w:tcPr>
            <w:tcW w:w="1133" w:type="dxa"/>
            <w:vAlign w:val="top"/>
          </w:tcPr>
          <w:p w14:paraId="239E6C77">
            <w:pPr>
              <w:keepNext w:val="0"/>
              <w:keepLines w:val="0"/>
              <w:pageBreakBefore w:val="0"/>
              <w:wordWrap/>
              <w:overflowPunct/>
              <w:topLinePunct w:val="0"/>
              <w:bidi w:val="0"/>
              <w:spacing w:line="440" w:lineRule="exact"/>
              <w:rPr>
                <w:rFonts w:ascii="Arial"/>
                <w:color w:val="auto"/>
                <w:sz w:val="21"/>
                <w:szCs w:val="21"/>
                <w:highlight w:val="none"/>
              </w:rPr>
            </w:pPr>
          </w:p>
        </w:tc>
        <w:tc>
          <w:tcPr>
            <w:tcW w:w="1133" w:type="dxa"/>
            <w:vAlign w:val="top"/>
          </w:tcPr>
          <w:p w14:paraId="1231373A">
            <w:pPr>
              <w:keepNext w:val="0"/>
              <w:keepLines w:val="0"/>
              <w:pageBreakBefore w:val="0"/>
              <w:wordWrap/>
              <w:overflowPunct/>
              <w:topLinePunct w:val="0"/>
              <w:bidi w:val="0"/>
              <w:spacing w:line="440" w:lineRule="exact"/>
              <w:rPr>
                <w:rFonts w:ascii="Arial"/>
                <w:color w:val="auto"/>
                <w:sz w:val="21"/>
                <w:szCs w:val="21"/>
                <w:highlight w:val="none"/>
              </w:rPr>
            </w:pPr>
          </w:p>
        </w:tc>
        <w:tc>
          <w:tcPr>
            <w:tcW w:w="1983" w:type="dxa"/>
            <w:vAlign w:val="top"/>
          </w:tcPr>
          <w:p w14:paraId="7DEB6B7C">
            <w:pPr>
              <w:keepNext w:val="0"/>
              <w:keepLines w:val="0"/>
              <w:pageBreakBefore w:val="0"/>
              <w:wordWrap/>
              <w:overflowPunct/>
              <w:topLinePunct w:val="0"/>
              <w:bidi w:val="0"/>
              <w:spacing w:line="440" w:lineRule="exact"/>
              <w:rPr>
                <w:rFonts w:ascii="Arial"/>
                <w:color w:val="auto"/>
                <w:sz w:val="21"/>
                <w:szCs w:val="21"/>
                <w:highlight w:val="none"/>
              </w:rPr>
            </w:pPr>
          </w:p>
        </w:tc>
        <w:tc>
          <w:tcPr>
            <w:tcW w:w="1528" w:type="dxa"/>
            <w:vAlign w:val="top"/>
          </w:tcPr>
          <w:p w14:paraId="4998F33A">
            <w:pPr>
              <w:keepNext w:val="0"/>
              <w:keepLines w:val="0"/>
              <w:pageBreakBefore w:val="0"/>
              <w:wordWrap/>
              <w:overflowPunct/>
              <w:topLinePunct w:val="0"/>
              <w:bidi w:val="0"/>
              <w:spacing w:line="440" w:lineRule="exact"/>
              <w:rPr>
                <w:rFonts w:ascii="Arial"/>
                <w:color w:val="auto"/>
                <w:sz w:val="21"/>
                <w:szCs w:val="21"/>
                <w:highlight w:val="none"/>
              </w:rPr>
            </w:pPr>
          </w:p>
        </w:tc>
      </w:tr>
      <w:tr w14:paraId="5FA0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36" w:type="dxa"/>
            <w:vAlign w:val="top"/>
          </w:tcPr>
          <w:p w14:paraId="25CC863C">
            <w:pPr>
              <w:pStyle w:val="13"/>
              <w:keepNext w:val="0"/>
              <w:keepLines w:val="0"/>
              <w:pageBreakBefore w:val="0"/>
              <w:wordWrap/>
              <w:overflowPunct/>
              <w:topLinePunct w:val="0"/>
              <w:bidi w:val="0"/>
              <w:spacing w:line="440" w:lineRule="exact"/>
              <w:ind w:left="320"/>
              <w:rPr>
                <w:color w:val="auto"/>
                <w:sz w:val="21"/>
                <w:szCs w:val="21"/>
                <w:highlight w:val="none"/>
              </w:rPr>
            </w:pPr>
            <w:r>
              <w:rPr>
                <w:color w:val="auto"/>
                <w:position w:val="3"/>
                <w:sz w:val="21"/>
                <w:szCs w:val="21"/>
                <w:highlight w:val="none"/>
              </w:rPr>
              <w:t>…</w:t>
            </w:r>
          </w:p>
        </w:tc>
        <w:tc>
          <w:tcPr>
            <w:tcW w:w="2267" w:type="dxa"/>
            <w:vAlign w:val="top"/>
          </w:tcPr>
          <w:p w14:paraId="11F93007">
            <w:pPr>
              <w:pStyle w:val="13"/>
              <w:keepNext w:val="0"/>
              <w:keepLines w:val="0"/>
              <w:pageBreakBefore w:val="0"/>
              <w:wordWrap/>
              <w:overflowPunct/>
              <w:topLinePunct w:val="0"/>
              <w:bidi w:val="0"/>
              <w:spacing w:line="440" w:lineRule="exact"/>
              <w:ind w:left="1034"/>
              <w:rPr>
                <w:color w:val="auto"/>
                <w:sz w:val="21"/>
                <w:szCs w:val="21"/>
                <w:highlight w:val="none"/>
              </w:rPr>
            </w:pPr>
            <w:r>
              <w:rPr>
                <w:color w:val="auto"/>
                <w:position w:val="3"/>
                <w:sz w:val="21"/>
                <w:szCs w:val="21"/>
                <w:highlight w:val="none"/>
              </w:rPr>
              <w:t>…</w:t>
            </w:r>
          </w:p>
        </w:tc>
        <w:tc>
          <w:tcPr>
            <w:tcW w:w="1133" w:type="dxa"/>
            <w:vAlign w:val="top"/>
          </w:tcPr>
          <w:p w14:paraId="54999B90">
            <w:pPr>
              <w:pStyle w:val="13"/>
              <w:keepNext w:val="0"/>
              <w:keepLines w:val="0"/>
              <w:pageBreakBefore w:val="0"/>
              <w:wordWrap/>
              <w:overflowPunct/>
              <w:topLinePunct w:val="0"/>
              <w:bidi w:val="0"/>
              <w:spacing w:line="440" w:lineRule="exact"/>
              <w:ind w:left="467"/>
              <w:rPr>
                <w:color w:val="auto"/>
                <w:sz w:val="21"/>
                <w:szCs w:val="21"/>
                <w:highlight w:val="none"/>
              </w:rPr>
            </w:pPr>
            <w:r>
              <w:rPr>
                <w:color w:val="auto"/>
                <w:position w:val="3"/>
                <w:sz w:val="21"/>
                <w:szCs w:val="21"/>
                <w:highlight w:val="none"/>
              </w:rPr>
              <w:t>…</w:t>
            </w:r>
          </w:p>
        </w:tc>
        <w:tc>
          <w:tcPr>
            <w:tcW w:w="1133" w:type="dxa"/>
            <w:vAlign w:val="top"/>
          </w:tcPr>
          <w:p w14:paraId="29E994BD">
            <w:pPr>
              <w:pStyle w:val="13"/>
              <w:keepNext w:val="0"/>
              <w:keepLines w:val="0"/>
              <w:pageBreakBefore w:val="0"/>
              <w:wordWrap/>
              <w:overflowPunct/>
              <w:topLinePunct w:val="0"/>
              <w:bidi w:val="0"/>
              <w:spacing w:line="440" w:lineRule="exact"/>
              <w:ind w:left="469"/>
              <w:rPr>
                <w:color w:val="auto"/>
                <w:sz w:val="21"/>
                <w:szCs w:val="21"/>
                <w:highlight w:val="none"/>
              </w:rPr>
            </w:pPr>
            <w:r>
              <w:rPr>
                <w:color w:val="auto"/>
                <w:position w:val="3"/>
                <w:sz w:val="21"/>
                <w:szCs w:val="21"/>
                <w:highlight w:val="none"/>
              </w:rPr>
              <w:t>…</w:t>
            </w:r>
          </w:p>
        </w:tc>
        <w:tc>
          <w:tcPr>
            <w:tcW w:w="1983" w:type="dxa"/>
            <w:vAlign w:val="top"/>
          </w:tcPr>
          <w:p w14:paraId="0E415C4D">
            <w:pPr>
              <w:pStyle w:val="13"/>
              <w:keepNext w:val="0"/>
              <w:keepLines w:val="0"/>
              <w:pageBreakBefore w:val="0"/>
              <w:wordWrap/>
              <w:overflowPunct/>
              <w:topLinePunct w:val="0"/>
              <w:bidi w:val="0"/>
              <w:spacing w:line="440" w:lineRule="exact"/>
              <w:ind w:left="896"/>
              <w:rPr>
                <w:color w:val="auto"/>
                <w:sz w:val="21"/>
                <w:szCs w:val="21"/>
                <w:highlight w:val="none"/>
              </w:rPr>
            </w:pPr>
            <w:r>
              <w:rPr>
                <w:color w:val="auto"/>
                <w:position w:val="3"/>
                <w:sz w:val="21"/>
                <w:szCs w:val="21"/>
                <w:highlight w:val="none"/>
              </w:rPr>
              <w:t>…</w:t>
            </w:r>
          </w:p>
        </w:tc>
        <w:tc>
          <w:tcPr>
            <w:tcW w:w="1528" w:type="dxa"/>
            <w:vAlign w:val="top"/>
          </w:tcPr>
          <w:p w14:paraId="03E36AE2">
            <w:pPr>
              <w:pStyle w:val="13"/>
              <w:keepNext w:val="0"/>
              <w:keepLines w:val="0"/>
              <w:pageBreakBefore w:val="0"/>
              <w:wordWrap/>
              <w:overflowPunct/>
              <w:topLinePunct w:val="0"/>
              <w:bidi w:val="0"/>
              <w:spacing w:line="440" w:lineRule="exact"/>
              <w:ind w:left="857"/>
              <w:rPr>
                <w:color w:val="auto"/>
                <w:sz w:val="21"/>
                <w:szCs w:val="21"/>
                <w:highlight w:val="none"/>
              </w:rPr>
            </w:pPr>
            <w:r>
              <w:rPr>
                <w:color w:val="auto"/>
                <w:position w:val="3"/>
                <w:sz w:val="21"/>
                <w:szCs w:val="21"/>
                <w:highlight w:val="none"/>
              </w:rPr>
              <w:t>…</w:t>
            </w:r>
          </w:p>
        </w:tc>
      </w:tr>
      <w:tr w14:paraId="572B3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80" w:type="dxa"/>
            <w:gridSpan w:val="6"/>
            <w:vAlign w:val="top"/>
          </w:tcPr>
          <w:p w14:paraId="422AF6F5">
            <w:pPr>
              <w:pStyle w:val="13"/>
              <w:keepNext w:val="0"/>
              <w:keepLines w:val="0"/>
              <w:pageBreakBefore w:val="0"/>
              <w:wordWrap/>
              <w:overflowPunct/>
              <w:topLinePunct w:val="0"/>
              <w:bidi w:val="0"/>
              <w:spacing w:line="440" w:lineRule="exact"/>
              <w:ind w:left="116"/>
              <w:rPr>
                <w:color w:val="auto"/>
                <w:sz w:val="21"/>
                <w:szCs w:val="21"/>
                <w:highlight w:val="none"/>
              </w:rPr>
            </w:pPr>
            <w:r>
              <w:rPr>
                <w:color w:val="auto"/>
                <w:sz w:val="21"/>
                <w:szCs w:val="21"/>
                <w:highlight w:val="none"/>
              </w:rPr>
              <w:t>报价合计（包含税费等所有费用</w:t>
            </w:r>
            <w:r>
              <w:rPr>
                <w:color w:val="auto"/>
                <w:spacing w:val="-7"/>
                <w:sz w:val="21"/>
                <w:szCs w:val="21"/>
                <w:highlight w:val="none"/>
              </w:rPr>
              <w:t>）（</w:t>
            </w:r>
            <w:r>
              <w:rPr>
                <w:color w:val="auto"/>
                <w:sz w:val="21"/>
                <w:szCs w:val="21"/>
                <w:highlight w:val="none"/>
              </w:rPr>
              <w:t>大写</w:t>
            </w:r>
            <w:r>
              <w:rPr>
                <w:color w:val="auto"/>
                <w:spacing w:val="-7"/>
                <w:sz w:val="21"/>
                <w:szCs w:val="21"/>
                <w:highlight w:val="none"/>
              </w:rPr>
              <w:t>）：</w:t>
            </w:r>
            <w:r>
              <w:rPr>
                <w:color w:val="auto"/>
                <w:spacing w:val="1"/>
                <w:sz w:val="21"/>
                <w:szCs w:val="21"/>
                <w:highlight w:val="none"/>
              </w:rPr>
              <w:t xml:space="preserve">              </w:t>
            </w:r>
            <w:r>
              <w:rPr>
                <w:color w:val="auto"/>
                <w:sz w:val="21"/>
                <w:szCs w:val="21"/>
                <w:highlight w:val="none"/>
              </w:rPr>
              <w:t>(￥               元）</w:t>
            </w:r>
          </w:p>
        </w:tc>
      </w:tr>
      <w:tr w14:paraId="498D7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880" w:type="dxa"/>
            <w:gridSpan w:val="6"/>
            <w:vAlign w:val="top"/>
          </w:tcPr>
          <w:p w14:paraId="3B2812EA">
            <w:pPr>
              <w:pStyle w:val="13"/>
              <w:keepNext w:val="0"/>
              <w:keepLines w:val="0"/>
              <w:pageBreakBefore w:val="0"/>
              <w:tabs>
                <w:tab w:val="left" w:pos="948"/>
              </w:tabs>
              <w:wordWrap/>
              <w:overflowPunct/>
              <w:topLinePunct w:val="0"/>
              <w:bidi w:val="0"/>
              <w:spacing w:line="440" w:lineRule="exact"/>
              <w:ind w:left="108"/>
              <w:rPr>
                <w:color w:val="auto"/>
                <w:sz w:val="21"/>
                <w:szCs w:val="21"/>
                <w:highlight w:val="none"/>
              </w:rPr>
            </w:pPr>
            <w:r>
              <w:rPr>
                <w:color w:val="auto"/>
                <w:sz w:val="21"/>
                <w:szCs w:val="21"/>
                <w:highlight w:val="none"/>
                <w:u w:val="single" w:color="auto"/>
              </w:rPr>
              <w:tab/>
            </w:r>
            <w:r>
              <w:rPr>
                <w:color w:val="auto"/>
                <w:spacing w:val="-91"/>
                <w:sz w:val="21"/>
                <w:szCs w:val="21"/>
                <w:highlight w:val="none"/>
              </w:rPr>
              <w:t xml:space="preserve"> </w:t>
            </w:r>
            <w:r>
              <w:rPr>
                <w:color w:val="auto"/>
                <w:spacing w:val="-1"/>
                <w:sz w:val="21"/>
                <w:szCs w:val="21"/>
                <w:highlight w:val="none"/>
              </w:rPr>
              <w:t>分包（此处有分包时填写具体分包号，无分包时填写“无</w:t>
            </w:r>
            <w:r>
              <w:rPr>
                <w:color w:val="auto"/>
                <w:spacing w:val="-88"/>
                <w:sz w:val="21"/>
                <w:szCs w:val="21"/>
                <w:highlight w:val="none"/>
              </w:rPr>
              <w:t xml:space="preserve"> </w:t>
            </w:r>
            <w:r>
              <w:rPr>
                <w:color w:val="auto"/>
                <w:spacing w:val="-1"/>
                <w:sz w:val="21"/>
                <w:szCs w:val="21"/>
                <w:highlight w:val="none"/>
              </w:rPr>
              <w:t>”）</w:t>
            </w:r>
          </w:p>
        </w:tc>
      </w:tr>
      <w:tr w14:paraId="0CE7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880" w:type="dxa"/>
            <w:gridSpan w:val="6"/>
            <w:vAlign w:val="top"/>
          </w:tcPr>
          <w:p w14:paraId="61B57050">
            <w:pPr>
              <w:pStyle w:val="13"/>
              <w:keepNext w:val="0"/>
              <w:keepLines w:val="0"/>
              <w:pageBreakBefore w:val="0"/>
              <w:wordWrap/>
              <w:overflowPunct/>
              <w:topLinePunct w:val="0"/>
              <w:bidi w:val="0"/>
              <w:spacing w:line="440" w:lineRule="exact"/>
              <w:ind w:left="122"/>
              <w:rPr>
                <w:color w:val="auto"/>
                <w:sz w:val="21"/>
                <w:szCs w:val="21"/>
                <w:highlight w:val="none"/>
              </w:rPr>
            </w:pPr>
            <w:r>
              <w:rPr>
                <w:color w:val="auto"/>
                <w:spacing w:val="-3"/>
                <w:sz w:val="21"/>
                <w:szCs w:val="21"/>
                <w:highlight w:val="none"/>
              </w:rPr>
              <w:t>交付时间：</w:t>
            </w:r>
          </w:p>
        </w:tc>
      </w:tr>
      <w:tr w14:paraId="1E85D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80" w:type="dxa"/>
            <w:gridSpan w:val="6"/>
            <w:vAlign w:val="top"/>
          </w:tcPr>
          <w:p w14:paraId="0B567370">
            <w:pPr>
              <w:pStyle w:val="13"/>
              <w:keepNext w:val="0"/>
              <w:keepLines w:val="0"/>
              <w:pageBreakBefore w:val="0"/>
              <w:wordWrap/>
              <w:overflowPunct/>
              <w:topLinePunct w:val="0"/>
              <w:bidi w:val="0"/>
              <w:spacing w:line="440" w:lineRule="exact"/>
              <w:ind w:left="122"/>
              <w:rPr>
                <w:color w:val="auto"/>
                <w:sz w:val="21"/>
                <w:szCs w:val="21"/>
                <w:highlight w:val="none"/>
              </w:rPr>
            </w:pPr>
            <w:r>
              <w:rPr>
                <w:color w:val="auto"/>
                <w:spacing w:val="-2"/>
                <w:sz w:val="21"/>
                <w:szCs w:val="21"/>
                <w:highlight w:val="none"/>
              </w:rPr>
              <w:t>交付地点：采购人指定地点。</w:t>
            </w:r>
          </w:p>
        </w:tc>
      </w:tr>
    </w:tbl>
    <w:p w14:paraId="4D3C8339">
      <w:pPr>
        <w:pStyle w:val="8"/>
        <w:keepNext w:val="0"/>
        <w:keepLines w:val="0"/>
        <w:pageBreakBefore w:val="0"/>
        <w:wordWrap/>
        <w:overflowPunct/>
        <w:topLinePunct w:val="0"/>
        <w:bidi w:val="0"/>
        <w:spacing w:line="440" w:lineRule="exact"/>
        <w:ind w:left="9"/>
        <w:rPr>
          <w:color w:val="auto"/>
          <w:sz w:val="21"/>
          <w:szCs w:val="21"/>
          <w:highlight w:val="none"/>
        </w:rPr>
      </w:pPr>
      <w:r>
        <w:rPr>
          <w:color w:val="auto"/>
          <w:spacing w:val="-4"/>
          <w:sz w:val="21"/>
          <w:szCs w:val="21"/>
          <w:highlight w:val="none"/>
        </w:rPr>
        <w:t>注：</w:t>
      </w:r>
    </w:p>
    <w:p w14:paraId="400C8AE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1.投标人需按本表格式填写，不得自行更改，也不得留空，如有多分包，按分包分别提供开 标一览表，必须加盖投标人有效电子签章，</w:t>
      </w:r>
      <w:r>
        <w:rPr>
          <w:rFonts w:hint="eastAsia" w:ascii="宋体" w:hAnsi="宋体" w:eastAsia="宋体" w:cs="宋体"/>
          <w:b/>
          <w:bCs/>
          <w:snapToGrid/>
          <w:color w:val="auto"/>
          <w:kern w:val="2"/>
          <w:szCs w:val="21"/>
          <w:highlight w:val="none"/>
          <w:lang w:eastAsia="zh-CN"/>
        </w:rPr>
        <w:t>否则其投标作无效标处理</w:t>
      </w:r>
      <w:r>
        <w:rPr>
          <w:rFonts w:hint="eastAsia" w:ascii="宋体" w:hAnsi="宋体" w:eastAsia="宋体" w:cs="宋体"/>
          <w:snapToGrid/>
          <w:color w:val="auto"/>
          <w:kern w:val="2"/>
          <w:szCs w:val="21"/>
          <w:highlight w:val="none"/>
          <w:lang w:eastAsia="zh-CN"/>
        </w:rPr>
        <w:t>。</w:t>
      </w:r>
    </w:p>
    <w:p w14:paraId="1DE94B5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2.本表内容均不能涂改，</w:t>
      </w:r>
      <w:r>
        <w:rPr>
          <w:rFonts w:hint="eastAsia" w:ascii="宋体" w:hAnsi="宋体" w:eastAsia="宋体" w:cs="宋体"/>
          <w:b/>
          <w:bCs/>
          <w:snapToGrid/>
          <w:color w:val="auto"/>
          <w:kern w:val="2"/>
          <w:szCs w:val="21"/>
          <w:highlight w:val="none"/>
          <w:lang w:eastAsia="zh-CN"/>
        </w:rPr>
        <w:t>否则其投标作无效标处理</w:t>
      </w:r>
      <w:r>
        <w:rPr>
          <w:rFonts w:hint="eastAsia" w:ascii="宋体" w:hAnsi="宋体" w:eastAsia="宋体" w:cs="宋体"/>
          <w:snapToGrid/>
          <w:color w:val="auto"/>
          <w:kern w:val="2"/>
          <w:szCs w:val="21"/>
          <w:highlight w:val="none"/>
          <w:lang w:eastAsia="zh-CN"/>
        </w:rPr>
        <w:t>。</w:t>
      </w:r>
    </w:p>
    <w:p w14:paraId="63C727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3.如为联合体投标，“投标人名称 ”处必须列明联合体各方名称，并标注联合体牵头人名称， 且盖章处须加盖联合体牵头人公章，</w:t>
      </w:r>
      <w:r>
        <w:rPr>
          <w:rFonts w:hint="eastAsia" w:ascii="宋体" w:hAnsi="宋体" w:eastAsia="宋体" w:cs="宋体"/>
          <w:b/>
          <w:bCs/>
          <w:snapToGrid/>
          <w:color w:val="auto"/>
          <w:kern w:val="2"/>
          <w:szCs w:val="21"/>
          <w:highlight w:val="none"/>
          <w:lang w:eastAsia="zh-CN"/>
        </w:rPr>
        <w:t>否则其投标作无效标处理</w:t>
      </w:r>
      <w:r>
        <w:rPr>
          <w:rFonts w:hint="eastAsia" w:ascii="宋体" w:hAnsi="宋体" w:eastAsia="宋体" w:cs="宋体"/>
          <w:snapToGrid/>
          <w:color w:val="auto"/>
          <w:kern w:val="2"/>
          <w:szCs w:val="21"/>
          <w:highlight w:val="none"/>
          <w:lang w:eastAsia="zh-CN"/>
        </w:rPr>
        <w:t>。</w:t>
      </w:r>
    </w:p>
    <w:p w14:paraId="6BB02EE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4.特别提示：采购机构将对项目名称和项目编号，中标投标人名称、地址和中标金额、服务 要求等予以公示。</w:t>
      </w:r>
    </w:p>
    <w:p w14:paraId="68C35E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5.符合招标文件中列明的可享受中小企业扶持政策的投标人，请按照格式提供中小企业声明 函。（注：投标人提供的中小企业声明函内容不实的，属于提供虚假材料谋取中标、成交，依照 《中华人民共和国政府采购法》等国家有关规定追究相应责任。）</w:t>
      </w:r>
    </w:p>
    <w:p w14:paraId="7C2A1C77">
      <w:pPr>
        <w:keepNext w:val="0"/>
        <w:keepLines w:val="0"/>
        <w:pageBreakBefore w:val="0"/>
        <w:wordWrap/>
        <w:overflowPunct/>
        <w:topLinePunct w:val="0"/>
        <w:bidi w:val="0"/>
        <w:spacing w:line="440" w:lineRule="exact"/>
        <w:rPr>
          <w:rFonts w:ascii="Arial"/>
          <w:color w:val="auto"/>
          <w:sz w:val="21"/>
          <w:szCs w:val="21"/>
          <w:highlight w:val="none"/>
        </w:rPr>
      </w:pPr>
    </w:p>
    <w:p w14:paraId="11A23AC0">
      <w:pPr>
        <w:pStyle w:val="8"/>
        <w:keepNext w:val="0"/>
        <w:keepLines w:val="0"/>
        <w:pageBreakBefore w:val="0"/>
        <w:wordWrap/>
        <w:overflowPunct/>
        <w:topLinePunct w:val="0"/>
        <w:bidi w:val="0"/>
        <w:spacing w:line="440" w:lineRule="exact"/>
        <w:ind w:left="493"/>
        <w:rPr>
          <w:color w:val="auto"/>
          <w:sz w:val="21"/>
          <w:szCs w:val="21"/>
          <w:highlight w:val="none"/>
        </w:rPr>
      </w:pPr>
      <w:r>
        <w:rPr>
          <w:color w:val="auto"/>
          <w:spacing w:val="-2"/>
          <w:sz w:val="21"/>
          <w:szCs w:val="21"/>
          <w:highlight w:val="none"/>
        </w:rPr>
        <w:t>投标人名称（电子签章</w:t>
      </w:r>
      <w:r>
        <w:rPr>
          <w:color w:val="auto"/>
          <w:spacing w:val="3"/>
          <w:sz w:val="21"/>
          <w:szCs w:val="21"/>
          <w:highlight w:val="none"/>
        </w:rPr>
        <w:t>）：</w:t>
      </w:r>
    </w:p>
    <w:p w14:paraId="5BE7AB6C">
      <w:pPr>
        <w:pStyle w:val="8"/>
        <w:keepNext w:val="0"/>
        <w:keepLines w:val="0"/>
        <w:pageBreakBefore w:val="0"/>
        <w:wordWrap/>
        <w:overflowPunct/>
        <w:topLinePunct w:val="0"/>
        <w:bidi w:val="0"/>
        <w:spacing w:line="440" w:lineRule="exact"/>
        <w:ind w:left="531"/>
        <w:rPr>
          <w:color w:val="auto"/>
          <w:sz w:val="21"/>
          <w:szCs w:val="21"/>
          <w:highlight w:val="none"/>
        </w:rPr>
        <w:sectPr>
          <w:headerReference r:id="rId32" w:type="default"/>
          <w:footerReference r:id="rId33" w:type="default"/>
          <w:pgSz w:w="11906" w:h="16839"/>
          <w:pgMar w:top="1474" w:right="1474" w:bottom="1474" w:left="1587" w:header="0" w:footer="675" w:gutter="0"/>
          <w:pgNumType w:fmt="decimal"/>
          <w:cols w:space="0" w:num="1"/>
          <w:rtlGutter w:val="0"/>
          <w:docGrid w:linePitch="0" w:charSpace="0"/>
        </w:sectPr>
      </w:pPr>
      <w:r>
        <w:rPr>
          <w:color w:val="auto"/>
          <w:spacing w:val="-13"/>
          <w:sz w:val="21"/>
          <w:szCs w:val="21"/>
          <w:highlight w:val="none"/>
        </w:rPr>
        <w:t>日期：</w:t>
      </w:r>
      <w:r>
        <w:rPr>
          <w:color w:val="auto"/>
          <w:spacing w:val="2"/>
          <w:sz w:val="21"/>
          <w:szCs w:val="21"/>
          <w:highlight w:val="none"/>
        </w:rPr>
        <w:t xml:space="preserve">     </w:t>
      </w:r>
      <w:r>
        <w:rPr>
          <w:color w:val="auto"/>
          <w:spacing w:val="-13"/>
          <w:sz w:val="21"/>
          <w:szCs w:val="21"/>
          <w:highlight w:val="none"/>
        </w:rPr>
        <w:t>年</w:t>
      </w:r>
      <w:r>
        <w:rPr>
          <w:color w:val="auto"/>
          <w:spacing w:val="5"/>
          <w:sz w:val="21"/>
          <w:szCs w:val="21"/>
          <w:highlight w:val="none"/>
        </w:rPr>
        <w:t xml:space="preserve">   </w:t>
      </w:r>
      <w:r>
        <w:rPr>
          <w:color w:val="auto"/>
          <w:spacing w:val="-13"/>
          <w:sz w:val="21"/>
          <w:szCs w:val="21"/>
          <w:highlight w:val="none"/>
        </w:rPr>
        <w:t>月</w:t>
      </w:r>
      <w:r>
        <w:rPr>
          <w:color w:val="auto"/>
          <w:spacing w:val="25"/>
          <w:sz w:val="21"/>
          <w:szCs w:val="21"/>
          <w:highlight w:val="none"/>
        </w:rPr>
        <w:t xml:space="preserve">  </w:t>
      </w:r>
      <w:r>
        <w:rPr>
          <w:color w:val="auto"/>
          <w:spacing w:val="-13"/>
          <w:sz w:val="21"/>
          <w:szCs w:val="21"/>
          <w:highlight w:val="none"/>
        </w:rPr>
        <w:t>日</w:t>
      </w:r>
    </w:p>
    <w:p w14:paraId="08C0AF54">
      <w:pPr>
        <w:spacing w:line="284" w:lineRule="auto"/>
        <w:rPr>
          <w:rFonts w:ascii="Arial"/>
          <w:color w:val="auto"/>
          <w:sz w:val="21"/>
          <w:highlight w:val="none"/>
        </w:rPr>
      </w:pPr>
    </w:p>
    <w:p w14:paraId="68EB83EA">
      <w:pPr>
        <w:pStyle w:val="8"/>
        <w:spacing w:before="91" w:line="220" w:lineRule="auto"/>
        <w:ind w:left="16"/>
        <w:jc w:val="center"/>
        <w:outlineLvl w:val="1"/>
        <w:rPr>
          <w:color w:val="auto"/>
          <w:sz w:val="28"/>
          <w:szCs w:val="28"/>
          <w:highlight w:val="none"/>
        </w:rPr>
      </w:pPr>
      <w:r>
        <w:rPr>
          <w:b/>
          <w:bCs/>
          <w:color w:val="auto"/>
          <w:spacing w:val="-4"/>
          <w:sz w:val="28"/>
          <w:szCs w:val="28"/>
          <w:highlight w:val="none"/>
        </w:rPr>
        <w:t>二、资格证明文件格式</w:t>
      </w:r>
    </w:p>
    <w:p w14:paraId="4CE9C005">
      <w:pPr>
        <w:spacing w:line="246" w:lineRule="auto"/>
        <w:rPr>
          <w:rFonts w:ascii="Arial"/>
          <w:color w:val="auto"/>
          <w:sz w:val="21"/>
          <w:highlight w:val="none"/>
        </w:rPr>
      </w:pPr>
    </w:p>
    <w:p w14:paraId="322F38C0">
      <w:pPr>
        <w:pStyle w:val="8"/>
        <w:spacing w:before="78" w:line="219" w:lineRule="auto"/>
        <w:ind w:left="27"/>
        <w:outlineLvl w:val="2"/>
        <w:rPr>
          <w:color w:val="auto"/>
          <w:sz w:val="24"/>
          <w:szCs w:val="24"/>
          <w:highlight w:val="none"/>
        </w:rPr>
      </w:pPr>
      <w:r>
        <w:rPr>
          <w:b/>
          <w:bCs/>
          <w:color w:val="auto"/>
          <w:spacing w:val="-4"/>
          <w:sz w:val="24"/>
          <w:szCs w:val="24"/>
          <w:highlight w:val="none"/>
        </w:rPr>
        <w:t>1.资格证明文件封面格式：</w:t>
      </w:r>
    </w:p>
    <w:p w14:paraId="7D027ECE">
      <w:pPr>
        <w:spacing w:line="246" w:lineRule="auto"/>
        <w:rPr>
          <w:rFonts w:ascii="Arial"/>
          <w:color w:val="auto"/>
          <w:sz w:val="21"/>
          <w:highlight w:val="none"/>
        </w:rPr>
      </w:pPr>
    </w:p>
    <w:p w14:paraId="136F79C9">
      <w:pPr>
        <w:spacing w:line="246" w:lineRule="auto"/>
        <w:rPr>
          <w:rFonts w:ascii="Arial"/>
          <w:color w:val="auto"/>
          <w:sz w:val="21"/>
          <w:highlight w:val="none"/>
        </w:rPr>
      </w:pPr>
    </w:p>
    <w:p w14:paraId="73E30ED5">
      <w:pPr>
        <w:spacing w:line="246" w:lineRule="auto"/>
        <w:rPr>
          <w:rFonts w:ascii="Arial"/>
          <w:color w:val="auto"/>
          <w:sz w:val="21"/>
          <w:highlight w:val="none"/>
        </w:rPr>
      </w:pPr>
    </w:p>
    <w:p w14:paraId="6208E78C">
      <w:pPr>
        <w:spacing w:line="246" w:lineRule="auto"/>
        <w:rPr>
          <w:rFonts w:ascii="Arial"/>
          <w:color w:val="auto"/>
          <w:sz w:val="21"/>
          <w:highlight w:val="none"/>
        </w:rPr>
      </w:pPr>
    </w:p>
    <w:p w14:paraId="7EA13061">
      <w:pPr>
        <w:spacing w:line="246" w:lineRule="auto"/>
        <w:rPr>
          <w:rFonts w:ascii="Arial"/>
          <w:color w:val="auto"/>
          <w:sz w:val="21"/>
          <w:highlight w:val="none"/>
        </w:rPr>
      </w:pPr>
    </w:p>
    <w:p w14:paraId="3B00EDFE">
      <w:pPr>
        <w:pStyle w:val="8"/>
        <w:spacing w:before="153" w:line="223" w:lineRule="auto"/>
        <w:ind w:left="3284"/>
        <w:outlineLvl w:val="3"/>
        <w:rPr>
          <w:color w:val="auto"/>
          <w:sz w:val="47"/>
          <w:szCs w:val="47"/>
          <w:highlight w:val="none"/>
        </w:rPr>
      </w:pPr>
      <w:r>
        <w:rPr>
          <w:color w:val="auto"/>
          <w:spacing w:val="-3"/>
          <w:sz w:val="47"/>
          <w:szCs w:val="47"/>
          <w:highlight w:val="none"/>
        </w:rPr>
        <w:t>电子投标文件</w:t>
      </w:r>
    </w:p>
    <w:p w14:paraId="08E886C2">
      <w:pPr>
        <w:pStyle w:val="8"/>
        <w:spacing w:before="357" w:line="223" w:lineRule="auto"/>
        <w:ind w:left="2458"/>
        <w:outlineLvl w:val="2"/>
        <w:rPr>
          <w:color w:val="auto"/>
          <w:sz w:val="43"/>
          <w:szCs w:val="43"/>
          <w:highlight w:val="none"/>
        </w:rPr>
      </w:pPr>
      <w:r>
        <w:rPr>
          <w:b/>
          <w:bCs/>
          <w:color w:val="auto"/>
          <w:spacing w:val="5"/>
          <w:sz w:val="43"/>
          <w:szCs w:val="43"/>
          <w:highlight w:val="none"/>
        </w:rPr>
        <w:t>第二部分资格证明文件</w:t>
      </w:r>
    </w:p>
    <w:p w14:paraId="776601DE">
      <w:pPr>
        <w:spacing w:line="261" w:lineRule="auto"/>
        <w:rPr>
          <w:rFonts w:ascii="Arial"/>
          <w:color w:val="auto"/>
          <w:sz w:val="21"/>
          <w:highlight w:val="none"/>
        </w:rPr>
      </w:pPr>
    </w:p>
    <w:p w14:paraId="46E9259D">
      <w:pPr>
        <w:spacing w:line="261" w:lineRule="auto"/>
        <w:rPr>
          <w:rFonts w:ascii="Arial"/>
          <w:color w:val="auto"/>
          <w:sz w:val="21"/>
          <w:highlight w:val="none"/>
        </w:rPr>
      </w:pPr>
    </w:p>
    <w:p w14:paraId="304D0D37">
      <w:pPr>
        <w:pStyle w:val="8"/>
        <w:spacing w:before="78" w:line="220" w:lineRule="auto"/>
        <w:ind w:left="1213"/>
        <w:rPr>
          <w:color w:val="auto"/>
          <w:sz w:val="21"/>
          <w:szCs w:val="21"/>
          <w:highlight w:val="none"/>
        </w:rPr>
      </w:pPr>
      <w:r>
        <w:rPr>
          <w:color w:val="auto"/>
          <w:spacing w:val="-3"/>
          <w:sz w:val="21"/>
          <w:szCs w:val="21"/>
          <w:highlight w:val="none"/>
        </w:rPr>
        <w:t>项目名称：</w:t>
      </w:r>
    </w:p>
    <w:p w14:paraId="4CE9CB9F">
      <w:pPr>
        <w:spacing w:line="336" w:lineRule="auto"/>
        <w:rPr>
          <w:rFonts w:ascii="Arial"/>
          <w:color w:val="auto"/>
          <w:sz w:val="21"/>
          <w:szCs w:val="21"/>
          <w:highlight w:val="none"/>
        </w:rPr>
      </w:pPr>
    </w:p>
    <w:p w14:paraId="60766689">
      <w:pPr>
        <w:spacing w:line="337" w:lineRule="auto"/>
        <w:rPr>
          <w:rFonts w:ascii="Arial"/>
          <w:color w:val="auto"/>
          <w:sz w:val="21"/>
          <w:szCs w:val="21"/>
          <w:highlight w:val="none"/>
        </w:rPr>
      </w:pPr>
    </w:p>
    <w:p w14:paraId="13D4349C">
      <w:pPr>
        <w:pStyle w:val="8"/>
        <w:spacing w:before="79" w:line="219" w:lineRule="auto"/>
        <w:ind w:left="1213"/>
        <w:rPr>
          <w:color w:val="auto"/>
          <w:sz w:val="21"/>
          <w:szCs w:val="21"/>
          <w:highlight w:val="none"/>
        </w:rPr>
      </w:pPr>
      <w:r>
        <w:rPr>
          <w:color w:val="auto"/>
          <w:spacing w:val="-3"/>
          <w:sz w:val="21"/>
          <w:szCs w:val="21"/>
          <w:highlight w:val="none"/>
        </w:rPr>
        <w:t>项目编号：</w:t>
      </w:r>
    </w:p>
    <w:p w14:paraId="68B003A8">
      <w:pPr>
        <w:spacing w:line="335" w:lineRule="auto"/>
        <w:rPr>
          <w:rFonts w:ascii="Arial"/>
          <w:color w:val="auto"/>
          <w:sz w:val="21"/>
          <w:szCs w:val="21"/>
          <w:highlight w:val="none"/>
        </w:rPr>
      </w:pPr>
    </w:p>
    <w:p w14:paraId="46D0556E">
      <w:pPr>
        <w:spacing w:line="336" w:lineRule="auto"/>
        <w:rPr>
          <w:rFonts w:ascii="Arial"/>
          <w:color w:val="auto"/>
          <w:sz w:val="21"/>
          <w:szCs w:val="21"/>
          <w:highlight w:val="none"/>
        </w:rPr>
      </w:pPr>
    </w:p>
    <w:p w14:paraId="4E0B3DF7">
      <w:pPr>
        <w:pStyle w:val="8"/>
        <w:spacing w:before="79" w:line="220" w:lineRule="auto"/>
        <w:ind w:left="1210"/>
        <w:rPr>
          <w:color w:val="auto"/>
          <w:sz w:val="21"/>
          <w:szCs w:val="21"/>
          <w:highlight w:val="none"/>
        </w:rPr>
      </w:pPr>
      <w:r>
        <w:rPr>
          <w:color w:val="auto"/>
          <w:spacing w:val="-2"/>
          <w:sz w:val="21"/>
          <w:szCs w:val="21"/>
          <w:highlight w:val="none"/>
        </w:rPr>
        <w:t>所投分包：</w:t>
      </w:r>
    </w:p>
    <w:p w14:paraId="3F6BAAD1">
      <w:pPr>
        <w:spacing w:line="335" w:lineRule="auto"/>
        <w:rPr>
          <w:rFonts w:ascii="Arial"/>
          <w:color w:val="auto"/>
          <w:sz w:val="21"/>
          <w:szCs w:val="21"/>
          <w:highlight w:val="none"/>
        </w:rPr>
      </w:pPr>
    </w:p>
    <w:p w14:paraId="055C1170">
      <w:pPr>
        <w:spacing w:line="336" w:lineRule="auto"/>
        <w:rPr>
          <w:rFonts w:ascii="Arial"/>
          <w:color w:val="auto"/>
          <w:sz w:val="21"/>
          <w:szCs w:val="21"/>
          <w:highlight w:val="none"/>
        </w:rPr>
      </w:pPr>
    </w:p>
    <w:p w14:paraId="2F0B0B63">
      <w:pPr>
        <w:pStyle w:val="8"/>
        <w:spacing w:before="78" w:line="220" w:lineRule="auto"/>
        <w:ind w:left="1213"/>
        <w:rPr>
          <w:color w:val="auto"/>
          <w:sz w:val="21"/>
          <w:szCs w:val="21"/>
          <w:highlight w:val="none"/>
        </w:rPr>
      </w:pPr>
      <w:r>
        <w:rPr>
          <w:color w:val="auto"/>
          <w:spacing w:val="-3"/>
          <w:sz w:val="21"/>
          <w:szCs w:val="21"/>
          <w:highlight w:val="none"/>
        </w:rPr>
        <w:t>投标人名称：</w:t>
      </w:r>
    </w:p>
    <w:p w14:paraId="0C7C68C7">
      <w:pPr>
        <w:spacing w:line="336" w:lineRule="auto"/>
        <w:rPr>
          <w:rFonts w:ascii="Arial"/>
          <w:color w:val="auto"/>
          <w:sz w:val="21"/>
          <w:szCs w:val="21"/>
          <w:highlight w:val="none"/>
        </w:rPr>
      </w:pPr>
    </w:p>
    <w:p w14:paraId="6147EC91">
      <w:pPr>
        <w:spacing w:line="337" w:lineRule="auto"/>
        <w:rPr>
          <w:rFonts w:ascii="Arial"/>
          <w:color w:val="auto"/>
          <w:sz w:val="21"/>
          <w:szCs w:val="21"/>
          <w:highlight w:val="none"/>
        </w:rPr>
      </w:pPr>
    </w:p>
    <w:p w14:paraId="0F90A6DD">
      <w:pPr>
        <w:pStyle w:val="8"/>
        <w:spacing w:before="78" w:line="220" w:lineRule="auto"/>
        <w:ind w:left="1213"/>
        <w:rPr>
          <w:color w:val="auto"/>
          <w:sz w:val="21"/>
          <w:szCs w:val="21"/>
          <w:highlight w:val="none"/>
        </w:rPr>
      </w:pPr>
      <w:r>
        <w:rPr>
          <w:color w:val="auto"/>
          <w:spacing w:val="-3"/>
          <w:sz w:val="21"/>
          <w:szCs w:val="21"/>
          <w:highlight w:val="none"/>
        </w:rPr>
        <w:t>投标人地址：</w:t>
      </w:r>
    </w:p>
    <w:p w14:paraId="31075DC2">
      <w:pPr>
        <w:spacing w:line="297" w:lineRule="auto"/>
        <w:rPr>
          <w:rFonts w:ascii="Arial"/>
          <w:color w:val="auto"/>
          <w:sz w:val="21"/>
          <w:szCs w:val="21"/>
          <w:highlight w:val="none"/>
        </w:rPr>
      </w:pPr>
    </w:p>
    <w:p w14:paraId="0EC25E43">
      <w:pPr>
        <w:spacing w:line="297" w:lineRule="auto"/>
        <w:rPr>
          <w:rFonts w:ascii="Arial"/>
          <w:color w:val="auto"/>
          <w:sz w:val="21"/>
          <w:szCs w:val="21"/>
          <w:highlight w:val="none"/>
        </w:rPr>
      </w:pPr>
    </w:p>
    <w:p w14:paraId="29CDE03F">
      <w:pPr>
        <w:spacing w:line="297" w:lineRule="auto"/>
        <w:rPr>
          <w:rFonts w:ascii="Arial"/>
          <w:color w:val="auto"/>
          <w:sz w:val="21"/>
          <w:szCs w:val="21"/>
          <w:highlight w:val="none"/>
        </w:rPr>
      </w:pPr>
    </w:p>
    <w:p w14:paraId="26A64FA2">
      <w:pPr>
        <w:spacing w:line="298" w:lineRule="auto"/>
        <w:rPr>
          <w:rFonts w:ascii="Arial"/>
          <w:color w:val="auto"/>
          <w:sz w:val="21"/>
          <w:szCs w:val="21"/>
          <w:highlight w:val="none"/>
        </w:rPr>
      </w:pPr>
    </w:p>
    <w:p w14:paraId="7B232FCB">
      <w:pPr>
        <w:pStyle w:val="8"/>
        <w:spacing w:before="78" w:line="219" w:lineRule="auto"/>
        <w:ind w:left="3939"/>
        <w:rPr>
          <w:color w:val="auto"/>
          <w:sz w:val="21"/>
          <w:szCs w:val="21"/>
          <w:highlight w:val="none"/>
        </w:rPr>
      </w:pPr>
      <w:r>
        <w:rPr>
          <w:color w:val="auto"/>
          <w:spacing w:val="-9"/>
          <w:sz w:val="21"/>
          <w:szCs w:val="21"/>
          <w:highlight w:val="none"/>
        </w:rPr>
        <w:t>年</w:t>
      </w:r>
      <w:r>
        <w:rPr>
          <w:color w:val="auto"/>
          <w:spacing w:val="5"/>
          <w:sz w:val="21"/>
          <w:szCs w:val="21"/>
          <w:highlight w:val="none"/>
        </w:rPr>
        <w:t xml:space="preserve">   </w:t>
      </w:r>
      <w:r>
        <w:rPr>
          <w:color w:val="auto"/>
          <w:spacing w:val="-9"/>
          <w:sz w:val="21"/>
          <w:szCs w:val="21"/>
          <w:highlight w:val="none"/>
        </w:rPr>
        <w:t>月</w:t>
      </w:r>
      <w:r>
        <w:rPr>
          <w:color w:val="auto"/>
          <w:spacing w:val="17"/>
          <w:sz w:val="21"/>
          <w:szCs w:val="21"/>
          <w:highlight w:val="none"/>
        </w:rPr>
        <w:t xml:space="preserve">   </w:t>
      </w:r>
      <w:r>
        <w:rPr>
          <w:color w:val="auto"/>
          <w:spacing w:val="-9"/>
          <w:sz w:val="21"/>
          <w:szCs w:val="21"/>
          <w:highlight w:val="none"/>
        </w:rPr>
        <w:t>日</w:t>
      </w:r>
    </w:p>
    <w:p w14:paraId="5B69096C">
      <w:pPr>
        <w:spacing w:line="219" w:lineRule="auto"/>
        <w:rPr>
          <w:color w:val="auto"/>
          <w:sz w:val="21"/>
          <w:szCs w:val="21"/>
          <w:highlight w:val="none"/>
        </w:rPr>
        <w:sectPr>
          <w:headerReference r:id="rId34" w:type="default"/>
          <w:footerReference r:id="rId35" w:type="default"/>
          <w:pgSz w:w="11906" w:h="16839"/>
          <w:pgMar w:top="2098" w:right="1474" w:bottom="1984" w:left="1587" w:header="963" w:footer="677" w:gutter="0"/>
          <w:pgNumType w:fmt="decimal"/>
          <w:cols w:space="720" w:num="1"/>
          <w:rtlGutter w:val="0"/>
          <w:docGrid w:linePitch="0" w:charSpace="0"/>
        </w:sectPr>
      </w:pPr>
    </w:p>
    <w:p w14:paraId="32715615">
      <w:pPr>
        <w:pStyle w:val="8"/>
        <w:spacing w:before="313" w:line="219" w:lineRule="auto"/>
        <w:ind w:left="13"/>
        <w:outlineLvl w:val="2"/>
        <w:rPr>
          <w:color w:val="auto"/>
          <w:sz w:val="24"/>
          <w:szCs w:val="24"/>
          <w:highlight w:val="none"/>
        </w:rPr>
      </w:pPr>
      <w:r>
        <w:rPr>
          <w:b/>
          <w:bCs/>
          <w:color w:val="auto"/>
          <w:spacing w:val="-4"/>
          <w:sz w:val="24"/>
          <w:szCs w:val="24"/>
          <w:highlight w:val="none"/>
        </w:rPr>
        <w:t>2.资格证明文件目录</w:t>
      </w:r>
    </w:p>
    <w:p w14:paraId="5491B024">
      <w:pPr>
        <w:pStyle w:val="8"/>
        <w:spacing w:before="230" w:line="219" w:lineRule="auto"/>
        <w:ind w:left="490"/>
        <w:rPr>
          <w:color w:val="auto"/>
          <w:sz w:val="21"/>
          <w:szCs w:val="21"/>
          <w:highlight w:val="none"/>
        </w:rPr>
      </w:pPr>
      <w:r>
        <w:rPr>
          <w:color w:val="auto"/>
          <w:spacing w:val="-1"/>
          <w:sz w:val="21"/>
          <w:szCs w:val="21"/>
          <w:highlight w:val="none"/>
        </w:rPr>
        <w:t>根据招标文件规定及投标人提供的材料自行编写目录。</w:t>
      </w:r>
    </w:p>
    <w:p w14:paraId="58A81353">
      <w:pPr>
        <w:spacing w:line="219" w:lineRule="auto"/>
        <w:rPr>
          <w:color w:val="auto"/>
          <w:sz w:val="21"/>
          <w:szCs w:val="21"/>
          <w:highlight w:val="none"/>
        </w:rPr>
        <w:sectPr>
          <w:footerReference r:id="rId36" w:type="default"/>
          <w:pgSz w:w="11906" w:h="16839"/>
          <w:pgMar w:top="2098" w:right="1474" w:bottom="1984" w:left="1587" w:header="963" w:footer="677" w:gutter="0"/>
          <w:pgNumType w:fmt="decimal"/>
          <w:cols w:space="720" w:num="1"/>
          <w:rtlGutter w:val="0"/>
          <w:docGrid w:linePitch="0" w:charSpace="0"/>
        </w:sectPr>
      </w:pPr>
    </w:p>
    <w:p w14:paraId="2128B692">
      <w:pPr>
        <w:pStyle w:val="8"/>
        <w:spacing w:before="78" w:line="219" w:lineRule="auto"/>
        <w:ind w:left="227"/>
        <w:rPr>
          <w:color w:val="auto"/>
          <w:sz w:val="24"/>
          <w:szCs w:val="24"/>
          <w:highlight w:val="none"/>
        </w:rPr>
      </w:pPr>
      <w:r>
        <w:rPr>
          <w:b/>
          <w:bCs/>
          <w:color w:val="auto"/>
          <w:spacing w:val="-3"/>
          <w:sz w:val="24"/>
          <w:szCs w:val="24"/>
          <w:highlight w:val="none"/>
        </w:rPr>
        <w:t>3.投标人直接控股、管理关系信息表</w:t>
      </w:r>
    </w:p>
    <w:p w14:paraId="23C43126">
      <w:pPr>
        <w:spacing w:line="310" w:lineRule="auto"/>
        <w:rPr>
          <w:rFonts w:ascii="Arial"/>
          <w:color w:val="auto"/>
          <w:sz w:val="21"/>
          <w:highlight w:val="none"/>
        </w:rPr>
      </w:pPr>
    </w:p>
    <w:p w14:paraId="77602F54">
      <w:pPr>
        <w:spacing w:line="311" w:lineRule="auto"/>
        <w:rPr>
          <w:rFonts w:ascii="Arial"/>
          <w:color w:val="auto"/>
          <w:sz w:val="21"/>
          <w:highlight w:val="none"/>
        </w:rPr>
      </w:pPr>
    </w:p>
    <w:p w14:paraId="60A1E044">
      <w:pPr>
        <w:pStyle w:val="8"/>
        <w:keepNext w:val="0"/>
        <w:keepLines w:val="0"/>
        <w:pageBreakBefore w:val="0"/>
        <w:wordWrap/>
        <w:overflowPunct/>
        <w:topLinePunct w:val="0"/>
        <w:bidi w:val="0"/>
        <w:spacing w:line="440" w:lineRule="exact"/>
        <w:ind w:left="2951"/>
        <w:outlineLvl w:val="3"/>
        <w:rPr>
          <w:color w:val="auto"/>
          <w:sz w:val="28"/>
          <w:szCs w:val="28"/>
          <w:highlight w:val="none"/>
        </w:rPr>
      </w:pPr>
      <w:r>
        <w:rPr>
          <w:b/>
          <w:bCs/>
          <w:color w:val="auto"/>
          <w:spacing w:val="6"/>
          <w:sz w:val="28"/>
          <w:szCs w:val="28"/>
          <w:highlight w:val="none"/>
        </w:rPr>
        <w:t>投标人直接控股股东信息表</w:t>
      </w:r>
    </w:p>
    <w:p w14:paraId="4F87A14E">
      <w:pPr>
        <w:keepNext w:val="0"/>
        <w:keepLines w:val="0"/>
        <w:pageBreakBefore w:val="0"/>
        <w:wordWrap/>
        <w:overflowPunct/>
        <w:topLinePunct w:val="0"/>
        <w:bidi w:val="0"/>
        <w:spacing w:line="440" w:lineRule="exact"/>
        <w:rPr>
          <w:color w:val="auto"/>
          <w:sz w:val="21"/>
          <w:szCs w:val="21"/>
          <w:highlight w:val="none"/>
        </w:rPr>
      </w:pPr>
    </w:p>
    <w:tbl>
      <w:tblPr>
        <w:tblStyle w:val="12"/>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919"/>
        <w:gridCol w:w="1230"/>
        <w:gridCol w:w="3495"/>
        <w:gridCol w:w="1200"/>
      </w:tblGrid>
      <w:tr w14:paraId="0B17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035" w:type="dxa"/>
            <w:vAlign w:val="top"/>
          </w:tcPr>
          <w:p w14:paraId="54F138C8">
            <w:pPr>
              <w:pStyle w:val="13"/>
              <w:keepNext w:val="0"/>
              <w:keepLines w:val="0"/>
              <w:pageBreakBefore w:val="0"/>
              <w:wordWrap/>
              <w:overflowPunct/>
              <w:topLinePunct w:val="0"/>
              <w:bidi w:val="0"/>
              <w:spacing w:line="440" w:lineRule="exact"/>
              <w:ind w:left="281"/>
              <w:rPr>
                <w:color w:val="auto"/>
                <w:sz w:val="21"/>
                <w:szCs w:val="21"/>
                <w:highlight w:val="none"/>
              </w:rPr>
            </w:pPr>
            <w:r>
              <w:rPr>
                <w:b/>
                <w:bCs/>
                <w:color w:val="auto"/>
                <w:spacing w:val="-7"/>
                <w:sz w:val="21"/>
                <w:szCs w:val="21"/>
                <w:highlight w:val="none"/>
              </w:rPr>
              <w:t>序号</w:t>
            </w:r>
          </w:p>
        </w:tc>
        <w:tc>
          <w:tcPr>
            <w:tcW w:w="1919" w:type="dxa"/>
            <w:vAlign w:val="top"/>
          </w:tcPr>
          <w:p w14:paraId="2E64FFE6">
            <w:pPr>
              <w:pStyle w:val="13"/>
              <w:keepNext w:val="0"/>
              <w:keepLines w:val="0"/>
              <w:pageBreakBefore w:val="0"/>
              <w:wordWrap/>
              <w:overflowPunct/>
              <w:topLinePunct w:val="0"/>
              <w:bidi w:val="0"/>
              <w:spacing w:line="440" w:lineRule="exact"/>
              <w:ind w:left="176"/>
              <w:rPr>
                <w:color w:val="auto"/>
                <w:sz w:val="21"/>
                <w:szCs w:val="21"/>
                <w:highlight w:val="none"/>
              </w:rPr>
            </w:pPr>
            <w:r>
              <w:rPr>
                <w:b/>
                <w:bCs/>
                <w:color w:val="auto"/>
                <w:spacing w:val="-4"/>
                <w:sz w:val="21"/>
                <w:szCs w:val="21"/>
                <w:highlight w:val="none"/>
              </w:rPr>
              <w:t>直接控股股东名称</w:t>
            </w:r>
          </w:p>
        </w:tc>
        <w:tc>
          <w:tcPr>
            <w:tcW w:w="1230" w:type="dxa"/>
            <w:vAlign w:val="top"/>
          </w:tcPr>
          <w:p w14:paraId="6E666401">
            <w:pPr>
              <w:pStyle w:val="13"/>
              <w:keepNext w:val="0"/>
              <w:keepLines w:val="0"/>
              <w:pageBreakBefore w:val="0"/>
              <w:wordWrap/>
              <w:overflowPunct/>
              <w:topLinePunct w:val="0"/>
              <w:bidi w:val="0"/>
              <w:spacing w:line="440" w:lineRule="exact"/>
              <w:ind w:left="296"/>
              <w:rPr>
                <w:color w:val="auto"/>
                <w:sz w:val="21"/>
                <w:szCs w:val="21"/>
                <w:highlight w:val="none"/>
              </w:rPr>
            </w:pPr>
            <w:r>
              <w:rPr>
                <w:b/>
                <w:bCs/>
                <w:color w:val="auto"/>
                <w:spacing w:val="-9"/>
                <w:sz w:val="21"/>
                <w:szCs w:val="21"/>
                <w:highlight w:val="none"/>
              </w:rPr>
              <w:t>出资比例</w:t>
            </w:r>
          </w:p>
        </w:tc>
        <w:tc>
          <w:tcPr>
            <w:tcW w:w="3495" w:type="dxa"/>
            <w:vAlign w:val="top"/>
          </w:tcPr>
          <w:p w14:paraId="002DE586">
            <w:pPr>
              <w:pStyle w:val="13"/>
              <w:keepNext w:val="0"/>
              <w:keepLines w:val="0"/>
              <w:pageBreakBefore w:val="0"/>
              <w:wordWrap/>
              <w:overflowPunct/>
              <w:topLinePunct w:val="0"/>
              <w:bidi w:val="0"/>
              <w:spacing w:line="440" w:lineRule="exact"/>
              <w:ind w:left="157"/>
              <w:rPr>
                <w:color w:val="auto"/>
                <w:sz w:val="21"/>
                <w:szCs w:val="21"/>
                <w:highlight w:val="none"/>
              </w:rPr>
            </w:pPr>
            <w:r>
              <w:rPr>
                <w:b/>
                <w:bCs/>
                <w:color w:val="auto"/>
                <w:spacing w:val="-3"/>
                <w:sz w:val="21"/>
                <w:szCs w:val="21"/>
                <w:highlight w:val="none"/>
              </w:rPr>
              <w:t>身份证号码或者统一社会信用代码</w:t>
            </w:r>
          </w:p>
        </w:tc>
        <w:tc>
          <w:tcPr>
            <w:tcW w:w="1200" w:type="dxa"/>
            <w:vAlign w:val="top"/>
          </w:tcPr>
          <w:p w14:paraId="34406D54">
            <w:pPr>
              <w:pStyle w:val="13"/>
              <w:keepNext w:val="0"/>
              <w:keepLines w:val="0"/>
              <w:pageBreakBefore w:val="0"/>
              <w:wordWrap/>
              <w:overflowPunct/>
              <w:topLinePunct w:val="0"/>
              <w:bidi w:val="0"/>
              <w:spacing w:line="440" w:lineRule="exact"/>
              <w:ind w:left="213"/>
              <w:rPr>
                <w:color w:val="auto"/>
                <w:sz w:val="21"/>
                <w:szCs w:val="21"/>
                <w:highlight w:val="none"/>
              </w:rPr>
            </w:pPr>
            <w:r>
              <w:rPr>
                <w:b/>
                <w:bCs/>
                <w:color w:val="auto"/>
                <w:spacing w:val="-9"/>
                <w:sz w:val="21"/>
                <w:szCs w:val="21"/>
                <w:highlight w:val="none"/>
              </w:rPr>
              <w:t>备注</w:t>
            </w:r>
          </w:p>
        </w:tc>
      </w:tr>
      <w:tr w14:paraId="0DB33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5" w:type="dxa"/>
            <w:vAlign w:val="top"/>
          </w:tcPr>
          <w:p w14:paraId="5F491AB5">
            <w:pPr>
              <w:keepNext w:val="0"/>
              <w:keepLines w:val="0"/>
              <w:pageBreakBefore w:val="0"/>
              <w:wordWrap/>
              <w:overflowPunct/>
              <w:topLinePunct w:val="0"/>
              <w:bidi w:val="0"/>
              <w:spacing w:line="440" w:lineRule="exact"/>
              <w:rPr>
                <w:rFonts w:ascii="Arial"/>
                <w:color w:val="auto"/>
                <w:sz w:val="21"/>
                <w:szCs w:val="21"/>
                <w:highlight w:val="none"/>
              </w:rPr>
            </w:pPr>
          </w:p>
          <w:p w14:paraId="7EE2F1B2">
            <w:pPr>
              <w:pStyle w:val="13"/>
              <w:keepNext w:val="0"/>
              <w:keepLines w:val="0"/>
              <w:pageBreakBefore w:val="0"/>
              <w:wordWrap/>
              <w:overflowPunct/>
              <w:topLinePunct w:val="0"/>
              <w:bidi w:val="0"/>
              <w:spacing w:line="440" w:lineRule="exact"/>
              <w:ind w:left="482"/>
              <w:rPr>
                <w:color w:val="auto"/>
                <w:sz w:val="21"/>
                <w:szCs w:val="21"/>
                <w:highlight w:val="none"/>
              </w:rPr>
            </w:pPr>
            <w:r>
              <w:rPr>
                <w:color w:val="auto"/>
                <w:sz w:val="21"/>
                <w:szCs w:val="21"/>
                <w:highlight w:val="none"/>
              </w:rPr>
              <w:t>1</w:t>
            </w:r>
          </w:p>
        </w:tc>
        <w:tc>
          <w:tcPr>
            <w:tcW w:w="1919" w:type="dxa"/>
            <w:vAlign w:val="top"/>
          </w:tcPr>
          <w:p w14:paraId="7E00E666">
            <w:pPr>
              <w:keepNext w:val="0"/>
              <w:keepLines w:val="0"/>
              <w:pageBreakBefore w:val="0"/>
              <w:wordWrap/>
              <w:overflowPunct/>
              <w:topLinePunct w:val="0"/>
              <w:bidi w:val="0"/>
              <w:spacing w:line="440" w:lineRule="exact"/>
              <w:rPr>
                <w:rFonts w:ascii="Arial"/>
                <w:color w:val="auto"/>
                <w:sz w:val="21"/>
                <w:szCs w:val="21"/>
                <w:highlight w:val="none"/>
              </w:rPr>
            </w:pPr>
          </w:p>
        </w:tc>
        <w:tc>
          <w:tcPr>
            <w:tcW w:w="1230" w:type="dxa"/>
            <w:vAlign w:val="top"/>
          </w:tcPr>
          <w:p w14:paraId="62EE70DB">
            <w:pPr>
              <w:keepNext w:val="0"/>
              <w:keepLines w:val="0"/>
              <w:pageBreakBefore w:val="0"/>
              <w:wordWrap/>
              <w:overflowPunct/>
              <w:topLinePunct w:val="0"/>
              <w:bidi w:val="0"/>
              <w:spacing w:line="440" w:lineRule="exact"/>
              <w:rPr>
                <w:rFonts w:ascii="Arial"/>
                <w:color w:val="auto"/>
                <w:sz w:val="21"/>
                <w:szCs w:val="21"/>
                <w:highlight w:val="none"/>
              </w:rPr>
            </w:pPr>
          </w:p>
        </w:tc>
        <w:tc>
          <w:tcPr>
            <w:tcW w:w="3495" w:type="dxa"/>
            <w:vAlign w:val="top"/>
          </w:tcPr>
          <w:p w14:paraId="0DD2C667">
            <w:pPr>
              <w:keepNext w:val="0"/>
              <w:keepLines w:val="0"/>
              <w:pageBreakBefore w:val="0"/>
              <w:wordWrap/>
              <w:overflowPunct/>
              <w:topLinePunct w:val="0"/>
              <w:bidi w:val="0"/>
              <w:spacing w:line="440" w:lineRule="exact"/>
              <w:rPr>
                <w:rFonts w:ascii="Arial"/>
                <w:color w:val="auto"/>
                <w:sz w:val="21"/>
                <w:szCs w:val="21"/>
                <w:highlight w:val="none"/>
              </w:rPr>
            </w:pPr>
          </w:p>
        </w:tc>
        <w:tc>
          <w:tcPr>
            <w:tcW w:w="1200" w:type="dxa"/>
            <w:vAlign w:val="top"/>
          </w:tcPr>
          <w:p w14:paraId="3824EF97">
            <w:pPr>
              <w:keepNext w:val="0"/>
              <w:keepLines w:val="0"/>
              <w:pageBreakBefore w:val="0"/>
              <w:wordWrap/>
              <w:overflowPunct/>
              <w:topLinePunct w:val="0"/>
              <w:bidi w:val="0"/>
              <w:spacing w:line="440" w:lineRule="exact"/>
              <w:rPr>
                <w:rFonts w:ascii="Arial"/>
                <w:color w:val="auto"/>
                <w:sz w:val="21"/>
                <w:szCs w:val="21"/>
                <w:highlight w:val="none"/>
              </w:rPr>
            </w:pPr>
          </w:p>
        </w:tc>
      </w:tr>
      <w:tr w14:paraId="4C4AB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5" w:type="dxa"/>
            <w:vAlign w:val="top"/>
          </w:tcPr>
          <w:p w14:paraId="4526824B">
            <w:pPr>
              <w:keepNext w:val="0"/>
              <w:keepLines w:val="0"/>
              <w:pageBreakBefore w:val="0"/>
              <w:wordWrap/>
              <w:overflowPunct/>
              <w:topLinePunct w:val="0"/>
              <w:bidi w:val="0"/>
              <w:spacing w:line="440" w:lineRule="exact"/>
              <w:rPr>
                <w:rFonts w:ascii="Arial"/>
                <w:color w:val="auto"/>
                <w:sz w:val="21"/>
                <w:szCs w:val="21"/>
                <w:highlight w:val="none"/>
              </w:rPr>
            </w:pPr>
          </w:p>
          <w:p w14:paraId="75316325">
            <w:pPr>
              <w:pStyle w:val="13"/>
              <w:keepNext w:val="0"/>
              <w:keepLines w:val="0"/>
              <w:pageBreakBefore w:val="0"/>
              <w:wordWrap/>
              <w:overflowPunct/>
              <w:topLinePunct w:val="0"/>
              <w:bidi w:val="0"/>
              <w:spacing w:line="440" w:lineRule="exact"/>
              <w:ind w:left="468"/>
              <w:rPr>
                <w:color w:val="auto"/>
                <w:sz w:val="21"/>
                <w:szCs w:val="21"/>
                <w:highlight w:val="none"/>
              </w:rPr>
            </w:pPr>
            <w:r>
              <w:rPr>
                <w:color w:val="auto"/>
                <w:sz w:val="21"/>
                <w:szCs w:val="21"/>
                <w:highlight w:val="none"/>
              </w:rPr>
              <w:t>2</w:t>
            </w:r>
          </w:p>
        </w:tc>
        <w:tc>
          <w:tcPr>
            <w:tcW w:w="1919" w:type="dxa"/>
            <w:vAlign w:val="top"/>
          </w:tcPr>
          <w:p w14:paraId="562034EB">
            <w:pPr>
              <w:keepNext w:val="0"/>
              <w:keepLines w:val="0"/>
              <w:pageBreakBefore w:val="0"/>
              <w:wordWrap/>
              <w:overflowPunct/>
              <w:topLinePunct w:val="0"/>
              <w:bidi w:val="0"/>
              <w:spacing w:line="440" w:lineRule="exact"/>
              <w:rPr>
                <w:rFonts w:ascii="Arial"/>
                <w:color w:val="auto"/>
                <w:sz w:val="21"/>
                <w:szCs w:val="21"/>
                <w:highlight w:val="none"/>
              </w:rPr>
            </w:pPr>
          </w:p>
        </w:tc>
        <w:tc>
          <w:tcPr>
            <w:tcW w:w="1230" w:type="dxa"/>
            <w:vAlign w:val="top"/>
          </w:tcPr>
          <w:p w14:paraId="19A48C97">
            <w:pPr>
              <w:keepNext w:val="0"/>
              <w:keepLines w:val="0"/>
              <w:pageBreakBefore w:val="0"/>
              <w:wordWrap/>
              <w:overflowPunct/>
              <w:topLinePunct w:val="0"/>
              <w:bidi w:val="0"/>
              <w:spacing w:line="440" w:lineRule="exact"/>
              <w:rPr>
                <w:rFonts w:ascii="Arial"/>
                <w:color w:val="auto"/>
                <w:sz w:val="21"/>
                <w:szCs w:val="21"/>
                <w:highlight w:val="none"/>
              </w:rPr>
            </w:pPr>
          </w:p>
        </w:tc>
        <w:tc>
          <w:tcPr>
            <w:tcW w:w="3495" w:type="dxa"/>
            <w:vAlign w:val="top"/>
          </w:tcPr>
          <w:p w14:paraId="61F388D5">
            <w:pPr>
              <w:keepNext w:val="0"/>
              <w:keepLines w:val="0"/>
              <w:pageBreakBefore w:val="0"/>
              <w:wordWrap/>
              <w:overflowPunct/>
              <w:topLinePunct w:val="0"/>
              <w:bidi w:val="0"/>
              <w:spacing w:line="440" w:lineRule="exact"/>
              <w:rPr>
                <w:rFonts w:ascii="Arial"/>
                <w:color w:val="auto"/>
                <w:sz w:val="21"/>
                <w:szCs w:val="21"/>
                <w:highlight w:val="none"/>
              </w:rPr>
            </w:pPr>
          </w:p>
        </w:tc>
        <w:tc>
          <w:tcPr>
            <w:tcW w:w="1200" w:type="dxa"/>
            <w:vAlign w:val="top"/>
          </w:tcPr>
          <w:p w14:paraId="15FA8FC9">
            <w:pPr>
              <w:keepNext w:val="0"/>
              <w:keepLines w:val="0"/>
              <w:pageBreakBefore w:val="0"/>
              <w:wordWrap/>
              <w:overflowPunct/>
              <w:topLinePunct w:val="0"/>
              <w:bidi w:val="0"/>
              <w:spacing w:line="440" w:lineRule="exact"/>
              <w:rPr>
                <w:rFonts w:ascii="Arial"/>
                <w:color w:val="auto"/>
                <w:sz w:val="21"/>
                <w:szCs w:val="21"/>
                <w:highlight w:val="none"/>
              </w:rPr>
            </w:pPr>
          </w:p>
        </w:tc>
      </w:tr>
      <w:tr w14:paraId="22BEE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5" w:type="dxa"/>
            <w:vAlign w:val="top"/>
          </w:tcPr>
          <w:p w14:paraId="6BBF1AC9">
            <w:pPr>
              <w:keepNext w:val="0"/>
              <w:keepLines w:val="0"/>
              <w:pageBreakBefore w:val="0"/>
              <w:wordWrap/>
              <w:overflowPunct/>
              <w:topLinePunct w:val="0"/>
              <w:bidi w:val="0"/>
              <w:spacing w:line="440" w:lineRule="exact"/>
              <w:rPr>
                <w:rFonts w:ascii="Arial"/>
                <w:color w:val="auto"/>
                <w:sz w:val="21"/>
                <w:szCs w:val="21"/>
                <w:highlight w:val="none"/>
              </w:rPr>
            </w:pPr>
          </w:p>
          <w:p w14:paraId="35AF354B">
            <w:pPr>
              <w:pStyle w:val="13"/>
              <w:keepNext w:val="0"/>
              <w:keepLines w:val="0"/>
              <w:pageBreakBefore w:val="0"/>
              <w:wordWrap/>
              <w:overflowPunct/>
              <w:topLinePunct w:val="0"/>
              <w:bidi w:val="0"/>
              <w:spacing w:line="440" w:lineRule="exact"/>
              <w:ind w:left="469"/>
              <w:rPr>
                <w:color w:val="auto"/>
                <w:sz w:val="21"/>
                <w:szCs w:val="21"/>
                <w:highlight w:val="none"/>
              </w:rPr>
            </w:pPr>
            <w:r>
              <w:rPr>
                <w:color w:val="auto"/>
                <w:sz w:val="21"/>
                <w:szCs w:val="21"/>
                <w:highlight w:val="none"/>
              </w:rPr>
              <w:t>3</w:t>
            </w:r>
          </w:p>
        </w:tc>
        <w:tc>
          <w:tcPr>
            <w:tcW w:w="1919" w:type="dxa"/>
            <w:vAlign w:val="top"/>
          </w:tcPr>
          <w:p w14:paraId="265BC63E">
            <w:pPr>
              <w:keepNext w:val="0"/>
              <w:keepLines w:val="0"/>
              <w:pageBreakBefore w:val="0"/>
              <w:wordWrap/>
              <w:overflowPunct/>
              <w:topLinePunct w:val="0"/>
              <w:bidi w:val="0"/>
              <w:spacing w:line="440" w:lineRule="exact"/>
              <w:rPr>
                <w:rFonts w:ascii="Arial"/>
                <w:color w:val="auto"/>
                <w:sz w:val="21"/>
                <w:szCs w:val="21"/>
                <w:highlight w:val="none"/>
              </w:rPr>
            </w:pPr>
          </w:p>
        </w:tc>
        <w:tc>
          <w:tcPr>
            <w:tcW w:w="1230" w:type="dxa"/>
            <w:vAlign w:val="top"/>
          </w:tcPr>
          <w:p w14:paraId="5360BA24">
            <w:pPr>
              <w:keepNext w:val="0"/>
              <w:keepLines w:val="0"/>
              <w:pageBreakBefore w:val="0"/>
              <w:wordWrap/>
              <w:overflowPunct/>
              <w:topLinePunct w:val="0"/>
              <w:bidi w:val="0"/>
              <w:spacing w:line="440" w:lineRule="exact"/>
              <w:rPr>
                <w:rFonts w:ascii="Arial"/>
                <w:color w:val="auto"/>
                <w:sz w:val="21"/>
                <w:szCs w:val="21"/>
                <w:highlight w:val="none"/>
              </w:rPr>
            </w:pPr>
          </w:p>
        </w:tc>
        <w:tc>
          <w:tcPr>
            <w:tcW w:w="3495" w:type="dxa"/>
            <w:vAlign w:val="top"/>
          </w:tcPr>
          <w:p w14:paraId="4D1432A2">
            <w:pPr>
              <w:keepNext w:val="0"/>
              <w:keepLines w:val="0"/>
              <w:pageBreakBefore w:val="0"/>
              <w:wordWrap/>
              <w:overflowPunct/>
              <w:topLinePunct w:val="0"/>
              <w:bidi w:val="0"/>
              <w:spacing w:line="440" w:lineRule="exact"/>
              <w:rPr>
                <w:rFonts w:ascii="Arial"/>
                <w:color w:val="auto"/>
                <w:sz w:val="21"/>
                <w:szCs w:val="21"/>
                <w:highlight w:val="none"/>
              </w:rPr>
            </w:pPr>
          </w:p>
        </w:tc>
        <w:tc>
          <w:tcPr>
            <w:tcW w:w="1200" w:type="dxa"/>
            <w:vAlign w:val="top"/>
          </w:tcPr>
          <w:p w14:paraId="69106B71">
            <w:pPr>
              <w:keepNext w:val="0"/>
              <w:keepLines w:val="0"/>
              <w:pageBreakBefore w:val="0"/>
              <w:wordWrap/>
              <w:overflowPunct/>
              <w:topLinePunct w:val="0"/>
              <w:bidi w:val="0"/>
              <w:spacing w:line="440" w:lineRule="exact"/>
              <w:rPr>
                <w:rFonts w:ascii="Arial"/>
                <w:color w:val="auto"/>
                <w:sz w:val="21"/>
                <w:szCs w:val="21"/>
                <w:highlight w:val="none"/>
              </w:rPr>
            </w:pPr>
          </w:p>
        </w:tc>
      </w:tr>
      <w:tr w14:paraId="30D7F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35" w:type="dxa"/>
            <w:vAlign w:val="top"/>
          </w:tcPr>
          <w:p w14:paraId="24C2464C">
            <w:pPr>
              <w:pStyle w:val="13"/>
              <w:keepNext w:val="0"/>
              <w:keepLines w:val="0"/>
              <w:pageBreakBefore w:val="0"/>
              <w:wordWrap/>
              <w:overflowPunct/>
              <w:topLinePunct w:val="0"/>
              <w:bidi w:val="0"/>
              <w:spacing w:line="440" w:lineRule="exact"/>
              <w:ind w:left="300"/>
              <w:rPr>
                <w:color w:val="auto"/>
                <w:sz w:val="21"/>
                <w:szCs w:val="21"/>
                <w:highlight w:val="none"/>
              </w:rPr>
            </w:pPr>
            <w:r>
              <w:rPr>
                <w:color w:val="auto"/>
                <w:spacing w:val="-13"/>
                <w:position w:val="3"/>
                <w:sz w:val="21"/>
                <w:szCs w:val="21"/>
                <w:highlight w:val="none"/>
              </w:rPr>
              <w:t>……</w:t>
            </w:r>
          </w:p>
        </w:tc>
        <w:tc>
          <w:tcPr>
            <w:tcW w:w="1919" w:type="dxa"/>
            <w:vAlign w:val="top"/>
          </w:tcPr>
          <w:p w14:paraId="2706CC17">
            <w:pPr>
              <w:keepNext w:val="0"/>
              <w:keepLines w:val="0"/>
              <w:pageBreakBefore w:val="0"/>
              <w:wordWrap/>
              <w:overflowPunct/>
              <w:topLinePunct w:val="0"/>
              <w:bidi w:val="0"/>
              <w:spacing w:line="440" w:lineRule="exact"/>
              <w:rPr>
                <w:rFonts w:ascii="Arial"/>
                <w:color w:val="auto"/>
                <w:sz w:val="21"/>
                <w:szCs w:val="21"/>
                <w:highlight w:val="none"/>
              </w:rPr>
            </w:pPr>
          </w:p>
        </w:tc>
        <w:tc>
          <w:tcPr>
            <w:tcW w:w="1230" w:type="dxa"/>
            <w:vAlign w:val="top"/>
          </w:tcPr>
          <w:p w14:paraId="1FE1EFCC">
            <w:pPr>
              <w:keepNext w:val="0"/>
              <w:keepLines w:val="0"/>
              <w:pageBreakBefore w:val="0"/>
              <w:wordWrap/>
              <w:overflowPunct/>
              <w:topLinePunct w:val="0"/>
              <w:bidi w:val="0"/>
              <w:spacing w:line="440" w:lineRule="exact"/>
              <w:rPr>
                <w:rFonts w:ascii="Arial"/>
                <w:color w:val="auto"/>
                <w:sz w:val="21"/>
                <w:szCs w:val="21"/>
                <w:highlight w:val="none"/>
              </w:rPr>
            </w:pPr>
          </w:p>
        </w:tc>
        <w:tc>
          <w:tcPr>
            <w:tcW w:w="3495" w:type="dxa"/>
            <w:vAlign w:val="top"/>
          </w:tcPr>
          <w:p w14:paraId="0A1822DC">
            <w:pPr>
              <w:keepNext w:val="0"/>
              <w:keepLines w:val="0"/>
              <w:pageBreakBefore w:val="0"/>
              <w:wordWrap/>
              <w:overflowPunct/>
              <w:topLinePunct w:val="0"/>
              <w:bidi w:val="0"/>
              <w:spacing w:line="440" w:lineRule="exact"/>
              <w:rPr>
                <w:rFonts w:ascii="Arial"/>
                <w:color w:val="auto"/>
                <w:sz w:val="21"/>
                <w:szCs w:val="21"/>
                <w:highlight w:val="none"/>
              </w:rPr>
            </w:pPr>
          </w:p>
        </w:tc>
        <w:tc>
          <w:tcPr>
            <w:tcW w:w="1200" w:type="dxa"/>
            <w:vAlign w:val="top"/>
          </w:tcPr>
          <w:p w14:paraId="67B24F05">
            <w:pPr>
              <w:keepNext w:val="0"/>
              <w:keepLines w:val="0"/>
              <w:pageBreakBefore w:val="0"/>
              <w:wordWrap/>
              <w:overflowPunct/>
              <w:topLinePunct w:val="0"/>
              <w:bidi w:val="0"/>
              <w:spacing w:line="440" w:lineRule="exact"/>
              <w:rPr>
                <w:rFonts w:ascii="Arial"/>
                <w:color w:val="auto"/>
                <w:sz w:val="21"/>
                <w:szCs w:val="21"/>
                <w:highlight w:val="none"/>
              </w:rPr>
            </w:pPr>
          </w:p>
        </w:tc>
      </w:tr>
    </w:tbl>
    <w:p w14:paraId="5ADA1760">
      <w:pPr>
        <w:pStyle w:val="8"/>
        <w:keepNext w:val="0"/>
        <w:keepLines w:val="0"/>
        <w:pageBreakBefore w:val="0"/>
        <w:wordWrap/>
        <w:overflowPunct/>
        <w:topLinePunct w:val="0"/>
        <w:bidi w:val="0"/>
        <w:spacing w:line="440" w:lineRule="exact"/>
        <w:ind w:left="222"/>
        <w:rPr>
          <w:color w:val="auto"/>
          <w:sz w:val="21"/>
          <w:szCs w:val="21"/>
          <w:highlight w:val="none"/>
        </w:rPr>
      </w:pPr>
      <w:r>
        <w:rPr>
          <w:color w:val="auto"/>
          <w:spacing w:val="-5"/>
          <w:sz w:val="21"/>
          <w:szCs w:val="21"/>
          <w:highlight w:val="none"/>
        </w:rPr>
        <w:t>注：</w:t>
      </w:r>
    </w:p>
    <w:p w14:paraId="06F7230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4E18F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2.本表所指的控股关系仅限于直接控股关系，不包括间接的控股关系。公司实际控制人与公司之间的关系不属于本表所指的直接控股关系。</w:t>
      </w:r>
    </w:p>
    <w:p w14:paraId="1FB781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3.投标人不存在直接控股股东的，则在</w:t>
      </w:r>
      <w:r>
        <w:rPr>
          <w:rFonts w:hint="eastAsia" w:ascii="宋体" w:hAnsi="宋体" w:eastAsia="宋体" w:cs="宋体"/>
          <w:b/>
          <w:bCs/>
          <w:snapToGrid/>
          <w:color w:val="auto"/>
          <w:kern w:val="2"/>
          <w:szCs w:val="21"/>
          <w:highlight w:val="none"/>
          <w:lang w:eastAsia="zh-CN"/>
        </w:rPr>
        <w:t>“直接控股股东名称”</w:t>
      </w:r>
      <w:r>
        <w:rPr>
          <w:rFonts w:hint="eastAsia" w:ascii="宋体" w:hAnsi="宋体" w:eastAsia="宋体" w:cs="宋体"/>
          <w:snapToGrid/>
          <w:color w:val="auto"/>
          <w:kern w:val="2"/>
          <w:szCs w:val="21"/>
          <w:highlight w:val="none"/>
          <w:lang w:eastAsia="zh-CN"/>
        </w:rPr>
        <w:t>中填“无”。</w:t>
      </w:r>
    </w:p>
    <w:p w14:paraId="7DD7C09D">
      <w:pPr>
        <w:keepNext w:val="0"/>
        <w:keepLines w:val="0"/>
        <w:pageBreakBefore w:val="0"/>
        <w:wordWrap/>
        <w:overflowPunct/>
        <w:topLinePunct w:val="0"/>
        <w:bidi w:val="0"/>
        <w:spacing w:line="440" w:lineRule="exact"/>
        <w:rPr>
          <w:rFonts w:ascii="Arial"/>
          <w:color w:val="auto"/>
          <w:sz w:val="21"/>
          <w:szCs w:val="21"/>
          <w:highlight w:val="none"/>
        </w:rPr>
      </w:pPr>
    </w:p>
    <w:p w14:paraId="33B4106F">
      <w:pPr>
        <w:keepNext w:val="0"/>
        <w:keepLines w:val="0"/>
        <w:pageBreakBefore w:val="0"/>
        <w:wordWrap/>
        <w:overflowPunct/>
        <w:topLinePunct w:val="0"/>
        <w:bidi w:val="0"/>
        <w:spacing w:line="440" w:lineRule="exact"/>
        <w:rPr>
          <w:rFonts w:ascii="Arial"/>
          <w:color w:val="auto"/>
          <w:sz w:val="21"/>
          <w:szCs w:val="21"/>
          <w:highlight w:val="none"/>
        </w:rPr>
      </w:pPr>
    </w:p>
    <w:p w14:paraId="3A51EC04">
      <w:pPr>
        <w:keepNext w:val="0"/>
        <w:keepLines w:val="0"/>
        <w:pageBreakBefore w:val="0"/>
        <w:wordWrap/>
        <w:overflowPunct/>
        <w:topLinePunct w:val="0"/>
        <w:bidi w:val="0"/>
        <w:spacing w:line="440" w:lineRule="exact"/>
        <w:rPr>
          <w:rFonts w:ascii="Arial"/>
          <w:color w:val="auto"/>
          <w:sz w:val="21"/>
          <w:szCs w:val="21"/>
          <w:highlight w:val="none"/>
        </w:rPr>
      </w:pPr>
    </w:p>
    <w:p w14:paraId="552C6774">
      <w:pPr>
        <w:keepNext w:val="0"/>
        <w:keepLines w:val="0"/>
        <w:pageBreakBefore w:val="0"/>
        <w:wordWrap/>
        <w:overflowPunct/>
        <w:topLinePunct w:val="0"/>
        <w:bidi w:val="0"/>
        <w:spacing w:line="440" w:lineRule="exact"/>
        <w:rPr>
          <w:rFonts w:ascii="Arial"/>
          <w:color w:val="auto"/>
          <w:sz w:val="21"/>
          <w:szCs w:val="21"/>
          <w:highlight w:val="none"/>
        </w:rPr>
      </w:pPr>
    </w:p>
    <w:p w14:paraId="520E151B">
      <w:pPr>
        <w:keepNext w:val="0"/>
        <w:keepLines w:val="0"/>
        <w:pageBreakBefore w:val="0"/>
        <w:wordWrap/>
        <w:overflowPunct/>
        <w:topLinePunct w:val="0"/>
        <w:bidi w:val="0"/>
        <w:spacing w:line="440" w:lineRule="exact"/>
        <w:rPr>
          <w:rFonts w:ascii="Arial"/>
          <w:color w:val="auto"/>
          <w:sz w:val="21"/>
          <w:szCs w:val="21"/>
          <w:highlight w:val="none"/>
        </w:rPr>
      </w:pPr>
    </w:p>
    <w:p w14:paraId="0883CF51">
      <w:pPr>
        <w:keepNext w:val="0"/>
        <w:keepLines w:val="0"/>
        <w:pageBreakBefore w:val="0"/>
        <w:wordWrap/>
        <w:overflowPunct/>
        <w:topLinePunct w:val="0"/>
        <w:bidi w:val="0"/>
        <w:spacing w:line="440" w:lineRule="exact"/>
        <w:rPr>
          <w:rFonts w:ascii="Arial"/>
          <w:color w:val="auto"/>
          <w:sz w:val="21"/>
          <w:szCs w:val="21"/>
          <w:highlight w:val="none"/>
        </w:rPr>
      </w:pPr>
    </w:p>
    <w:p w14:paraId="0A1E24C6">
      <w:pPr>
        <w:pStyle w:val="8"/>
        <w:keepNext w:val="0"/>
        <w:keepLines w:val="0"/>
        <w:pageBreakBefore w:val="0"/>
        <w:wordWrap/>
        <w:overflowPunct/>
        <w:topLinePunct w:val="0"/>
        <w:bidi w:val="0"/>
        <w:spacing w:line="440" w:lineRule="exact"/>
        <w:ind w:left="4252" w:right="212" w:hanging="38"/>
        <w:rPr>
          <w:color w:val="auto"/>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r>
        <w:rPr>
          <w:color w:val="auto"/>
          <w:spacing w:val="6"/>
          <w:sz w:val="21"/>
          <w:szCs w:val="21"/>
          <w:highlight w:val="none"/>
        </w:rPr>
        <w:t xml:space="preserve"> </w:t>
      </w: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7246898B">
      <w:pPr>
        <w:keepNext w:val="0"/>
        <w:keepLines w:val="0"/>
        <w:pageBreakBefore w:val="0"/>
        <w:wordWrap/>
        <w:overflowPunct/>
        <w:topLinePunct w:val="0"/>
        <w:bidi w:val="0"/>
        <w:spacing w:line="440" w:lineRule="exact"/>
        <w:rPr>
          <w:color w:val="auto"/>
          <w:sz w:val="21"/>
          <w:szCs w:val="21"/>
          <w:highlight w:val="none"/>
        </w:rPr>
        <w:sectPr>
          <w:headerReference r:id="rId37" w:type="default"/>
          <w:footerReference r:id="rId38" w:type="default"/>
          <w:pgSz w:w="11906" w:h="16839"/>
          <w:pgMar w:top="1474" w:right="1474" w:bottom="1474" w:left="1587" w:header="0" w:footer="675" w:gutter="0"/>
          <w:pgNumType w:fmt="decimal"/>
          <w:cols w:space="0" w:num="1"/>
          <w:rtlGutter w:val="0"/>
          <w:docGrid w:linePitch="0" w:charSpace="0"/>
        </w:sectPr>
      </w:pPr>
    </w:p>
    <w:p w14:paraId="718573EC">
      <w:pPr>
        <w:pStyle w:val="8"/>
        <w:keepNext w:val="0"/>
        <w:keepLines w:val="0"/>
        <w:pageBreakBefore w:val="0"/>
        <w:wordWrap/>
        <w:overflowPunct/>
        <w:topLinePunct w:val="0"/>
        <w:bidi w:val="0"/>
        <w:spacing w:line="440" w:lineRule="exact"/>
        <w:ind w:left="2738"/>
        <w:rPr>
          <w:color w:val="auto"/>
          <w:sz w:val="28"/>
          <w:szCs w:val="28"/>
          <w:highlight w:val="none"/>
        </w:rPr>
      </w:pPr>
      <w:r>
        <w:rPr>
          <w:b/>
          <w:bCs/>
          <w:color w:val="auto"/>
          <w:spacing w:val="6"/>
          <w:sz w:val="28"/>
          <w:szCs w:val="28"/>
          <w:highlight w:val="none"/>
        </w:rPr>
        <w:t>投标人直接管理关系信息表</w:t>
      </w:r>
    </w:p>
    <w:p w14:paraId="297EA25E">
      <w:pPr>
        <w:keepNext w:val="0"/>
        <w:keepLines w:val="0"/>
        <w:pageBreakBefore w:val="0"/>
        <w:wordWrap/>
        <w:overflowPunct/>
        <w:topLinePunct w:val="0"/>
        <w:bidi w:val="0"/>
        <w:spacing w:line="440" w:lineRule="exact"/>
        <w:rPr>
          <w:color w:val="auto"/>
          <w:highlight w:val="none"/>
        </w:rPr>
      </w:pPr>
    </w:p>
    <w:tbl>
      <w:tblPr>
        <w:tblStyle w:val="12"/>
        <w:tblW w:w="895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2657"/>
        <w:gridCol w:w="3744"/>
        <w:gridCol w:w="1350"/>
      </w:tblGrid>
      <w:tr w14:paraId="79C73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204" w:type="dxa"/>
            <w:vAlign w:val="top"/>
          </w:tcPr>
          <w:p w14:paraId="20F44896">
            <w:pPr>
              <w:pStyle w:val="13"/>
              <w:keepNext w:val="0"/>
              <w:keepLines w:val="0"/>
              <w:pageBreakBefore w:val="0"/>
              <w:wordWrap/>
              <w:overflowPunct/>
              <w:topLinePunct w:val="0"/>
              <w:bidi w:val="0"/>
              <w:spacing w:line="440" w:lineRule="exact"/>
              <w:ind w:left="333"/>
              <w:rPr>
                <w:color w:val="auto"/>
                <w:sz w:val="21"/>
                <w:szCs w:val="21"/>
                <w:highlight w:val="none"/>
              </w:rPr>
            </w:pPr>
            <w:r>
              <w:rPr>
                <w:b/>
                <w:bCs/>
                <w:color w:val="auto"/>
                <w:spacing w:val="-7"/>
                <w:sz w:val="21"/>
                <w:szCs w:val="21"/>
                <w:highlight w:val="none"/>
              </w:rPr>
              <w:t>序号</w:t>
            </w:r>
          </w:p>
        </w:tc>
        <w:tc>
          <w:tcPr>
            <w:tcW w:w="2657" w:type="dxa"/>
            <w:vAlign w:val="top"/>
          </w:tcPr>
          <w:p w14:paraId="13C52F45">
            <w:pPr>
              <w:pStyle w:val="13"/>
              <w:keepNext w:val="0"/>
              <w:keepLines w:val="0"/>
              <w:pageBreakBefore w:val="0"/>
              <w:wordWrap/>
              <w:overflowPunct/>
              <w:topLinePunct w:val="0"/>
              <w:bidi w:val="0"/>
              <w:spacing w:line="440" w:lineRule="exact"/>
              <w:ind w:left="130"/>
              <w:rPr>
                <w:color w:val="auto"/>
                <w:sz w:val="21"/>
                <w:szCs w:val="21"/>
                <w:highlight w:val="none"/>
              </w:rPr>
            </w:pPr>
            <w:r>
              <w:rPr>
                <w:b/>
                <w:bCs/>
                <w:color w:val="auto"/>
                <w:spacing w:val="-3"/>
                <w:sz w:val="21"/>
                <w:szCs w:val="21"/>
                <w:highlight w:val="none"/>
              </w:rPr>
              <w:t>直接管理关系单位名称</w:t>
            </w:r>
          </w:p>
        </w:tc>
        <w:tc>
          <w:tcPr>
            <w:tcW w:w="3744" w:type="dxa"/>
            <w:vAlign w:val="top"/>
          </w:tcPr>
          <w:p w14:paraId="4EAF1301">
            <w:pPr>
              <w:pStyle w:val="13"/>
              <w:keepNext w:val="0"/>
              <w:keepLines w:val="0"/>
              <w:pageBreakBefore w:val="0"/>
              <w:wordWrap/>
              <w:overflowPunct/>
              <w:topLinePunct w:val="0"/>
              <w:bidi w:val="0"/>
              <w:spacing w:line="440" w:lineRule="exact"/>
              <w:ind w:left="1010"/>
              <w:rPr>
                <w:color w:val="auto"/>
                <w:sz w:val="21"/>
                <w:szCs w:val="21"/>
                <w:highlight w:val="none"/>
              </w:rPr>
            </w:pPr>
            <w:r>
              <w:rPr>
                <w:b/>
                <w:bCs/>
                <w:color w:val="auto"/>
                <w:spacing w:val="-4"/>
                <w:sz w:val="21"/>
                <w:szCs w:val="21"/>
                <w:highlight w:val="none"/>
              </w:rPr>
              <w:t>统一社会信用代码</w:t>
            </w:r>
          </w:p>
        </w:tc>
        <w:tc>
          <w:tcPr>
            <w:tcW w:w="1350" w:type="dxa"/>
            <w:vAlign w:val="top"/>
          </w:tcPr>
          <w:p w14:paraId="4ADED0EA">
            <w:pPr>
              <w:pStyle w:val="13"/>
              <w:keepNext w:val="0"/>
              <w:keepLines w:val="0"/>
              <w:pageBreakBefore w:val="0"/>
              <w:wordWrap/>
              <w:overflowPunct/>
              <w:topLinePunct w:val="0"/>
              <w:bidi w:val="0"/>
              <w:spacing w:line="440" w:lineRule="exact"/>
              <w:ind w:left="498"/>
              <w:rPr>
                <w:color w:val="auto"/>
                <w:sz w:val="21"/>
                <w:szCs w:val="21"/>
                <w:highlight w:val="none"/>
              </w:rPr>
            </w:pPr>
            <w:r>
              <w:rPr>
                <w:b/>
                <w:bCs/>
                <w:color w:val="auto"/>
                <w:spacing w:val="-9"/>
                <w:sz w:val="21"/>
                <w:szCs w:val="21"/>
                <w:highlight w:val="none"/>
              </w:rPr>
              <w:t>备注</w:t>
            </w:r>
          </w:p>
        </w:tc>
      </w:tr>
      <w:tr w14:paraId="1ABFC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04" w:type="dxa"/>
            <w:vAlign w:val="top"/>
          </w:tcPr>
          <w:p w14:paraId="701AC945">
            <w:pPr>
              <w:keepNext w:val="0"/>
              <w:keepLines w:val="0"/>
              <w:pageBreakBefore w:val="0"/>
              <w:wordWrap/>
              <w:overflowPunct/>
              <w:topLinePunct w:val="0"/>
              <w:bidi w:val="0"/>
              <w:spacing w:line="440" w:lineRule="exact"/>
              <w:rPr>
                <w:rFonts w:ascii="Arial"/>
                <w:color w:val="auto"/>
                <w:sz w:val="21"/>
                <w:szCs w:val="21"/>
                <w:highlight w:val="none"/>
              </w:rPr>
            </w:pPr>
          </w:p>
          <w:p w14:paraId="58A9869E">
            <w:pPr>
              <w:pStyle w:val="13"/>
              <w:keepNext w:val="0"/>
              <w:keepLines w:val="0"/>
              <w:pageBreakBefore w:val="0"/>
              <w:wordWrap/>
              <w:overflowPunct/>
              <w:topLinePunct w:val="0"/>
              <w:bidi w:val="0"/>
              <w:spacing w:line="440" w:lineRule="exact"/>
              <w:ind w:left="532"/>
              <w:rPr>
                <w:color w:val="auto"/>
                <w:sz w:val="21"/>
                <w:szCs w:val="21"/>
                <w:highlight w:val="none"/>
              </w:rPr>
            </w:pPr>
            <w:r>
              <w:rPr>
                <w:color w:val="auto"/>
                <w:sz w:val="21"/>
                <w:szCs w:val="21"/>
                <w:highlight w:val="none"/>
              </w:rPr>
              <w:t>1</w:t>
            </w:r>
          </w:p>
        </w:tc>
        <w:tc>
          <w:tcPr>
            <w:tcW w:w="2657" w:type="dxa"/>
            <w:vAlign w:val="top"/>
          </w:tcPr>
          <w:p w14:paraId="1E8DB65D">
            <w:pPr>
              <w:keepNext w:val="0"/>
              <w:keepLines w:val="0"/>
              <w:pageBreakBefore w:val="0"/>
              <w:wordWrap/>
              <w:overflowPunct/>
              <w:topLinePunct w:val="0"/>
              <w:bidi w:val="0"/>
              <w:spacing w:line="440" w:lineRule="exact"/>
              <w:rPr>
                <w:rFonts w:ascii="Arial"/>
                <w:color w:val="auto"/>
                <w:sz w:val="21"/>
                <w:szCs w:val="21"/>
                <w:highlight w:val="none"/>
              </w:rPr>
            </w:pPr>
          </w:p>
        </w:tc>
        <w:tc>
          <w:tcPr>
            <w:tcW w:w="3744" w:type="dxa"/>
            <w:vAlign w:val="top"/>
          </w:tcPr>
          <w:p w14:paraId="11268483">
            <w:pPr>
              <w:keepNext w:val="0"/>
              <w:keepLines w:val="0"/>
              <w:pageBreakBefore w:val="0"/>
              <w:wordWrap/>
              <w:overflowPunct/>
              <w:topLinePunct w:val="0"/>
              <w:bidi w:val="0"/>
              <w:spacing w:line="440" w:lineRule="exact"/>
              <w:rPr>
                <w:rFonts w:ascii="Arial"/>
                <w:color w:val="auto"/>
                <w:sz w:val="21"/>
                <w:szCs w:val="21"/>
                <w:highlight w:val="none"/>
              </w:rPr>
            </w:pPr>
          </w:p>
        </w:tc>
        <w:tc>
          <w:tcPr>
            <w:tcW w:w="1350" w:type="dxa"/>
            <w:vAlign w:val="top"/>
          </w:tcPr>
          <w:p w14:paraId="250AAE24">
            <w:pPr>
              <w:keepNext w:val="0"/>
              <w:keepLines w:val="0"/>
              <w:pageBreakBefore w:val="0"/>
              <w:wordWrap/>
              <w:overflowPunct/>
              <w:topLinePunct w:val="0"/>
              <w:bidi w:val="0"/>
              <w:spacing w:line="440" w:lineRule="exact"/>
              <w:rPr>
                <w:rFonts w:ascii="Arial"/>
                <w:color w:val="auto"/>
                <w:sz w:val="21"/>
                <w:szCs w:val="21"/>
                <w:highlight w:val="none"/>
              </w:rPr>
            </w:pPr>
          </w:p>
        </w:tc>
      </w:tr>
      <w:tr w14:paraId="77F93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04" w:type="dxa"/>
            <w:vAlign w:val="top"/>
          </w:tcPr>
          <w:p w14:paraId="1C0F8C97">
            <w:pPr>
              <w:keepNext w:val="0"/>
              <w:keepLines w:val="0"/>
              <w:pageBreakBefore w:val="0"/>
              <w:wordWrap/>
              <w:overflowPunct/>
              <w:topLinePunct w:val="0"/>
              <w:bidi w:val="0"/>
              <w:spacing w:line="440" w:lineRule="exact"/>
              <w:rPr>
                <w:rFonts w:ascii="Arial"/>
                <w:color w:val="auto"/>
                <w:sz w:val="21"/>
                <w:szCs w:val="21"/>
                <w:highlight w:val="none"/>
              </w:rPr>
            </w:pPr>
          </w:p>
          <w:p w14:paraId="6209F3D6">
            <w:pPr>
              <w:pStyle w:val="13"/>
              <w:keepNext w:val="0"/>
              <w:keepLines w:val="0"/>
              <w:pageBreakBefore w:val="0"/>
              <w:wordWrap/>
              <w:overflowPunct/>
              <w:topLinePunct w:val="0"/>
              <w:bidi w:val="0"/>
              <w:spacing w:line="440" w:lineRule="exact"/>
              <w:ind w:left="517"/>
              <w:rPr>
                <w:color w:val="auto"/>
                <w:sz w:val="21"/>
                <w:szCs w:val="21"/>
                <w:highlight w:val="none"/>
              </w:rPr>
            </w:pPr>
            <w:r>
              <w:rPr>
                <w:color w:val="auto"/>
                <w:sz w:val="21"/>
                <w:szCs w:val="21"/>
                <w:highlight w:val="none"/>
              </w:rPr>
              <w:t>2</w:t>
            </w:r>
          </w:p>
        </w:tc>
        <w:tc>
          <w:tcPr>
            <w:tcW w:w="2657" w:type="dxa"/>
            <w:vAlign w:val="top"/>
          </w:tcPr>
          <w:p w14:paraId="0C9EB6EA">
            <w:pPr>
              <w:keepNext w:val="0"/>
              <w:keepLines w:val="0"/>
              <w:pageBreakBefore w:val="0"/>
              <w:wordWrap/>
              <w:overflowPunct/>
              <w:topLinePunct w:val="0"/>
              <w:bidi w:val="0"/>
              <w:spacing w:line="440" w:lineRule="exact"/>
              <w:rPr>
                <w:rFonts w:ascii="Arial"/>
                <w:color w:val="auto"/>
                <w:sz w:val="21"/>
                <w:szCs w:val="21"/>
                <w:highlight w:val="none"/>
              </w:rPr>
            </w:pPr>
          </w:p>
        </w:tc>
        <w:tc>
          <w:tcPr>
            <w:tcW w:w="3744" w:type="dxa"/>
            <w:vAlign w:val="top"/>
          </w:tcPr>
          <w:p w14:paraId="7C26128E">
            <w:pPr>
              <w:keepNext w:val="0"/>
              <w:keepLines w:val="0"/>
              <w:pageBreakBefore w:val="0"/>
              <w:wordWrap/>
              <w:overflowPunct/>
              <w:topLinePunct w:val="0"/>
              <w:bidi w:val="0"/>
              <w:spacing w:line="440" w:lineRule="exact"/>
              <w:rPr>
                <w:rFonts w:ascii="Arial"/>
                <w:color w:val="auto"/>
                <w:sz w:val="21"/>
                <w:szCs w:val="21"/>
                <w:highlight w:val="none"/>
              </w:rPr>
            </w:pPr>
          </w:p>
        </w:tc>
        <w:tc>
          <w:tcPr>
            <w:tcW w:w="1350" w:type="dxa"/>
            <w:vAlign w:val="top"/>
          </w:tcPr>
          <w:p w14:paraId="5329B5A9">
            <w:pPr>
              <w:keepNext w:val="0"/>
              <w:keepLines w:val="0"/>
              <w:pageBreakBefore w:val="0"/>
              <w:wordWrap/>
              <w:overflowPunct/>
              <w:topLinePunct w:val="0"/>
              <w:bidi w:val="0"/>
              <w:spacing w:line="440" w:lineRule="exact"/>
              <w:rPr>
                <w:rFonts w:ascii="Arial"/>
                <w:color w:val="auto"/>
                <w:sz w:val="21"/>
                <w:szCs w:val="21"/>
                <w:highlight w:val="none"/>
              </w:rPr>
            </w:pPr>
          </w:p>
        </w:tc>
      </w:tr>
      <w:tr w14:paraId="1B07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04" w:type="dxa"/>
            <w:vAlign w:val="top"/>
          </w:tcPr>
          <w:p w14:paraId="47E51D28">
            <w:pPr>
              <w:keepNext w:val="0"/>
              <w:keepLines w:val="0"/>
              <w:pageBreakBefore w:val="0"/>
              <w:wordWrap/>
              <w:overflowPunct/>
              <w:topLinePunct w:val="0"/>
              <w:bidi w:val="0"/>
              <w:spacing w:line="440" w:lineRule="exact"/>
              <w:rPr>
                <w:rFonts w:ascii="Arial"/>
                <w:color w:val="auto"/>
                <w:sz w:val="21"/>
                <w:szCs w:val="21"/>
                <w:highlight w:val="none"/>
              </w:rPr>
            </w:pPr>
          </w:p>
          <w:p w14:paraId="775B8BEE">
            <w:pPr>
              <w:pStyle w:val="13"/>
              <w:keepNext w:val="0"/>
              <w:keepLines w:val="0"/>
              <w:pageBreakBefore w:val="0"/>
              <w:wordWrap/>
              <w:overflowPunct/>
              <w:topLinePunct w:val="0"/>
              <w:bidi w:val="0"/>
              <w:spacing w:line="440" w:lineRule="exact"/>
              <w:ind w:left="519"/>
              <w:rPr>
                <w:color w:val="auto"/>
                <w:sz w:val="21"/>
                <w:szCs w:val="21"/>
                <w:highlight w:val="none"/>
              </w:rPr>
            </w:pPr>
            <w:r>
              <w:rPr>
                <w:color w:val="auto"/>
                <w:sz w:val="21"/>
                <w:szCs w:val="21"/>
                <w:highlight w:val="none"/>
              </w:rPr>
              <w:t>3</w:t>
            </w:r>
          </w:p>
        </w:tc>
        <w:tc>
          <w:tcPr>
            <w:tcW w:w="2657" w:type="dxa"/>
            <w:vAlign w:val="top"/>
          </w:tcPr>
          <w:p w14:paraId="273D00F2">
            <w:pPr>
              <w:keepNext w:val="0"/>
              <w:keepLines w:val="0"/>
              <w:pageBreakBefore w:val="0"/>
              <w:wordWrap/>
              <w:overflowPunct/>
              <w:topLinePunct w:val="0"/>
              <w:bidi w:val="0"/>
              <w:spacing w:line="440" w:lineRule="exact"/>
              <w:rPr>
                <w:rFonts w:ascii="Arial"/>
                <w:color w:val="auto"/>
                <w:sz w:val="21"/>
                <w:szCs w:val="21"/>
                <w:highlight w:val="none"/>
              </w:rPr>
            </w:pPr>
          </w:p>
        </w:tc>
        <w:tc>
          <w:tcPr>
            <w:tcW w:w="3744" w:type="dxa"/>
            <w:vAlign w:val="top"/>
          </w:tcPr>
          <w:p w14:paraId="4C88330B">
            <w:pPr>
              <w:keepNext w:val="0"/>
              <w:keepLines w:val="0"/>
              <w:pageBreakBefore w:val="0"/>
              <w:wordWrap/>
              <w:overflowPunct/>
              <w:topLinePunct w:val="0"/>
              <w:bidi w:val="0"/>
              <w:spacing w:line="440" w:lineRule="exact"/>
              <w:rPr>
                <w:rFonts w:ascii="Arial"/>
                <w:color w:val="auto"/>
                <w:sz w:val="21"/>
                <w:szCs w:val="21"/>
                <w:highlight w:val="none"/>
              </w:rPr>
            </w:pPr>
          </w:p>
        </w:tc>
        <w:tc>
          <w:tcPr>
            <w:tcW w:w="1350" w:type="dxa"/>
            <w:vAlign w:val="top"/>
          </w:tcPr>
          <w:p w14:paraId="7FBD2180">
            <w:pPr>
              <w:keepNext w:val="0"/>
              <w:keepLines w:val="0"/>
              <w:pageBreakBefore w:val="0"/>
              <w:wordWrap/>
              <w:overflowPunct/>
              <w:topLinePunct w:val="0"/>
              <w:bidi w:val="0"/>
              <w:spacing w:line="440" w:lineRule="exact"/>
              <w:rPr>
                <w:rFonts w:ascii="Arial"/>
                <w:color w:val="auto"/>
                <w:sz w:val="21"/>
                <w:szCs w:val="21"/>
                <w:highlight w:val="none"/>
              </w:rPr>
            </w:pPr>
          </w:p>
        </w:tc>
      </w:tr>
      <w:tr w14:paraId="6B77C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04" w:type="dxa"/>
            <w:vAlign w:val="top"/>
          </w:tcPr>
          <w:p w14:paraId="350712C1">
            <w:pPr>
              <w:pStyle w:val="13"/>
              <w:keepNext w:val="0"/>
              <w:keepLines w:val="0"/>
              <w:pageBreakBefore w:val="0"/>
              <w:wordWrap/>
              <w:overflowPunct/>
              <w:topLinePunct w:val="0"/>
              <w:bidi w:val="0"/>
              <w:spacing w:line="440" w:lineRule="exact"/>
              <w:ind w:left="349"/>
              <w:rPr>
                <w:color w:val="auto"/>
                <w:sz w:val="21"/>
                <w:szCs w:val="21"/>
                <w:highlight w:val="none"/>
              </w:rPr>
            </w:pPr>
            <w:r>
              <w:rPr>
                <w:color w:val="auto"/>
                <w:spacing w:val="-13"/>
                <w:position w:val="3"/>
                <w:sz w:val="21"/>
                <w:szCs w:val="21"/>
                <w:highlight w:val="none"/>
              </w:rPr>
              <w:t>……</w:t>
            </w:r>
          </w:p>
        </w:tc>
        <w:tc>
          <w:tcPr>
            <w:tcW w:w="2657" w:type="dxa"/>
            <w:vAlign w:val="top"/>
          </w:tcPr>
          <w:p w14:paraId="291E7429">
            <w:pPr>
              <w:keepNext w:val="0"/>
              <w:keepLines w:val="0"/>
              <w:pageBreakBefore w:val="0"/>
              <w:wordWrap/>
              <w:overflowPunct/>
              <w:topLinePunct w:val="0"/>
              <w:bidi w:val="0"/>
              <w:spacing w:line="440" w:lineRule="exact"/>
              <w:rPr>
                <w:rFonts w:ascii="Arial"/>
                <w:color w:val="auto"/>
                <w:sz w:val="21"/>
                <w:szCs w:val="21"/>
                <w:highlight w:val="none"/>
              </w:rPr>
            </w:pPr>
          </w:p>
        </w:tc>
        <w:tc>
          <w:tcPr>
            <w:tcW w:w="3744" w:type="dxa"/>
            <w:vAlign w:val="top"/>
          </w:tcPr>
          <w:p w14:paraId="51DD1B72">
            <w:pPr>
              <w:keepNext w:val="0"/>
              <w:keepLines w:val="0"/>
              <w:pageBreakBefore w:val="0"/>
              <w:wordWrap/>
              <w:overflowPunct/>
              <w:topLinePunct w:val="0"/>
              <w:bidi w:val="0"/>
              <w:spacing w:line="440" w:lineRule="exact"/>
              <w:rPr>
                <w:rFonts w:ascii="Arial"/>
                <w:color w:val="auto"/>
                <w:sz w:val="21"/>
                <w:szCs w:val="21"/>
                <w:highlight w:val="none"/>
              </w:rPr>
            </w:pPr>
          </w:p>
        </w:tc>
        <w:tc>
          <w:tcPr>
            <w:tcW w:w="1350" w:type="dxa"/>
            <w:vAlign w:val="top"/>
          </w:tcPr>
          <w:p w14:paraId="00A18D8C">
            <w:pPr>
              <w:keepNext w:val="0"/>
              <w:keepLines w:val="0"/>
              <w:pageBreakBefore w:val="0"/>
              <w:wordWrap/>
              <w:overflowPunct/>
              <w:topLinePunct w:val="0"/>
              <w:bidi w:val="0"/>
              <w:spacing w:line="440" w:lineRule="exact"/>
              <w:rPr>
                <w:rFonts w:ascii="Arial"/>
                <w:color w:val="auto"/>
                <w:sz w:val="21"/>
                <w:szCs w:val="21"/>
                <w:highlight w:val="none"/>
              </w:rPr>
            </w:pPr>
          </w:p>
        </w:tc>
      </w:tr>
    </w:tbl>
    <w:p w14:paraId="44D6877F">
      <w:pPr>
        <w:keepNext w:val="0"/>
        <w:keepLines w:val="0"/>
        <w:pageBreakBefore w:val="0"/>
        <w:wordWrap/>
        <w:overflowPunct/>
        <w:topLinePunct w:val="0"/>
        <w:bidi w:val="0"/>
        <w:spacing w:line="440" w:lineRule="exact"/>
        <w:rPr>
          <w:rFonts w:ascii="Arial"/>
          <w:color w:val="auto"/>
          <w:sz w:val="21"/>
          <w:szCs w:val="21"/>
          <w:highlight w:val="none"/>
        </w:rPr>
      </w:pPr>
    </w:p>
    <w:p w14:paraId="41E6F538">
      <w:pPr>
        <w:pStyle w:val="8"/>
        <w:keepNext w:val="0"/>
        <w:keepLines w:val="0"/>
        <w:pageBreakBefore w:val="0"/>
        <w:wordWrap/>
        <w:overflowPunct/>
        <w:topLinePunct w:val="0"/>
        <w:bidi w:val="0"/>
        <w:spacing w:line="440" w:lineRule="exact"/>
        <w:ind w:left="10"/>
        <w:rPr>
          <w:color w:val="auto"/>
          <w:sz w:val="21"/>
          <w:szCs w:val="21"/>
          <w:highlight w:val="none"/>
        </w:rPr>
      </w:pPr>
      <w:r>
        <w:rPr>
          <w:color w:val="auto"/>
          <w:spacing w:val="-5"/>
          <w:sz w:val="21"/>
          <w:szCs w:val="21"/>
          <w:highlight w:val="none"/>
        </w:rPr>
        <w:t>注：</w:t>
      </w:r>
    </w:p>
    <w:p w14:paraId="24571D9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1.管理关系：是指不具有出资持股关系的其他单位之间存在的管理与被管理关系，如一些上下级关系的事业单位和团体组织。</w:t>
      </w:r>
    </w:p>
    <w:p w14:paraId="5B8DAF4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2.本表所指的管理关系仅限于直接管理关系，不包括间接的管理关系。</w:t>
      </w:r>
    </w:p>
    <w:p w14:paraId="3946CD5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3.投标人不存在直接管理关系的，则在</w:t>
      </w:r>
      <w:r>
        <w:rPr>
          <w:rFonts w:hint="eastAsia" w:ascii="宋体" w:hAnsi="宋体" w:eastAsia="宋体" w:cs="宋体"/>
          <w:b/>
          <w:bCs/>
          <w:snapToGrid/>
          <w:color w:val="auto"/>
          <w:kern w:val="2"/>
          <w:szCs w:val="21"/>
          <w:highlight w:val="none"/>
          <w:lang w:eastAsia="zh-CN"/>
        </w:rPr>
        <w:t>“直接管理关系单位名称”</w:t>
      </w:r>
      <w:r>
        <w:rPr>
          <w:rFonts w:hint="eastAsia" w:ascii="宋体" w:hAnsi="宋体" w:eastAsia="宋体" w:cs="宋体"/>
          <w:snapToGrid/>
          <w:color w:val="auto"/>
          <w:kern w:val="2"/>
          <w:szCs w:val="21"/>
          <w:highlight w:val="none"/>
          <w:lang w:eastAsia="zh-CN"/>
        </w:rPr>
        <w:t>中填“无”。</w:t>
      </w:r>
    </w:p>
    <w:p w14:paraId="5C72EC7A">
      <w:pPr>
        <w:keepNext w:val="0"/>
        <w:keepLines w:val="0"/>
        <w:pageBreakBefore w:val="0"/>
        <w:wordWrap/>
        <w:overflowPunct/>
        <w:topLinePunct w:val="0"/>
        <w:bidi w:val="0"/>
        <w:spacing w:line="440" w:lineRule="exact"/>
        <w:rPr>
          <w:rFonts w:ascii="Arial"/>
          <w:color w:val="auto"/>
          <w:sz w:val="20"/>
          <w:szCs w:val="20"/>
          <w:highlight w:val="none"/>
        </w:rPr>
      </w:pPr>
    </w:p>
    <w:p w14:paraId="54FB5268">
      <w:pPr>
        <w:keepNext w:val="0"/>
        <w:keepLines w:val="0"/>
        <w:pageBreakBefore w:val="0"/>
        <w:wordWrap/>
        <w:overflowPunct/>
        <w:topLinePunct w:val="0"/>
        <w:bidi w:val="0"/>
        <w:spacing w:line="440" w:lineRule="exact"/>
        <w:rPr>
          <w:rFonts w:ascii="Arial"/>
          <w:color w:val="auto"/>
          <w:sz w:val="20"/>
          <w:szCs w:val="20"/>
          <w:highlight w:val="none"/>
        </w:rPr>
      </w:pPr>
    </w:p>
    <w:p w14:paraId="58B32C24">
      <w:pPr>
        <w:keepNext w:val="0"/>
        <w:keepLines w:val="0"/>
        <w:pageBreakBefore w:val="0"/>
        <w:wordWrap/>
        <w:overflowPunct/>
        <w:topLinePunct w:val="0"/>
        <w:bidi w:val="0"/>
        <w:spacing w:line="440" w:lineRule="exact"/>
        <w:rPr>
          <w:rFonts w:ascii="Arial"/>
          <w:color w:val="auto"/>
          <w:sz w:val="20"/>
          <w:szCs w:val="20"/>
          <w:highlight w:val="none"/>
        </w:rPr>
      </w:pPr>
    </w:p>
    <w:p w14:paraId="17719DDA">
      <w:pPr>
        <w:keepNext w:val="0"/>
        <w:keepLines w:val="0"/>
        <w:pageBreakBefore w:val="0"/>
        <w:wordWrap/>
        <w:overflowPunct/>
        <w:topLinePunct w:val="0"/>
        <w:bidi w:val="0"/>
        <w:spacing w:line="440" w:lineRule="exact"/>
        <w:rPr>
          <w:rFonts w:ascii="Arial"/>
          <w:color w:val="auto"/>
          <w:sz w:val="20"/>
          <w:szCs w:val="20"/>
          <w:highlight w:val="none"/>
        </w:rPr>
      </w:pPr>
    </w:p>
    <w:p w14:paraId="587260CC">
      <w:pPr>
        <w:keepNext w:val="0"/>
        <w:keepLines w:val="0"/>
        <w:pageBreakBefore w:val="0"/>
        <w:wordWrap/>
        <w:overflowPunct/>
        <w:topLinePunct w:val="0"/>
        <w:bidi w:val="0"/>
        <w:spacing w:line="440" w:lineRule="exact"/>
        <w:rPr>
          <w:rFonts w:ascii="Arial"/>
          <w:color w:val="auto"/>
          <w:sz w:val="20"/>
          <w:szCs w:val="20"/>
          <w:highlight w:val="none"/>
        </w:rPr>
      </w:pPr>
    </w:p>
    <w:p w14:paraId="0FD42E5F">
      <w:pPr>
        <w:pStyle w:val="8"/>
        <w:keepNext w:val="0"/>
        <w:keepLines w:val="0"/>
        <w:pageBreakBefore w:val="0"/>
        <w:wordWrap/>
        <w:overflowPunct/>
        <w:topLinePunct w:val="0"/>
        <w:bidi w:val="0"/>
        <w:spacing w:line="440" w:lineRule="exact"/>
        <w:ind w:left="4001"/>
        <w:rPr>
          <w:color w:val="auto"/>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z w:val="21"/>
          <w:szCs w:val="21"/>
          <w:highlight w:val="none"/>
          <w:u w:val="single" w:color="auto"/>
        </w:rPr>
        <w:t xml:space="preserve">                        </w:t>
      </w:r>
    </w:p>
    <w:p w14:paraId="22F90463">
      <w:pPr>
        <w:pStyle w:val="8"/>
        <w:keepNext w:val="0"/>
        <w:keepLines w:val="0"/>
        <w:pageBreakBefore w:val="0"/>
        <w:wordWrap/>
        <w:overflowPunct/>
        <w:topLinePunct w:val="0"/>
        <w:bidi w:val="0"/>
        <w:spacing w:line="440" w:lineRule="exact"/>
        <w:ind w:left="4040"/>
        <w:outlineLvl w:val="2"/>
        <w:rPr>
          <w:color w:val="auto"/>
          <w:sz w:val="21"/>
          <w:szCs w:val="21"/>
          <w:highlight w:val="none"/>
        </w:rPr>
      </w:pP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69D06E9F">
      <w:pPr>
        <w:spacing w:line="421" w:lineRule="auto"/>
        <w:rPr>
          <w:rFonts w:ascii="Arial"/>
          <w:color w:val="auto"/>
          <w:sz w:val="21"/>
          <w:szCs w:val="21"/>
          <w:highlight w:val="none"/>
        </w:rPr>
      </w:pPr>
    </w:p>
    <w:p w14:paraId="3D310C64">
      <w:pPr>
        <w:pStyle w:val="8"/>
        <w:spacing w:before="262" w:line="219" w:lineRule="auto"/>
        <w:ind w:left="9"/>
        <w:rPr>
          <w:b/>
          <w:bCs/>
          <w:color w:val="auto"/>
          <w:spacing w:val="-3"/>
          <w:sz w:val="24"/>
          <w:szCs w:val="24"/>
          <w:highlight w:val="none"/>
        </w:rPr>
      </w:pPr>
    </w:p>
    <w:p w14:paraId="1B1BD466">
      <w:pPr>
        <w:pStyle w:val="8"/>
        <w:spacing w:before="262" w:line="219" w:lineRule="auto"/>
        <w:ind w:left="9"/>
        <w:rPr>
          <w:b/>
          <w:bCs/>
          <w:color w:val="auto"/>
          <w:spacing w:val="-3"/>
          <w:sz w:val="24"/>
          <w:szCs w:val="24"/>
          <w:highlight w:val="none"/>
        </w:rPr>
      </w:pPr>
    </w:p>
    <w:p w14:paraId="151598F9">
      <w:pPr>
        <w:pStyle w:val="8"/>
        <w:spacing w:before="262" w:line="219" w:lineRule="auto"/>
        <w:ind w:left="9"/>
        <w:rPr>
          <w:b/>
          <w:bCs/>
          <w:color w:val="auto"/>
          <w:spacing w:val="-3"/>
          <w:sz w:val="24"/>
          <w:szCs w:val="24"/>
          <w:highlight w:val="none"/>
        </w:rPr>
      </w:pPr>
    </w:p>
    <w:p w14:paraId="74DF09A6">
      <w:pPr>
        <w:pStyle w:val="8"/>
        <w:spacing w:before="262" w:line="219" w:lineRule="auto"/>
        <w:ind w:left="9"/>
        <w:rPr>
          <w:b/>
          <w:bCs/>
          <w:color w:val="auto"/>
          <w:spacing w:val="-3"/>
          <w:sz w:val="24"/>
          <w:szCs w:val="24"/>
          <w:highlight w:val="none"/>
        </w:rPr>
      </w:pPr>
    </w:p>
    <w:p w14:paraId="5C783BA2">
      <w:pPr>
        <w:pStyle w:val="8"/>
        <w:spacing w:before="262" w:line="219" w:lineRule="auto"/>
        <w:ind w:left="9"/>
        <w:rPr>
          <w:b/>
          <w:bCs/>
          <w:color w:val="auto"/>
          <w:spacing w:val="-3"/>
          <w:sz w:val="24"/>
          <w:szCs w:val="24"/>
          <w:highlight w:val="none"/>
        </w:rPr>
      </w:pPr>
    </w:p>
    <w:p w14:paraId="106DC349">
      <w:pPr>
        <w:pStyle w:val="8"/>
        <w:keepNext w:val="0"/>
        <w:keepLines w:val="0"/>
        <w:pageBreakBefore w:val="0"/>
        <w:wordWrap/>
        <w:overflowPunct/>
        <w:topLinePunct w:val="0"/>
        <w:bidi w:val="0"/>
        <w:spacing w:line="440" w:lineRule="exact"/>
        <w:rPr>
          <w:color w:val="auto"/>
          <w:sz w:val="24"/>
          <w:szCs w:val="24"/>
          <w:highlight w:val="none"/>
        </w:rPr>
      </w:pPr>
      <w:r>
        <w:rPr>
          <w:b/>
          <w:bCs/>
          <w:color w:val="auto"/>
          <w:spacing w:val="-3"/>
          <w:sz w:val="24"/>
          <w:szCs w:val="24"/>
          <w:highlight w:val="none"/>
        </w:rPr>
        <w:t>4.投标资格声明函</w:t>
      </w:r>
    </w:p>
    <w:p w14:paraId="43988646">
      <w:pPr>
        <w:pStyle w:val="8"/>
        <w:keepNext w:val="0"/>
        <w:keepLines w:val="0"/>
        <w:pageBreakBefore w:val="0"/>
        <w:wordWrap/>
        <w:overflowPunct/>
        <w:topLinePunct w:val="0"/>
        <w:bidi w:val="0"/>
        <w:spacing w:line="440" w:lineRule="exact"/>
        <w:ind w:left="3540"/>
        <w:rPr>
          <w:color w:val="auto"/>
          <w:sz w:val="28"/>
          <w:szCs w:val="28"/>
          <w:highlight w:val="none"/>
        </w:rPr>
      </w:pPr>
      <w:r>
        <w:rPr>
          <w:b/>
          <w:bCs/>
          <w:color w:val="auto"/>
          <w:spacing w:val="5"/>
          <w:sz w:val="28"/>
          <w:szCs w:val="28"/>
          <w:highlight w:val="none"/>
        </w:rPr>
        <w:t>投标资格声明函</w:t>
      </w:r>
    </w:p>
    <w:p w14:paraId="09CA24B2">
      <w:pPr>
        <w:pStyle w:val="8"/>
        <w:keepNext w:val="0"/>
        <w:keepLines w:val="0"/>
        <w:pageBreakBefore w:val="0"/>
        <w:wordWrap/>
        <w:overflowPunct/>
        <w:topLinePunct w:val="0"/>
        <w:bidi w:val="0"/>
        <w:spacing w:line="440" w:lineRule="exact"/>
        <w:ind w:left="10"/>
        <w:rPr>
          <w:color w:val="auto"/>
          <w:sz w:val="21"/>
          <w:szCs w:val="21"/>
          <w:highlight w:val="none"/>
        </w:rPr>
      </w:pPr>
      <w:r>
        <w:rPr>
          <w:color w:val="auto"/>
          <w:spacing w:val="4"/>
          <w:sz w:val="21"/>
          <w:szCs w:val="21"/>
          <w:highlight w:val="none"/>
        </w:rPr>
        <w:t>致</w:t>
      </w:r>
      <w:r>
        <w:rPr>
          <w:color w:val="auto"/>
          <w:spacing w:val="-30"/>
          <w:sz w:val="21"/>
          <w:szCs w:val="21"/>
          <w:highlight w:val="none"/>
        </w:rPr>
        <w:t>：</w:t>
      </w:r>
      <w:r>
        <w:rPr>
          <w:color w:val="auto"/>
          <w:spacing w:val="-30"/>
          <w:sz w:val="21"/>
          <w:szCs w:val="21"/>
          <w:highlight w:val="none"/>
          <w:u w:val="single" w:color="auto"/>
        </w:rPr>
        <w:t>（</w:t>
      </w:r>
      <w:r>
        <w:rPr>
          <w:color w:val="auto"/>
          <w:spacing w:val="4"/>
          <w:sz w:val="21"/>
          <w:szCs w:val="21"/>
          <w:highlight w:val="none"/>
          <w:u w:val="single" w:color="auto"/>
        </w:rPr>
        <w:t>采购人/采购代理机构）</w:t>
      </w:r>
      <w:r>
        <w:rPr>
          <w:color w:val="auto"/>
          <w:sz w:val="21"/>
          <w:szCs w:val="21"/>
          <w:highlight w:val="none"/>
          <w:u w:val="single" w:color="auto"/>
        </w:rPr>
        <w:t xml:space="preserve">  </w:t>
      </w:r>
    </w:p>
    <w:p w14:paraId="1B869A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color w:val="auto"/>
          <w:sz w:val="21"/>
          <w:szCs w:val="21"/>
          <w:highlight w:val="none"/>
        </w:rPr>
        <w:t>我方愿意参加贵方组织的</w:t>
      </w:r>
      <w:r>
        <w:rPr>
          <w:color w:val="auto"/>
          <w:sz w:val="21"/>
          <w:szCs w:val="21"/>
          <w:highlight w:val="none"/>
          <w:u w:val="single" w:color="auto"/>
        </w:rPr>
        <w:t>（项目名称/项目编号</w:t>
      </w:r>
      <w:r>
        <w:rPr>
          <w:color w:val="auto"/>
          <w:sz w:val="21"/>
          <w:szCs w:val="21"/>
          <w:highlight w:val="none"/>
        </w:rPr>
        <w:t>）项目</w:t>
      </w:r>
      <w:r>
        <w:rPr>
          <w:color w:val="auto"/>
          <w:spacing w:val="-1"/>
          <w:sz w:val="21"/>
          <w:szCs w:val="21"/>
          <w:highlight w:val="none"/>
        </w:rPr>
        <w:t>的投标，为便于贵方公正、择优地</w:t>
      </w:r>
      <w:r>
        <w:rPr>
          <w:rFonts w:hint="eastAsia" w:ascii="宋体" w:hAnsi="宋体" w:eastAsia="宋体" w:cs="宋体"/>
          <w:snapToGrid/>
          <w:color w:val="auto"/>
          <w:kern w:val="2"/>
          <w:szCs w:val="21"/>
          <w:highlight w:val="none"/>
          <w:lang w:eastAsia="zh-CN"/>
        </w:rPr>
        <w:t>确定中标人，我方就本次投标有关事项郑重声明如下：</w:t>
      </w:r>
    </w:p>
    <w:p w14:paraId="38DA9A0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1.我方承诺已经具备《中华人民共和国政府采购法》第二十二条中规定的参加政府采购活动的投标人应当具备的条件并按本项目投标文件“第三章 ”“第二节投标人须知前附表”中“资格证明文件组成”完整提供证明材料。</w:t>
      </w:r>
    </w:p>
    <w:p w14:paraId="0A96CCE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2.我方不是为本次采购项目提供整体设计、规范编制或者项目管理、监理、检测等服务的投标人；在获知本项目采购信息后，与采购人聘请的为此项目提供咨询服务的公司及其附属机构没有任何联系。</w:t>
      </w:r>
    </w:p>
    <w:p w14:paraId="67C49AF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3.经查询，在“信用中国”和“中国政府采购网”网站我方未被列入失信被执行人、重大税收违法失信主体、政府采购严重违法失信行为记录名单。</w:t>
      </w:r>
    </w:p>
    <w:p w14:paraId="017ABBA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4.以上事项如有虚假或隐瞒，我方愿意承担一切后果，并不再寻求任何旨在减轻或免除法律责任的辩解。</w:t>
      </w:r>
    </w:p>
    <w:p w14:paraId="2D916B1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说明：</w:t>
      </w:r>
    </w:p>
    <w:p w14:paraId="2823F2F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人应当通过“信用中国”（www.creditchina.gov.cn）和“中国政府采购网”网站（www.ccgp.gov.cn）查询投标人相关主体的信用记录。查询时间为本项目招标公告发布之日起至投标截止时间中任意一天。对列入失信被执行人、重大税收违法失信主体、政府采购严重违法失信行为记录名单的投标人，将被拒绝参与本项目政府采购活动。</w:t>
      </w:r>
    </w:p>
    <w:p w14:paraId="7AE333A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334EC57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color w:val="auto"/>
          <w:spacing w:val="-1"/>
          <w:sz w:val="21"/>
          <w:szCs w:val="21"/>
          <w:highlight w:val="none"/>
        </w:rPr>
      </w:pPr>
      <w:r>
        <w:rPr>
          <w:rFonts w:hint="eastAsia" w:ascii="宋体" w:hAnsi="宋体" w:eastAsia="宋体" w:cs="宋体"/>
          <w:snapToGrid/>
          <w:color w:val="auto"/>
          <w:kern w:val="2"/>
          <w:szCs w:val="21"/>
          <w:highlight w:val="none"/>
          <w:lang w:eastAsia="zh-CN"/>
        </w:rPr>
        <w:t>3.如为联合体投标，盖章处须加盖联合体牵头人电子签章并由联合体牵头人法定代表人签字或者盖章或者电子签名，否则投标无效。</w:t>
      </w:r>
    </w:p>
    <w:p w14:paraId="01111576">
      <w:pPr>
        <w:pStyle w:val="8"/>
        <w:keepNext w:val="0"/>
        <w:keepLines w:val="0"/>
        <w:pageBreakBefore w:val="0"/>
        <w:wordWrap/>
        <w:overflowPunct/>
        <w:topLinePunct w:val="0"/>
        <w:bidi w:val="0"/>
        <w:spacing w:line="440" w:lineRule="exact"/>
        <w:ind w:left="4001" w:right="177" w:hanging="453"/>
        <w:rPr>
          <w:color w:val="auto"/>
          <w:sz w:val="21"/>
          <w:szCs w:val="21"/>
          <w:highlight w:val="none"/>
        </w:rPr>
      </w:pPr>
      <w:r>
        <w:rPr>
          <w:color w:val="auto"/>
          <w:sz w:val="21"/>
          <w:szCs w:val="21"/>
          <w:highlight w:val="none"/>
        </w:rPr>
        <w:t>法定代表人</w:t>
      </w:r>
      <w:r>
        <w:rPr>
          <w:color w:val="auto"/>
          <w:spacing w:val="-14"/>
          <w:sz w:val="21"/>
          <w:szCs w:val="21"/>
          <w:highlight w:val="none"/>
        </w:rPr>
        <w:t>：（</w:t>
      </w:r>
      <w:r>
        <w:rPr>
          <w:rFonts w:hint="eastAsia"/>
          <w:color w:val="auto"/>
          <w:spacing w:val="-14"/>
          <w:sz w:val="21"/>
          <w:szCs w:val="21"/>
          <w:highlight w:val="none"/>
        </w:rPr>
        <w:t>签字或者盖章或者电子签名</w:t>
      </w:r>
      <w:r>
        <w:rPr>
          <w:color w:val="auto"/>
          <w:sz w:val="21"/>
          <w:szCs w:val="21"/>
          <w:highlight w:val="none"/>
        </w:rPr>
        <w:t xml:space="preserve">） </w:t>
      </w:r>
    </w:p>
    <w:p w14:paraId="6391C693">
      <w:pPr>
        <w:pStyle w:val="8"/>
        <w:keepNext w:val="0"/>
        <w:keepLines w:val="0"/>
        <w:pageBreakBefore w:val="0"/>
        <w:wordWrap/>
        <w:overflowPunct/>
        <w:topLinePunct w:val="0"/>
        <w:bidi w:val="0"/>
        <w:spacing w:line="440" w:lineRule="exact"/>
        <w:ind w:left="4001" w:right="177" w:hanging="453"/>
        <w:rPr>
          <w:color w:val="auto"/>
          <w:spacing w:val="6"/>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r>
        <w:rPr>
          <w:color w:val="auto"/>
          <w:spacing w:val="6"/>
          <w:sz w:val="21"/>
          <w:szCs w:val="21"/>
          <w:highlight w:val="none"/>
        </w:rPr>
        <w:t xml:space="preserve"> </w:t>
      </w:r>
    </w:p>
    <w:p w14:paraId="5315E3A0">
      <w:pPr>
        <w:pStyle w:val="8"/>
        <w:keepNext w:val="0"/>
        <w:keepLines w:val="0"/>
        <w:pageBreakBefore w:val="0"/>
        <w:wordWrap/>
        <w:overflowPunct/>
        <w:topLinePunct w:val="0"/>
        <w:bidi w:val="0"/>
        <w:spacing w:line="440" w:lineRule="exact"/>
        <w:ind w:left="4001" w:right="177" w:hanging="453"/>
        <w:rPr>
          <w:b/>
          <w:bCs/>
          <w:color w:val="auto"/>
          <w:spacing w:val="-14"/>
          <w:sz w:val="24"/>
          <w:szCs w:val="24"/>
          <w:highlight w:val="none"/>
        </w:rPr>
      </w:pPr>
      <w:r>
        <w:rPr>
          <w:color w:val="auto"/>
          <w:spacing w:val="-7"/>
          <w:sz w:val="21"/>
          <w:szCs w:val="21"/>
          <w:highlight w:val="none"/>
        </w:rPr>
        <w:t>日期：</w:t>
      </w:r>
      <w:r>
        <w:rPr>
          <w:color w:val="auto"/>
          <w:sz w:val="21"/>
          <w:szCs w:val="21"/>
          <w:highlight w:val="none"/>
          <w:u w:val="single" w:color="auto"/>
        </w:rPr>
        <w:t xml:space="preserve">         </w:t>
      </w:r>
      <w:r>
        <w:rPr>
          <w:color w:val="auto"/>
          <w:spacing w:val="-107"/>
          <w:sz w:val="21"/>
          <w:szCs w:val="21"/>
          <w:highlight w:val="none"/>
        </w:rPr>
        <w:t xml:space="preserve"> </w:t>
      </w:r>
      <w:r>
        <w:rPr>
          <w:color w:val="auto"/>
          <w:spacing w:val="-7"/>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7"/>
          <w:sz w:val="21"/>
          <w:szCs w:val="21"/>
          <w:highlight w:val="none"/>
        </w:rPr>
        <w:t>月</w:t>
      </w:r>
      <w:r>
        <w:rPr>
          <w:color w:val="auto"/>
          <w:spacing w:val="20"/>
          <w:sz w:val="21"/>
          <w:szCs w:val="21"/>
          <w:highlight w:val="none"/>
          <w:u w:val="single" w:color="auto"/>
        </w:rPr>
        <w:t xml:space="preserve">      </w:t>
      </w:r>
      <w:r>
        <w:rPr>
          <w:color w:val="auto"/>
          <w:spacing w:val="-69"/>
          <w:sz w:val="21"/>
          <w:szCs w:val="21"/>
          <w:highlight w:val="none"/>
        </w:rPr>
        <w:t xml:space="preserve"> </w:t>
      </w:r>
      <w:r>
        <w:rPr>
          <w:color w:val="auto"/>
          <w:spacing w:val="-7"/>
          <w:sz w:val="21"/>
          <w:szCs w:val="21"/>
          <w:highlight w:val="none"/>
        </w:rPr>
        <w:t>日</w:t>
      </w:r>
    </w:p>
    <w:p w14:paraId="6950CB5C">
      <w:pPr>
        <w:pStyle w:val="8"/>
        <w:spacing w:before="78" w:line="219" w:lineRule="auto"/>
        <w:ind w:left="145"/>
        <w:outlineLvl w:val="2"/>
        <w:rPr>
          <w:b/>
          <w:bCs/>
          <w:color w:val="auto"/>
          <w:spacing w:val="-14"/>
          <w:sz w:val="24"/>
          <w:szCs w:val="24"/>
          <w:highlight w:val="none"/>
        </w:rPr>
      </w:pPr>
    </w:p>
    <w:p w14:paraId="5C44267E">
      <w:pPr>
        <w:pStyle w:val="8"/>
        <w:spacing w:before="78" w:line="219" w:lineRule="auto"/>
        <w:ind w:left="145"/>
        <w:outlineLvl w:val="2"/>
        <w:rPr>
          <w:b/>
          <w:bCs/>
          <w:color w:val="auto"/>
          <w:spacing w:val="-14"/>
          <w:sz w:val="24"/>
          <w:szCs w:val="24"/>
          <w:highlight w:val="none"/>
        </w:rPr>
      </w:pPr>
    </w:p>
    <w:p w14:paraId="6CC204FD">
      <w:pPr>
        <w:pStyle w:val="8"/>
        <w:spacing w:before="78" w:line="219" w:lineRule="auto"/>
        <w:ind w:left="145"/>
        <w:outlineLvl w:val="2"/>
        <w:rPr>
          <w:b/>
          <w:bCs/>
          <w:color w:val="auto"/>
          <w:spacing w:val="-14"/>
          <w:sz w:val="24"/>
          <w:szCs w:val="24"/>
          <w:highlight w:val="none"/>
        </w:rPr>
      </w:pPr>
    </w:p>
    <w:p w14:paraId="221E4F40">
      <w:pPr>
        <w:pStyle w:val="8"/>
        <w:spacing w:before="78" w:line="219" w:lineRule="auto"/>
        <w:ind w:left="145"/>
        <w:outlineLvl w:val="2"/>
        <w:rPr>
          <w:b/>
          <w:bCs/>
          <w:color w:val="auto"/>
          <w:spacing w:val="-14"/>
          <w:sz w:val="24"/>
          <w:szCs w:val="24"/>
          <w:highlight w:val="none"/>
        </w:rPr>
      </w:pPr>
    </w:p>
    <w:p w14:paraId="2160AB88">
      <w:pPr>
        <w:pStyle w:val="8"/>
        <w:keepNext w:val="0"/>
        <w:keepLines w:val="0"/>
        <w:pageBreakBefore w:val="0"/>
        <w:wordWrap/>
        <w:overflowPunct/>
        <w:topLinePunct w:val="0"/>
        <w:bidi w:val="0"/>
        <w:spacing w:line="440" w:lineRule="exact"/>
        <w:ind w:left="145"/>
        <w:outlineLvl w:val="2"/>
        <w:rPr>
          <w:color w:val="auto"/>
          <w:sz w:val="24"/>
          <w:szCs w:val="24"/>
          <w:highlight w:val="none"/>
        </w:rPr>
      </w:pPr>
      <w:r>
        <w:rPr>
          <w:b/>
          <w:bCs/>
          <w:color w:val="auto"/>
          <w:spacing w:val="-14"/>
          <w:sz w:val="24"/>
          <w:szCs w:val="24"/>
          <w:highlight w:val="none"/>
        </w:rPr>
        <w:t>5</w:t>
      </w:r>
      <w:r>
        <w:rPr>
          <w:color w:val="auto"/>
          <w:spacing w:val="-79"/>
          <w:sz w:val="24"/>
          <w:szCs w:val="24"/>
          <w:highlight w:val="none"/>
        </w:rPr>
        <w:t xml:space="preserve"> </w:t>
      </w:r>
      <w:r>
        <w:rPr>
          <w:b/>
          <w:bCs/>
          <w:color w:val="auto"/>
          <w:spacing w:val="-14"/>
          <w:sz w:val="24"/>
          <w:szCs w:val="24"/>
          <w:highlight w:val="none"/>
        </w:rPr>
        <w:t>.</w:t>
      </w:r>
      <w:r>
        <w:rPr>
          <w:color w:val="auto"/>
          <w:spacing w:val="-88"/>
          <w:sz w:val="24"/>
          <w:szCs w:val="24"/>
          <w:highlight w:val="none"/>
        </w:rPr>
        <w:t xml:space="preserve"> </w:t>
      </w:r>
      <w:r>
        <w:rPr>
          <w:b/>
          <w:bCs/>
          <w:color w:val="auto"/>
          <w:spacing w:val="-14"/>
          <w:sz w:val="24"/>
          <w:szCs w:val="24"/>
          <w:highlight w:val="none"/>
        </w:rPr>
        <w:t>联</w:t>
      </w:r>
      <w:r>
        <w:rPr>
          <w:color w:val="auto"/>
          <w:spacing w:val="-68"/>
          <w:sz w:val="24"/>
          <w:szCs w:val="24"/>
          <w:highlight w:val="none"/>
        </w:rPr>
        <w:t xml:space="preserve"> </w:t>
      </w:r>
      <w:r>
        <w:rPr>
          <w:b/>
          <w:bCs/>
          <w:color w:val="auto"/>
          <w:spacing w:val="-14"/>
          <w:sz w:val="24"/>
          <w:szCs w:val="24"/>
          <w:highlight w:val="none"/>
        </w:rPr>
        <w:t>合</w:t>
      </w:r>
      <w:r>
        <w:rPr>
          <w:color w:val="auto"/>
          <w:spacing w:val="-67"/>
          <w:sz w:val="24"/>
          <w:szCs w:val="24"/>
          <w:highlight w:val="none"/>
        </w:rPr>
        <w:t xml:space="preserve"> </w:t>
      </w:r>
      <w:r>
        <w:rPr>
          <w:b/>
          <w:bCs/>
          <w:color w:val="auto"/>
          <w:spacing w:val="-14"/>
          <w:sz w:val="24"/>
          <w:szCs w:val="24"/>
          <w:highlight w:val="none"/>
        </w:rPr>
        <w:t>投</w:t>
      </w:r>
      <w:r>
        <w:rPr>
          <w:color w:val="auto"/>
          <w:spacing w:val="-69"/>
          <w:sz w:val="24"/>
          <w:szCs w:val="24"/>
          <w:highlight w:val="none"/>
        </w:rPr>
        <w:t xml:space="preserve"> </w:t>
      </w:r>
      <w:r>
        <w:rPr>
          <w:b/>
          <w:bCs/>
          <w:color w:val="auto"/>
          <w:spacing w:val="-14"/>
          <w:sz w:val="24"/>
          <w:szCs w:val="24"/>
          <w:highlight w:val="none"/>
        </w:rPr>
        <w:t>标</w:t>
      </w:r>
      <w:r>
        <w:rPr>
          <w:color w:val="auto"/>
          <w:spacing w:val="-69"/>
          <w:sz w:val="24"/>
          <w:szCs w:val="24"/>
          <w:highlight w:val="none"/>
        </w:rPr>
        <w:t xml:space="preserve"> </w:t>
      </w:r>
      <w:r>
        <w:rPr>
          <w:b/>
          <w:bCs/>
          <w:color w:val="auto"/>
          <w:spacing w:val="-14"/>
          <w:sz w:val="24"/>
          <w:szCs w:val="24"/>
          <w:highlight w:val="none"/>
        </w:rPr>
        <w:t>协</w:t>
      </w:r>
      <w:r>
        <w:rPr>
          <w:color w:val="auto"/>
          <w:spacing w:val="-68"/>
          <w:sz w:val="24"/>
          <w:szCs w:val="24"/>
          <w:highlight w:val="none"/>
        </w:rPr>
        <w:t xml:space="preserve"> </w:t>
      </w:r>
      <w:r>
        <w:rPr>
          <w:b/>
          <w:bCs/>
          <w:color w:val="auto"/>
          <w:spacing w:val="-14"/>
          <w:sz w:val="24"/>
          <w:szCs w:val="24"/>
          <w:highlight w:val="none"/>
        </w:rPr>
        <w:t>议</w:t>
      </w:r>
      <w:r>
        <w:rPr>
          <w:color w:val="auto"/>
          <w:spacing w:val="-65"/>
          <w:sz w:val="24"/>
          <w:szCs w:val="24"/>
          <w:highlight w:val="none"/>
        </w:rPr>
        <w:t xml:space="preserve"> </w:t>
      </w:r>
      <w:r>
        <w:rPr>
          <w:b/>
          <w:bCs/>
          <w:color w:val="auto"/>
          <w:spacing w:val="-14"/>
          <w:sz w:val="24"/>
          <w:szCs w:val="24"/>
          <w:highlight w:val="none"/>
        </w:rPr>
        <w:t>书</w:t>
      </w:r>
      <w:r>
        <w:rPr>
          <w:color w:val="auto"/>
          <w:spacing w:val="-70"/>
          <w:sz w:val="24"/>
          <w:szCs w:val="24"/>
          <w:highlight w:val="none"/>
        </w:rPr>
        <w:t xml:space="preserve"> </w:t>
      </w:r>
      <w:r>
        <w:rPr>
          <w:b/>
          <w:bCs/>
          <w:color w:val="auto"/>
          <w:spacing w:val="-14"/>
          <w:sz w:val="24"/>
          <w:szCs w:val="24"/>
          <w:highlight w:val="none"/>
        </w:rPr>
        <w:t>格</w:t>
      </w:r>
      <w:r>
        <w:rPr>
          <w:color w:val="auto"/>
          <w:spacing w:val="-65"/>
          <w:sz w:val="24"/>
          <w:szCs w:val="24"/>
          <w:highlight w:val="none"/>
        </w:rPr>
        <w:t xml:space="preserve"> </w:t>
      </w:r>
      <w:r>
        <w:rPr>
          <w:b/>
          <w:bCs/>
          <w:color w:val="auto"/>
          <w:spacing w:val="-14"/>
          <w:sz w:val="24"/>
          <w:szCs w:val="24"/>
          <w:highlight w:val="none"/>
        </w:rPr>
        <w:t>式</w:t>
      </w:r>
    </w:p>
    <w:p w14:paraId="413C4F98">
      <w:pPr>
        <w:pStyle w:val="8"/>
        <w:keepNext w:val="0"/>
        <w:keepLines w:val="0"/>
        <w:pageBreakBefore w:val="0"/>
        <w:wordWrap/>
        <w:overflowPunct/>
        <w:topLinePunct w:val="0"/>
        <w:bidi w:val="0"/>
        <w:spacing w:line="440" w:lineRule="exact"/>
        <w:ind w:left="3526"/>
        <w:rPr>
          <w:b/>
          <w:bCs/>
          <w:color w:val="auto"/>
          <w:spacing w:val="5"/>
          <w:sz w:val="28"/>
          <w:szCs w:val="28"/>
          <w:highlight w:val="none"/>
        </w:rPr>
      </w:pPr>
    </w:p>
    <w:p w14:paraId="075BECF8">
      <w:pPr>
        <w:pStyle w:val="8"/>
        <w:keepNext w:val="0"/>
        <w:keepLines w:val="0"/>
        <w:pageBreakBefore w:val="0"/>
        <w:wordWrap/>
        <w:overflowPunct/>
        <w:topLinePunct w:val="0"/>
        <w:bidi w:val="0"/>
        <w:spacing w:line="440" w:lineRule="exact"/>
        <w:ind w:left="3526"/>
        <w:rPr>
          <w:rFonts w:hint="eastAsia" w:ascii="宋体" w:hAnsi="宋体" w:eastAsia="宋体" w:cs="宋体"/>
          <w:snapToGrid/>
          <w:color w:val="auto"/>
          <w:kern w:val="2"/>
          <w:sz w:val="28"/>
          <w:szCs w:val="28"/>
          <w:highlight w:val="none"/>
          <w:lang w:eastAsia="zh-CN"/>
        </w:rPr>
      </w:pPr>
      <w:r>
        <w:rPr>
          <w:b/>
          <w:bCs/>
          <w:color w:val="auto"/>
          <w:spacing w:val="5"/>
          <w:sz w:val="28"/>
          <w:szCs w:val="28"/>
          <w:highlight w:val="none"/>
        </w:rPr>
        <w:t>联合投标协议书</w:t>
      </w:r>
    </w:p>
    <w:p w14:paraId="711DF9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ab/>
      </w:r>
      <w:r>
        <w:rPr>
          <w:rFonts w:hint="eastAsia" w:ascii="宋体" w:hAnsi="宋体" w:eastAsia="宋体" w:cs="宋体"/>
          <w:snapToGrid/>
          <w:color w:val="auto"/>
          <w:kern w:val="2"/>
          <w:szCs w:val="21"/>
          <w:highlight w:val="none"/>
          <w:u w:val="single"/>
          <w:lang w:eastAsia="zh-CN"/>
        </w:rPr>
        <w:t>（所有成员单位名称）</w:t>
      </w:r>
      <w:r>
        <w:rPr>
          <w:rFonts w:hint="eastAsia" w:ascii="宋体" w:hAnsi="宋体" w:eastAsia="宋体" w:cs="宋体"/>
          <w:snapToGrid/>
          <w:color w:val="auto"/>
          <w:kern w:val="2"/>
          <w:szCs w:val="21"/>
          <w:highlight w:val="none"/>
          <w:lang w:eastAsia="zh-CN"/>
        </w:rPr>
        <w:t xml:space="preserve"> 自愿组成</w:t>
      </w:r>
      <w:r>
        <w:rPr>
          <w:rFonts w:hint="eastAsia" w:ascii="宋体" w:hAnsi="宋体" w:eastAsia="宋体" w:cs="宋体"/>
          <w:snapToGrid/>
          <w:color w:val="auto"/>
          <w:kern w:val="2"/>
          <w:szCs w:val="21"/>
          <w:highlight w:val="none"/>
          <w:u w:val="single"/>
          <w:lang w:eastAsia="zh-CN"/>
        </w:rPr>
        <w:t>（联合体名称）</w:t>
      </w:r>
      <w:r>
        <w:rPr>
          <w:rFonts w:hint="eastAsia" w:ascii="宋体" w:hAnsi="宋体" w:eastAsia="宋体" w:cs="宋体"/>
          <w:snapToGrid/>
          <w:color w:val="auto"/>
          <w:kern w:val="2"/>
          <w:szCs w:val="21"/>
          <w:highlight w:val="none"/>
          <w:lang w:eastAsia="zh-CN"/>
        </w:rPr>
        <w:t xml:space="preserve">联合体，共同参加 </w:t>
      </w:r>
      <w:r>
        <w:rPr>
          <w:rFonts w:hint="eastAsia" w:ascii="宋体" w:hAnsi="宋体" w:eastAsia="宋体" w:cs="宋体"/>
          <w:snapToGrid/>
          <w:color w:val="auto"/>
          <w:kern w:val="2"/>
          <w:szCs w:val="21"/>
          <w:highlight w:val="none"/>
          <w:u w:val="single"/>
          <w:lang w:eastAsia="zh-CN"/>
        </w:rPr>
        <w:t>（项目名称/项目编号）</w:t>
      </w:r>
      <w:r>
        <w:rPr>
          <w:rFonts w:hint="eastAsia" w:ascii="宋体" w:hAnsi="宋体" w:eastAsia="宋体" w:cs="宋体"/>
          <w:snapToGrid/>
          <w:color w:val="auto"/>
          <w:kern w:val="2"/>
          <w:szCs w:val="21"/>
          <w:highlight w:val="none"/>
          <w:lang w:eastAsia="zh-CN"/>
        </w:rPr>
        <w:t>采购项目投标。现就联合体投标事宜订立如下协议。</w:t>
      </w:r>
    </w:p>
    <w:p w14:paraId="5649871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w:t>
      </w:r>
      <w:r>
        <w:rPr>
          <w:rFonts w:hint="eastAsia" w:ascii="宋体" w:hAnsi="宋体" w:eastAsia="宋体" w:cs="宋体"/>
          <w:snapToGrid/>
          <w:color w:val="auto"/>
          <w:kern w:val="2"/>
          <w:szCs w:val="21"/>
          <w:highlight w:val="none"/>
          <w:u w:val="single"/>
          <w:lang w:eastAsia="zh-CN"/>
        </w:rPr>
        <w:t>（某成员单位名称）</w:t>
      </w:r>
      <w:r>
        <w:rPr>
          <w:rFonts w:hint="eastAsia" w:ascii="宋体" w:hAnsi="宋体" w:eastAsia="宋体" w:cs="宋体"/>
          <w:snapToGrid/>
          <w:color w:val="auto"/>
          <w:kern w:val="2"/>
          <w:szCs w:val="21"/>
          <w:highlight w:val="none"/>
          <w:lang w:eastAsia="zh-CN"/>
        </w:rPr>
        <w:t>为</w:t>
      </w:r>
      <w:r>
        <w:rPr>
          <w:rFonts w:hint="eastAsia" w:ascii="宋体" w:hAnsi="宋体" w:eastAsia="宋体" w:cs="宋体"/>
          <w:snapToGrid/>
          <w:color w:val="auto"/>
          <w:kern w:val="2"/>
          <w:szCs w:val="21"/>
          <w:highlight w:val="none"/>
          <w:u w:val="single"/>
          <w:lang w:eastAsia="zh-CN"/>
        </w:rPr>
        <w:t>（联合体名称）</w:t>
      </w:r>
      <w:r>
        <w:rPr>
          <w:rFonts w:hint="eastAsia" w:ascii="宋体" w:hAnsi="宋体" w:eastAsia="宋体" w:cs="宋体"/>
          <w:snapToGrid/>
          <w:color w:val="auto"/>
          <w:kern w:val="2"/>
          <w:szCs w:val="21"/>
          <w:highlight w:val="none"/>
          <w:lang w:eastAsia="zh-CN"/>
        </w:rPr>
        <w:t>牵头人。</w:t>
      </w:r>
    </w:p>
    <w:p w14:paraId="1DC520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联合体各成员授权牵头人代表联合体参加投标活动，签署文件及对文件的盖章，提交和接收相关的资料、信息及指示，进行合同谈判活动，负责合同实施阶段的组织和协调工作，以及处理与本采购项目有关的一切事宜。</w:t>
      </w:r>
    </w:p>
    <w:p w14:paraId="4BD214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3.联合体牵头人在本项目中签署和盖章的一切文件和处理的一切事宜，联合体各成员均予以承认。联合体各成员将严格按照招标文件、投标文件和合同的要求全面履行义务，并向招标人承担连带责任。</w:t>
      </w:r>
    </w:p>
    <w:p w14:paraId="1603C2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4.对本项目的保密要求及提供的保密承诺全部材料，联合体各成员单位严格执行，任何一方均对保密事项负责，并无条件向采购人承担保密承诺的任何责任。</w:t>
      </w:r>
    </w:p>
    <w:p w14:paraId="43B84D6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5.联合体各成员单位内部的职责分工如下：</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w:t>
      </w:r>
    </w:p>
    <w:p w14:paraId="4FCF30C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 xml:space="preserve">6.本联合体中 </w:t>
      </w:r>
      <w:r>
        <w:rPr>
          <w:rFonts w:hint="eastAsia" w:ascii="宋体" w:hAnsi="宋体" w:eastAsia="宋体" w:cs="宋体"/>
          <w:snapToGrid/>
          <w:color w:val="auto"/>
          <w:kern w:val="2"/>
          <w:szCs w:val="21"/>
          <w:highlight w:val="none"/>
          <w:u w:val="single"/>
          <w:lang w:eastAsia="zh-CN"/>
        </w:rPr>
        <w:t>（某成员单位名称）为（请填写：中型企业、小型企业、微型企业或其他）</w:t>
      </w:r>
      <w:r>
        <w:rPr>
          <w:rFonts w:hint="eastAsia" w:ascii="宋体" w:hAnsi="宋体" w:eastAsia="宋体" w:cs="宋体"/>
          <w:snapToGrid/>
          <w:color w:val="auto"/>
          <w:kern w:val="2"/>
          <w:szCs w:val="21"/>
          <w:highlight w:val="none"/>
          <w:lang w:eastAsia="zh-CN"/>
        </w:rPr>
        <w:t>，其协议合同金额占联合体协议合同总金额的</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%。【如联合体成员中有多个的，请逐一列出。】</w:t>
      </w:r>
    </w:p>
    <w:p w14:paraId="575526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7.其他相关事项：</w:t>
      </w:r>
      <w:r>
        <w:rPr>
          <w:rFonts w:hint="eastAsia" w:ascii="宋体" w:hAnsi="宋体" w:eastAsia="宋体" w:cs="宋体"/>
          <w:snapToGrid/>
          <w:color w:val="auto"/>
          <w:kern w:val="2"/>
          <w:sz w:val="21"/>
          <w:szCs w:val="21"/>
          <w:highlight w:val="none"/>
          <w:u w:val="single"/>
          <w:lang w:eastAsia="zh-CN"/>
        </w:rPr>
        <w:t xml:space="preserve">                  </w:t>
      </w:r>
      <w:r>
        <w:rPr>
          <w:rFonts w:hint="eastAsia" w:ascii="宋体" w:hAnsi="宋体" w:eastAsia="宋体" w:cs="宋体"/>
          <w:snapToGrid/>
          <w:color w:val="auto"/>
          <w:kern w:val="2"/>
          <w:sz w:val="21"/>
          <w:szCs w:val="21"/>
          <w:highlight w:val="none"/>
          <w:lang w:eastAsia="zh-CN"/>
        </w:rPr>
        <w:t>。</w:t>
      </w:r>
    </w:p>
    <w:p w14:paraId="2C35EC9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8.本协议书自所有成员单位法定代表人或者其委托代理人签字（或者电子签名）或者盖公章之日起生效，合同履行完毕后自动失效。</w:t>
      </w:r>
    </w:p>
    <w:p w14:paraId="7F322D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9.本协议书一式</w:t>
      </w:r>
      <w:r>
        <w:rPr>
          <w:rFonts w:hint="eastAsia" w:ascii="宋体" w:hAnsi="宋体" w:eastAsia="宋体" w:cs="宋体"/>
          <w:snapToGrid/>
          <w:color w:val="auto"/>
          <w:kern w:val="2"/>
          <w:sz w:val="21"/>
          <w:szCs w:val="21"/>
          <w:highlight w:val="none"/>
          <w:u w:val="single"/>
          <w:lang w:eastAsia="zh-CN"/>
        </w:rPr>
        <w:t xml:space="preserve">    </w:t>
      </w:r>
      <w:r>
        <w:rPr>
          <w:rFonts w:hint="eastAsia" w:ascii="宋体" w:hAnsi="宋体" w:eastAsia="宋体" w:cs="宋体"/>
          <w:snapToGrid/>
          <w:color w:val="auto"/>
          <w:kern w:val="2"/>
          <w:sz w:val="21"/>
          <w:szCs w:val="21"/>
          <w:highlight w:val="none"/>
          <w:lang w:eastAsia="zh-CN"/>
        </w:rPr>
        <w:t>份，联合体成员和招标人各执一份。</w:t>
      </w:r>
    </w:p>
    <w:p w14:paraId="36307B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snapToGrid/>
          <w:color w:val="auto"/>
          <w:kern w:val="2"/>
          <w:sz w:val="21"/>
          <w:szCs w:val="21"/>
          <w:highlight w:val="none"/>
          <w:u w:val="none"/>
          <w:lang w:eastAsia="zh-CN"/>
        </w:rPr>
      </w:pPr>
      <w:r>
        <w:rPr>
          <w:rFonts w:hint="eastAsia" w:ascii="宋体" w:hAnsi="宋体" w:eastAsia="宋体" w:cs="宋体"/>
          <w:snapToGrid/>
          <w:color w:val="auto"/>
          <w:kern w:val="2"/>
          <w:sz w:val="21"/>
          <w:szCs w:val="21"/>
          <w:highlight w:val="none"/>
          <w:lang w:eastAsia="zh-CN"/>
        </w:rPr>
        <w:t>注：1）具体要求实现 详见</w:t>
      </w:r>
      <w:r>
        <w:rPr>
          <w:rFonts w:hint="eastAsia" w:ascii="宋体" w:hAnsi="宋体" w:eastAsia="宋体" w:cs="宋体"/>
          <w:b/>
          <w:bCs/>
          <w:snapToGrid/>
          <w:color w:val="auto"/>
          <w:kern w:val="2"/>
          <w:sz w:val="21"/>
          <w:szCs w:val="21"/>
          <w:highlight w:val="none"/>
          <w:u w:val="none"/>
          <w:lang w:eastAsia="zh-CN"/>
        </w:rPr>
        <w:t xml:space="preserve"> 第三章 投标人须知  投标人须知前附表“6.2 ”</w:t>
      </w:r>
    </w:p>
    <w:p w14:paraId="052740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2）本协议书应附法定代表人身份证明；有委托代理的，应附授权委托书（格式自拟）。</w:t>
      </w:r>
    </w:p>
    <w:p w14:paraId="6020C0D6">
      <w:pPr>
        <w:keepNext w:val="0"/>
        <w:keepLines w:val="0"/>
        <w:pageBreakBefore w:val="0"/>
        <w:wordWrap/>
        <w:overflowPunct/>
        <w:topLinePunct w:val="0"/>
        <w:bidi w:val="0"/>
        <w:spacing w:line="440" w:lineRule="exact"/>
        <w:rPr>
          <w:rFonts w:ascii="Arial"/>
          <w:color w:val="auto"/>
          <w:sz w:val="21"/>
          <w:szCs w:val="21"/>
          <w:highlight w:val="none"/>
        </w:rPr>
      </w:pPr>
    </w:p>
    <w:p w14:paraId="20A00C48">
      <w:pPr>
        <w:pStyle w:val="8"/>
        <w:keepNext w:val="0"/>
        <w:keepLines w:val="0"/>
        <w:pageBreakBefore w:val="0"/>
        <w:wordWrap/>
        <w:overflowPunct/>
        <w:topLinePunct w:val="0"/>
        <w:bidi w:val="0"/>
        <w:spacing w:line="440" w:lineRule="exact"/>
        <w:ind w:left="480"/>
        <w:rPr>
          <w:color w:val="auto"/>
          <w:sz w:val="21"/>
          <w:szCs w:val="21"/>
          <w:highlight w:val="none"/>
        </w:rPr>
      </w:pPr>
      <w:r>
        <w:rPr>
          <w:color w:val="auto"/>
          <w:spacing w:val="-1"/>
          <w:sz w:val="21"/>
          <w:szCs w:val="21"/>
          <w:highlight w:val="none"/>
        </w:rPr>
        <w:t>联合体牵头人名称（电子签章</w:t>
      </w:r>
      <w:r>
        <w:rPr>
          <w:color w:val="auto"/>
          <w:sz w:val="21"/>
          <w:szCs w:val="21"/>
          <w:highlight w:val="none"/>
        </w:rPr>
        <w:t>）：</w:t>
      </w:r>
    </w:p>
    <w:p w14:paraId="503B48CD">
      <w:pPr>
        <w:pStyle w:val="8"/>
        <w:keepNext w:val="0"/>
        <w:keepLines w:val="0"/>
        <w:pageBreakBefore w:val="0"/>
        <w:wordWrap/>
        <w:overflowPunct/>
        <w:topLinePunct w:val="0"/>
        <w:bidi w:val="0"/>
        <w:spacing w:line="440" w:lineRule="exact"/>
        <w:ind w:left="480"/>
        <w:outlineLvl w:val="1"/>
        <w:rPr>
          <w:color w:val="auto"/>
          <w:sz w:val="21"/>
          <w:szCs w:val="21"/>
          <w:highlight w:val="none"/>
        </w:rPr>
      </w:pPr>
      <w:r>
        <w:rPr>
          <w:color w:val="auto"/>
          <w:spacing w:val="1"/>
          <w:sz w:val="21"/>
          <w:szCs w:val="21"/>
          <w:highlight w:val="none"/>
        </w:rPr>
        <w:t>法定代表人或者其委托代理人</w:t>
      </w:r>
      <w:r>
        <w:rPr>
          <w:color w:val="auto"/>
          <w:spacing w:val="-17"/>
          <w:sz w:val="21"/>
          <w:szCs w:val="21"/>
          <w:highlight w:val="none"/>
        </w:rPr>
        <w:t>：（</w:t>
      </w:r>
      <w:r>
        <w:rPr>
          <w:color w:val="auto"/>
          <w:spacing w:val="1"/>
          <w:sz w:val="21"/>
          <w:szCs w:val="21"/>
          <w:highlight w:val="none"/>
        </w:rPr>
        <w:t>签字或者电子签名）</w:t>
      </w:r>
    </w:p>
    <w:p w14:paraId="6EF3FD9A">
      <w:pPr>
        <w:keepNext w:val="0"/>
        <w:keepLines w:val="0"/>
        <w:pageBreakBefore w:val="0"/>
        <w:wordWrap/>
        <w:overflowPunct/>
        <w:topLinePunct w:val="0"/>
        <w:bidi w:val="0"/>
        <w:spacing w:line="440" w:lineRule="exact"/>
        <w:rPr>
          <w:rFonts w:ascii="Arial"/>
          <w:color w:val="auto"/>
          <w:sz w:val="21"/>
          <w:szCs w:val="21"/>
          <w:highlight w:val="none"/>
        </w:rPr>
      </w:pPr>
    </w:p>
    <w:p w14:paraId="1BADC68F">
      <w:pPr>
        <w:pStyle w:val="8"/>
        <w:keepNext w:val="0"/>
        <w:keepLines w:val="0"/>
        <w:pageBreakBefore w:val="0"/>
        <w:wordWrap/>
        <w:overflowPunct/>
        <w:topLinePunct w:val="0"/>
        <w:bidi w:val="0"/>
        <w:spacing w:line="440" w:lineRule="exact"/>
        <w:ind w:left="480"/>
        <w:rPr>
          <w:color w:val="auto"/>
          <w:sz w:val="21"/>
          <w:szCs w:val="21"/>
          <w:highlight w:val="none"/>
        </w:rPr>
      </w:pPr>
      <w:r>
        <w:rPr>
          <w:color w:val="auto"/>
          <w:spacing w:val="-1"/>
          <w:sz w:val="21"/>
          <w:szCs w:val="21"/>
          <w:highlight w:val="none"/>
        </w:rPr>
        <w:t>联合体成员名称（盖公章或者电子签章</w:t>
      </w:r>
      <w:r>
        <w:rPr>
          <w:color w:val="auto"/>
          <w:spacing w:val="2"/>
          <w:sz w:val="21"/>
          <w:szCs w:val="21"/>
          <w:highlight w:val="none"/>
        </w:rPr>
        <w:t>）：</w:t>
      </w:r>
    </w:p>
    <w:p w14:paraId="3ADFAC7F">
      <w:pPr>
        <w:pStyle w:val="8"/>
        <w:keepNext w:val="0"/>
        <w:keepLines w:val="0"/>
        <w:pageBreakBefore w:val="0"/>
        <w:wordWrap/>
        <w:overflowPunct/>
        <w:topLinePunct w:val="0"/>
        <w:bidi w:val="0"/>
        <w:spacing w:line="440" w:lineRule="exact"/>
        <w:ind w:left="480"/>
        <w:rPr>
          <w:color w:val="auto"/>
          <w:sz w:val="21"/>
          <w:szCs w:val="21"/>
          <w:highlight w:val="none"/>
        </w:rPr>
      </w:pPr>
      <w:r>
        <w:rPr>
          <w:color w:val="auto"/>
          <w:spacing w:val="1"/>
          <w:sz w:val="21"/>
          <w:szCs w:val="21"/>
          <w:highlight w:val="none"/>
        </w:rPr>
        <w:t>法定代表人或者其委托代理人</w:t>
      </w:r>
      <w:r>
        <w:rPr>
          <w:color w:val="auto"/>
          <w:spacing w:val="-17"/>
          <w:sz w:val="21"/>
          <w:szCs w:val="21"/>
          <w:highlight w:val="none"/>
        </w:rPr>
        <w:t>：（</w:t>
      </w:r>
      <w:r>
        <w:rPr>
          <w:color w:val="auto"/>
          <w:spacing w:val="1"/>
          <w:sz w:val="21"/>
          <w:szCs w:val="21"/>
          <w:highlight w:val="none"/>
        </w:rPr>
        <w:t>签字或者电子签名）</w:t>
      </w:r>
    </w:p>
    <w:p w14:paraId="2B5E290B">
      <w:pPr>
        <w:pStyle w:val="8"/>
        <w:keepNext w:val="0"/>
        <w:keepLines w:val="0"/>
        <w:pageBreakBefore w:val="0"/>
        <w:wordWrap/>
        <w:overflowPunct/>
        <w:topLinePunct w:val="0"/>
        <w:bidi w:val="0"/>
        <w:spacing w:line="440" w:lineRule="exact"/>
        <w:ind w:left="434"/>
        <w:rPr>
          <w:color w:val="auto"/>
          <w:sz w:val="21"/>
          <w:szCs w:val="21"/>
          <w:highlight w:val="none"/>
        </w:rPr>
      </w:pPr>
      <w:r>
        <w:rPr>
          <w:color w:val="auto"/>
          <w:spacing w:val="-13"/>
          <w:position w:val="3"/>
          <w:sz w:val="21"/>
          <w:szCs w:val="21"/>
          <w:highlight w:val="none"/>
        </w:rPr>
        <w:t>……</w:t>
      </w:r>
    </w:p>
    <w:p w14:paraId="01E2653B">
      <w:pPr>
        <w:pStyle w:val="8"/>
        <w:keepNext w:val="0"/>
        <w:keepLines w:val="0"/>
        <w:pageBreakBefore w:val="0"/>
        <w:wordWrap/>
        <w:overflowPunct/>
        <w:topLinePunct w:val="0"/>
        <w:bidi w:val="0"/>
        <w:spacing w:line="440" w:lineRule="exact"/>
        <w:ind w:left="480"/>
        <w:rPr>
          <w:color w:val="auto"/>
          <w:spacing w:val="-1"/>
          <w:sz w:val="21"/>
          <w:szCs w:val="21"/>
          <w:highlight w:val="none"/>
        </w:rPr>
      </w:pPr>
      <w:r>
        <w:rPr>
          <w:color w:val="auto"/>
          <w:spacing w:val="-1"/>
          <w:sz w:val="21"/>
          <w:szCs w:val="21"/>
          <w:highlight w:val="none"/>
        </w:rPr>
        <w:t>日期：  年  月  日</w:t>
      </w:r>
    </w:p>
    <w:p w14:paraId="44E66B93">
      <w:pPr>
        <w:keepNext w:val="0"/>
        <w:keepLines w:val="0"/>
        <w:pageBreakBefore w:val="0"/>
        <w:wordWrap/>
        <w:overflowPunct/>
        <w:topLinePunct w:val="0"/>
        <w:bidi w:val="0"/>
        <w:spacing w:line="440" w:lineRule="exact"/>
        <w:rPr>
          <w:color w:val="auto"/>
          <w:sz w:val="20"/>
          <w:szCs w:val="20"/>
          <w:highlight w:val="none"/>
        </w:rPr>
      </w:pPr>
    </w:p>
    <w:p w14:paraId="414D7B79">
      <w:pPr>
        <w:pStyle w:val="9"/>
        <w:spacing w:line="360" w:lineRule="auto"/>
        <w:rPr>
          <w:rFonts w:hint="eastAsia" w:ascii="宋体" w:hAnsi="宋体" w:eastAsia="宋体" w:cs="宋体"/>
          <w:b/>
          <w:bCs/>
          <w:snapToGrid w:val="0"/>
          <w:color w:val="auto"/>
          <w:spacing w:val="-14"/>
          <w:kern w:val="0"/>
          <w:sz w:val="24"/>
          <w:szCs w:val="24"/>
          <w:highlight w:val="none"/>
          <w:lang w:val="en-US" w:eastAsia="en-US" w:bidi="ar-SA"/>
        </w:rPr>
      </w:pPr>
      <w:r>
        <w:rPr>
          <w:rFonts w:hint="eastAsia" w:hAnsi="宋体" w:eastAsia="宋体" w:cs="宋体"/>
          <w:b/>
          <w:bCs/>
          <w:snapToGrid w:val="0"/>
          <w:color w:val="auto"/>
          <w:spacing w:val="-14"/>
          <w:kern w:val="0"/>
          <w:sz w:val="24"/>
          <w:szCs w:val="24"/>
          <w:highlight w:val="none"/>
          <w:lang w:val="en-US" w:eastAsia="zh-CN" w:bidi="ar-SA"/>
        </w:rPr>
        <w:t>6</w:t>
      </w:r>
      <w:r>
        <w:rPr>
          <w:rFonts w:hint="eastAsia" w:ascii="宋体" w:hAnsi="宋体" w:eastAsia="宋体" w:cs="宋体"/>
          <w:b/>
          <w:bCs/>
          <w:snapToGrid w:val="0"/>
          <w:color w:val="auto"/>
          <w:spacing w:val="-14"/>
          <w:kern w:val="0"/>
          <w:sz w:val="24"/>
          <w:szCs w:val="24"/>
          <w:highlight w:val="none"/>
          <w:lang w:val="en-US" w:eastAsia="en-US" w:bidi="ar-SA"/>
        </w:rPr>
        <w:t>. 项目实施人员一览表格式</w:t>
      </w:r>
    </w:p>
    <w:p w14:paraId="189F235F">
      <w:pPr>
        <w:snapToGrid w:val="0"/>
        <w:spacing w:before="166" w:beforeLines="50" w:after="50"/>
        <w:jc w:val="center"/>
        <w:rPr>
          <w:rFonts w:hint="eastAsia" w:ascii="宋体" w:hAnsi="宋体" w:eastAsia="宋体" w:cs="宋体"/>
          <w:b/>
          <w:bCs/>
          <w:snapToGrid w:val="0"/>
          <w:color w:val="auto"/>
          <w:spacing w:val="5"/>
          <w:kern w:val="0"/>
          <w:sz w:val="28"/>
          <w:szCs w:val="28"/>
          <w:highlight w:val="none"/>
          <w:lang w:val="en-US" w:eastAsia="en-US" w:bidi="ar-SA"/>
        </w:rPr>
      </w:pPr>
      <w:r>
        <w:rPr>
          <w:rFonts w:hint="eastAsia" w:ascii="宋体" w:hAnsi="宋体" w:eastAsia="宋体" w:cs="宋体"/>
          <w:b/>
          <w:bCs/>
          <w:snapToGrid w:val="0"/>
          <w:color w:val="auto"/>
          <w:spacing w:val="5"/>
          <w:kern w:val="0"/>
          <w:sz w:val="28"/>
          <w:szCs w:val="28"/>
          <w:highlight w:val="none"/>
          <w:lang w:val="en-US" w:eastAsia="en-US" w:bidi="ar-SA"/>
        </w:rPr>
        <w:t>项目实施人员一览表</w:t>
      </w:r>
    </w:p>
    <w:p w14:paraId="3CFE8413">
      <w:pPr>
        <w:rPr>
          <w:rFonts w:hint="eastAsia" w:ascii="宋体" w:hAnsi="宋体" w:eastAsia="宋体" w:cs="宋体"/>
          <w:color w:val="auto"/>
          <w:kern w:val="0"/>
          <w:sz w:val="24"/>
          <w:highlight w:val="none"/>
        </w:rPr>
      </w:pPr>
    </w:p>
    <w:tbl>
      <w:tblPr>
        <w:tblStyle w:val="10"/>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551"/>
        <w:gridCol w:w="964"/>
        <w:gridCol w:w="1566"/>
        <w:gridCol w:w="1475"/>
        <w:gridCol w:w="1526"/>
        <w:gridCol w:w="1092"/>
      </w:tblGrid>
      <w:tr w14:paraId="15B7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62" w:type="dxa"/>
            <w:noWrap w:val="0"/>
            <w:vAlign w:val="center"/>
          </w:tcPr>
          <w:p w14:paraId="54ED8A70">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序号</w:t>
            </w:r>
          </w:p>
        </w:tc>
        <w:tc>
          <w:tcPr>
            <w:tcW w:w="1551" w:type="dxa"/>
            <w:noWrap w:val="0"/>
            <w:vAlign w:val="center"/>
          </w:tcPr>
          <w:p w14:paraId="1047B734">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姓名</w:t>
            </w:r>
          </w:p>
        </w:tc>
        <w:tc>
          <w:tcPr>
            <w:tcW w:w="964" w:type="dxa"/>
            <w:noWrap w:val="0"/>
            <w:vAlign w:val="center"/>
          </w:tcPr>
          <w:p w14:paraId="441ABFE9">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学历</w:t>
            </w:r>
          </w:p>
        </w:tc>
        <w:tc>
          <w:tcPr>
            <w:tcW w:w="1566" w:type="dxa"/>
            <w:noWrap w:val="0"/>
            <w:vAlign w:val="center"/>
          </w:tcPr>
          <w:p w14:paraId="77CEAD5A">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专业</w:t>
            </w:r>
          </w:p>
        </w:tc>
        <w:tc>
          <w:tcPr>
            <w:tcW w:w="1475" w:type="dxa"/>
            <w:noWrap w:val="0"/>
            <w:vAlign w:val="center"/>
          </w:tcPr>
          <w:p w14:paraId="51C02BAD">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职称</w:t>
            </w:r>
          </w:p>
        </w:tc>
        <w:tc>
          <w:tcPr>
            <w:tcW w:w="1526" w:type="dxa"/>
            <w:noWrap w:val="0"/>
            <w:vAlign w:val="center"/>
          </w:tcPr>
          <w:p w14:paraId="26424B37">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本项目的职责</w:t>
            </w:r>
          </w:p>
        </w:tc>
        <w:tc>
          <w:tcPr>
            <w:tcW w:w="1092" w:type="dxa"/>
            <w:noWrap w:val="0"/>
            <w:vAlign w:val="center"/>
          </w:tcPr>
          <w:p w14:paraId="57818811">
            <w:pPr>
              <w:snapToGrid w:val="0"/>
              <w:spacing w:before="50" w:after="166" w:afterLines="50"/>
              <w:jc w:val="center"/>
              <w:rPr>
                <w:rFonts w:hint="eastAsia" w:ascii="宋体" w:hAnsi="宋体" w:eastAsia="宋体" w:cs="宋体"/>
                <w:b/>
                <w:bCs/>
                <w:snapToGrid w:val="0"/>
                <w:color w:val="auto"/>
                <w:spacing w:val="-3"/>
                <w:kern w:val="0"/>
                <w:sz w:val="21"/>
                <w:szCs w:val="21"/>
                <w:highlight w:val="none"/>
                <w:lang w:val="en-US" w:eastAsia="en-US" w:bidi="ar-SA"/>
              </w:rPr>
            </w:pPr>
            <w:r>
              <w:rPr>
                <w:rFonts w:hint="eastAsia" w:ascii="宋体" w:hAnsi="宋体" w:eastAsia="宋体" w:cs="宋体"/>
                <w:b/>
                <w:bCs/>
                <w:snapToGrid w:val="0"/>
                <w:color w:val="auto"/>
                <w:spacing w:val="-3"/>
                <w:kern w:val="0"/>
                <w:sz w:val="21"/>
                <w:szCs w:val="21"/>
                <w:highlight w:val="none"/>
                <w:lang w:val="en-US" w:eastAsia="en-US" w:bidi="ar-SA"/>
              </w:rPr>
              <w:t>备注</w:t>
            </w:r>
          </w:p>
        </w:tc>
      </w:tr>
      <w:tr w14:paraId="5CF5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noWrap w:val="0"/>
            <w:vAlign w:val="center"/>
          </w:tcPr>
          <w:p w14:paraId="46EEA67E">
            <w:pPr>
              <w:snapToGrid w:val="0"/>
              <w:spacing w:before="50" w:after="166" w:afterLines="50"/>
              <w:jc w:val="center"/>
              <w:rPr>
                <w:rFonts w:hint="eastAsia" w:ascii="宋体" w:hAnsi="宋体" w:eastAsia="宋体" w:cs="宋体"/>
                <w:color w:val="auto"/>
                <w:sz w:val="21"/>
                <w:szCs w:val="21"/>
                <w:highlight w:val="none"/>
              </w:rPr>
            </w:pPr>
          </w:p>
        </w:tc>
        <w:tc>
          <w:tcPr>
            <w:tcW w:w="1551" w:type="dxa"/>
            <w:noWrap w:val="0"/>
            <w:vAlign w:val="center"/>
          </w:tcPr>
          <w:p w14:paraId="7760950D">
            <w:pPr>
              <w:snapToGrid w:val="0"/>
              <w:spacing w:before="50" w:after="166" w:afterLines="50"/>
              <w:jc w:val="center"/>
              <w:rPr>
                <w:rFonts w:hint="eastAsia" w:ascii="宋体" w:hAnsi="宋体" w:eastAsia="宋体" w:cs="宋体"/>
                <w:color w:val="auto"/>
                <w:sz w:val="21"/>
                <w:szCs w:val="21"/>
                <w:highlight w:val="none"/>
              </w:rPr>
            </w:pPr>
          </w:p>
        </w:tc>
        <w:tc>
          <w:tcPr>
            <w:tcW w:w="964" w:type="dxa"/>
            <w:noWrap w:val="0"/>
            <w:vAlign w:val="center"/>
          </w:tcPr>
          <w:p w14:paraId="1CD16018">
            <w:pPr>
              <w:snapToGrid w:val="0"/>
              <w:spacing w:before="50" w:after="166" w:afterLines="50"/>
              <w:jc w:val="center"/>
              <w:rPr>
                <w:rFonts w:hint="eastAsia" w:ascii="宋体" w:hAnsi="宋体" w:eastAsia="宋体" w:cs="宋体"/>
                <w:color w:val="auto"/>
                <w:sz w:val="21"/>
                <w:szCs w:val="21"/>
                <w:highlight w:val="none"/>
              </w:rPr>
            </w:pPr>
          </w:p>
        </w:tc>
        <w:tc>
          <w:tcPr>
            <w:tcW w:w="1566" w:type="dxa"/>
            <w:noWrap w:val="0"/>
            <w:vAlign w:val="center"/>
          </w:tcPr>
          <w:p w14:paraId="3AD8031B">
            <w:pPr>
              <w:snapToGrid w:val="0"/>
              <w:spacing w:before="50" w:after="166" w:afterLines="50"/>
              <w:jc w:val="center"/>
              <w:rPr>
                <w:rFonts w:hint="eastAsia" w:ascii="宋体" w:hAnsi="宋体" w:eastAsia="宋体" w:cs="宋体"/>
                <w:color w:val="auto"/>
                <w:sz w:val="21"/>
                <w:szCs w:val="21"/>
                <w:highlight w:val="none"/>
              </w:rPr>
            </w:pPr>
          </w:p>
        </w:tc>
        <w:tc>
          <w:tcPr>
            <w:tcW w:w="1475" w:type="dxa"/>
            <w:noWrap w:val="0"/>
            <w:vAlign w:val="center"/>
          </w:tcPr>
          <w:p w14:paraId="6593675C">
            <w:pPr>
              <w:snapToGrid w:val="0"/>
              <w:spacing w:before="50" w:after="166" w:afterLines="50"/>
              <w:jc w:val="center"/>
              <w:rPr>
                <w:rFonts w:hint="eastAsia" w:ascii="宋体" w:hAnsi="宋体" w:eastAsia="宋体" w:cs="宋体"/>
                <w:color w:val="auto"/>
                <w:sz w:val="21"/>
                <w:szCs w:val="21"/>
                <w:highlight w:val="none"/>
              </w:rPr>
            </w:pPr>
          </w:p>
        </w:tc>
        <w:tc>
          <w:tcPr>
            <w:tcW w:w="1526" w:type="dxa"/>
            <w:noWrap w:val="0"/>
            <w:vAlign w:val="center"/>
          </w:tcPr>
          <w:p w14:paraId="41AE58C1">
            <w:pPr>
              <w:snapToGrid w:val="0"/>
              <w:spacing w:before="50" w:after="166" w:afterLines="50"/>
              <w:jc w:val="center"/>
              <w:rPr>
                <w:rFonts w:hint="eastAsia" w:ascii="宋体" w:hAnsi="宋体" w:eastAsia="宋体" w:cs="宋体"/>
                <w:color w:val="auto"/>
                <w:sz w:val="21"/>
                <w:szCs w:val="21"/>
                <w:highlight w:val="none"/>
              </w:rPr>
            </w:pPr>
          </w:p>
        </w:tc>
        <w:tc>
          <w:tcPr>
            <w:tcW w:w="1092" w:type="dxa"/>
            <w:noWrap w:val="0"/>
            <w:vAlign w:val="center"/>
          </w:tcPr>
          <w:p w14:paraId="550332FF">
            <w:pPr>
              <w:snapToGrid w:val="0"/>
              <w:spacing w:before="50" w:after="166" w:afterLines="50"/>
              <w:jc w:val="center"/>
              <w:rPr>
                <w:rFonts w:hint="eastAsia" w:ascii="宋体" w:hAnsi="宋体" w:eastAsia="宋体" w:cs="宋体"/>
                <w:color w:val="auto"/>
                <w:sz w:val="21"/>
                <w:szCs w:val="21"/>
                <w:highlight w:val="none"/>
              </w:rPr>
            </w:pPr>
          </w:p>
        </w:tc>
      </w:tr>
      <w:tr w14:paraId="44B1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noWrap w:val="0"/>
            <w:vAlign w:val="center"/>
          </w:tcPr>
          <w:p w14:paraId="108C6664">
            <w:pPr>
              <w:snapToGrid w:val="0"/>
              <w:spacing w:before="50" w:after="166" w:afterLines="50"/>
              <w:jc w:val="center"/>
              <w:rPr>
                <w:rFonts w:hint="eastAsia" w:ascii="宋体" w:hAnsi="宋体" w:eastAsia="宋体" w:cs="宋体"/>
                <w:color w:val="auto"/>
                <w:sz w:val="21"/>
                <w:szCs w:val="21"/>
                <w:highlight w:val="none"/>
              </w:rPr>
            </w:pPr>
          </w:p>
        </w:tc>
        <w:tc>
          <w:tcPr>
            <w:tcW w:w="1551" w:type="dxa"/>
            <w:noWrap w:val="0"/>
            <w:vAlign w:val="center"/>
          </w:tcPr>
          <w:p w14:paraId="0E3E6AD3">
            <w:pPr>
              <w:snapToGrid w:val="0"/>
              <w:spacing w:before="50" w:after="166" w:afterLines="50"/>
              <w:jc w:val="center"/>
              <w:rPr>
                <w:rFonts w:hint="eastAsia" w:ascii="宋体" w:hAnsi="宋体" w:eastAsia="宋体" w:cs="宋体"/>
                <w:color w:val="auto"/>
                <w:sz w:val="21"/>
                <w:szCs w:val="21"/>
                <w:highlight w:val="none"/>
              </w:rPr>
            </w:pPr>
          </w:p>
        </w:tc>
        <w:tc>
          <w:tcPr>
            <w:tcW w:w="964" w:type="dxa"/>
            <w:noWrap w:val="0"/>
            <w:vAlign w:val="center"/>
          </w:tcPr>
          <w:p w14:paraId="323A84C7">
            <w:pPr>
              <w:snapToGrid w:val="0"/>
              <w:spacing w:before="50" w:after="166" w:afterLines="50"/>
              <w:jc w:val="center"/>
              <w:rPr>
                <w:rFonts w:hint="eastAsia" w:ascii="宋体" w:hAnsi="宋体" w:eastAsia="宋体" w:cs="宋体"/>
                <w:color w:val="auto"/>
                <w:sz w:val="21"/>
                <w:szCs w:val="21"/>
                <w:highlight w:val="none"/>
              </w:rPr>
            </w:pPr>
          </w:p>
        </w:tc>
        <w:tc>
          <w:tcPr>
            <w:tcW w:w="1566" w:type="dxa"/>
            <w:noWrap w:val="0"/>
            <w:vAlign w:val="center"/>
          </w:tcPr>
          <w:p w14:paraId="4D594151">
            <w:pPr>
              <w:snapToGrid w:val="0"/>
              <w:spacing w:before="50" w:after="166" w:afterLines="50"/>
              <w:jc w:val="center"/>
              <w:rPr>
                <w:rFonts w:hint="eastAsia" w:ascii="宋体" w:hAnsi="宋体" w:eastAsia="宋体" w:cs="宋体"/>
                <w:color w:val="auto"/>
                <w:sz w:val="21"/>
                <w:szCs w:val="21"/>
                <w:highlight w:val="none"/>
              </w:rPr>
            </w:pPr>
          </w:p>
        </w:tc>
        <w:tc>
          <w:tcPr>
            <w:tcW w:w="1475" w:type="dxa"/>
            <w:noWrap w:val="0"/>
            <w:vAlign w:val="center"/>
          </w:tcPr>
          <w:p w14:paraId="1CB19814">
            <w:pPr>
              <w:snapToGrid w:val="0"/>
              <w:spacing w:before="50" w:after="166" w:afterLines="50"/>
              <w:jc w:val="center"/>
              <w:rPr>
                <w:rFonts w:hint="eastAsia" w:ascii="宋体" w:hAnsi="宋体" w:eastAsia="宋体" w:cs="宋体"/>
                <w:color w:val="auto"/>
                <w:sz w:val="21"/>
                <w:szCs w:val="21"/>
                <w:highlight w:val="none"/>
              </w:rPr>
            </w:pPr>
          </w:p>
        </w:tc>
        <w:tc>
          <w:tcPr>
            <w:tcW w:w="1526" w:type="dxa"/>
            <w:noWrap w:val="0"/>
            <w:vAlign w:val="center"/>
          </w:tcPr>
          <w:p w14:paraId="059C2AF0">
            <w:pPr>
              <w:snapToGrid w:val="0"/>
              <w:spacing w:before="50" w:after="166" w:afterLines="50"/>
              <w:jc w:val="center"/>
              <w:rPr>
                <w:rFonts w:hint="eastAsia" w:ascii="宋体" w:hAnsi="宋体" w:eastAsia="宋体" w:cs="宋体"/>
                <w:color w:val="auto"/>
                <w:sz w:val="21"/>
                <w:szCs w:val="21"/>
                <w:highlight w:val="none"/>
              </w:rPr>
            </w:pPr>
          </w:p>
        </w:tc>
        <w:tc>
          <w:tcPr>
            <w:tcW w:w="1092" w:type="dxa"/>
            <w:noWrap w:val="0"/>
            <w:vAlign w:val="center"/>
          </w:tcPr>
          <w:p w14:paraId="31ACDC44">
            <w:pPr>
              <w:snapToGrid w:val="0"/>
              <w:spacing w:before="50" w:after="166" w:afterLines="50"/>
              <w:jc w:val="center"/>
              <w:rPr>
                <w:rFonts w:hint="eastAsia" w:ascii="宋体" w:hAnsi="宋体" w:eastAsia="宋体" w:cs="宋体"/>
                <w:color w:val="auto"/>
                <w:sz w:val="21"/>
                <w:szCs w:val="21"/>
                <w:highlight w:val="none"/>
              </w:rPr>
            </w:pPr>
          </w:p>
        </w:tc>
      </w:tr>
      <w:tr w14:paraId="494E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2" w:type="dxa"/>
            <w:noWrap w:val="0"/>
            <w:vAlign w:val="center"/>
          </w:tcPr>
          <w:p w14:paraId="23E53893">
            <w:pPr>
              <w:snapToGrid w:val="0"/>
              <w:spacing w:before="50" w:after="166" w:afterLines="50"/>
              <w:jc w:val="center"/>
              <w:rPr>
                <w:rFonts w:hint="eastAsia" w:ascii="宋体" w:hAnsi="宋体" w:eastAsia="宋体" w:cs="宋体"/>
                <w:color w:val="auto"/>
                <w:sz w:val="21"/>
                <w:szCs w:val="21"/>
                <w:highlight w:val="none"/>
              </w:rPr>
            </w:pPr>
          </w:p>
        </w:tc>
        <w:tc>
          <w:tcPr>
            <w:tcW w:w="1551" w:type="dxa"/>
            <w:noWrap w:val="0"/>
            <w:vAlign w:val="center"/>
          </w:tcPr>
          <w:p w14:paraId="027BEE8A">
            <w:pPr>
              <w:snapToGrid w:val="0"/>
              <w:spacing w:before="50" w:after="166" w:afterLines="50"/>
              <w:jc w:val="center"/>
              <w:rPr>
                <w:rFonts w:hint="eastAsia" w:ascii="宋体" w:hAnsi="宋体" w:eastAsia="宋体" w:cs="宋体"/>
                <w:color w:val="auto"/>
                <w:sz w:val="21"/>
                <w:szCs w:val="21"/>
                <w:highlight w:val="none"/>
              </w:rPr>
            </w:pPr>
          </w:p>
        </w:tc>
        <w:tc>
          <w:tcPr>
            <w:tcW w:w="964" w:type="dxa"/>
            <w:noWrap w:val="0"/>
            <w:vAlign w:val="center"/>
          </w:tcPr>
          <w:p w14:paraId="4B100B19">
            <w:pPr>
              <w:snapToGrid w:val="0"/>
              <w:spacing w:before="50" w:after="166" w:afterLines="50"/>
              <w:jc w:val="center"/>
              <w:rPr>
                <w:rFonts w:hint="eastAsia" w:ascii="宋体" w:hAnsi="宋体" w:eastAsia="宋体" w:cs="宋体"/>
                <w:color w:val="auto"/>
                <w:sz w:val="21"/>
                <w:szCs w:val="21"/>
                <w:highlight w:val="none"/>
              </w:rPr>
            </w:pPr>
          </w:p>
        </w:tc>
        <w:tc>
          <w:tcPr>
            <w:tcW w:w="1566" w:type="dxa"/>
            <w:noWrap w:val="0"/>
            <w:vAlign w:val="center"/>
          </w:tcPr>
          <w:p w14:paraId="4270288D">
            <w:pPr>
              <w:snapToGrid w:val="0"/>
              <w:spacing w:before="50" w:after="166" w:afterLines="50"/>
              <w:jc w:val="center"/>
              <w:rPr>
                <w:rFonts w:hint="eastAsia" w:ascii="宋体" w:hAnsi="宋体" w:eastAsia="宋体" w:cs="宋体"/>
                <w:color w:val="auto"/>
                <w:sz w:val="21"/>
                <w:szCs w:val="21"/>
                <w:highlight w:val="none"/>
              </w:rPr>
            </w:pPr>
          </w:p>
        </w:tc>
        <w:tc>
          <w:tcPr>
            <w:tcW w:w="1475" w:type="dxa"/>
            <w:noWrap w:val="0"/>
            <w:vAlign w:val="center"/>
          </w:tcPr>
          <w:p w14:paraId="43C5C444">
            <w:pPr>
              <w:snapToGrid w:val="0"/>
              <w:spacing w:before="50" w:after="166" w:afterLines="50"/>
              <w:jc w:val="center"/>
              <w:rPr>
                <w:rFonts w:hint="eastAsia" w:ascii="宋体" w:hAnsi="宋体" w:eastAsia="宋体" w:cs="宋体"/>
                <w:color w:val="auto"/>
                <w:sz w:val="21"/>
                <w:szCs w:val="21"/>
                <w:highlight w:val="none"/>
              </w:rPr>
            </w:pPr>
          </w:p>
        </w:tc>
        <w:tc>
          <w:tcPr>
            <w:tcW w:w="1526" w:type="dxa"/>
            <w:noWrap w:val="0"/>
            <w:vAlign w:val="center"/>
          </w:tcPr>
          <w:p w14:paraId="41709EC3">
            <w:pPr>
              <w:snapToGrid w:val="0"/>
              <w:spacing w:before="50" w:after="166" w:afterLines="50"/>
              <w:jc w:val="center"/>
              <w:rPr>
                <w:rFonts w:hint="eastAsia" w:ascii="宋体" w:hAnsi="宋体" w:eastAsia="宋体" w:cs="宋体"/>
                <w:color w:val="auto"/>
                <w:sz w:val="21"/>
                <w:szCs w:val="21"/>
                <w:highlight w:val="none"/>
              </w:rPr>
            </w:pPr>
          </w:p>
        </w:tc>
        <w:tc>
          <w:tcPr>
            <w:tcW w:w="1092" w:type="dxa"/>
            <w:noWrap w:val="0"/>
            <w:vAlign w:val="center"/>
          </w:tcPr>
          <w:p w14:paraId="2123B88F">
            <w:pPr>
              <w:snapToGrid w:val="0"/>
              <w:spacing w:before="50" w:after="166" w:afterLines="50"/>
              <w:jc w:val="center"/>
              <w:rPr>
                <w:rFonts w:hint="eastAsia" w:ascii="宋体" w:hAnsi="宋体" w:eastAsia="宋体" w:cs="宋体"/>
                <w:color w:val="auto"/>
                <w:sz w:val="21"/>
                <w:szCs w:val="21"/>
                <w:highlight w:val="none"/>
              </w:rPr>
            </w:pPr>
          </w:p>
        </w:tc>
      </w:tr>
    </w:tbl>
    <w:p w14:paraId="39F973E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注：</w:t>
      </w:r>
    </w:p>
    <w:p w14:paraId="45AC14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1.在填写时，如本表格不适合投标单位的实际情况，可根据本表格式自行制表填写。</w:t>
      </w:r>
    </w:p>
    <w:p w14:paraId="020AFA8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w:t>
      </w:r>
      <w:r>
        <w:rPr>
          <w:rFonts w:hint="eastAsia" w:ascii="宋体" w:hAnsi="宋体" w:eastAsia="宋体" w:cs="宋体"/>
          <w:snapToGrid/>
          <w:color w:val="auto"/>
          <w:kern w:val="2"/>
          <w:szCs w:val="21"/>
          <w:highlight w:val="none"/>
          <w:lang w:val="en-US" w:eastAsia="zh-CN"/>
        </w:rPr>
        <w:t>.</w:t>
      </w:r>
      <w:r>
        <w:rPr>
          <w:rFonts w:hint="eastAsia" w:ascii="宋体" w:hAnsi="宋体" w:eastAsia="宋体" w:cs="宋体"/>
          <w:snapToGrid/>
          <w:color w:val="auto"/>
          <w:kern w:val="2"/>
          <w:szCs w:val="21"/>
          <w:highlight w:val="none"/>
          <w:lang w:eastAsia="zh-CN"/>
        </w:rPr>
        <w:t>投标人应当附本表所列证书的复印件并加盖投标人公章或电子签章。</w:t>
      </w:r>
    </w:p>
    <w:p w14:paraId="54BD81C5">
      <w:pPr>
        <w:pStyle w:val="4"/>
        <w:rPr>
          <w:color w:val="auto"/>
          <w:highlight w:val="none"/>
        </w:rPr>
        <w:sectPr>
          <w:headerReference r:id="rId39" w:type="default"/>
          <w:footerReference r:id="rId40" w:type="default"/>
          <w:pgSz w:w="11906" w:h="16839"/>
          <w:pgMar w:top="1474" w:right="1474" w:bottom="1474" w:left="1474" w:header="0" w:footer="675" w:gutter="0"/>
          <w:pgNumType w:fmt="decimal"/>
          <w:cols w:space="0" w:num="1"/>
          <w:rtlGutter w:val="0"/>
          <w:docGrid w:linePitch="0" w:charSpace="0"/>
        </w:sectPr>
      </w:pPr>
    </w:p>
    <w:p w14:paraId="36CF1687">
      <w:pPr>
        <w:pStyle w:val="8"/>
        <w:spacing w:before="91" w:line="220" w:lineRule="auto"/>
        <w:jc w:val="center"/>
        <w:outlineLvl w:val="1"/>
        <w:rPr>
          <w:color w:val="auto"/>
          <w:sz w:val="28"/>
          <w:szCs w:val="28"/>
          <w:highlight w:val="none"/>
        </w:rPr>
      </w:pPr>
      <w:r>
        <w:rPr>
          <w:b/>
          <w:bCs/>
          <w:color w:val="auto"/>
          <w:spacing w:val="-3"/>
          <w:sz w:val="28"/>
          <w:szCs w:val="28"/>
          <w:highlight w:val="none"/>
        </w:rPr>
        <w:t>三、商务技术文件格式</w:t>
      </w:r>
    </w:p>
    <w:p w14:paraId="1B51F25D">
      <w:pPr>
        <w:pStyle w:val="8"/>
        <w:spacing w:before="143" w:line="219" w:lineRule="auto"/>
        <w:ind w:left="16"/>
        <w:outlineLvl w:val="2"/>
        <w:rPr>
          <w:b/>
          <w:bCs/>
          <w:color w:val="auto"/>
          <w:spacing w:val="-4"/>
          <w:sz w:val="24"/>
          <w:szCs w:val="24"/>
          <w:highlight w:val="none"/>
        </w:rPr>
      </w:pPr>
    </w:p>
    <w:p w14:paraId="71211899">
      <w:pPr>
        <w:pStyle w:val="8"/>
        <w:spacing w:before="143" w:line="219" w:lineRule="auto"/>
        <w:ind w:left="16"/>
        <w:outlineLvl w:val="2"/>
        <w:rPr>
          <w:color w:val="auto"/>
          <w:sz w:val="24"/>
          <w:szCs w:val="24"/>
          <w:highlight w:val="none"/>
        </w:rPr>
      </w:pPr>
      <w:r>
        <w:rPr>
          <w:b/>
          <w:bCs/>
          <w:color w:val="auto"/>
          <w:spacing w:val="-4"/>
          <w:sz w:val="24"/>
          <w:szCs w:val="24"/>
          <w:highlight w:val="none"/>
        </w:rPr>
        <w:t>1.商务技术文件封面格式：</w:t>
      </w:r>
    </w:p>
    <w:p w14:paraId="0635D704">
      <w:pPr>
        <w:pStyle w:val="8"/>
        <w:spacing w:before="337" w:line="223" w:lineRule="auto"/>
        <w:ind w:left="3272"/>
        <w:outlineLvl w:val="3"/>
        <w:rPr>
          <w:color w:val="auto"/>
          <w:sz w:val="47"/>
          <w:szCs w:val="47"/>
          <w:highlight w:val="none"/>
        </w:rPr>
      </w:pPr>
      <w:r>
        <w:rPr>
          <w:color w:val="auto"/>
          <w:spacing w:val="-3"/>
          <w:sz w:val="47"/>
          <w:szCs w:val="47"/>
          <w:highlight w:val="none"/>
        </w:rPr>
        <w:t>电子投标文件</w:t>
      </w:r>
    </w:p>
    <w:p w14:paraId="261CAAEB">
      <w:pPr>
        <w:pStyle w:val="8"/>
        <w:spacing w:before="357" w:line="223" w:lineRule="auto"/>
        <w:ind w:left="2446"/>
        <w:outlineLvl w:val="2"/>
        <w:rPr>
          <w:color w:val="auto"/>
          <w:sz w:val="43"/>
          <w:szCs w:val="43"/>
          <w:highlight w:val="none"/>
        </w:rPr>
      </w:pPr>
      <w:r>
        <w:rPr>
          <w:b/>
          <w:bCs/>
          <w:color w:val="auto"/>
          <w:spacing w:val="5"/>
          <w:sz w:val="43"/>
          <w:szCs w:val="43"/>
          <w:highlight w:val="none"/>
        </w:rPr>
        <w:t>第三部分商务技术文件</w:t>
      </w:r>
    </w:p>
    <w:p w14:paraId="7B1226C8">
      <w:pPr>
        <w:spacing w:line="261" w:lineRule="auto"/>
        <w:rPr>
          <w:rFonts w:ascii="Arial"/>
          <w:color w:val="auto"/>
          <w:sz w:val="21"/>
          <w:highlight w:val="none"/>
        </w:rPr>
      </w:pPr>
    </w:p>
    <w:p w14:paraId="7A272025">
      <w:pPr>
        <w:spacing w:line="261" w:lineRule="auto"/>
        <w:rPr>
          <w:rFonts w:ascii="Arial"/>
          <w:color w:val="auto"/>
          <w:sz w:val="21"/>
          <w:highlight w:val="none"/>
        </w:rPr>
      </w:pPr>
    </w:p>
    <w:p w14:paraId="59D154CC">
      <w:pPr>
        <w:pStyle w:val="8"/>
        <w:spacing w:before="78" w:line="220" w:lineRule="auto"/>
        <w:ind w:left="1202"/>
        <w:rPr>
          <w:color w:val="auto"/>
          <w:sz w:val="21"/>
          <w:szCs w:val="21"/>
          <w:highlight w:val="none"/>
        </w:rPr>
      </w:pPr>
      <w:r>
        <w:rPr>
          <w:color w:val="auto"/>
          <w:spacing w:val="-3"/>
          <w:sz w:val="21"/>
          <w:szCs w:val="21"/>
          <w:highlight w:val="none"/>
        </w:rPr>
        <w:t>项目名称：</w:t>
      </w:r>
    </w:p>
    <w:p w14:paraId="42061CDD">
      <w:pPr>
        <w:spacing w:line="335" w:lineRule="auto"/>
        <w:rPr>
          <w:rFonts w:ascii="Arial"/>
          <w:color w:val="auto"/>
          <w:sz w:val="21"/>
          <w:szCs w:val="21"/>
          <w:highlight w:val="none"/>
        </w:rPr>
      </w:pPr>
    </w:p>
    <w:p w14:paraId="03FE15EF">
      <w:pPr>
        <w:spacing w:line="336" w:lineRule="auto"/>
        <w:rPr>
          <w:rFonts w:ascii="Arial"/>
          <w:color w:val="auto"/>
          <w:sz w:val="21"/>
          <w:szCs w:val="21"/>
          <w:highlight w:val="none"/>
        </w:rPr>
      </w:pPr>
    </w:p>
    <w:p w14:paraId="58510FC1">
      <w:pPr>
        <w:pStyle w:val="8"/>
        <w:spacing w:before="79" w:line="219" w:lineRule="auto"/>
        <w:ind w:left="1202"/>
        <w:rPr>
          <w:color w:val="auto"/>
          <w:sz w:val="21"/>
          <w:szCs w:val="21"/>
          <w:highlight w:val="none"/>
        </w:rPr>
      </w:pPr>
      <w:r>
        <w:rPr>
          <w:color w:val="auto"/>
          <w:spacing w:val="-3"/>
          <w:sz w:val="21"/>
          <w:szCs w:val="21"/>
          <w:highlight w:val="none"/>
        </w:rPr>
        <w:t>项目编号：</w:t>
      </w:r>
    </w:p>
    <w:p w14:paraId="397F57FD">
      <w:pPr>
        <w:spacing w:line="337" w:lineRule="auto"/>
        <w:rPr>
          <w:rFonts w:ascii="Arial"/>
          <w:color w:val="auto"/>
          <w:sz w:val="21"/>
          <w:szCs w:val="21"/>
          <w:highlight w:val="none"/>
        </w:rPr>
      </w:pPr>
    </w:p>
    <w:p w14:paraId="3D2C09E9">
      <w:pPr>
        <w:spacing w:line="337" w:lineRule="auto"/>
        <w:rPr>
          <w:rFonts w:ascii="Arial"/>
          <w:color w:val="auto"/>
          <w:sz w:val="21"/>
          <w:szCs w:val="21"/>
          <w:highlight w:val="none"/>
        </w:rPr>
      </w:pPr>
    </w:p>
    <w:p w14:paraId="1B6FCF4F">
      <w:pPr>
        <w:pStyle w:val="8"/>
        <w:spacing w:before="78" w:line="220" w:lineRule="auto"/>
        <w:ind w:left="1198"/>
        <w:rPr>
          <w:color w:val="auto"/>
          <w:sz w:val="21"/>
          <w:szCs w:val="21"/>
          <w:highlight w:val="none"/>
        </w:rPr>
      </w:pPr>
      <w:r>
        <w:rPr>
          <w:color w:val="auto"/>
          <w:spacing w:val="-2"/>
          <w:sz w:val="21"/>
          <w:szCs w:val="21"/>
          <w:highlight w:val="none"/>
        </w:rPr>
        <w:t>所投分包：</w:t>
      </w:r>
    </w:p>
    <w:p w14:paraId="3F7D2675">
      <w:pPr>
        <w:spacing w:line="335" w:lineRule="auto"/>
        <w:rPr>
          <w:rFonts w:ascii="Arial"/>
          <w:color w:val="auto"/>
          <w:sz w:val="21"/>
          <w:szCs w:val="21"/>
          <w:highlight w:val="none"/>
        </w:rPr>
      </w:pPr>
    </w:p>
    <w:p w14:paraId="412E27C2">
      <w:pPr>
        <w:spacing w:line="336" w:lineRule="auto"/>
        <w:rPr>
          <w:rFonts w:ascii="Arial"/>
          <w:color w:val="auto"/>
          <w:sz w:val="21"/>
          <w:szCs w:val="21"/>
          <w:highlight w:val="none"/>
        </w:rPr>
      </w:pPr>
    </w:p>
    <w:p w14:paraId="1408413A">
      <w:pPr>
        <w:pStyle w:val="8"/>
        <w:spacing w:before="78" w:line="220" w:lineRule="auto"/>
        <w:ind w:left="1201"/>
        <w:rPr>
          <w:color w:val="auto"/>
          <w:sz w:val="21"/>
          <w:szCs w:val="21"/>
          <w:highlight w:val="none"/>
        </w:rPr>
      </w:pPr>
      <w:r>
        <w:rPr>
          <w:color w:val="auto"/>
          <w:spacing w:val="-3"/>
          <w:sz w:val="21"/>
          <w:szCs w:val="21"/>
          <w:highlight w:val="none"/>
        </w:rPr>
        <w:t>投标人名称：</w:t>
      </w:r>
    </w:p>
    <w:p w14:paraId="6B9FE390">
      <w:pPr>
        <w:spacing w:line="335" w:lineRule="auto"/>
        <w:rPr>
          <w:rFonts w:ascii="Arial"/>
          <w:color w:val="auto"/>
          <w:sz w:val="21"/>
          <w:szCs w:val="21"/>
          <w:highlight w:val="none"/>
        </w:rPr>
      </w:pPr>
    </w:p>
    <w:p w14:paraId="2A360948">
      <w:pPr>
        <w:spacing w:line="336" w:lineRule="auto"/>
        <w:rPr>
          <w:rFonts w:ascii="Arial"/>
          <w:color w:val="auto"/>
          <w:sz w:val="21"/>
          <w:szCs w:val="21"/>
          <w:highlight w:val="none"/>
        </w:rPr>
      </w:pPr>
    </w:p>
    <w:p w14:paraId="75795E67">
      <w:pPr>
        <w:pStyle w:val="8"/>
        <w:spacing w:before="78" w:line="220" w:lineRule="auto"/>
        <w:ind w:left="1201"/>
        <w:rPr>
          <w:color w:val="auto"/>
          <w:sz w:val="21"/>
          <w:szCs w:val="21"/>
          <w:highlight w:val="none"/>
        </w:rPr>
      </w:pPr>
      <w:r>
        <w:rPr>
          <w:color w:val="auto"/>
          <w:spacing w:val="-3"/>
          <w:sz w:val="21"/>
          <w:szCs w:val="21"/>
          <w:highlight w:val="none"/>
        </w:rPr>
        <w:t>投标人地址：</w:t>
      </w:r>
    </w:p>
    <w:p w14:paraId="66AD663E">
      <w:pPr>
        <w:spacing w:line="297" w:lineRule="auto"/>
        <w:rPr>
          <w:rFonts w:ascii="Arial"/>
          <w:color w:val="auto"/>
          <w:sz w:val="21"/>
          <w:szCs w:val="21"/>
          <w:highlight w:val="none"/>
        </w:rPr>
      </w:pPr>
    </w:p>
    <w:p w14:paraId="6C5F03E0">
      <w:pPr>
        <w:spacing w:line="297" w:lineRule="auto"/>
        <w:rPr>
          <w:rFonts w:ascii="Arial"/>
          <w:color w:val="auto"/>
          <w:sz w:val="21"/>
          <w:szCs w:val="21"/>
          <w:highlight w:val="none"/>
        </w:rPr>
      </w:pPr>
    </w:p>
    <w:p w14:paraId="2C0E4657">
      <w:pPr>
        <w:spacing w:line="297" w:lineRule="auto"/>
        <w:rPr>
          <w:rFonts w:ascii="Arial"/>
          <w:color w:val="auto"/>
          <w:sz w:val="21"/>
          <w:szCs w:val="21"/>
          <w:highlight w:val="none"/>
        </w:rPr>
      </w:pPr>
    </w:p>
    <w:p w14:paraId="06EAC727">
      <w:pPr>
        <w:spacing w:line="298" w:lineRule="auto"/>
        <w:rPr>
          <w:rFonts w:ascii="Arial"/>
          <w:color w:val="auto"/>
          <w:sz w:val="21"/>
          <w:szCs w:val="21"/>
          <w:highlight w:val="none"/>
        </w:rPr>
      </w:pPr>
    </w:p>
    <w:p w14:paraId="5ECB9562">
      <w:pPr>
        <w:pStyle w:val="8"/>
        <w:spacing w:before="78" w:line="219" w:lineRule="auto"/>
        <w:ind w:left="4048"/>
        <w:rPr>
          <w:color w:val="auto"/>
          <w:sz w:val="21"/>
          <w:szCs w:val="21"/>
          <w:highlight w:val="none"/>
        </w:rPr>
      </w:pPr>
      <w:r>
        <w:rPr>
          <w:color w:val="auto"/>
          <w:spacing w:val="-9"/>
          <w:sz w:val="21"/>
          <w:szCs w:val="21"/>
          <w:highlight w:val="none"/>
        </w:rPr>
        <w:t>年</w:t>
      </w:r>
      <w:r>
        <w:rPr>
          <w:color w:val="auto"/>
          <w:spacing w:val="7"/>
          <w:sz w:val="21"/>
          <w:szCs w:val="21"/>
          <w:highlight w:val="none"/>
        </w:rPr>
        <w:t xml:space="preserve">  </w:t>
      </w:r>
      <w:r>
        <w:rPr>
          <w:color w:val="auto"/>
          <w:spacing w:val="-9"/>
          <w:sz w:val="21"/>
          <w:szCs w:val="21"/>
          <w:highlight w:val="none"/>
        </w:rPr>
        <w:t>月</w:t>
      </w:r>
      <w:r>
        <w:rPr>
          <w:color w:val="auto"/>
          <w:spacing w:val="26"/>
          <w:sz w:val="21"/>
          <w:szCs w:val="21"/>
          <w:highlight w:val="none"/>
        </w:rPr>
        <w:t xml:space="preserve">  </w:t>
      </w:r>
      <w:r>
        <w:rPr>
          <w:color w:val="auto"/>
          <w:spacing w:val="-9"/>
          <w:sz w:val="21"/>
          <w:szCs w:val="21"/>
          <w:highlight w:val="none"/>
        </w:rPr>
        <w:t>日</w:t>
      </w:r>
    </w:p>
    <w:p w14:paraId="1792EC3C">
      <w:pPr>
        <w:spacing w:line="219" w:lineRule="auto"/>
        <w:rPr>
          <w:color w:val="auto"/>
          <w:sz w:val="24"/>
          <w:szCs w:val="24"/>
          <w:highlight w:val="none"/>
        </w:rPr>
        <w:sectPr>
          <w:footerReference r:id="rId41" w:type="default"/>
          <w:pgSz w:w="11906" w:h="16839"/>
          <w:pgMar w:top="2098" w:right="1474" w:bottom="1984" w:left="1587" w:header="0" w:footer="677" w:gutter="0"/>
          <w:pgNumType w:fmt="decimal"/>
          <w:cols w:space="720" w:num="1"/>
          <w:rtlGutter w:val="0"/>
          <w:docGrid w:linePitch="0" w:charSpace="0"/>
        </w:sectPr>
      </w:pPr>
    </w:p>
    <w:p w14:paraId="19E00C9A">
      <w:pPr>
        <w:pStyle w:val="8"/>
        <w:keepNext w:val="0"/>
        <w:keepLines w:val="0"/>
        <w:pageBreakBefore w:val="0"/>
        <w:wordWrap/>
        <w:overflowPunct/>
        <w:topLinePunct w:val="0"/>
        <w:bidi w:val="0"/>
        <w:spacing w:line="440" w:lineRule="exact"/>
        <w:ind w:left="13"/>
        <w:rPr>
          <w:color w:val="auto"/>
          <w:sz w:val="21"/>
          <w:szCs w:val="21"/>
          <w:highlight w:val="none"/>
        </w:rPr>
      </w:pPr>
      <w:r>
        <w:rPr>
          <w:rFonts w:hint="eastAsia"/>
          <w:b/>
          <w:bCs/>
          <w:color w:val="auto"/>
          <w:spacing w:val="-4"/>
          <w:sz w:val="21"/>
          <w:szCs w:val="21"/>
          <w:highlight w:val="none"/>
          <w:lang w:val="en-US" w:eastAsia="zh-CN"/>
        </w:rPr>
        <w:t xml:space="preserve">    </w:t>
      </w:r>
      <w:r>
        <w:rPr>
          <w:b/>
          <w:bCs/>
          <w:color w:val="auto"/>
          <w:spacing w:val="-4"/>
          <w:sz w:val="21"/>
          <w:szCs w:val="21"/>
          <w:highlight w:val="none"/>
        </w:rPr>
        <w:t>2.商务文件目录</w:t>
      </w:r>
    </w:p>
    <w:p w14:paraId="05FB2E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根据招标文件规定及投标人提供的材料自行编写目录。</w:t>
      </w:r>
    </w:p>
    <w:p w14:paraId="4D0DD260">
      <w:pPr>
        <w:pStyle w:val="8"/>
        <w:keepNext w:val="0"/>
        <w:keepLines w:val="0"/>
        <w:pageBreakBefore w:val="0"/>
        <w:wordWrap/>
        <w:overflowPunct/>
        <w:topLinePunct w:val="0"/>
        <w:bidi w:val="0"/>
        <w:spacing w:line="440" w:lineRule="exact"/>
        <w:ind w:left="14"/>
        <w:outlineLvl w:val="2"/>
        <w:rPr>
          <w:color w:val="auto"/>
          <w:sz w:val="21"/>
          <w:szCs w:val="21"/>
          <w:highlight w:val="none"/>
        </w:rPr>
      </w:pPr>
      <w:r>
        <w:rPr>
          <w:rFonts w:hint="eastAsia"/>
          <w:b/>
          <w:bCs/>
          <w:color w:val="auto"/>
          <w:spacing w:val="-4"/>
          <w:sz w:val="21"/>
          <w:szCs w:val="21"/>
          <w:highlight w:val="none"/>
          <w:lang w:val="en-US" w:eastAsia="zh-CN"/>
        </w:rPr>
        <w:t xml:space="preserve">    </w:t>
      </w:r>
      <w:r>
        <w:rPr>
          <w:b/>
          <w:bCs/>
          <w:color w:val="auto"/>
          <w:spacing w:val="-4"/>
          <w:sz w:val="21"/>
          <w:szCs w:val="21"/>
          <w:highlight w:val="none"/>
        </w:rPr>
        <w:t>3.技术文件目录</w:t>
      </w:r>
    </w:p>
    <w:p w14:paraId="32CBCD4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根据招标文件规定及投标人提供的材料自行编写目录。</w:t>
      </w:r>
    </w:p>
    <w:p w14:paraId="1CED1950">
      <w:pPr>
        <w:keepNext w:val="0"/>
        <w:keepLines w:val="0"/>
        <w:pageBreakBefore w:val="0"/>
        <w:wordWrap/>
        <w:overflowPunct/>
        <w:topLinePunct w:val="0"/>
        <w:bidi w:val="0"/>
        <w:spacing w:line="440" w:lineRule="exact"/>
        <w:rPr>
          <w:color w:val="auto"/>
          <w:sz w:val="24"/>
          <w:szCs w:val="24"/>
          <w:highlight w:val="none"/>
        </w:rPr>
        <w:sectPr>
          <w:headerReference r:id="rId42" w:type="default"/>
          <w:footerReference r:id="rId43" w:type="default"/>
          <w:pgSz w:w="11906" w:h="16839"/>
          <w:pgMar w:top="2098" w:right="1474" w:bottom="1984" w:left="1587" w:header="963" w:footer="677" w:gutter="0"/>
          <w:pgNumType w:fmt="decimal"/>
          <w:cols w:space="720" w:num="1"/>
          <w:rtlGutter w:val="0"/>
          <w:docGrid w:linePitch="0" w:charSpace="0"/>
        </w:sectPr>
      </w:pPr>
    </w:p>
    <w:p w14:paraId="0B5DD9DC">
      <w:pPr>
        <w:pStyle w:val="8"/>
        <w:keepNext w:val="0"/>
        <w:keepLines w:val="0"/>
        <w:pageBreakBefore w:val="0"/>
        <w:wordWrap/>
        <w:overflowPunct/>
        <w:topLinePunct w:val="0"/>
        <w:bidi w:val="0"/>
        <w:spacing w:line="440" w:lineRule="exact"/>
        <w:ind w:left="9"/>
        <w:rPr>
          <w:color w:val="auto"/>
          <w:sz w:val="24"/>
          <w:szCs w:val="24"/>
          <w:highlight w:val="none"/>
        </w:rPr>
      </w:pPr>
      <w:r>
        <w:rPr>
          <w:b/>
          <w:bCs/>
          <w:color w:val="auto"/>
          <w:spacing w:val="-3"/>
          <w:sz w:val="24"/>
          <w:szCs w:val="24"/>
          <w:highlight w:val="none"/>
        </w:rPr>
        <w:t>4.投标人参加本项目无围标串标行为的承诺</w:t>
      </w:r>
    </w:p>
    <w:p w14:paraId="1D523A08">
      <w:pPr>
        <w:keepNext w:val="0"/>
        <w:keepLines w:val="0"/>
        <w:pageBreakBefore w:val="0"/>
        <w:wordWrap/>
        <w:overflowPunct/>
        <w:topLinePunct w:val="0"/>
        <w:bidi w:val="0"/>
        <w:spacing w:line="440" w:lineRule="exact"/>
        <w:rPr>
          <w:rFonts w:ascii="Arial"/>
          <w:color w:val="auto"/>
          <w:sz w:val="21"/>
          <w:highlight w:val="none"/>
        </w:rPr>
      </w:pPr>
    </w:p>
    <w:p w14:paraId="0B1EE304">
      <w:pPr>
        <w:pStyle w:val="8"/>
        <w:keepNext w:val="0"/>
        <w:keepLines w:val="0"/>
        <w:pageBreakBefore w:val="0"/>
        <w:wordWrap/>
        <w:overflowPunct/>
        <w:topLinePunct w:val="0"/>
        <w:bidi w:val="0"/>
        <w:spacing w:line="440" w:lineRule="exact"/>
        <w:ind w:left="1613"/>
        <w:outlineLvl w:val="1"/>
        <w:rPr>
          <w:color w:val="auto"/>
          <w:sz w:val="28"/>
          <w:szCs w:val="28"/>
          <w:highlight w:val="none"/>
        </w:rPr>
      </w:pPr>
      <w:r>
        <w:rPr>
          <w:b/>
          <w:bCs/>
          <w:color w:val="auto"/>
          <w:spacing w:val="6"/>
          <w:sz w:val="28"/>
          <w:szCs w:val="28"/>
          <w:highlight w:val="none"/>
        </w:rPr>
        <w:t>投标人参加本项目无围标串标行为的承诺函</w:t>
      </w:r>
    </w:p>
    <w:p w14:paraId="22CFD1C1">
      <w:pPr>
        <w:pStyle w:val="8"/>
        <w:keepNext w:val="0"/>
        <w:keepLines w:val="0"/>
        <w:pageBreakBefore w:val="0"/>
        <w:wordWrap/>
        <w:overflowPunct/>
        <w:topLinePunct w:val="0"/>
        <w:bidi w:val="0"/>
        <w:spacing w:line="440" w:lineRule="exact"/>
        <w:ind w:left="14" w:firstLine="410" w:firstLineChars="200"/>
        <w:outlineLvl w:val="1"/>
        <w:rPr>
          <w:color w:val="auto"/>
          <w:sz w:val="21"/>
          <w:szCs w:val="21"/>
          <w:highlight w:val="none"/>
        </w:rPr>
      </w:pPr>
      <w:r>
        <w:rPr>
          <w:b/>
          <w:bCs/>
          <w:color w:val="auto"/>
          <w:spacing w:val="-3"/>
          <w:sz w:val="21"/>
          <w:szCs w:val="21"/>
          <w:highlight w:val="none"/>
        </w:rPr>
        <w:t>一、我方承诺无下列相互串通投标的情形：</w:t>
      </w:r>
    </w:p>
    <w:p w14:paraId="4A015D2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1.不同投标人的投标文件由同一单位或者个人编制；或者不同投标人报名的 IP 地址 一致的；或者编制标书硬件设备 CPU 编号、硬盘编号、网卡地址一致的情况；</w:t>
      </w:r>
    </w:p>
    <w:p w14:paraId="29EA6E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2.不同投标人委托同一单位或者个人办理投标事宜；</w:t>
      </w:r>
    </w:p>
    <w:p w14:paraId="4C0449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3.不同的投标人的投标文件载明的项目管理员为同一个人；</w:t>
      </w:r>
    </w:p>
    <w:p w14:paraId="194C94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 xml:space="preserve">4.不同投标人的投标文件异常一致或者投标报价呈规律性差异； </w:t>
      </w:r>
    </w:p>
    <w:p w14:paraId="37053BD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5.不同投标人的投标文件相互混装；</w:t>
      </w:r>
    </w:p>
    <w:p w14:paraId="290DA83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6.不同投标人的投标保证金从同一单位或者个人账户转出。</w:t>
      </w:r>
    </w:p>
    <w:p w14:paraId="30AE0961">
      <w:pPr>
        <w:pStyle w:val="8"/>
        <w:keepNext w:val="0"/>
        <w:keepLines w:val="0"/>
        <w:pageBreakBefore w:val="0"/>
        <w:wordWrap/>
        <w:overflowPunct/>
        <w:topLinePunct w:val="0"/>
        <w:bidi w:val="0"/>
        <w:spacing w:line="440" w:lineRule="exact"/>
        <w:ind w:left="14" w:firstLine="410" w:firstLineChars="200"/>
        <w:outlineLvl w:val="1"/>
        <w:rPr>
          <w:color w:val="auto"/>
          <w:sz w:val="21"/>
          <w:szCs w:val="21"/>
          <w:highlight w:val="none"/>
        </w:rPr>
      </w:pPr>
      <w:r>
        <w:rPr>
          <w:b/>
          <w:bCs/>
          <w:color w:val="auto"/>
          <w:spacing w:val="-3"/>
          <w:sz w:val="21"/>
          <w:szCs w:val="21"/>
          <w:highlight w:val="none"/>
        </w:rPr>
        <w:t>二、我方承诺无下列恶意串通的情形：</w:t>
      </w:r>
    </w:p>
    <w:p w14:paraId="580055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1.投标人直接或者间接从采购人或者采购代理机构处获得其他投标人的相关信息并修改其投标文件或者响应文件；</w:t>
      </w:r>
    </w:p>
    <w:p w14:paraId="5C3EEC9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 xml:space="preserve">2.投标人按照采购人或者采购代理机构的授意撤换、修改投标文件或者响应文件； </w:t>
      </w:r>
    </w:p>
    <w:p w14:paraId="707C92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3.投标人之间协商报价、技术方案等投标文件或者响应文件的实质性内容；</w:t>
      </w:r>
    </w:p>
    <w:p w14:paraId="6C5618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4.属于同一集团、协会、商会等组织成员的投标人按照该组织要求协同参加政府采购活动；</w:t>
      </w:r>
    </w:p>
    <w:p w14:paraId="3DF2BA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5.投标人之间事先约定一致抬高或者压低投标报价，或者在招标项目中事先约定轮流以高价位或者低价位中标，或者事先约定由某一特定投标人中标，然后再参加投标；</w:t>
      </w:r>
    </w:p>
    <w:p w14:paraId="27AE2B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6.投标人之间商定部分投标人放弃参加政府采购活动或者放弃中标；</w:t>
      </w:r>
    </w:p>
    <w:p w14:paraId="450B7B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7.投标人与采购人或者采购代理机构之间、投标人相互之间，为谋求特定投标人中标或者排斥其他投标人的其他串通行为。</w:t>
      </w:r>
    </w:p>
    <w:p w14:paraId="4E5F799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 w:val="21"/>
          <w:szCs w:val="21"/>
          <w:highlight w:val="none"/>
          <w:lang w:eastAsia="zh-CN"/>
        </w:rPr>
      </w:pPr>
      <w:r>
        <w:rPr>
          <w:rFonts w:hint="eastAsia" w:ascii="宋体" w:hAnsi="宋体" w:eastAsia="宋体" w:cs="宋体"/>
          <w:b/>
          <w:bCs/>
          <w:snapToGrid/>
          <w:color w:val="auto"/>
          <w:kern w:val="2"/>
          <w:sz w:val="21"/>
          <w:szCs w:val="21"/>
          <w:highlight w:val="none"/>
          <w:lang w:eastAsia="zh-CN"/>
        </w:rPr>
        <w:t>以上情形一经核查属实，接受政府采购监管部门对我方认定存在围标串标行为，我方愿意承担一切后果，并不再寻求任何旨在减轻或者免除法律责任的辩解。</w:t>
      </w:r>
    </w:p>
    <w:p w14:paraId="63646265">
      <w:pPr>
        <w:pStyle w:val="8"/>
        <w:keepNext w:val="0"/>
        <w:keepLines w:val="0"/>
        <w:pageBreakBefore w:val="0"/>
        <w:wordWrap/>
        <w:overflowPunct/>
        <w:topLinePunct w:val="0"/>
        <w:bidi w:val="0"/>
        <w:spacing w:line="440" w:lineRule="exact"/>
        <w:ind w:left="12"/>
        <w:outlineLvl w:val="2"/>
        <w:rPr>
          <w:b/>
          <w:bCs/>
          <w:color w:val="auto"/>
          <w:spacing w:val="-2"/>
          <w:sz w:val="20"/>
          <w:szCs w:val="20"/>
          <w:highlight w:val="none"/>
        </w:rPr>
      </w:pPr>
    </w:p>
    <w:p w14:paraId="205E10AA">
      <w:pPr>
        <w:pStyle w:val="8"/>
        <w:keepNext w:val="0"/>
        <w:keepLines w:val="0"/>
        <w:pageBreakBefore w:val="0"/>
        <w:wordWrap/>
        <w:overflowPunct/>
        <w:topLinePunct w:val="0"/>
        <w:bidi w:val="0"/>
        <w:spacing w:line="440" w:lineRule="exact"/>
        <w:ind w:left="12"/>
        <w:outlineLvl w:val="2"/>
        <w:rPr>
          <w:b/>
          <w:bCs/>
          <w:color w:val="auto"/>
          <w:spacing w:val="-2"/>
          <w:sz w:val="20"/>
          <w:szCs w:val="20"/>
          <w:highlight w:val="none"/>
        </w:rPr>
      </w:pPr>
    </w:p>
    <w:p w14:paraId="2E4D2726">
      <w:pPr>
        <w:keepNext w:val="0"/>
        <w:keepLines w:val="0"/>
        <w:pageBreakBefore w:val="0"/>
        <w:wordWrap/>
        <w:overflowPunct/>
        <w:topLinePunct w:val="0"/>
        <w:bidi w:val="0"/>
        <w:spacing w:line="440" w:lineRule="exact"/>
        <w:rPr>
          <w:rFonts w:ascii="Arial"/>
          <w:color w:val="auto"/>
          <w:sz w:val="20"/>
          <w:szCs w:val="20"/>
          <w:highlight w:val="none"/>
        </w:rPr>
      </w:pPr>
    </w:p>
    <w:p w14:paraId="4CF739B2">
      <w:pPr>
        <w:pStyle w:val="8"/>
        <w:keepNext w:val="0"/>
        <w:keepLines w:val="0"/>
        <w:pageBreakBefore w:val="0"/>
        <w:wordWrap/>
        <w:overflowPunct/>
        <w:topLinePunct w:val="0"/>
        <w:bidi w:val="0"/>
        <w:spacing w:line="440" w:lineRule="exact"/>
        <w:ind w:left="4039" w:hanging="38"/>
        <w:rPr>
          <w:color w:val="auto"/>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r>
        <w:rPr>
          <w:color w:val="auto"/>
          <w:spacing w:val="6"/>
          <w:sz w:val="21"/>
          <w:szCs w:val="21"/>
          <w:highlight w:val="none"/>
        </w:rPr>
        <w:t xml:space="preserve"> </w:t>
      </w: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4C7D09E7">
      <w:pPr>
        <w:keepNext w:val="0"/>
        <w:keepLines w:val="0"/>
        <w:pageBreakBefore w:val="0"/>
        <w:wordWrap/>
        <w:overflowPunct/>
        <w:topLinePunct w:val="0"/>
        <w:bidi w:val="0"/>
        <w:spacing w:line="440" w:lineRule="exact"/>
        <w:rPr>
          <w:color w:val="auto"/>
          <w:sz w:val="20"/>
          <w:szCs w:val="20"/>
          <w:highlight w:val="none"/>
        </w:rPr>
        <w:sectPr>
          <w:footerReference r:id="rId44" w:type="default"/>
          <w:pgSz w:w="11906" w:h="16839"/>
          <w:pgMar w:top="1474" w:right="1474" w:bottom="1474" w:left="1587" w:header="963" w:footer="675" w:gutter="0"/>
          <w:pgNumType w:fmt="decimal"/>
          <w:cols w:space="0" w:num="1"/>
          <w:rtlGutter w:val="0"/>
          <w:docGrid w:linePitch="0" w:charSpace="0"/>
        </w:sectPr>
      </w:pPr>
    </w:p>
    <w:p w14:paraId="54B9BD8B">
      <w:pPr>
        <w:pStyle w:val="8"/>
        <w:keepNext w:val="0"/>
        <w:keepLines w:val="0"/>
        <w:pageBreakBefore w:val="0"/>
        <w:wordWrap/>
        <w:overflowPunct/>
        <w:topLinePunct w:val="0"/>
        <w:bidi w:val="0"/>
        <w:spacing w:line="440" w:lineRule="exact"/>
        <w:ind w:left="12"/>
        <w:rPr>
          <w:color w:val="auto"/>
          <w:sz w:val="24"/>
          <w:szCs w:val="24"/>
          <w:highlight w:val="none"/>
        </w:rPr>
      </w:pPr>
      <w:r>
        <w:rPr>
          <w:b/>
          <w:bCs/>
          <w:color w:val="auto"/>
          <w:spacing w:val="-4"/>
          <w:sz w:val="24"/>
          <w:szCs w:val="24"/>
          <w:highlight w:val="none"/>
        </w:rPr>
        <w:t>6.授权委托书格式</w:t>
      </w:r>
    </w:p>
    <w:p w14:paraId="2B627846">
      <w:pPr>
        <w:pStyle w:val="8"/>
        <w:keepNext w:val="0"/>
        <w:keepLines w:val="0"/>
        <w:pageBreakBefore w:val="0"/>
        <w:wordWrap/>
        <w:overflowPunct/>
        <w:topLinePunct w:val="0"/>
        <w:bidi w:val="0"/>
        <w:spacing w:line="440" w:lineRule="exact"/>
        <w:ind w:left="3856"/>
        <w:outlineLvl w:val="3"/>
        <w:rPr>
          <w:color w:val="auto"/>
          <w:sz w:val="28"/>
          <w:szCs w:val="28"/>
          <w:highlight w:val="none"/>
        </w:rPr>
      </w:pPr>
      <w:r>
        <w:rPr>
          <w:b/>
          <w:bCs/>
          <w:color w:val="auto"/>
          <w:spacing w:val="5"/>
          <w:sz w:val="28"/>
          <w:szCs w:val="28"/>
          <w:highlight w:val="none"/>
        </w:rPr>
        <w:t>授权委托书</w:t>
      </w:r>
    </w:p>
    <w:p w14:paraId="32918789">
      <w:pPr>
        <w:pStyle w:val="8"/>
        <w:keepNext w:val="0"/>
        <w:keepLines w:val="0"/>
        <w:pageBreakBefore w:val="0"/>
        <w:wordWrap/>
        <w:overflowPunct/>
        <w:topLinePunct w:val="0"/>
        <w:bidi w:val="0"/>
        <w:spacing w:line="440" w:lineRule="exact"/>
        <w:ind w:left="3074"/>
        <w:rPr>
          <w:color w:val="auto"/>
          <w:highlight w:val="none"/>
        </w:rPr>
      </w:pPr>
      <w:r>
        <w:rPr>
          <w:color w:val="auto"/>
          <w:spacing w:val="6"/>
          <w:highlight w:val="none"/>
        </w:rPr>
        <w:t>（非联合体投标格式）</w:t>
      </w:r>
    </w:p>
    <w:p w14:paraId="59AA732C">
      <w:pPr>
        <w:pStyle w:val="8"/>
        <w:keepNext w:val="0"/>
        <w:keepLines w:val="0"/>
        <w:pageBreakBefore w:val="0"/>
        <w:wordWrap/>
        <w:overflowPunct/>
        <w:topLinePunct w:val="0"/>
        <w:bidi w:val="0"/>
        <w:spacing w:line="440" w:lineRule="exact"/>
        <w:ind w:left="3554"/>
        <w:rPr>
          <w:color w:val="auto"/>
          <w:highlight w:val="none"/>
        </w:rPr>
      </w:pPr>
      <w:r>
        <w:rPr>
          <w:color w:val="auto"/>
          <w:spacing w:val="4"/>
          <w:highlight w:val="none"/>
        </w:rPr>
        <w:t>（如有委托时）</w:t>
      </w:r>
    </w:p>
    <w:p w14:paraId="1056FB03">
      <w:pPr>
        <w:keepNext w:val="0"/>
        <w:keepLines w:val="0"/>
        <w:pageBreakBefore w:val="0"/>
        <w:wordWrap/>
        <w:overflowPunct/>
        <w:topLinePunct w:val="0"/>
        <w:bidi w:val="0"/>
        <w:spacing w:line="440" w:lineRule="exact"/>
        <w:rPr>
          <w:rFonts w:ascii="Arial"/>
          <w:color w:val="auto"/>
          <w:sz w:val="21"/>
          <w:highlight w:val="none"/>
        </w:rPr>
      </w:pPr>
    </w:p>
    <w:p w14:paraId="6F8D266C">
      <w:pPr>
        <w:pStyle w:val="8"/>
        <w:keepNext w:val="0"/>
        <w:keepLines w:val="0"/>
        <w:pageBreakBefore w:val="0"/>
        <w:wordWrap/>
        <w:overflowPunct/>
        <w:topLinePunct w:val="0"/>
        <w:bidi w:val="0"/>
        <w:spacing w:line="440" w:lineRule="exact"/>
        <w:ind w:left="10"/>
        <w:rPr>
          <w:color w:val="auto"/>
          <w:sz w:val="21"/>
          <w:szCs w:val="21"/>
          <w:highlight w:val="none"/>
        </w:rPr>
      </w:pPr>
      <w:r>
        <w:rPr>
          <w:color w:val="auto"/>
          <w:spacing w:val="-1"/>
          <w:sz w:val="21"/>
          <w:szCs w:val="21"/>
          <w:highlight w:val="none"/>
        </w:rPr>
        <w:t>致</w:t>
      </w:r>
      <w:r>
        <w:rPr>
          <w:color w:val="auto"/>
          <w:spacing w:val="-1"/>
          <w:sz w:val="21"/>
          <w:szCs w:val="21"/>
          <w:highlight w:val="none"/>
          <w:u w:val="single" w:color="auto"/>
        </w:rPr>
        <w:t>（采购人/采购代理机构名称</w:t>
      </w:r>
      <w:r>
        <w:rPr>
          <w:color w:val="auto"/>
          <w:spacing w:val="16"/>
          <w:sz w:val="21"/>
          <w:szCs w:val="21"/>
          <w:highlight w:val="none"/>
          <w:u w:val="single" w:color="auto"/>
        </w:rPr>
        <w:t>）：</w:t>
      </w:r>
    </w:p>
    <w:p w14:paraId="3B3CCC04">
      <w:pPr>
        <w:keepNext w:val="0"/>
        <w:keepLines w:val="0"/>
        <w:pageBreakBefore w:val="0"/>
        <w:widowControl w:val="0"/>
        <w:kinsoku/>
        <w:wordWrap/>
        <w:overflowPunct/>
        <w:topLinePunct w:val="0"/>
        <w:autoSpaceDE/>
        <w:autoSpaceDN/>
        <w:bidi w:val="0"/>
        <w:adjustRightInd/>
        <w:snapToGrid/>
        <w:spacing w:line="440" w:lineRule="exact"/>
        <w:ind w:firstLine="428" w:firstLineChars="200"/>
        <w:jc w:val="both"/>
        <w:textAlignment w:val="auto"/>
        <w:rPr>
          <w:rFonts w:hint="eastAsia" w:ascii="宋体" w:hAnsi="宋体" w:eastAsia="宋体" w:cs="宋体"/>
          <w:snapToGrid/>
          <w:color w:val="auto"/>
          <w:kern w:val="2"/>
          <w:szCs w:val="21"/>
          <w:highlight w:val="none"/>
          <w:lang w:eastAsia="zh-CN"/>
        </w:rPr>
      </w:pPr>
      <w:r>
        <w:rPr>
          <w:color w:val="auto"/>
          <w:spacing w:val="2"/>
          <w:sz w:val="21"/>
          <w:szCs w:val="21"/>
          <w:highlight w:val="none"/>
        </w:rPr>
        <w:t>我</w:t>
      </w:r>
      <w:r>
        <w:rPr>
          <w:color w:val="auto"/>
          <w:spacing w:val="2"/>
          <w:sz w:val="21"/>
          <w:szCs w:val="21"/>
          <w:highlight w:val="none"/>
          <w:u w:val="single" w:color="auto"/>
        </w:rPr>
        <w:t>（姓名）</w:t>
      </w:r>
      <w:r>
        <w:rPr>
          <w:color w:val="auto"/>
          <w:spacing w:val="2"/>
          <w:sz w:val="21"/>
          <w:szCs w:val="21"/>
          <w:highlight w:val="none"/>
        </w:rPr>
        <w:t>系</w:t>
      </w:r>
      <w:r>
        <w:rPr>
          <w:color w:val="auto"/>
          <w:spacing w:val="2"/>
          <w:sz w:val="21"/>
          <w:szCs w:val="21"/>
          <w:highlight w:val="none"/>
          <w:u w:val="single" w:color="auto"/>
        </w:rPr>
        <w:t>（投标人名称）</w:t>
      </w:r>
      <w:r>
        <w:rPr>
          <w:color w:val="auto"/>
          <w:spacing w:val="2"/>
          <w:sz w:val="21"/>
          <w:szCs w:val="21"/>
          <w:highlight w:val="none"/>
        </w:rPr>
        <w:t>的法定代表人，现授权委托</w:t>
      </w:r>
      <w:r>
        <w:rPr>
          <w:color w:val="auto"/>
          <w:spacing w:val="2"/>
          <w:sz w:val="21"/>
          <w:szCs w:val="21"/>
          <w:highlight w:val="none"/>
          <w:u w:val="single" w:color="auto"/>
        </w:rPr>
        <w:t>（姓名）</w:t>
      </w:r>
      <w:r>
        <w:rPr>
          <w:color w:val="auto"/>
          <w:spacing w:val="2"/>
          <w:sz w:val="21"/>
          <w:szCs w:val="21"/>
          <w:highlight w:val="none"/>
        </w:rPr>
        <w:t>以我方的名义参</w:t>
      </w:r>
      <w:r>
        <w:rPr>
          <w:color w:val="auto"/>
          <w:spacing w:val="1"/>
          <w:sz w:val="21"/>
          <w:szCs w:val="21"/>
          <w:highlight w:val="none"/>
        </w:rPr>
        <w:t>加</w:t>
      </w:r>
      <w:r>
        <w:rPr>
          <w:color w:val="auto"/>
          <w:spacing w:val="1"/>
          <w:sz w:val="21"/>
          <w:szCs w:val="21"/>
          <w:highlight w:val="none"/>
          <w:u w:val="single" w:color="auto"/>
        </w:rPr>
        <w:t>（项目名称/项目编号</w:t>
      </w:r>
      <w:r>
        <w:rPr>
          <w:color w:val="auto"/>
          <w:spacing w:val="1"/>
          <w:sz w:val="21"/>
          <w:szCs w:val="21"/>
          <w:highlight w:val="none"/>
        </w:rPr>
        <w:t>）项目的投标活动，并代表我方全权办理针对上述项目的所有采</w:t>
      </w:r>
      <w:r>
        <w:rPr>
          <w:color w:val="auto"/>
          <w:spacing w:val="-1"/>
          <w:sz w:val="21"/>
          <w:szCs w:val="21"/>
          <w:highlight w:val="none"/>
        </w:rPr>
        <w:t>购程序和环节的具体</w:t>
      </w:r>
      <w:r>
        <w:rPr>
          <w:rFonts w:hint="eastAsia" w:ascii="宋体" w:hAnsi="宋体" w:eastAsia="宋体" w:cs="宋体"/>
          <w:snapToGrid/>
          <w:color w:val="auto"/>
          <w:kern w:val="2"/>
          <w:szCs w:val="21"/>
          <w:highlight w:val="none"/>
          <w:lang w:eastAsia="zh-CN"/>
        </w:rPr>
        <w:t>事务和签署相关文件。</w:t>
      </w:r>
    </w:p>
    <w:p w14:paraId="746DAB1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我方对委托代理人的签字或者电子签名事项负全部责任。</w:t>
      </w:r>
    </w:p>
    <w:p w14:paraId="0343441C">
      <w:pPr>
        <w:keepNext w:val="0"/>
        <w:keepLines w:val="0"/>
        <w:pageBreakBefore w:val="0"/>
        <w:widowControl w:val="0"/>
        <w:kinsoku/>
        <w:wordWrap/>
        <w:overflowPunct/>
        <w:topLinePunct w:val="0"/>
        <w:autoSpaceDE/>
        <w:autoSpaceDN/>
        <w:bidi w:val="0"/>
        <w:adjustRightInd/>
        <w:snapToGrid/>
        <w:spacing w:line="440" w:lineRule="exact"/>
        <w:ind w:firstLine="424" w:firstLineChars="200"/>
        <w:jc w:val="both"/>
        <w:textAlignment w:val="auto"/>
        <w:rPr>
          <w:color w:val="auto"/>
          <w:spacing w:val="1"/>
          <w:sz w:val="21"/>
          <w:szCs w:val="21"/>
          <w:highlight w:val="none"/>
          <w:u w:val="single"/>
        </w:rPr>
      </w:pPr>
      <w:r>
        <w:rPr>
          <w:color w:val="auto"/>
          <w:spacing w:val="1"/>
          <w:sz w:val="21"/>
          <w:szCs w:val="21"/>
          <w:highlight w:val="none"/>
          <w:u w:val="single"/>
        </w:rPr>
        <w:t>本授权书自签署之日起生效，在撤销授权的书面通知以前，本授权书一直有效。委托代理人在授权书有效期内签署的所有文件不因授权的撤销而失效。</w:t>
      </w:r>
    </w:p>
    <w:p w14:paraId="45204ED9">
      <w:pPr>
        <w:keepNext w:val="0"/>
        <w:keepLines w:val="0"/>
        <w:pageBreakBefore w:val="0"/>
        <w:widowControl w:val="0"/>
        <w:kinsoku/>
        <w:wordWrap/>
        <w:overflowPunct/>
        <w:topLinePunct w:val="0"/>
        <w:autoSpaceDE/>
        <w:autoSpaceDN/>
        <w:bidi w:val="0"/>
        <w:adjustRightInd/>
        <w:snapToGrid/>
        <w:spacing w:line="440" w:lineRule="exact"/>
        <w:ind w:firstLine="424" w:firstLineChars="200"/>
        <w:jc w:val="both"/>
        <w:textAlignment w:val="auto"/>
        <w:rPr>
          <w:rFonts w:ascii="Arial"/>
          <w:color w:val="auto"/>
          <w:sz w:val="21"/>
          <w:szCs w:val="21"/>
          <w:highlight w:val="none"/>
        </w:rPr>
      </w:pPr>
      <w:r>
        <w:rPr>
          <w:color w:val="auto"/>
          <w:spacing w:val="1"/>
          <w:sz w:val="21"/>
          <w:szCs w:val="21"/>
          <w:highlight w:val="none"/>
        </w:rPr>
        <w:t>委托代理人无转委托权，特此委托。</w:t>
      </w:r>
    </w:p>
    <w:p w14:paraId="307A28B2">
      <w:pPr>
        <w:keepNext w:val="0"/>
        <w:keepLines w:val="0"/>
        <w:pageBreakBefore w:val="0"/>
        <w:wordWrap/>
        <w:overflowPunct/>
        <w:topLinePunct w:val="0"/>
        <w:bidi w:val="0"/>
        <w:spacing w:line="440" w:lineRule="exact"/>
        <w:rPr>
          <w:rFonts w:ascii="Arial"/>
          <w:color w:val="auto"/>
          <w:sz w:val="21"/>
          <w:szCs w:val="21"/>
          <w:highlight w:val="none"/>
        </w:rPr>
      </w:pPr>
    </w:p>
    <w:p w14:paraId="7BF1D6DF">
      <w:pPr>
        <w:pStyle w:val="8"/>
        <w:keepNext w:val="0"/>
        <w:keepLines w:val="0"/>
        <w:pageBreakBefore w:val="0"/>
        <w:wordWrap/>
        <w:overflowPunct/>
        <w:topLinePunct w:val="0"/>
        <w:bidi w:val="0"/>
        <w:spacing w:line="440" w:lineRule="exact"/>
        <w:ind w:left="508"/>
        <w:rPr>
          <w:color w:val="auto"/>
          <w:sz w:val="21"/>
          <w:szCs w:val="21"/>
          <w:highlight w:val="none"/>
        </w:rPr>
      </w:pPr>
      <w:r>
        <w:rPr>
          <w:color w:val="auto"/>
          <w:spacing w:val="-1"/>
          <w:sz w:val="21"/>
          <w:szCs w:val="21"/>
          <w:highlight w:val="none"/>
        </w:rPr>
        <w:t>附：法定代表人身份证明及委托代理人有效身份证正反面复印件</w:t>
      </w:r>
    </w:p>
    <w:p w14:paraId="6964FFE2">
      <w:pPr>
        <w:keepNext w:val="0"/>
        <w:keepLines w:val="0"/>
        <w:pageBreakBefore w:val="0"/>
        <w:wordWrap/>
        <w:overflowPunct/>
        <w:topLinePunct w:val="0"/>
        <w:bidi w:val="0"/>
        <w:spacing w:line="440" w:lineRule="exact"/>
        <w:rPr>
          <w:rFonts w:ascii="Arial"/>
          <w:color w:val="auto"/>
          <w:sz w:val="21"/>
          <w:szCs w:val="21"/>
          <w:highlight w:val="none"/>
        </w:rPr>
      </w:pPr>
    </w:p>
    <w:p w14:paraId="2A3098CE">
      <w:pPr>
        <w:pStyle w:val="8"/>
        <w:keepNext w:val="0"/>
        <w:keepLines w:val="0"/>
        <w:pageBreakBefore w:val="0"/>
        <w:tabs>
          <w:tab w:val="left" w:pos="6540"/>
        </w:tabs>
        <w:wordWrap/>
        <w:overflowPunct/>
        <w:topLinePunct w:val="0"/>
        <w:bidi w:val="0"/>
        <w:spacing w:line="440" w:lineRule="exact"/>
        <w:ind w:left="429" w:right="2760"/>
        <w:jc w:val="both"/>
        <w:rPr>
          <w:rFonts w:ascii="Arial"/>
          <w:color w:val="auto"/>
          <w:sz w:val="21"/>
          <w:szCs w:val="21"/>
          <w:highlight w:val="none"/>
        </w:rPr>
      </w:pPr>
      <w:r>
        <w:rPr>
          <w:color w:val="auto"/>
          <w:spacing w:val="-1"/>
          <w:sz w:val="21"/>
          <w:szCs w:val="21"/>
          <w:highlight w:val="none"/>
        </w:rPr>
        <w:t>委托代理人（签字或者电子签名</w:t>
      </w:r>
      <w:r>
        <w:rPr>
          <w:color w:val="auto"/>
          <w:spacing w:val="1"/>
          <w:sz w:val="21"/>
          <w:szCs w:val="21"/>
          <w:highlight w:val="none"/>
        </w:rPr>
        <w:t>）：</w:t>
      </w:r>
      <w:r>
        <w:rPr>
          <w:color w:val="auto"/>
          <w:sz w:val="21"/>
          <w:szCs w:val="21"/>
          <w:highlight w:val="none"/>
          <w:u w:val="single" w:color="auto"/>
        </w:rPr>
        <w:tab/>
      </w:r>
      <w:r>
        <w:rPr>
          <w:color w:val="auto"/>
          <w:sz w:val="21"/>
          <w:szCs w:val="21"/>
          <w:highlight w:val="none"/>
        </w:rPr>
        <w:t xml:space="preserve"> </w:t>
      </w:r>
      <w:r>
        <w:rPr>
          <w:color w:val="auto"/>
          <w:spacing w:val="-1"/>
          <w:sz w:val="21"/>
          <w:szCs w:val="21"/>
          <w:highlight w:val="none"/>
        </w:rPr>
        <w:t>委托代理人身份证号码：</w:t>
      </w:r>
      <w:r>
        <w:rPr>
          <w:color w:val="auto"/>
          <w:sz w:val="21"/>
          <w:szCs w:val="21"/>
          <w:highlight w:val="none"/>
          <w:u w:val="single" w:color="auto"/>
        </w:rPr>
        <w:tab/>
      </w:r>
      <w:r>
        <w:rPr>
          <w:color w:val="auto"/>
          <w:sz w:val="21"/>
          <w:szCs w:val="21"/>
          <w:highlight w:val="none"/>
        </w:rPr>
        <w:t xml:space="preserve"> </w:t>
      </w:r>
      <w:r>
        <w:rPr>
          <w:color w:val="auto"/>
          <w:spacing w:val="-1"/>
          <w:sz w:val="21"/>
          <w:szCs w:val="21"/>
          <w:highlight w:val="none"/>
        </w:rPr>
        <w:t>法定代表人（签字或者盖章或者电子签名</w:t>
      </w:r>
      <w:r>
        <w:rPr>
          <w:color w:val="auto"/>
          <w:spacing w:val="3"/>
          <w:sz w:val="21"/>
          <w:szCs w:val="21"/>
          <w:highlight w:val="none"/>
        </w:rPr>
        <w:t>）：</w:t>
      </w:r>
      <w:r>
        <w:rPr>
          <w:color w:val="auto"/>
          <w:sz w:val="21"/>
          <w:szCs w:val="21"/>
          <w:highlight w:val="none"/>
          <w:u w:val="single" w:color="auto"/>
        </w:rPr>
        <w:t xml:space="preserve">           </w:t>
      </w:r>
    </w:p>
    <w:p w14:paraId="786C1107">
      <w:pPr>
        <w:pStyle w:val="8"/>
        <w:keepNext w:val="0"/>
        <w:keepLines w:val="0"/>
        <w:pageBreakBefore w:val="0"/>
        <w:wordWrap/>
        <w:overflowPunct/>
        <w:topLinePunct w:val="0"/>
        <w:bidi w:val="0"/>
        <w:spacing w:line="440" w:lineRule="exact"/>
        <w:ind w:left="531" w:right="3660" w:hanging="38"/>
        <w:rPr>
          <w:color w:val="auto"/>
          <w:sz w:val="21"/>
          <w:szCs w:val="21"/>
          <w:highlight w:val="none"/>
          <w:u w:val="single" w:color="auto"/>
        </w:rPr>
      </w:pPr>
      <w:r>
        <w:rPr>
          <w:color w:val="auto"/>
          <w:spacing w:val="-2"/>
          <w:sz w:val="21"/>
          <w:szCs w:val="21"/>
          <w:highlight w:val="none"/>
        </w:rPr>
        <w:t>投标人名称（电子签章</w:t>
      </w:r>
      <w:r>
        <w:rPr>
          <w:color w:val="auto"/>
          <w:spacing w:val="2"/>
          <w:sz w:val="21"/>
          <w:szCs w:val="21"/>
          <w:highlight w:val="none"/>
        </w:rPr>
        <w:t>）：</w:t>
      </w:r>
      <w:r>
        <w:rPr>
          <w:color w:val="auto"/>
          <w:sz w:val="21"/>
          <w:szCs w:val="21"/>
          <w:highlight w:val="none"/>
          <w:u w:val="single" w:color="auto"/>
        </w:rPr>
        <w:t xml:space="preserve">                   </w:t>
      </w:r>
    </w:p>
    <w:p w14:paraId="457EB55C">
      <w:pPr>
        <w:pStyle w:val="8"/>
        <w:keepNext w:val="0"/>
        <w:keepLines w:val="0"/>
        <w:pageBreakBefore w:val="0"/>
        <w:tabs>
          <w:tab w:val="left" w:pos="6540"/>
        </w:tabs>
        <w:wordWrap/>
        <w:overflowPunct/>
        <w:topLinePunct w:val="0"/>
        <w:bidi w:val="0"/>
        <w:spacing w:line="440" w:lineRule="exact"/>
        <w:ind w:left="429" w:right="2760"/>
        <w:jc w:val="both"/>
        <w:rPr>
          <w:color w:val="auto"/>
          <w:spacing w:val="-1"/>
          <w:sz w:val="21"/>
          <w:szCs w:val="21"/>
          <w:highlight w:val="none"/>
        </w:rPr>
      </w:pPr>
      <w:r>
        <w:rPr>
          <w:color w:val="auto"/>
          <w:spacing w:val="-1"/>
          <w:sz w:val="21"/>
          <w:szCs w:val="21"/>
          <w:highlight w:val="none"/>
        </w:rPr>
        <w:t xml:space="preserve"> 日期：  年  月  日</w:t>
      </w:r>
    </w:p>
    <w:p w14:paraId="349BFE2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注：1.法定代表人必须在授权委托书上签字或者盖章或者电子签名，委托代理人必须在授权委托书上签字或者电子签名，否则按无效投标处理；</w:t>
      </w:r>
    </w:p>
    <w:p w14:paraId="209ABF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2.法人、其他组织投标时“我方”是指“我单位”，自然人投标时“我方”是指“本人”。</w:t>
      </w:r>
    </w:p>
    <w:p w14:paraId="3859D7A2">
      <w:pPr>
        <w:keepNext w:val="0"/>
        <w:keepLines w:val="0"/>
        <w:pageBreakBefore w:val="0"/>
        <w:wordWrap/>
        <w:overflowPunct/>
        <w:topLinePunct w:val="0"/>
        <w:bidi w:val="0"/>
        <w:spacing w:line="440" w:lineRule="exact"/>
        <w:rPr>
          <w:color w:val="auto"/>
          <w:sz w:val="20"/>
          <w:szCs w:val="20"/>
          <w:highlight w:val="none"/>
        </w:rPr>
        <w:sectPr>
          <w:headerReference r:id="rId45" w:type="default"/>
          <w:footerReference r:id="rId46" w:type="default"/>
          <w:pgSz w:w="11906" w:h="16839"/>
          <w:pgMar w:top="977" w:right="1245" w:bottom="839" w:left="1360" w:header="963" w:footer="677" w:gutter="0"/>
          <w:pgNumType w:fmt="decimal"/>
          <w:cols w:space="720" w:num="1"/>
        </w:sectPr>
      </w:pPr>
    </w:p>
    <w:p w14:paraId="219C88C7">
      <w:pPr>
        <w:pStyle w:val="8"/>
        <w:keepNext w:val="0"/>
        <w:keepLines w:val="0"/>
        <w:pageBreakBefore w:val="0"/>
        <w:wordWrap/>
        <w:overflowPunct/>
        <w:topLinePunct w:val="0"/>
        <w:bidi w:val="0"/>
        <w:spacing w:line="440" w:lineRule="exact"/>
        <w:ind w:left="3856"/>
        <w:rPr>
          <w:color w:val="auto"/>
          <w:sz w:val="28"/>
          <w:szCs w:val="28"/>
          <w:highlight w:val="none"/>
        </w:rPr>
      </w:pPr>
      <w:r>
        <w:rPr>
          <w:b/>
          <w:bCs/>
          <w:color w:val="auto"/>
          <w:spacing w:val="5"/>
          <w:sz w:val="28"/>
          <w:szCs w:val="28"/>
          <w:highlight w:val="none"/>
        </w:rPr>
        <w:t>授权委托书</w:t>
      </w:r>
    </w:p>
    <w:p w14:paraId="7A324331">
      <w:pPr>
        <w:pStyle w:val="8"/>
        <w:keepNext w:val="0"/>
        <w:keepLines w:val="0"/>
        <w:pageBreakBefore w:val="0"/>
        <w:wordWrap/>
        <w:overflowPunct/>
        <w:topLinePunct w:val="0"/>
        <w:bidi w:val="0"/>
        <w:spacing w:line="440" w:lineRule="exact"/>
        <w:ind w:left="3554" w:right="3235" w:hanging="319"/>
        <w:rPr>
          <w:color w:val="auto"/>
          <w:highlight w:val="none"/>
        </w:rPr>
      </w:pPr>
      <w:r>
        <w:rPr>
          <w:color w:val="auto"/>
          <w:spacing w:val="4"/>
          <w:highlight w:val="none"/>
        </w:rPr>
        <w:t>（联合体投标格式）</w:t>
      </w:r>
      <w:r>
        <w:rPr>
          <w:color w:val="auto"/>
          <w:spacing w:val="1"/>
          <w:highlight w:val="none"/>
        </w:rPr>
        <w:t xml:space="preserve"> </w:t>
      </w:r>
      <w:r>
        <w:rPr>
          <w:color w:val="auto"/>
          <w:spacing w:val="4"/>
          <w:highlight w:val="none"/>
        </w:rPr>
        <w:t>（如有委托时）</w:t>
      </w:r>
    </w:p>
    <w:p w14:paraId="5F282CFD">
      <w:pPr>
        <w:pStyle w:val="8"/>
        <w:keepNext w:val="0"/>
        <w:keepLines w:val="0"/>
        <w:pageBreakBefore w:val="0"/>
        <w:wordWrap/>
        <w:overflowPunct/>
        <w:topLinePunct w:val="0"/>
        <w:bidi w:val="0"/>
        <w:spacing w:line="440" w:lineRule="exact"/>
        <w:ind w:left="10"/>
        <w:rPr>
          <w:rFonts w:hint="eastAsia" w:asciiTheme="minorEastAsia" w:hAnsiTheme="minorEastAsia" w:eastAsiaTheme="minorEastAsia" w:cstheme="minorEastAsia"/>
          <w:color w:val="auto"/>
          <w:spacing w:val="-1"/>
          <w:sz w:val="21"/>
          <w:szCs w:val="21"/>
          <w:highlight w:val="none"/>
        </w:rPr>
      </w:pPr>
    </w:p>
    <w:p w14:paraId="43FC240C">
      <w:pPr>
        <w:pStyle w:val="8"/>
        <w:keepNext w:val="0"/>
        <w:keepLines w:val="0"/>
        <w:pageBreakBefore w:val="0"/>
        <w:wordWrap/>
        <w:overflowPunct/>
        <w:topLinePunct w:val="0"/>
        <w:bidi w:val="0"/>
        <w:spacing w:line="440" w:lineRule="exact"/>
        <w:ind w:left="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致</w:t>
      </w:r>
      <w:r>
        <w:rPr>
          <w:rFonts w:hint="eastAsia" w:asciiTheme="minorEastAsia" w:hAnsiTheme="minorEastAsia" w:eastAsiaTheme="minorEastAsia" w:cstheme="minorEastAsia"/>
          <w:color w:val="auto"/>
          <w:spacing w:val="-1"/>
          <w:sz w:val="21"/>
          <w:szCs w:val="21"/>
          <w:highlight w:val="none"/>
          <w:u w:val="single" w:color="auto"/>
        </w:rPr>
        <w:t>（采购人/采购代理机构名称</w:t>
      </w:r>
      <w:r>
        <w:rPr>
          <w:rFonts w:hint="eastAsia" w:asciiTheme="minorEastAsia" w:hAnsiTheme="minorEastAsia" w:eastAsiaTheme="minorEastAsia" w:cstheme="minorEastAsia"/>
          <w:color w:val="auto"/>
          <w:spacing w:val="16"/>
          <w:sz w:val="21"/>
          <w:szCs w:val="21"/>
          <w:highlight w:val="none"/>
          <w:u w:val="single" w:color="auto"/>
        </w:rPr>
        <w:t>）：</w:t>
      </w:r>
    </w:p>
    <w:p w14:paraId="4433E396">
      <w:pPr>
        <w:keepNext w:val="0"/>
        <w:keepLines w:val="0"/>
        <w:pageBreakBefore w:val="0"/>
        <w:widowControl w:val="0"/>
        <w:kinsoku/>
        <w:wordWrap/>
        <w:overflowPunct/>
        <w:topLinePunct w:val="0"/>
        <w:autoSpaceDE/>
        <w:autoSpaceDN/>
        <w:bidi w:val="0"/>
        <w:adjustRightInd/>
        <w:snapToGrid/>
        <w:spacing w:line="440" w:lineRule="exact"/>
        <w:ind w:firstLine="428"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根据</w:t>
      </w:r>
      <w:r>
        <w:rPr>
          <w:rFonts w:hint="eastAsia" w:asciiTheme="minorEastAsia" w:hAnsiTheme="minorEastAsia" w:eastAsiaTheme="minorEastAsia" w:cstheme="minorEastAsia"/>
          <w:color w:val="auto"/>
          <w:spacing w:val="2"/>
          <w:sz w:val="21"/>
          <w:szCs w:val="21"/>
          <w:highlight w:val="none"/>
          <w:u w:val="single" w:color="auto"/>
        </w:rPr>
        <w:t>（牵头人名称）</w:t>
      </w:r>
      <w:r>
        <w:rPr>
          <w:rFonts w:hint="eastAsia" w:asciiTheme="minorEastAsia" w:hAnsiTheme="minorEastAsia" w:eastAsiaTheme="minorEastAsia" w:cstheme="minorEastAsia"/>
          <w:color w:val="auto"/>
          <w:spacing w:val="2"/>
          <w:sz w:val="21"/>
          <w:szCs w:val="21"/>
          <w:highlight w:val="none"/>
        </w:rPr>
        <w:t>与</w:t>
      </w:r>
      <w:r>
        <w:rPr>
          <w:rFonts w:hint="eastAsia" w:asciiTheme="minorEastAsia" w:hAnsiTheme="minorEastAsia" w:eastAsiaTheme="minorEastAsia" w:cstheme="minorEastAsia"/>
          <w:color w:val="auto"/>
          <w:spacing w:val="2"/>
          <w:sz w:val="21"/>
          <w:szCs w:val="21"/>
          <w:highlight w:val="none"/>
          <w:u w:val="single" w:color="auto"/>
        </w:rPr>
        <w:t>（联合体其他成员名称）</w:t>
      </w:r>
      <w:r>
        <w:rPr>
          <w:rFonts w:hint="eastAsia" w:asciiTheme="minorEastAsia" w:hAnsiTheme="minorEastAsia" w:eastAsiaTheme="minorEastAsia" w:cstheme="minorEastAsia"/>
          <w:color w:val="auto"/>
          <w:spacing w:val="2"/>
          <w:sz w:val="21"/>
          <w:szCs w:val="21"/>
          <w:highlight w:val="none"/>
        </w:rPr>
        <w:t>签订的《联合体投标协议书》的内</w:t>
      </w:r>
      <w:r>
        <w:rPr>
          <w:rFonts w:hint="eastAsia" w:asciiTheme="minorEastAsia" w:hAnsiTheme="minorEastAsia" w:eastAsiaTheme="minorEastAsia" w:cstheme="minorEastAsia"/>
          <w:color w:val="auto"/>
          <w:spacing w:val="-1"/>
          <w:sz w:val="21"/>
          <w:szCs w:val="21"/>
          <w:highlight w:val="none"/>
        </w:rPr>
        <w:t>容</w:t>
      </w:r>
      <w:r>
        <w:rPr>
          <w:rFonts w:hint="eastAsia" w:asciiTheme="minorEastAsia" w:hAnsiTheme="minorEastAsia" w:eastAsiaTheme="minorEastAsia" w:cstheme="minorEastAsia"/>
          <w:color w:val="auto"/>
          <w:spacing w:val="-18"/>
          <w:sz w:val="21"/>
          <w:szCs w:val="21"/>
          <w:highlight w:val="none"/>
        </w:rPr>
        <w:t>，</w:t>
      </w:r>
      <w:r>
        <w:rPr>
          <w:rFonts w:hint="eastAsia" w:asciiTheme="minorEastAsia" w:hAnsiTheme="minorEastAsia" w:eastAsiaTheme="minorEastAsia" w:cstheme="minorEastAsia"/>
          <w:color w:val="auto"/>
          <w:spacing w:val="-18"/>
          <w:sz w:val="21"/>
          <w:szCs w:val="21"/>
          <w:highlight w:val="none"/>
          <w:u w:val="single" w:color="auto"/>
        </w:rPr>
        <w:t>（</w:t>
      </w:r>
      <w:r>
        <w:rPr>
          <w:rFonts w:hint="eastAsia" w:asciiTheme="minorEastAsia" w:hAnsiTheme="minorEastAsia" w:eastAsiaTheme="minorEastAsia" w:cstheme="minorEastAsia"/>
          <w:color w:val="auto"/>
          <w:spacing w:val="-1"/>
          <w:sz w:val="21"/>
          <w:szCs w:val="21"/>
          <w:highlight w:val="none"/>
          <w:u w:val="single" w:color="auto"/>
        </w:rPr>
        <w:t>牵头人名称）</w:t>
      </w:r>
      <w:r>
        <w:rPr>
          <w:rFonts w:hint="eastAsia" w:asciiTheme="minorEastAsia" w:hAnsiTheme="minorEastAsia" w:eastAsiaTheme="minorEastAsia" w:cstheme="minorEastAsia"/>
          <w:color w:val="auto"/>
          <w:spacing w:val="-1"/>
          <w:sz w:val="21"/>
          <w:szCs w:val="21"/>
          <w:highlight w:val="none"/>
        </w:rPr>
        <w:t>的法定代表人</w:t>
      </w:r>
      <w:r>
        <w:rPr>
          <w:rFonts w:hint="eastAsia" w:asciiTheme="minorEastAsia" w:hAnsiTheme="minorEastAsia" w:eastAsiaTheme="minorEastAsia" w:cstheme="minorEastAsia"/>
          <w:color w:val="auto"/>
          <w:spacing w:val="-1"/>
          <w:sz w:val="21"/>
          <w:szCs w:val="21"/>
          <w:highlight w:val="none"/>
          <w:u w:val="single" w:color="auto"/>
        </w:rPr>
        <w:t>（姓名）</w:t>
      </w:r>
      <w:r>
        <w:rPr>
          <w:rFonts w:hint="eastAsia" w:asciiTheme="minorEastAsia" w:hAnsiTheme="minorEastAsia" w:eastAsiaTheme="minorEastAsia" w:cstheme="minorEastAsia"/>
          <w:color w:val="auto"/>
          <w:spacing w:val="-1"/>
          <w:sz w:val="21"/>
          <w:szCs w:val="21"/>
          <w:highlight w:val="none"/>
        </w:rPr>
        <w:t>现授权委托</w:t>
      </w:r>
      <w:r>
        <w:rPr>
          <w:rFonts w:hint="eastAsia" w:asciiTheme="minorEastAsia" w:hAnsiTheme="minorEastAsia" w:eastAsiaTheme="minorEastAsia" w:cstheme="minorEastAsia"/>
          <w:color w:val="auto"/>
          <w:spacing w:val="-1"/>
          <w:sz w:val="21"/>
          <w:szCs w:val="21"/>
          <w:highlight w:val="none"/>
          <w:u w:val="single" w:color="auto"/>
        </w:rPr>
        <w:t>（姓名）</w:t>
      </w:r>
      <w:r>
        <w:rPr>
          <w:rFonts w:hint="eastAsia" w:asciiTheme="minorEastAsia" w:hAnsiTheme="minorEastAsia" w:eastAsiaTheme="minorEastAsia" w:cstheme="minorEastAsia"/>
          <w:color w:val="auto"/>
          <w:spacing w:val="-1"/>
          <w:sz w:val="21"/>
          <w:szCs w:val="21"/>
          <w:highlight w:val="none"/>
        </w:rPr>
        <w:t>以我方的名义参加</w:t>
      </w:r>
      <w:r>
        <w:rPr>
          <w:rFonts w:hint="eastAsia" w:asciiTheme="minorEastAsia" w:hAnsiTheme="minorEastAsia" w:eastAsiaTheme="minorEastAsia" w:cstheme="minorEastAsia"/>
          <w:color w:val="auto"/>
          <w:spacing w:val="-1"/>
          <w:sz w:val="21"/>
          <w:szCs w:val="21"/>
          <w:highlight w:val="none"/>
          <w:u w:val="single" w:color="auto"/>
        </w:rPr>
        <w:t>（项目</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名称/项目编号</w:t>
      </w:r>
      <w:r>
        <w:rPr>
          <w:rFonts w:hint="eastAsia" w:asciiTheme="minorEastAsia" w:hAnsiTheme="minorEastAsia" w:eastAsiaTheme="minorEastAsia" w:cstheme="minorEastAsia"/>
          <w:color w:val="auto"/>
          <w:spacing w:val="1"/>
          <w:sz w:val="21"/>
          <w:szCs w:val="21"/>
          <w:highlight w:val="none"/>
        </w:rPr>
        <w:t>）项目的投标活</w:t>
      </w:r>
      <w:r>
        <w:rPr>
          <w:rFonts w:hint="eastAsia" w:asciiTheme="minorEastAsia" w:hAnsiTheme="minorEastAsia" w:eastAsiaTheme="minorEastAsia" w:cstheme="minorEastAsia"/>
          <w:snapToGrid/>
          <w:color w:val="auto"/>
          <w:kern w:val="2"/>
          <w:sz w:val="21"/>
          <w:szCs w:val="21"/>
          <w:highlight w:val="none"/>
          <w:lang w:eastAsia="zh-CN"/>
        </w:rPr>
        <w:t>动，并代表我方全权办理针对上述项目的所有采购程序和 环节的具体事务和签署相关文件。</w:t>
      </w:r>
    </w:p>
    <w:p w14:paraId="1A2088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我方对委托代理人的签字或者电子签名事项负全部责任。</w:t>
      </w:r>
    </w:p>
    <w:p w14:paraId="199BC3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本授权书自签署之日起生效，在撤销授权的书面通知以前，本授权书一直有效。委托代理人在授权书有效期内签署的所有文件不因授权的撤销而失效。</w:t>
      </w:r>
    </w:p>
    <w:p w14:paraId="200093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委托代理人无转委托权，特此委托。</w:t>
      </w:r>
    </w:p>
    <w:p w14:paraId="6CE9EB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附：牵头人法定代表人身份证明及委托代理人有效身份证正反面复印件</w:t>
      </w:r>
    </w:p>
    <w:p w14:paraId="64F2F92F">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DD8048A">
      <w:pPr>
        <w:pStyle w:val="8"/>
        <w:keepNext w:val="0"/>
        <w:keepLines w:val="0"/>
        <w:pageBreakBefore w:val="0"/>
        <w:wordWrap/>
        <w:overflowPunct/>
        <w:topLinePunct w:val="0"/>
        <w:bidi w:val="0"/>
        <w:spacing w:line="440" w:lineRule="exact"/>
        <w:ind w:left="576" w:right="1534"/>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牵头人法定代表人（签字或者盖章或者电子签名</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
          <w:sz w:val="21"/>
          <w:szCs w:val="21"/>
          <w:highlight w:val="none"/>
        </w:rPr>
        <w:t xml:space="preserve">   </w:t>
      </w:r>
    </w:p>
    <w:p w14:paraId="10C5E9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 xml:space="preserve">牵头人（电子签章）：                             </w:t>
      </w:r>
    </w:p>
    <w:p w14:paraId="25D266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日期：  年  月  日</w:t>
      </w:r>
    </w:p>
    <w:p w14:paraId="4825E9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u w:val="single"/>
          <w:lang w:eastAsia="zh-CN"/>
        </w:rPr>
      </w:pPr>
      <w:r>
        <w:rPr>
          <w:rFonts w:hint="eastAsia" w:asciiTheme="minorEastAsia" w:hAnsiTheme="minorEastAsia" w:eastAsiaTheme="minorEastAsia" w:cstheme="minorEastAsia"/>
          <w:snapToGrid/>
          <w:color w:val="auto"/>
          <w:kern w:val="2"/>
          <w:sz w:val="21"/>
          <w:szCs w:val="21"/>
          <w:highlight w:val="none"/>
          <w:lang w:eastAsia="zh-CN"/>
        </w:rPr>
        <w:t>被授权人（签字或者电子签名）：</w:t>
      </w:r>
      <w:r>
        <w:rPr>
          <w:rFonts w:hint="eastAsia" w:asciiTheme="minorEastAsia" w:hAnsiTheme="minorEastAsia" w:eastAsiaTheme="minorEastAsia" w:cstheme="minorEastAsia"/>
          <w:snapToGrid/>
          <w:color w:val="auto"/>
          <w:kern w:val="2"/>
          <w:sz w:val="21"/>
          <w:szCs w:val="21"/>
          <w:highlight w:val="none"/>
          <w:u w:val="single"/>
          <w:lang w:eastAsia="zh-CN"/>
        </w:rPr>
        <w:t xml:space="preserve">                </w:t>
      </w:r>
    </w:p>
    <w:p w14:paraId="731F3A8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日期：  年  月  日</w:t>
      </w:r>
    </w:p>
    <w:p w14:paraId="18975D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p>
    <w:p w14:paraId="72FC64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注：1.法定代表人必须在授权委托书上签字或者盖章或者电子签名，委托代理人必须在授权委托书上签字或者电子签名，</w:t>
      </w:r>
      <w:r>
        <w:rPr>
          <w:rFonts w:hint="eastAsia" w:asciiTheme="minorEastAsia" w:hAnsiTheme="minorEastAsia" w:eastAsiaTheme="minorEastAsia" w:cstheme="minorEastAsia"/>
          <w:b/>
          <w:bCs/>
          <w:snapToGrid/>
          <w:color w:val="auto"/>
          <w:kern w:val="2"/>
          <w:sz w:val="21"/>
          <w:szCs w:val="21"/>
          <w:highlight w:val="none"/>
          <w:lang w:eastAsia="zh-CN"/>
        </w:rPr>
        <w:t>否则按无效投标处理</w:t>
      </w:r>
      <w:r>
        <w:rPr>
          <w:rFonts w:hint="eastAsia" w:asciiTheme="minorEastAsia" w:hAnsiTheme="minorEastAsia" w:eastAsiaTheme="minorEastAsia" w:cstheme="minorEastAsia"/>
          <w:snapToGrid/>
          <w:color w:val="auto"/>
          <w:kern w:val="2"/>
          <w:sz w:val="21"/>
          <w:szCs w:val="21"/>
          <w:highlight w:val="none"/>
          <w:lang w:eastAsia="zh-CN"/>
        </w:rPr>
        <w:t>；</w:t>
      </w:r>
    </w:p>
    <w:p w14:paraId="129F82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2.法人、其他组织投标时“我方”是指“我单位”，自然人投标时“我方”是指“本人”。</w:t>
      </w:r>
    </w:p>
    <w:p w14:paraId="2BAD946C">
      <w:pPr>
        <w:keepNext w:val="0"/>
        <w:keepLines w:val="0"/>
        <w:pageBreakBefore w:val="0"/>
        <w:wordWrap/>
        <w:overflowPunct/>
        <w:topLinePunct w:val="0"/>
        <w:bidi w:val="0"/>
        <w:spacing w:line="440" w:lineRule="exact"/>
        <w:rPr>
          <w:color w:val="auto"/>
          <w:sz w:val="20"/>
          <w:szCs w:val="20"/>
          <w:highlight w:val="none"/>
        </w:rPr>
        <w:sectPr>
          <w:headerReference r:id="rId47" w:type="default"/>
          <w:footerReference r:id="rId48" w:type="default"/>
          <w:pgSz w:w="11906" w:h="16839"/>
          <w:pgMar w:top="977" w:right="1247" w:bottom="839" w:left="1360" w:header="963" w:footer="677" w:gutter="0"/>
          <w:pgNumType w:fmt="decimal"/>
          <w:cols w:space="720" w:num="1"/>
        </w:sectPr>
      </w:pPr>
    </w:p>
    <w:p w14:paraId="230BC8F4">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4"/>
        <w:textAlignment w:val="baseline"/>
        <w:rPr>
          <w:color w:val="auto"/>
          <w:sz w:val="24"/>
          <w:szCs w:val="24"/>
          <w:highlight w:val="none"/>
        </w:rPr>
      </w:pPr>
      <w:r>
        <w:rPr>
          <w:b/>
          <w:bCs/>
          <w:color w:val="auto"/>
          <w:spacing w:val="-4"/>
          <w:sz w:val="24"/>
          <w:szCs w:val="24"/>
          <w:highlight w:val="none"/>
        </w:rPr>
        <w:t>5.法定代表人身份证明</w:t>
      </w:r>
    </w:p>
    <w:p w14:paraId="1F24755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5978DEB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715DDB60">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218"/>
        <w:textAlignment w:val="baseline"/>
        <w:outlineLvl w:val="2"/>
        <w:rPr>
          <w:b/>
          <w:bCs/>
          <w:color w:val="auto"/>
          <w:spacing w:val="6"/>
          <w:sz w:val="28"/>
          <w:szCs w:val="28"/>
          <w:highlight w:val="none"/>
        </w:rPr>
      </w:pPr>
      <w:r>
        <w:rPr>
          <w:b/>
          <w:bCs/>
          <w:color w:val="auto"/>
          <w:spacing w:val="6"/>
          <w:sz w:val="28"/>
          <w:szCs w:val="28"/>
          <w:highlight w:val="none"/>
        </w:rPr>
        <w:t>法定代表人身份证明</w:t>
      </w:r>
    </w:p>
    <w:p w14:paraId="3D7C8F4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218"/>
        <w:textAlignment w:val="baseline"/>
        <w:outlineLvl w:val="2"/>
        <w:rPr>
          <w:b/>
          <w:bCs/>
          <w:color w:val="auto"/>
          <w:spacing w:val="6"/>
          <w:highlight w:val="none"/>
        </w:rPr>
      </w:pPr>
    </w:p>
    <w:p w14:paraId="1670A87A">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0" w:right="838" w:firstLine="2"/>
        <w:textAlignment w:val="baseline"/>
        <w:rPr>
          <w:color w:val="auto"/>
          <w:sz w:val="21"/>
          <w:szCs w:val="21"/>
          <w:highlight w:val="none"/>
        </w:rPr>
      </w:pPr>
      <w:r>
        <w:rPr>
          <w:color w:val="auto"/>
          <w:spacing w:val="-17"/>
          <w:sz w:val="21"/>
          <w:szCs w:val="21"/>
          <w:highlight w:val="none"/>
        </w:rPr>
        <w:t>投</w:t>
      </w:r>
      <w:r>
        <w:rPr>
          <w:color w:val="auto"/>
          <w:spacing w:val="12"/>
          <w:sz w:val="21"/>
          <w:szCs w:val="21"/>
          <w:highlight w:val="none"/>
        </w:rPr>
        <w:t xml:space="preserve"> </w:t>
      </w:r>
      <w:r>
        <w:rPr>
          <w:color w:val="auto"/>
          <w:spacing w:val="-17"/>
          <w:sz w:val="21"/>
          <w:szCs w:val="21"/>
          <w:highlight w:val="none"/>
        </w:rPr>
        <w:t>标</w:t>
      </w:r>
      <w:r>
        <w:rPr>
          <w:color w:val="auto"/>
          <w:spacing w:val="11"/>
          <w:sz w:val="21"/>
          <w:szCs w:val="21"/>
          <w:highlight w:val="none"/>
        </w:rPr>
        <w:t xml:space="preserve"> </w:t>
      </w:r>
      <w:r>
        <w:rPr>
          <w:color w:val="auto"/>
          <w:spacing w:val="-17"/>
          <w:sz w:val="21"/>
          <w:szCs w:val="21"/>
          <w:highlight w:val="none"/>
        </w:rPr>
        <w:t>人</w:t>
      </w:r>
      <w:r>
        <w:rPr>
          <w:color w:val="auto"/>
          <w:spacing w:val="-90"/>
          <w:sz w:val="21"/>
          <w:szCs w:val="21"/>
          <w:highlight w:val="none"/>
        </w:rPr>
        <w:t xml:space="preserve"> </w:t>
      </w:r>
      <w:r>
        <w:rPr>
          <w:color w:val="auto"/>
          <w:spacing w:val="-17"/>
          <w:sz w:val="21"/>
          <w:szCs w:val="21"/>
          <w:highlight w:val="none"/>
        </w:rPr>
        <w:t>：</w:t>
      </w:r>
      <w:r>
        <w:rPr>
          <w:color w:val="auto"/>
          <w:sz w:val="21"/>
          <w:szCs w:val="21"/>
          <w:highlight w:val="none"/>
          <w:u w:val="single" w:color="auto"/>
        </w:rPr>
        <w:t xml:space="preserve">                                                        </w:t>
      </w:r>
      <w:r>
        <w:rPr>
          <w:color w:val="auto"/>
          <w:sz w:val="21"/>
          <w:szCs w:val="21"/>
          <w:highlight w:val="none"/>
        </w:rPr>
        <w:t xml:space="preserve"> </w:t>
      </w:r>
    </w:p>
    <w:p w14:paraId="2E82B69E">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0" w:right="838" w:firstLine="2"/>
        <w:textAlignment w:val="baseline"/>
        <w:rPr>
          <w:color w:val="auto"/>
          <w:sz w:val="21"/>
          <w:szCs w:val="21"/>
          <w:highlight w:val="none"/>
        </w:rPr>
      </w:pPr>
      <w:r>
        <w:rPr>
          <w:color w:val="auto"/>
          <w:spacing w:val="-17"/>
          <w:sz w:val="21"/>
          <w:szCs w:val="21"/>
          <w:highlight w:val="none"/>
        </w:rPr>
        <w:t>地</w:t>
      </w:r>
      <w:r>
        <w:rPr>
          <w:color w:val="auto"/>
          <w:spacing w:val="2"/>
          <w:sz w:val="21"/>
          <w:szCs w:val="21"/>
          <w:highlight w:val="none"/>
        </w:rPr>
        <w:t xml:space="preserve">    </w:t>
      </w:r>
      <w:r>
        <w:rPr>
          <w:color w:val="auto"/>
          <w:spacing w:val="-17"/>
          <w:sz w:val="21"/>
          <w:szCs w:val="21"/>
          <w:highlight w:val="none"/>
        </w:rPr>
        <w:t>址</w:t>
      </w:r>
      <w:r>
        <w:rPr>
          <w:color w:val="auto"/>
          <w:spacing w:val="-89"/>
          <w:sz w:val="21"/>
          <w:szCs w:val="21"/>
          <w:highlight w:val="none"/>
        </w:rPr>
        <w:t xml:space="preserve"> </w:t>
      </w:r>
      <w:r>
        <w:rPr>
          <w:color w:val="auto"/>
          <w:spacing w:val="-17"/>
          <w:sz w:val="21"/>
          <w:szCs w:val="21"/>
          <w:highlight w:val="none"/>
        </w:rPr>
        <w:t>：</w:t>
      </w:r>
      <w:r>
        <w:rPr>
          <w:color w:val="auto"/>
          <w:sz w:val="21"/>
          <w:szCs w:val="21"/>
          <w:highlight w:val="none"/>
          <w:u w:val="single" w:color="auto"/>
        </w:rPr>
        <w:t xml:space="preserve">                                                        </w:t>
      </w:r>
    </w:p>
    <w:p w14:paraId="2394CE8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0"/>
        <w:textAlignment w:val="baseline"/>
        <w:rPr>
          <w:color w:val="auto"/>
          <w:sz w:val="21"/>
          <w:szCs w:val="21"/>
          <w:highlight w:val="none"/>
        </w:rPr>
      </w:pPr>
      <w:r>
        <w:rPr>
          <w:color w:val="auto"/>
          <w:spacing w:val="-10"/>
          <w:sz w:val="21"/>
          <w:szCs w:val="21"/>
          <w:highlight w:val="none"/>
        </w:rPr>
        <w:t>姓</w:t>
      </w:r>
      <w:r>
        <w:rPr>
          <w:color w:val="auto"/>
          <w:spacing w:val="3"/>
          <w:sz w:val="21"/>
          <w:szCs w:val="21"/>
          <w:highlight w:val="none"/>
        </w:rPr>
        <w:t xml:space="preserve">    </w:t>
      </w:r>
      <w:r>
        <w:rPr>
          <w:color w:val="auto"/>
          <w:spacing w:val="-10"/>
          <w:sz w:val="21"/>
          <w:szCs w:val="21"/>
          <w:highlight w:val="none"/>
        </w:rPr>
        <w:t>名</w:t>
      </w:r>
      <w:r>
        <w:rPr>
          <w:color w:val="auto"/>
          <w:spacing w:val="-90"/>
          <w:sz w:val="21"/>
          <w:szCs w:val="21"/>
          <w:highlight w:val="none"/>
        </w:rPr>
        <w:t xml:space="preserve"> </w:t>
      </w:r>
      <w:r>
        <w:rPr>
          <w:color w:val="auto"/>
          <w:spacing w:val="-10"/>
          <w:sz w:val="21"/>
          <w:szCs w:val="21"/>
          <w:highlight w:val="none"/>
        </w:rPr>
        <w:t>：</w:t>
      </w:r>
      <w:r>
        <w:rPr>
          <w:color w:val="auto"/>
          <w:spacing w:val="-10"/>
          <w:sz w:val="21"/>
          <w:szCs w:val="21"/>
          <w:highlight w:val="none"/>
          <w:u w:val="single" w:color="auto"/>
        </w:rPr>
        <w:t xml:space="preserve">                      </w:t>
      </w:r>
      <w:r>
        <w:rPr>
          <w:color w:val="auto"/>
          <w:spacing w:val="-11"/>
          <w:sz w:val="21"/>
          <w:szCs w:val="21"/>
          <w:highlight w:val="none"/>
          <w:u w:val="single" w:color="auto"/>
        </w:rPr>
        <w:t xml:space="preserve">      </w:t>
      </w:r>
      <w:r>
        <w:rPr>
          <w:color w:val="auto"/>
          <w:spacing w:val="-107"/>
          <w:sz w:val="21"/>
          <w:szCs w:val="21"/>
          <w:highlight w:val="none"/>
        </w:rPr>
        <w:t xml:space="preserve"> </w:t>
      </w:r>
      <w:r>
        <w:rPr>
          <w:rFonts w:hint="eastAsia"/>
          <w:color w:val="auto"/>
          <w:spacing w:val="-107"/>
          <w:sz w:val="21"/>
          <w:szCs w:val="21"/>
          <w:highlight w:val="none"/>
          <w:lang w:val="en-US" w:eastAsia="zh-CN"/>
        </w:rPr>
        <w:t xml:space="preserve">   </w:t>
      </w:r>
      <w:r>
        <w:rPr>
          <w:color w:val="auto"/>
          <w:spacing w:val="-11"/>
          <w:sz w:val="21"/>
          <w:szCs w:val="21"/>
          <w:highlight w:val="none"/>
        </w:rPr>
        <w:t>性</w:t>
      </w:r>
      <w:r>
        <w:rPr>
          <w:color w:val="auto"/>
          <w:spacing w:val="2"/>
          <w:sz w:val="21"/>
          <w:szCs w:val="21"/>
          <w:highlight w:val="none"/>
        </w:rPr>
        <w:t xml:space="preserve">      </w:t>
      </w:r>
      <w:r>
        <w:rPr>
          <w:color w:val="auto"/>
          <w:spacing w:val="-11"/>
          <w:sz w:val="21"/>
          <w:szCs w:val="21"/>
          <w:highlight w:val="none"/>
        </w:rPr>
        <w:t>别</w:t>
      </w:r>
      <w:r>
        <w:rPr>
          <w:color w:val="auto"/>
          <w:spacing w:val="-90"/>
          <w:sz w:val="21"/>
          <w:szCs w:val="21"/>
          <w:highlight w:val="none"/>
        </w:rPr>
        <w:t xml:space="preserve"> </w:t>
      </w:r>
      <w:r>
        <w:rPr>
          <w:color w:val="auto"/>
          <w:spacing w:val="-11"/>
          <w:sz w:val="21"/>
          <w:szCs w:val="21"/>
          <w:highlight w:val="none"/>
        </w:rPr>
        <w:t>：</w:t>
      </w:r>
      <w:r>
        <w:rPr>
          <w:color w:val="auto"/>
          <w:sz w:val="21"/>
          <w:szCs w:val="21"/>
          <w:highlight w:val="none"/>
          <w:u w:val="single" w:color="auto"/>
        </w:rPr>
        <w:t xml:space="preserve">                </w:t>
      </w:r>
    </w:p>
    <w:p w14:paraId="433CDC69">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1"/>
        <w:textAlignment w:val="baseline"/>
        <w:rPr>
          <w:color w:val="auto"/>
          <w:sz w:val="21"/>
          <w:szCs w:val="21"/>
          <w:highlight w:val="none"/>
        </w:rPr>
      </w:pPr>
      <w:r>
        <w:rPr>
          <w:color w:val="auto"/>
          <w:spacing w:val="-17"/>
          <w:sz w:val="21"/>
          <w:szCs w:val="21"/>
          <w:highlight w:val="none"/>
        </w:rPr>
        <w:t>年</w:t>
      </w:r>
      <w:r>
        <w:rPr>
          <w:color w:val="auto"/>
          <w:spacing w:val="2"/>
          <w:sz w:val="21"/>
          <w:szCs w:val="21"/>
          <w:highlight w:val="none"/>
        </w:rPr>
        <w:t xml:space="preserve">    </w:t>
      </w:r>
      <w:r>
        <w:rPr>
          <w:color w:val="auto"/>
          <w:spacing w:val="-17"/>
          <w:sz w:val="21"/>
          <w:szCs w:val="21"/>
          <w:highlight w:val="none"/>
        </w:rPr>
        <w:t>龄</w:t>
      </w:r>
      <w:r>
        <w:rPr>
          <w:color w:val="auto"/>
          <w:spacing w:val="-90"/>
          <w:sz w:val="21"/>
          <w:szCs w:val="21"/>
          <w:highlight w:val="none"/>
        </w:rPr>
        <w:t xml:space="preserve"> </w:t>
      </w:r>
      <w:r>
        <w:rPr>
          <w:color w:val="auto"/>
          <w:spacing w:val="-17"/>
          <w:sz w:val="21"/>
          <w:szCs w:val="21"/>
          <w:highlight w:val="none"/>
        </w:rPr>
        <w:t>：</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7"/>
          <w:sz w:val="21"/>
          <w:szCs w:val="21"/>
          <w:highlight w:val="none"/>
        </w:rPr>
        <w:t>职</w:t>
      </w:r>
      <w:r>
        <w:rPr>
          <w:color w:val="auto"/>
          <w:spacing w:val="1"/>
          <w:sz w:val="21"/>
          <w:szCs w:val="21"/>
          <w:highlight w:val="none"/>
        </w:rPr>
        <w:t xml:space="preserve">      </w:t>
      </w:r>
      <w:r>
        <w:rPr>
          <w:color w:val="auto"/>
          <w:spacing w:val="-17"/>
          <w:sz w:val="21"/>
          <w:szCs w:val="21"/>
          <w:highlight w:val="none"/>
        </w:rPr>
        <w:t>务</w:t>
      </w:r>
      <w:r>
        <w:rPr>
          <w:color w:val="auto"/>
          <w:spacing w:val="-86"/>
          <w:sz w:val="21"/>
          <w:szCs w:val="21"/>
          <w:highlight w:val="none"/>
        </w:rPr>
        <w:t xml:space="preserve"> </w:t>
      </w:r>
      <w:r>
        <w:rPr>
          <w:color w:val="auto"/>
          <w:spacing w:val="-17"/>
          <w:sz w:val="21"/>
          <w:szCs w:val="21"/>
          <w:highlight w:val="none"/>
        </w:rPr>
        <w:t>：</w:t>
      </w:r>
      <w:r>
        <w:rPr>
          <w:color w:val="auto"/>
          <w:sz w:val="21"/>
          <w:szCs w:val="21"/>
          <w:highlight w:val="none"/>
          <w:u w:val="single" w:color="auto"/>
        </w:rPr>
        <w:t xml:space="preserve">                </w:t>
      </w:r>
    </w:p>
    <w:p w14:paraId="21E083D4">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6"/>
        <w:textAlignment w:val="baseline"/>
        <w:rPr>
          <w:color w:val="auto"/>
          <w:sz w:val="21"/>
          <w:szCs w:val="21"/>
          <w:highlight w:val="none"/>
        </w:rPr>
      </w:pPr>
      <w:r>
        <w:rPr>
          <w:color w:val="auto"/>
          <w:spacing w:val="-3"/>
          <w:sz w:val="21"/>
          <w:szCs w:val="21"/>
          <w:highlight w:val="none"/>
        </w:rPr>
        <w:t>身份证号码：</w:t>
      </w:r>
      <w:r>
        <w:rPr>
          <w:color w:val="auto"/>
          <w:sz w:val="21"/>
          <w:szCs w:val="21"/>
          <w:highlight w:val="none"/>
          <w:u w:val="single" w:color="auto"/>
        </w:rPr>
        <w:t xml:space="preserve">                                 </w:t>
      </w:r>
    </w:p>
    <w:p w14:paraId="5DDC993E">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0" w:right="2077" w:firstLine="4"/>
        <w:textAlignment w:val="baseline"/>
        <w:rPr>
          <w:color w:val="auto"/>
          <w:sz w:val="21"/>
          <w:szCs w:val="21"/>
          <w:highlight w:val="none"/>
        </w:rPr>
      </w:pPr>
      <w:r>
        <w:rPr>
          <w:color w:val="auto"/>
          <w:spacing w:val="-3"/>
          <w:sz w:val="21"/>
          <w:szCs w:val="21"/>
          <w:highlight w:val="none"/>
        </w:rPr>
        <w:t>系</w:t>
      </w:r>
      <w:r>
        <w:rPr>
          <w:color w:val="auto"/>
          <w:spacing w:val="-3"/>
          <w:sz w:val="21"/>
          <w:szCs w:val="21"/>
          <w:highlight w:val="none"/>
          <w:u w:val="single" w:color="auto"/>
        </w:rPr>
        <w:t xml:space="preserve">            （投标人名称）</w:t>
      </w:r>
      <w:r>
        <w:rPr>
          <w:color w:val="auto"/>
          <w:spacing w:val="9"/>
          <w:sz w:val="21"/>
          <w:szCs w:val="21"/>
          <w:highlight w:val="none"/>
          <w:u w:val="single" w:color="auto"/>
        </w:rPr>
        <w:t xml:space="preserve">             </w:t>
      </w:r>
      <w:r>
        <w:rPr>
          <w:color w:val="auto"/>
          <w:spacing w:val="-87"/>
          <w:sz w:val="21"/>
          <w:szCs w:val="21"/>
          <w:highlight w:val="none"/>
        </w:rPr>
        <w:t xml:space="preserve"> </w:t>
      </w:r>
      <w:r>
        <w:rPr>
          <w:color w:val="auto"/>
          <w:spacing w:val="-3"/>
          <w:sz w:val="21"/>
          <w:szCs w:val="21"/>
          <w:highlight w:val="none"/>
        </w:rPr>
        <w:t>的法定</w:t>
      </w:r>
      <w:r>
        <w:rPr>
          <w:color w:val="auto"/>
          <w:spacing w:val="-4"/>
          <w:sz w:val="21"/>
          <w:szCs w:val="21"/>
          <w:highlight w:val="none"/>
        </w:rPr>
        <w:t>代表人。</w:t>
      </w:r>
      <w:r>
        <w:rPr>
          <w:color w:val="auto"/>
          <w:sz w:val="21"/>
          <w:szCs w:val="21"/>
          <w:highlight w:val="none"/>
        </w:rPr>
        <w:t xml:space="preserve"> </w:t>
      </w:r>
    </w:p>
    <w:p w14:paraId="7A8CCBA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50" w:right="2077" w:firstLine="4"/>
        <w:textAlignment w:val="baseline"/>
        <w:rPr>
          <w:color w:val="auto"/>
          <w:sz w:val="21"/>
          <w:szCs w:val="21"/>
          <w:highlight w:val="none"/>
        </w:rPr>
      </w:pPr>
      <w:r>
        <w:rPr>
          <w:color w:val="auto"/>
          <w:spacing w:val="-2"/>
          <w:sz w:val="21"/>
          <w:szCs w:val="21"/>
          <w:highlight w:val="none"/>
        </w:rPr>
        <w:t>特此证明。</w:t>
      </w:r>
    </w:p>
    <w:p w14:paraId="7E81280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100897B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75FB3F0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507C5E4F">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08"/>
        <w:textAlignment w:val="baseline"/>
        <w:outlineLvl w:val="3"/>
        <w:rPr>
          <w:color w:val="auto"/>
          <w:sz w:val="21"/>
          <w:szCs w:val="21"/>
          <w:highlight w:val="none"/>
        </w:rPr>
      </w:pPr>
      <w:r>
        <w:rPr>
          <w:color w:val="auto"/>
          <w:spacing w:val="-2"/>
          <w:sz w:val="21"/>
          <w:szCs w:val="21"/>
          <w:highlight w:val="none"/>
        </w:rPr>
        <w:t>附件：法定代表人有效身份证正反面复印件</w:t>
      </w:r>
    </w:p>
    <w:p w14:paraId="5095976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2DB5782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039" w:hanging="38"/>
        <w:textAlignment w:val="baseline"/>
        <w:rPr>
          <w:color w:val="auto"/>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r>
        <w:rPr>
          <w:color w:val="auto"/>
          <w:spacing w:val="6"/>
          <w:sz w:val="21"/>
          <w:szCs w:val="21"/>
          <w:highlight w:val="none"/>
        </w:rPr>
        <w:t xml:space="preserve"> </w:t>
      </w: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2B293BA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538A543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67753AD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90"/>
        <w:textAlignment w:val="baseline"/>
        <w:rPr>
          <w:color w:val="auto"/>
          <w:spacing w:val="-5"/>
          <w:sz w:val="21"/>
          <w:szCs w:val="21"/>
          <w:highlight w:val="none"/>
        </w:rPr>
      </w:pPr>
    </w:p>
    <w:p w14:paraId="689F408A">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90"/>
        <w:textAlignment w:val="baseline"/>
        <w:rPr>
          <w:color w:val="auto"/>
          <w:spacing w:val="-5"/>
          <w:sz w:val="21"/>
          <w:szCs w:val="21"/>
          <w:highlight w:val="none"/>
        </w:rPr>
      </w:pPr>
    </w:p>
    <w:p w14:paraId="2C570CB3">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90"/>
        <w:textAlignment w:val="baseline"/>
        <w:rPr>
          <w:color w:val="auto"/>
          <w:sz w:val="21"/>
          <w:szCs w:val="21"/>
          <w:highlight w:val="none"/>
        </w:rPr>
      </w:pPr>
      <w:r>
        <w:rPr>
          <w:color w:val="auto"/>
          <w:spacing w:val="-5"/>
          <w:sz w:val="21"/>
          <w:szCs w:val="21"/>
          <w:highlight w:val="none"/>
        </w:rPr>
        <w:t>注：</w:t>
      </w:r>
      <w:r>
        <w:rPr>
          <w:color w:val="auto"/>
          <w:spacing w:val="-71"/>
          <w:sz w:val="21"/>
          <w:szCs w:val="21"/>
          <w:highlight w:val="none"/>
        </w:rPr>
        <w:t xml:space="preserve"> </w:t>
      </w:r>
      <w:r>
        <w:rPr>
          <w:color w:val="auto"/>
          <w:spacing w:val="-5"/>
          <w:sz w:val="21"/>
          <w:szCs w:val="21"/>
          <w:highlight w:val="none"/>
        </w:rPr>
        <w:t>自然人投标的无需提供</w:t>
      </w:r>
    </w:p>
    <w:p w14:paraId="75381F1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color w:val="auto"/>
          <w:sz w:val="21"/>
          <w:szCs w:val="21"/>
          <w:highlight w:val="none"/>
        </w:rPr>
        <w:sectPr>
          <w:footerReference r:id="rId49" w:type="default"/>
          <w:pgSz w:w="11906" w:h="16839"/>
          <w:pgMar w:top="2098" w:right="1474" w:bottom="1984" w:left="1587" w:header="963" w:footer="677" w:gutter="0"/>
          <w:pgNumType w:fmt="decimal"/>
          <w:cols w:space="720" w:num="1"/>
          <w:rtlGutter w:val="0"/>
          <w:docGrid w:linePitch="0" w:charSpace="0"/>
        </w:sectPr>
      </w:pPr>
    </w:p>
    <w:p w14:paraId="7B930B65">
      <w:pPr>
        <w:pStyle w:val="8"/>
        <w:keepNext w:val="0"/>
        <w:keepLines w:val="0"/>
        <w:pageBreakBefore w:val="0"/>
        <w:wordWrap/>
        <w:overflowPunct/>
        <w:topLinePunct w:val="0"/>
        <w:bidi w:val="0"/>
        <w:spacing w:line="440" w:lineRule="exact"/>
        <w:outlineLvl w:val="2"/>
        <w:rPr>
          <w:color w:val="auto"/>
          <w:sz w:val="24"/>
          <w:szCs w:val="24"/>
          <w:highlight w:val="none"/>
        </w:rPr>
      </w:pPr>
      <w:r>
        <w:rPr>
          <w:b/>
          <w:bCs/>
          <w:color w:val="auto"/>
          <w:spacing w:val="-3"/>
          <w:sz w:val="24"/>
          <w:szCs w:val="24"/>
          <w:highlight w:val="none"/>
        </w:rPr>
        <w:t>7.商务条款偏离表格式（注：按项目需求表具体项目修改）</w:t>
      </w:r>
    </w:p>
    <w:p w14:paraId="1BE32DF6">
      <w:pPr>
        <w:keepNext w:val="0"/>
        <w:keepLines w:val="0"/>
        <w:pageBreakBefore w:val="0"/>
        <w:wordWrap/>
        <w:overflowPunct/>
        <w:topLinePunct w:val="0"/>
        <w:bidi w:val="0"/>
        <w:spacing w:line="440" w:lineRule="exact"/>
        <w:rPr>
          <w:rFonts w:ascii="Arial"/>
          <w:color w:val="auto"/>
          <w:sz w:val="21"/>
          <w:highlight w:val="none"/>
        </w:rPr>
      </w:pPr>
    </w:p>
    <w:p w14:paraId="5E9E502C">
      <w:pPr>
        <w:keepNext w:val="0"/>
        <w:keepLines w:val="0"/>
        <w:pageBreakBefore w:val="0"/>
        <w:wordWrap/>
        <w:overflowPunct/>
        <w:topLinePunct w:val="0"/>
        <w:bidi w:val="0"/>
        <w:spacing w:line="440" w:lineRule="exact"/>
        <w:rPr>
          <w:rFonts w:ascii="Arial"/>
          <w:color w:val="auto"/>
          <w:sz w:val="21"/>
          <w:highlight w:val="none"/>
        </w:rPr>
      </w:pPr>
    </w:p>
    <w:p w14:paraId="6DCED62E">
      <w:pPr>
        <w:pStyle w:val="8"/>
        <w:keepNext w:val="0"/>
        <w:keepLines w:val="0"/>
        <w:pageBreakBefore w:val="0"/>
        <w:wordWrap/>
        <w:overflowPunct/>
        <w:topLinePunct w:val="0"/>
        <w:bidi w:val="0"/>
        <w:spacing w:line="440" w:lineRule="exact"/>
        <w:ind w:left="3637"/>
        <w:outlineLvl w:val="3"/>
        <w:rPr>
          <w:color w:val="auto"/>
          <w:sz w:val="28"/>
          <w:szCs w:val="28"/>
          <w:highlight w:val="none"/>
        </w:rPr>
      </w:pPr>
      <w:r>
        <w:rPr>
          <w:b/>
          <w:bCs/>
          <w:color w:val="auto"/>
          <w:spacing w:val="4"/>
          <w:sz w:val="28"/>
          <w:szCs w:val="28"/>
          <w:highlight w:val="none"/>
        </w:rPr>
        <w:t>商务条款偏离表</w:t>
      </w:r>
    </w:p>
    <w:p w14:paraId="453CF71B">
      <w:pPr>
        <w:keepNext w:val="0"/>
        <w:keepLines w:val="0"/>
        <w:pageBreakBefore w:val="0"/>
        <w:wordWrap/>
        <w:overflowPunct/>
        <w:topLinePunct w:val="0"/>
        <w:bidi w:val="0"/>
        <w:spacing w:line="440" w:lineRule="exact"/>
        <w:rPr>
          <w:color w:val="auto"/>
          <w:highlight w:val="none"/>
        </w:rPr>
      </w:pPr>
    </w:p>
    <w:tbl>
      <w:tblPr>
        <w:tblStyle w:val="12"/>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551"/>
        <w:gridCol w:w="2417"/>
        <w:gridCol w:w="3090"/>
      </w:tblGrid>
      <w:tr w14:paraId="2B581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21" w:type="dxa"/>
            <w:vAlign w:val="top"/>
          </w:tcPr>
          <w:p w14:paraId="46FFC721">
            <w:pPr>
              <w:pStyle w:val="13"/>
              <w:keepNext w:val="0"/>
              <w:keepLines w:val="0"/>
              <w:pageBreakBefore w:val="0"/>
              <w:wordWrap/>
              <w:overflowPunct/>
              <w:topLinePunct w:val="0"/>
              <w:bidi w:val="0"/>
              <w:spacing w:line="440" w:lineRule="exact"/>
              <w:ind w:left="1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0"/>
                <w:sz w:val="21"/>
                <w:szCs w:val="21"/>
                <w:highlight w:val="none"/>
              </w:rPr>
              <w:t>项号</w:t>
            </w:r>
          </w:p>
        </w:tc>
        <w:tc>
          <w:tcPr>
            <w:tcW w:w="2551" w:type="dxa"/>
            <w:vAlign w:val="top"/>
          </w:tcPr>
          <w:p w14:paraId="24754EFB">
            <w:pPr>
              <w:pStyle w:val="13"/>
              <w:keepNext w:val="0"/>
              <w:keepLines w:val="0"/>
              <w:pageBreakBefore w:val="0"/>
              <w:wordWrap/>
              <w:overflowPunct/>
              <w:topLinePunct w:val="0"/>
              <w:bidi w:val="0"/>
              <w:spacing w:line="440" w:lineRule="exact"/>
              <w:ind w:left="1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招标文件的商务需求</w:t>
            </w:r>
          </w:p>
        </w:tc>
        <w:tc>
          <w:tcPr>
            <w:tcW w:w="2417" w:type="dxa"/>
            <w:vAlign w:val="top"/>
          </w:tcPr>
          <w:p w14:paraId="3126AA71">
            <w:pPr>
              <w:pStyle w:val="13"/>
              <w:keepNext w:val="0"/>
              <w:keepLines w:val="0"/>
              <w:pageBreakBefore w:val="0"/>
              <w:wordWrap/>
              <w:overflowPunct/>
              <w:topLinePunct w:val="0"/>
              <w:bidi w:val="0"/>
              <w:spacing w:line="440" w:lineRule="exact"/>
              <w:ind w:left="24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投标文件承诺的商务条款</w:t>
            </w:r>
          </w:p>
        </w:tc>
        <w:tc>
          <w:tcPr>
            <w:tcW w:w="3090" w:type="dxa"/>
            <w:vAlign w:val="top"/>
          </w:tcPr>
          <w:p w14:paraId="3D3A429B">
            <w:pPr>
              <w:pStyle w:val="13"/>
              <w:keepNext w:val="0"/>
              <w:keepLines w:val="0"/>
              <w:pageBreakBefore w:val="0"/>
              <w:wordWrap/>
              <w:overflowPunct/>
              <w:topLinePunct w:val="0"/>
              <w:bidi w:val="0"/>
              <w:spacing w:line="440" w:lineRule="exact"/>
              <w:ind w:left="10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偏离说明</w:t>
            </w:r>
          </w:p>
        </w:tc>
      </w:tr>
      <w:tr w14:paraId="4F3C1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Merge w:val="restart"/>
            <w:tcBorders>
              <w:bottom w:val="nil"/>
            </w:tcBorders>
            <w:vAlign w:val="top"/>
          </w:tcPr>
          <w:p w14:paraId="45FFCF52">
            <w:pPr>
              <w:pStyle w:val="13"/>
              <w:keepNext w:val="0"/>
              <w:keepLines w:val="0"/>
              <w:pageBreakBefore w:val="0"/>
              <w:wordWrap/>
              <w:overflowPunct/>
              <w:topLinePunct w:val="0"/>
              <w:bidi w:val="0"/>
              <w:spacing w:line="440" w:lineRule="exact"/>
              <w:ind w:left="1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5"/>
                <w:sz w:val="21"/>
                <w:szCs w:val="21"/>
                <w:highlight w:val="none"/>
              </w:rPr>
              <w:t>一</w:t>
            </w:r>
          </w:p>
        </w:tc>
        <w:tc>
          <w:tcPr>
            <w:tcW w:w="2551" w:type="dxa"/>
            <w:vAlign w:val="top"/>
          </w:tcPr>
          <w:p w14:paraId="3CC135C6">
            <w:pPr>
              <w:pStyle w:val="13"/>
              <w:keepNext w:val="0"/>
              <w:keepLines w:val="0"/>
              <w:pageBreakBefore w:val="0"/>
              <w:wordWrap/>
              <w:overflowPunct/>
              <w:topLinePunct w:val="0"/>
              <w:bidi w:val="0"/>
              <w:spacing w:line="440" w:lineRule="exact"/>
              <w:ind w:left="1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1</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w:t>
            </w:r>
          </w:p>
        </w:tc>
        <w:tc>
          <w:tcPr>
            <w:tcW w:w="2417" w:type="dxa"/>
            <w:vAlign w:val="top"/>
          </w:tcPr>
          <w:p w14:paraId="738468C6">
            <w:pPr>
              <w:pStyle w:val="13"/>
              <w:keepNext w:val="0"/>
              <w:keepLines w:val="0"/>
              <w:pageBreakBefore w:val="0"/>
              <w:wordWrap/>
              <w:overflowPunct/>
              <w:topLinePunct w:val="0"/>
              <w:bidi w:val="0"/>
              <w:spacing w:line="440" w:lineRule="exact"/>
              <w:ind w:left="1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1</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w:t>
            </w:r>
          </w:p>
        </w:tc>
        <w:tc>
          <w:tcPr>
            <w:tcW w:w="3090" w:type="dxa"/>
            <w:vAlign w:val="top"/>
          </w:tcPr>
          <w:p w14:paraId="2688B8E7">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146F8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Merge w:val="continue"/>
            <w:tcBorders>
              <w:top w:val="nil"/>
              <w:bottom w:val="nil"/>
            </w:tcBorders>
            <w:vAlign w:val="top"/>
          </w:tcPr>
          <w:p w14:paraId="737B5FCA">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39036837">
            <w:pPr>
              <w:pStyle w:val="13"/>
              <w:keepNext w:val="0"/>
              <w:keepLines w:val="0"/>
              <w:pageBreakBefore w:val="0"/>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3D44C6FA">
            <w:pPr>
              <w:pStyle w:val="13"/>
              <w:keepNext w:val="0"/>
              <w:keepLines w:val="0"/>
              <w:pageBreakBefore w:val="0"/>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698BB3D1">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3B7B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Merge w:val="continue"/>
            <w:tcBorders>
              <w:top w:val="nil"/>
              <w:bottom w:val="nil"/>
            </w:tcBorders>
            <w:vAlign w:val="top"/>
          </w:tcPr>
          <w:p w14:paraId="2F81163A">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694760BF">
            <w:pPr>
              <w:pStyle w:val="13"/>
              <w:keepNext w:val="0"/>
              <w:keepLines w:val="0"/>
              <w:pageBreakBefore w:val="0"/>
              <w:wordWrap/>
              <w:overflowPunct/>
              <w:topLinePunct w:val="0"/>
              <w:bidi w:val="0"/>
              <w:spacing w:line="440" w:lineRule="exact"/>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2137FDFF">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454468FC">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713F9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tcBorders>
            <w:vAlign w:val="top"/>
          </w:tcPr>
          <w:p w14:paraId="312C5A66">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5CF3F313">
            <w:pPr>
              <w:pStyle w:val="13"/>
              <w:keepNext w:val="0"/>
              <w:keepLines w:val="0"/>
              <w:pageBreakBefore w:val="0"/>
              <w:wordWrap/>
              <w:overflowPunct/>
              <w:topLinePunct w:val="0"/>
              <w:bidi w:val="0"/>
              <w:spacing w:line="440" w:lineRule="exact"/>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685A5EB0">
            <w:pPr>
              <w:pStyle w:val="13"/>
              <w:keepNext w:val="0"/>
              <w:keepLines w:val="0"/>
              <w:pageBreakBefore w:val="0"/>
              <w:wordWrap/>
              <w:overflowPunct/>
              <w:topLinePunct w:val="0"/>
              <w:bidi w:val="0"/>
              <w:spacing w:line="440" w:lineRule="exact"/>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2B53E579">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137DC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restart"/>
            <w:tcBorders>
              <w:bottom w:val="nil"/>
            </w:tcBorders>
            <w:vAlign w:val="top"/>
          </w:tcPr>
          <w:p w14:paraId="1D25FF88">
            <w:pPr>
              <w:pStyle w:val="13"/>
              <w:keepNext w:val="0"/>
              <w:keepLines w:val="0"/>
              <w:pageBreakBefore w:val="0"/>
              <w:wordWrap/>
              <w:overflowPunct/>
              <w:topLinePunct w:val="0"/>
              <w:bidi w:val="0"/>
              <w:spacing w:line="440" w:lineRule="exact"/>
              <w:ind w:left="1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2551" w:type="dxa"/>
            <w:vAlign w:val="top"/>
          </w:tcPr>
          <w:p w14:paraId="3C16AF5E">
            <w:pPr>
              <w:pStyle w:val="13"/>
              <w:keepNext w:val="0"/>
              <w:keepLines w:val="0"/>
              <w:pageBreakBefore w:val="0"/>
              <w:wordWrap/>
              <w:overflowPunct/>
              <w:topLinePunct w:val="0"/>
              <w:bidi w:val="0"/>
              <w:spacing w:line="440" w:lineRule="exact"/>
              <w:ind w:left="1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1</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w:t>
            </w:r>
          </w:p>
        </w:tc>
        <w:tc>
          <w:tcPr>
            <w:tcW w:w="2417" w:type="dxa"/>
            <w:vAlign w:val="top"/>
          </w:tcPr>
          <w:p w14:paraId="38F4F880">
            <w:pPr>
              <w:pStyle w:val="13"/>
              <w:keepNext w:val="0"/>
              <w:keepLines w:val="0"/>
              <w:pageBreakBefore w:val="0"/>
              <w:wordWrap/>
              <w:overflowPunct/>
              <w:topLinePunct w:val="0"/>
              <w:bidi w:val="0"/>
              <w:spacing w:line="440" w:lineRule="exact"/>
              <w:ind w:left="1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1</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w:t>
            </w:r>
          </w:p>
        </w:tc>
        <w:tc>
          <w:tcPr>
            <w:tcW w:w="3090" w:type="dxa"/>
            <w:vAlign w:val="top"/>
          </w:tcPr>
          <w:p w14:paraId="15C6B6D7">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58C6E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bottom w:val="nil"/>
            </w:tcBorders>
            <w:vAlign w:val="top"/>
          </w:tcPr>
          <w:p w14:paraId="0D7CCE75">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0D36DE0F">
            <w:pPr>
              <w:pStyle w:val="13"/>
              <w:keepNext w:val="0"/>
              <w:keepLines w:val="0"/>
              <w:pageBreakBefore w:val="0"/>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594C86BC">
            <w:pPr>
              <w:pStyle w:val="13"/>
              <w:keepNext w:val="0"/>
              <w:keepLines w:val="0"/>
              <w:pageBreakBefore w:val="0"/>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1F729FF0">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2E03C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bottom w:val="nil"/>
            </w:tcBorders>
            <w:vAlign w:val="top"/>
          </w:tcPr>
          <w:p w14:paraId="33918FA0">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5E7F6A43">
            <w:pPr>
              <w:pStyle w:val="13"/>
              <w:keepNext w:val="0"/>
              <w:keepLines w:val="0"/>
              <w:pageBreakBefore w:val="0"/>
              <w:wordWrap/>
              <w:overflowPunct/>
              <w:topLinePunct w:val="0"/>
              <w:bidi w:val="0"/>
              <w:spacing w:line="440" w:lineRule="exact"/>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41582C74">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53EB966E">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0DAB4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tcBorders>
            <w:vAlign w:val="top"/>
          </w:tcPr>
          <w:p w14:paraId="1C7B0205">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40D15F48">
            <w:pPr>
              <w:pStyle w:val="13"/>
              <w:keepNext w:val="0"/>
              <w:keepLines w:val="0"/>
              <w:pageBreakBefore w:val="0"/>
              <w:wordWrap/>
              <w:overflowPunct/>
              <w:topLinePunct w:val="0"/>
              <w:bidi w:val="0"/>
              <w:spacing w:line="440" w:lineRule="exact"/>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22950614">
            <w:pPr>
              <w:pStyle w:val="13"/>
              <w:keepNext w:val="0"/>
              <w:keepLines w:val="0"/>
              <w:pageBreakBefore w:val="0"/>
              <w:wordWrap/>
              <w:overflowPunct/>
              <w:topLinePunct w:val="0"/>
              <w:bidi w:val="0"/>
              <w:spacing w:line="440" w:lineRule="exact"/>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44B9E3E1">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0D485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1" w:type="dxa"/>
            <w:vMerge w:val="restart"/>
            <w:tcBorders>
              <w:bottom w:val="nil"/>
            </w:tcBorders>
            <w:vAlign w:val="top"/>
          </w:tcPr>
          <w:p w14:paraId="5F979C73">
            <w:pPr>
              <w:pStyle w:val="13"/>
              <w:keepNext w:val="0"/>
              <w:keepLines w:val="0"/>
              <w:pageBreakBefore w:val="0"/>
              <w:wordWrap/>
              <w:overflowPunct/>
              <w:topLinePunct w:val="0"/>
              <w:bidi w:val="0"/>
              <w:spacing w:line="440" w:lineRule="exact"/>
              <w:ind w:left="1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w:t>
            </w:r>
          </w:p>
        </w:tc>
        <w:tc>
          <w:tcPr>
            <w:tcW w:w="2551" w:type="dxa"/>
            <w:vAlign w:val="top"/>
          </w:tcPr>
          <w:p w14:paraId="379C9769">
            <w:pPr>
              <w:pStyle w:val="13"/>
              <w:keepNext w:val="0"/>
              <w:keepLines w:val="0"/>
              <w:pageBreakBefore w:val="0"/>
              <w:wordWrap/>
              <w:overflowPunct/>
              <w:topLinePunct w:val="0"/>
              <w:bidi w:val="0"/>
              <w:spacing w:line="440" w:lineRule="exact"/>
              <w:ind w:left="1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1</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w:t>
            </w:r>
          </w:p>
        </w:tc>
        <w:tc>
          <w:tcPr>
            <w:tcW w:w="2417" w:type="dxa"/>
            <w:vAlign w:val="top"/>
          </w:tcPr>
          <w:p w14:paraId="1413A8AC">
            <w:pPr>
              <w:pStyle w:val="13"/>
              <w:keepNext w:val="0"/>
              <w:keepLines w:val="0"/>
              <w:pageBreakBefore w:val="0"/>
              <w:wordWrap/>
              <w:overflowPunct/>
              <w:topLinePunct w:val="0"/>
              <w:bidi w:val="0"/>
              <w:spacing w:line="440" w:lineRule="exact"/>
              <w:ind w:left="1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1</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rPr>
              <w:t>……</w:t>
            </w:r>
          </w:p>
        </w:tc>
        <w:tc>
          <w:tcPr>
            <w:tcW w:w="3090" w:type="dxa"/>
            <w:vAlign w:val="top"/>
          </w:tcPr>
          <w:p w14:paraId="4B33603A">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6A3A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bottom w:val="nil"/>
            </w:tcBorders>
            <w:vAlign w:val="top"/>
          </w:tcPr>
          <w:p w14:paraId="26948873">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2B3AE827">
            <w:pPr>
              <w:pStyle w:val="13"/>
              <w:keepNext w:val="0"/>
              <w:keepLines w:val="0"/>
              <w:pageBreakBefore w:val="0"/>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4CC1AADD">
            <w:pPr>
              <w:pStyle w:val="13"/>
              <w:keepNext w:val="0"/>
              <w:keepLines w:val="0"/>
              <w:pageBreakBefore w:val="0"/>
              <w:wordWrap/>
              <w:overflowPunct/>
              <w:topLinePunct w:val="0"/>
              <w:bidi w:val="0"/>
              <w:spacing w:line="440" w:lineRule="exact"/>
              <w:ind w:left="1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7A6386B0">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07E70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bottom w:val="nil"/>
            </w:tcBorders>
            <w:vAlign w:val="top"/>
          </w:tcPr>
          <w:p w14:paraId="65F56A1D">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7143C087">
            <w:pPr>
              <w:pStyle w:val="13"/>
              <w:keepNext w:val="0"/>
              <w:keepLines w:val="0"/>
              <w:pageBreakBefore w:val="0"/>
              <w:wordWrap/>
              <w:overflowPunct/>
              <w:topLinePunct w:val="0"/>
              <w:bidi w:val="0"/>
              <w:spacing w:line="440" w:lineRule="exact"/>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12A2679E">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3</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00C57F50">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1491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1" w:type="dxa"/>
            <w:vMerge w:val="continue"/>
            <w:tcBorders>
              <w:top w:val="nil"/>
            </w:tcBorders>
            <w:vAlign w:val="top"/>
          </w:tcPr>
          <w:p w14:paraId="6096F227">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551" w:type="dxa"/>
            <w:vAlign w:val="top"/>
          </w:tcPr>
          <w:p w14:paraId="51A24C66">
            <w:pPr>
              <w:pStyle w:val="13"/>
              <w:keepNext w:val="0"/>
              <w:keepLines w:val="0"/>
              <w:pageBreakBefore w:val="0"/>
              <w:wordWrap/>
              <w:overflowPunct/>
              <w:topLinePunct w:val="0"/>
              <w:bidi w:val="0"/>
              <w:spacing w:line="440" w:lineRule="exact"/>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w:t>
            </w:r>
          </w:p>
        </w:tc>
        <w:tc>
          <w:tcPr>
            <w:tcW w:w="2417" w:type="dxa"/>
            <w:vAlign w:val="top"/>
          </w:tcPr>
          <w:p w14:paraId="42424F20">
            <w:pPr>
              <w:pStyle w:val="13"/>
              <w:keepNext w:val="0"/>
              <w:keepLines w:val="0"/>
              <w:pageBreakBefore w:val="0"/>
              <w:wordWrap/>
              <w:overflowPunct/>
              <w:topLinePunct w:val="0"/>
              <w:bidi w:val="0"/>
              <w:spacing w:line="440" w:lineRule="exact"/>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w:t>
            </w:r>
          </w:p>
        </w:tc>
        <w:tc>
          <w:tcPr>
            <w:tcW w:w="3090" w:type="dxa"/>
            <w:vAlign w:val="top"/>
          </w:tcPr>
          <w:p w14:paraId="16F75F80">
            <w:pPr>
              <w:pStyle w:val="13"/>
              <w:keepNext w:val="0"/>
              <w:keepLines w:val="0"/>
              <w:pageBreakBefore w:val="0"/>
              <w:wordWrap/>
              <w:overflowPunct/>
              <w:topLinePunct w:val="0"/>
              <w:bidi w:val="0"/>
              <w:spacing w:line="440" w:lineRule="exact"/>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正偏离或负偏离或无偏离）</w:t>
            </w:r>
          </w:p>
        </w:tc>
      </w:tr>
      <w:tr w14:paraId="3507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879" w:type="dxa"/>
            <w:gridSpan w:val="4"/>
            <w:vAlign w:val="top"/>
          </w:tcPr>
          <w:p w14:paraId="3C18CADF">
            <w:pPr>
              <w:pStyle w:val="13"/>
              <w:keepNext w:val="0"/>
              <w:keepLines w:val="0"/>
              <w:pageBreakBefore w:val="0"/>
              <w:tabs>
                <w:tab w:val="left" w:pos="585"/>
              </w:tabs>
              <w:wordWrap/>
              <w:overflowPunct/>
              <w:topLinePunct w:val="0"/>
              <w:bidi w:val="0"/>
              <w:spacing w:line="440" w:lineRule="exact"/>
              <w:ind w:left="1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color="auto"/>
              </w:rPr>
              <w:tab/>
            </w:r>
            <w:r>
              <w:rPr>
                <w:rFonts w:hint="eastAsia" w:asciiTheme="minorEastAsia" w:hAnsiTheme="minorEastAsia" w:eastAsiaTheme="minorEastAsia" w:cstheme="minorEastAsia"/>
                <w:color w:val="auto"/>
                <w:spacing w:val="-90"/>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分包（此处有分包时填写具体分包号，无分包时填写“无</w:t>
            </w:r>
            <w:r>
              <w:rPr>
                <w:rFonts w:hint="eastAsia" w:asciiTheme="minorEastAsia" w:hAnsiTheme="minorEastAsia" w:eastAsiaTheme="minorEastAsia" w:cstheme="minorEastAsia"/>
                <w:color w:val="auto"/>
                <w:spacing w:val="-88"/>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w:t>
            </w:r>
          </w:p>
        </w:tc>
      </w:tr>
    </w:tbl>
    <w:p w14:paraId="64221CE2">
      <w:pPr>
        <w:pStyle w:val="8"/>
        <w:keepNext w:val="0"/>
        <w:keepLines w:val="0"/>
        <w:pageBreakBefore w:val="0"/>
        <w:wordWrap/>
        <w:overflowPunct/>
        <w:topLinePunct w:val="0"/>
        <w:bidi w:val="0"/>
        <w:spacing w:line="440" w:lineRule="exact"/>
        <w:ind w:left="104"/>
        <w:rPr>
          <w:b/>
          <w:bCs/>
          <w:color w:val="auto"/>
          <w:spacing w:val="-7"/>
          <w:sz w:val="21"/>
          <w:szCs w:val="21"/>
          <w:highlight w:val="none"/>
        </w:rPr>
      </w:pPr>
    </w:p>
    <w:p w14:paraId="7CC2409A">
      <w:pPr>
        <w:pStyle w:val="8"/>
        <w:keepNext w:val="0"/>
        <w:keepLines w:val="0"/>
        <w:pageBreakBefore w:val="0"/>
        <w:wordWrap/>
        <w:overflowPunct/>
        <w:topLinePunct w:val="0"/>
        <w:bidi w:val="0"/>
        <w:spacing w:line="440" w:lineRule="exact"/>
        <w:ind w:left="104"/>
        <w:rPr>
          <w:color w:val="auto"/>
          <w:sz w:val="21"/>
          <w:szCs w:val="21"/>
          <w:highlight w:val="none"/>
        </w:rPr>
      </w:pPr>
      <w:r>
        <w:rPr>
          <w:b/>
          <w:bCs/>
          <w:color w:val="auto"/>
          <w:spacing w:val="-7"/>
          <w:sz w:val="21"/>
          <w:szCs w:val="21"/>
          <w:highlight w:val="none"/>
        </w:rPr>
        <w:t>注：</w:t>
      </w:r>
    </w:p>
    <w:p w14:paraId="6274651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1.请</w:t>
      </w:r>
      <w:r>
        <w:rPr>
          <w:rFonts w:hint="eastAsia" w:ascii="宋体" w:hAnsi="宋体" w:eastAsia="宋体" w:cs="宋体"/>
          <w:b/>
          <w:bCs/>
          <w:snapToGrid/>
          <w:color w:val="auto"/>
          <w:kern w:val="2"/>
          <w:szCs w:val="21"/>
          <w:highlight w:val="none"/>
          <w:u w:val="single"/>
          <w:lang w:eastAsia="zh-CN"/>
        </w:rPr>
        <w:t>逐条</w:t>
      </w:r>
      <w:r>
        <w:rPr>
          <w:rFonts w:hint="eastAsia" w:ascii="宋体" w:hAnsi="宋体" w:eastAsia="宋体" w:cs="宋体"/>
          <w:snapToGrid/>
          <w:color w:val="auto"/>
          <w:kern w:val="2"/>
          <w:szCs w:val="21"/>
          <w:highlight w:val="none"/>
          <w:lang w:eastAsia="zh-CN"/>
        </w:rPr>
        <w:t>对应本项目招标文件第二章“服务需求”中“</w:t>
      </w:r>
      <w:r>
        <w:rPr>
          <w:rFonts w:hint="eastAsia" w:ascii="宋体" w:hAnsi="宋体" w:eastAsia="宋体" w:cs="宋体"/>
          <w:b/>
          <w:bCs/>
          <w:snapToGrid/>
          <w:color w:val="auto"/>
          <w:kern w:val="2"/>
          <w:szCs w:val="21"/>
          <w:highlight w:val="none"/>
          <w:lang w:eastAsia="zh-CN"/>
        </w:rPr>
        <w:t>商务条款</w:t>
      </w:r>
      <w:r>
        <w:rPr>
          <w:rFonts w:hint="eastAsia" w:ascii="宋体" w:hAnsi="宋体" w:eastAsia="宋体" w:cs="宋体"/>
          <w:snapToGrid/>
          <w:color w:val="auto"/>
          <w:kern w:val="2"/>
          <w:szCs w:val="21"/>
          <w:highlight w:val="none"/>
          <w:lang w:eastAsia="zh-CN"/>
        </w:rPr>
        <w:t>”的要求，详细填写相应的具体内容。“偏离说明”一栏应当选择“正偏离”、“负偏离”或“无偏离”进行填写，否则按投标无效处理。</w:t>
      </w:r>
    </w:p>
    <w:p w14:paraId="6E0A4CA7">
      <w:pPr>
        <w:pStyle w:val="2"/>
        <w:keepNext w:val="0"/>
        <w:keepLines w:val="0"/>
        <w:pageBreakBefore w:val="0"/>
        <w:wordWrap/>
        <w:overflowPunct/>
        <w:topLinePunct w:val="0"/>
        <w:bidi w:val="0"/>
        <w:spacing w:line="440" w:lineRule="exact"/>
        <w:rPr>
          <w:rFonts w:ascii="Arial"/>
          <w:color w:val="auto"/>
          <w:sz w:val="20"/>
          <w:szCs w:val="20"/>
          <w:highlight w:val="none"/>
        </w:rPr>
      </w:pPr>
    </w:p>
    <w:p w14:paraId="1CE68843">
      <w:pPr>
        <w:keepNext w:val="0"/>
        <w:keepLines w:val="0"/>
        <w:pageBreakBefore w:val="0"/>
        <w:wordWrap/>
        <w:overflowPunct/>
        <w:topLinePunct w:val="0"/>
        <w:bidi w:val="0"/>
        <w:spacing w:line="440" w:lineRule="exact"/>
        <w:rPr>
          <w:rFonts w:ascii="Arial"/>
          <w:color w:val="auto"/>
          <w:sz w:val="20"/>
          <w:szCs w:val="20"/>
          <w:highlight w:val="none"/>
        </w:rPr>
      </w:pPr>
    </w:p>
    <w:p w14:paraId="3E09A9B6">
      <w:pPr>
        <w:keepNext w:val="0"/>
        <w:keepLines w:val="0"/>
        <w:pageBreakBefore w:val="0"/>
        <w:wordWrap/>
        <w:overflowPunct/>
        <w:topLinePunct w:val="0"/>
        <w:bidi w:val="0"/>
        <w:spacing w:line="440" w:lineRule="exact"/>
        <w:rPr>
          <w:color w:val="auto"/>
          <w:sz w:val="20"/>
          <w:szCs w:val="20"/>
          <w:highlight w:val="none"/>
        </w:rPr>
      </w:pPr>
    </w:p>
    <w:p w14:paraId="4965E1CD">
      <w:pPr>
        <w:pStyle w:val="8"/>
        <w:keepNext w:val="0"/>
        <w:keepLines w:val="0"/>
        <w:pageBreakBefore w:val="0"/>
        <w:wordWrap/>
        <w:overflowPunct/>
        <w:topLinePunct w:val="0"/>
        <w:bidi w:val="0"/>
        <w:spacing w:line="440" w:lineRule="exact"/>
        <w:ind w:left="4134" w:right="96" w:hanging="38"/>
        <w:rPr>
          <w:color w:val="auto"/>
          <w:sz w:val="21"/>
          <w:szCs w:val="21"/>
          <w:highlight w:val="none"/>
        </w:rPr>
        <w:sectPr>
          <w:headerReference r:id="rId50" w:type="default"/>
          <w:footerReference r:id="rId51" w:type="default"/>
          <w:pgSz w:w="11906" w:h="16839"/>
          <w:pgMar w:top="1474" w:right="1474" w:bottom="1474" w:left="1587" w:header="0" w:footer="675" w:gutter="0"/>
          <w:pgNumType w:fmt="decimal"/>
          <w:cols w:space="0" w:num="1"/>
          <w:rtlGutter w:val="0"/>
          <w:docGrid w:linePitch="0" w:charSpace="0"/>
        </w:sect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r>
        <w:rPr>
          <w:color w:val="auto"/>
          <w:spacing w:val="6"/>
          <w:sz w:val="21"/>
          <w:szCs w:val="21"/>
          <w:highlight w:val="none"/>
        </w:rPr>
        <w:t xml:space="preserve"> </w:t>
      </w: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p>
    <w:p w14:paraId="6957451A">
      <w:pPr>
        <w:pStyle w:val="8"/>
        <w:keepNext w:val="0"/>
        <w:keepLines w:val="0"/>
        <w:pageBreakBefore w:val="0"/>
        <w:wordWrap/>
        <w:overflowPunct/>
        <w:topLinePunct w:val="0"/>
        <w:bidi w:val="0"/>
        <w:spacing w:line="440" w:lineRule="exact"/>
        <w:outlineLvl w:val="2"/>
        <w:rPr>
          <w:color w:val="auto"/>
          <w:sz w:val="24"/>
          <w:szCs w:val="24"/>
          <w:highlight w:val="none"/>
        </w:rPr>
      </w:pPr>
      <w:r>
        <w:rPr>
          <w:b/>
          <w:bCs/>
          <w:color w:val="auto"/>
          <w:spacing w:val="-3"/>
          <w:sz w:val="24"/>
          <w:szCs w:val="24"/>
          <w:highlight w:val="none"/>
        </w:rPr>
        <w:t>8.</w:t>
      </w:r>
      <w:r>
        <w:rPr>
          <w:rFonts w:hint="eastAsia"/>
          <w:b/>
          <w:bCs/>
          <w:color w:val="auto"/>
          <w:spacing w:val="-3"/>
          <w:sz w:val="24"/>
          <w:szCs w:val="24"/>
          <w:highlight w:val="none"/>
          <w:lang w:eastAsia="zh-CN"/>
        </w:rPr>
        <w:t>服务需求</w:t>
      </w:r>
      <w:r>
        <w:rPr>
          <w:b/>
          <w:bCs/>
          <w:color w:val="auto"/>
          <w:spacing w:val="-3"/>
          <w:sz w:val="24"/>
          <w:szCs w:val="24"/>
          <w:highlight w:val="none"/>
        </w:rPr>
        <w:t>偏离表格式</w:t>
      </w:r>
    </w:p>
    <w:p w14:paraId="5414964D">
      <w:pPr>
        <w:pStyle w:val="8"/>
        <w:keepNext w:val="0"/>
        <w:keepLines w:val="0"/>
        <w:pageBreakBefore w:val="0"/>
        <w:wordWrap/>
        <w:overflowPunct/>
        <w:topLinePunct w:val="0"/>
        <w:bidi w:val="0"/>
        <w:spacing w:line="440" w:lineRule="exact"/>
        <w:ind w:left="3984"/>
        <w:outlineLvl w:val="3"/>
        <w:rPr>
          <w:b/>
          <w:bCs/>
          <w:color w:val="auto"/>
          <w:spacing w:val="5"/>
          <w:sz w:val="28"/>
          <w:szCs w:val="28"/>
          <w:highlight w:val="none"/>
        </w:rPr>
      </w:pPr>
      <w:r>
        <w:rPr>
          <w:rFonts w:hint="eastAsia"/>
          <w:b/>
          <w:bCs/>
          <w:color w:val="auto"/>
          <w:spacing w:val="5"/>
          <w:sz w:val="28"/>
          <w:szCs w:val="28"/>
          <w:highlight w:val="none"/>
          <w:lang w:eastAsia="zh-CN"/>
        </w:rPr>
        <w:t>服务需求</w:t>
      </w:r>
      <w:r>
        <w:rPr>
          <w:b/>
          <w:bCs/>
          <w:color w:val="auto"/>
          <w:spacing w:val="5"/>
          <w:sz w:val="28"/>
          <w:szCs w:val="28"/>
          <w:highlight w:val="none"/>
        </w:rPr>
        <w:t>偏离表</w:t>
      </w:r>
    </w:p>
    <w:p w14:paraId="65997F9A">
      <w:pPr>
        <w:pStyle w:val="9"/>
        <w:keepNext w:val="0"/>
        <w:keepLines w:val="0"/>
        <w:pageBreakBefore w:val="0"/>
        <w:wordWrap/>
        <w:overflowPunct/>
        <w:topLinePunct w:val="0"/>
        <w:bidi w:val="0"/>
        <w:spacing w:line="440" w:lineRule="exact"/>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所投分</w:t>
      </w:r>
      <w:r>
        <w:rPr>
          <w:rFonts w:hint="eastAsia" w:asciiTheme="minorEastAsia" w:hAnsiTheme="minorEastAsia" w:eastAsiaTheme="minorEastAsia" w:cstheme="minorEastAsia"/>
          <w:color w:val="auto"/>
          <w:sz w:val="21"/>
          <w:szCs w:val="21"/>
          <w:highlight w:val="none"/>
          <w:lang w:eastAsia="zh-CN"/>
        </w:rPr>
        <w:t>包</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49FCD3A6">
      <w:pPr>
        <w:pStyle w:val="8"/>
        <w:keepNext w:val="0"/>
        <w:keepLines w:val="0"/>
        <w:pageBreakBefore w:val="0"/>
        <w:wordWrap/>
        <w:overflowPunct/>
        <w:topLinePunct w:val="0"/>
        <w:bidi w:val="0"/>
        <w:spacing w:line="440" w:lineRule="exact"/>
        <w:ind w:left="3984"/>
        <w:outlineLvl w:val="3"/>
        <w:rPr>
          <w:b/>
          <w:bCs/>
          <w:color w:val="auto"/>
          <w:spacing w:val="5"/>
          <w:sz w:val="21"/>
          <w:szCs w:val="21"/>
          <w:highlight w:val="none"/>
        </w:rPr>
      </w:pPr>
    </w:p>
    <w:tbl>
      <w:tblPr>
        <w:tblStyle w:val="1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2037"/>
        <w:gridCol w:w="1978"/>
        <w:gridCol w:w="1934"/>
      </w:tblGrid>
      <w:tr w14:paraId="6A87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5C8558E">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项号</w:t>
            </w:r>
          </w:p>
        </w:tc>
        <w:tc>
          <w:tcPr>
            <w:tcW w:w="2143" w:type="dxa"/>
            <w:noWrap w:val="0"/>
            <w:vAlign w:val="center"/>
          </w:tcPr>
          <w:p w14:paraId="15E2884B">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标的的名称</w:t>
            </w:r>
          </w:p>
        </w:tc>
        <w:tc>
          <w:tcPr>
            <w:tcW w:w="2037" w:type="dxa"/>
            <w:noWrap w:val="0"/>
            <w:vAlign w:val="center"/>
          </w:tcPr>
          <w:p w14:paraId="07652A59">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技术要求（服务内容及要求）</w:t>
            </w:r>
          </w:p>
        </w:tc>
        <w:tc>
          <w:tcPr>
            <w:tcW w:w="1978" w:type="dxa"/>
            <w:noWrap w:val="0"/>
            <w:vAlign w:val="center"/>
          </w:tcPr>
          <w:p w14:paraId="2C99A7D9">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投标响应</w:t>
            </w:r>
          </w:p>
        </w:tc>
        <w:tc>
          <w:tcPr>
            <w:tcW w:w="1934" w:type="dxa"/>
            <w:noWrap w:val="0"/>
            <w:vAlign w:val="center"/>
          </w:tcPr>
          <w:p w14:paraId="7A2ADF74">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偏离说明</w:t>
            </w:r>
          </w:p>
        </w:tc>
      </w:tr>
      <w:tr w14:paraId="1450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35429A4">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center"/>
          </w:tcPr>
          <w:p w14:paraId="2BED1792">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center"/>
          </w:tcPr>
          <w:p w14:paraId="02025F2C">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center"/>
          </w:tcPr>
          <w:p w14:paraId="1D450FB7">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center"/>
          </w:tcPr>
          <w:p w14:paraId="4250B74D">
            <w:pPr>
              <w:pStyle w:val="9"/>
              <w:keepNext w:val="0"/>
              <w:keepLines w:val="0"/>
              <w:pageBreakBefore w:val="0"/>
              <w:wordWrap/>
              <w:overflowPunct/>
              <w:topLinePunct w:val="0"/>
              <w:bidi w:val="0"/>
              <w:spacing w:line="440" w:lineRule="exact"/>
              <w:jc w:val="center"/>
              <w:rPr>
                <w:rFonts w:hint="eastAsia" w:asciiTheme="minorEastAsia" w:hAnsiTheme="minorEastAsia" w:eastAsiaTheme="minorEastAsia" w:cstheme="minorEastAsia"/>
                <w:color w:val="auto"/>
                <w:kern w:val="2"/>
                <w:sz w:val="21"/>
                <w:szCs w:val="21"/>
                <w:highlight w:val="none"/>
                <w:lang w:val="en-US" w:eastAsia="zh-CN"/>
              </w:rPr>
            </w:pPr>
          </w:p>
        </w:tc>
      </w:tr>
      <w:tr w14:paraId="472C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6B575A5">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top"/>
          </w:tcPr>
          <w:p w14:paraId="263FD420">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top"/>
          </w:tcPr>
          <w:p w14:paraId="75C78945">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top"/>
          </w:tcPr>
          <w:p w14:paraId="054FD494">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top"/>
          </w:tcPr>
          <w:p w14:paraId="14BA1274">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r>
      <w:tr w14:paraId="550E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2A1D905">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top"/>
          </w:tcPr>
          <w:p w14:paraId="3E7B36F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top"/>
          </w:tcPr>
          <w:p w14:paraId="73E39C88">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top"/>
          </w:tcPr>
          <w:p w14:paraId="01C81427">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top"/>
          </w:tcPr>
          <w:p w14:paraId="198E909F">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r>
      <w:tr w14:paraId="134B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DEA17D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top"/>
          </w:tcPr>
          <w:p w14:paraId="23A5D066">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top"/>
          </w:tcPr>
          <w:p w14:paraId="2C8DB5A5">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top"/>
          </w:tcPr>
          <w:p w14:paraId="239F67CA">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top"/>
          </w:tcPr>
          <w:p w14:paraId="6C78856E">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r>
      <w:tr w14:paraId="76BD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3435C75">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top"/>
          </w:tcPr>
          <w:p w14:paraId="255D3E42">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top"/>
          </w:tcPr>
          <w:p w14:paraId="4C4C4772">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top"/>
          </w:tcPr>
          <w:p w14:paraId="08016F8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top"/>
          </w:tcPr>
          <w:p w14:paraId="057F6D2F">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r>
      <w:tr w14:paraId="6B56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D378293">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top"/>
          </w:tcPr>
          <w:p w14:paraId="372471EE">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top"/>
          </w:tcPr>
          <w:p w14:paraId="1B40990E">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top"/>
          </w:tcPr>
          <w:p w14:paraId="5CFE1D6E">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top"/>
          </w:tcPr>
          <w:p w14:paraId="541D2A68">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r>
      <w:tr w14:paraId="455A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7070A0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143" w:type="dxa"/>
            <w:noWrap w:val="0"/>
            <w:vAlign w:val="top"/>
          </w:tcPr>
          <w:p w14:paraId="748577B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2037" w:type="dxa"/>
            <w:noWrap w:val="0"/>
            <w:vAlign w:val="top"/>
          </w:tcPr>
          <w:p w14:paraId="335372EB">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78" w:type="dxa"/>
            <w:noWrap w:val="0"/>
            <w:vAlign w:val="top"/>
          </w:tcPr>
          <w:p w14:paraId="0A75EFB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c>
          <w:tcPr>
            <w:tcW w:w="1934" w:type="dxa"/>
            <w:noWrap w:val="0"/>
            <w:vAlign w:val="top"/>
          </w:tcPr>
          <w:p w14:paraId="0BC007FC">
            <w:pPr>
              <w:pStyle w:val="9"/>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kern w:val="2"/>
                <w:sz w:val="21"/>
                <w:szCs w:val="21"/>
                <w:highlight w:val="none"/>
                <w:lang w:val="en-US" w:eastAsia="zh-CN"/>
              </w:rPr>
            </w:pPr>
          </w:p>
        </w:tc>
      </w:tr>
    </w:tbl>
    <w:p w14:paraId="2FD023FF">
      <w:pPr>
        <w:pStyle w:val="8"/>
        <w:keepNext w:val="0"/>
        <w:keepLines w:val="0"/>
        <w:pageBreakBefore w:val="0"/>
        <w:wordWrap/>
        <w:overflowPunct/>
        <w:topLinePunct w:val="0"/>
        <w:bidi w:val="0"/>
        <w:spacing w:line="440" w:lineRule="exact"/>
        <w:rPr>
          <w:b/>
          <w:bCs/>
          <w:color w:val="auto"/>
          <w:spacing w:val="-7"/>
          <w:sz w:val="21"/>
          <w:szCs w:val="21"/>
          <w:highlight w:val="none"/>
        </w:rPr>
      </w:pPr>
    </w:p>
    <w:p w14:paraId="4C33D504">
      <w:pPr>
        <w:pStyle w:val="8"/>
        <w:keepNext w:val="0"/>
        <w:keepLines w:val="0"/>
        <w:pageBreakBefore w:val="0"/>
        <w:wordWrap/>
        <w:overflowPunct/>
        <w:topLinePunct w:val="0"/>
        <w:bidi w:val="0"/>
        <w:spacing w:line="440" w:lineRule="exact"/>
        <w:ind w:firstLine="394" w:firstLineChars="200"/>
        <w:rPr>
          <w:color w:val="auto"/>
          <w:sz w:val="21"/>
          <w:szCs w:val="21"/>
          <w:highlight w:val="none"/>
        </w:rPr>
      </w:pPr>
      <w:r>
        <w:rPr>
          <w:b/>
          <w:bCs/>
          <w:color w:val="auto"/>
          <w:spacing w:val="-7"/>
          <w:sz w:val="21"/>
          <w:szCs w:val="21"/>
          <w:highlight w:val="none"/>
        </w:rPr>
        <w:t>注：</w:t>
      </w:r>
    </w:p>
    <w:p w14:paraId="751AB2A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1.请根据所投服务的实际技术服务参数，</w:t>
      </w:r>
      <w:r>
        <w:rPr>
          <w:rFonts w:hint="eastAsia" w:ascii="宋体" w:hAnsi="宋体" w:eastAsia="宋体" w:cs="宋体"/>
          <w:b/>
          <w:bCs/>
          <w:snapToGrid/>
          <w:color w:val="auto"/>
          <w:kern w:val="2"/>
          <w:sz w:val="21"/>
          <w:szCs w:val="21"/>
          <w:highlight w:val="none"/>
          <w:u w:val="single"/>
          <w:lang w:eastAsia="zh-CN"/>
        </w:rPr>
        <w:t>逐条</w:t>
      </w:r>
      <w:r>
        <w:rPr>
          <w:rFonts w:hint="eastAsia" w:ascii="宋体" w:hAnsi="宋体" w:eastAsia="宋体" w:cs="宋体"/>
          <w:snapToGrid/>
          <w:color w:val="auto"/>
          <w:kern w:val="2"/>
          <w:sz w:val="21"/>
          <w:szCs w:val="21"/>
          <w:highlight w:val="none"/>
          <w:lang w:eastAsia="zh-CN"/>
        </w:rPr>
        <w:t>对应本项目招标文件第二章“</w:t>
      </w:r>
      <w:r>
        <w:rPr>
          <w:rFonts w:hint="eastAsia" w:ascii="宋体" w:hAnsi="宋体" w:eastAsia="宋体" w:cs="宋体"/>
          <w:b/>
          <w:bCs/>
          <w:snapToGrid/>
          <w:color w:val="auto"/>
          <w:kern w:val="2"/>
          <w:sz w:val="21"/>
          <w:szCs w:val="21"/>
          <w:highlight w:val="none"/>
          <w:lang w:eastAsia="zh-CN"/>
        </w:rPr>
        <w:t>服务需求</w:t>
      </w:r>
      <w:r>
        <w:rPr>
          <w:rFonts w:hint="eastAsia" w:ascii="宋体" w:hAnsi="宋体" w:eastAsia="宋体" w:cs="宋体"/>
          <w:snapToGrid/>
          <w:color w:val="auto"/>
          <w:kern w:val="2"/>
          <w:sz w:val="21"/>
          <w:szCs w:val="21"/>
          <w:highlight w:val="none"/>
          <w:lang w:eastAsia="zh-CN"/>
        </w:rPr>
        <w:t>”中的</w:t>
      </w:r>
      <w:r>
        <w:rPr>
          <w:rFonts w:hint="eastAsia" w:ascii="宋体" w:hAnsi="宋体" w:eastAsia="宋体" w:cs="宋体"/>
          <w:b/>
          <w:bCs/>
          <w:snapToGrid/>
          <w:color w:val="auto"/>
          <w:kern w:val="2"/>
          <w:sz w:val="21"/>
          <w:szCs w:val="21"/>
          <w:highlight w:val="none"/>
          <w:lang w:eastAsia="zh-CN"/>
        </w:rPr>
        <w:t>“服务内容及要求”</w:t>
      </w:r>
      <w:r>
        <w:rPr>
          <w:rFonts w:hint="eastAsia" w:ascii="宋体" w:hAnsi="宋体" w:eastAsia="宋体" w:cs="宋体"/>
          <w:snapToGrid/>
          <w:color w:val="auto"/>
          <w:kern w:val="2"/>
          <w:sz w:val="21"/>
          <w:szCs w:val="21"/>
          <w:highlight w:val="none"/>
          <w:lang w:eastAsia="zh-CN"/>
        </w:rPr>
        <w:t>要求详细填写相应的具体内容。</w:t>
      </w:r>
      <w:r>
        <w:rPr>
          <w:rFonts w:hint="eastAsia" w:ascii="宋体" w:hAnsi="宋体" w:eastAsia="宋体" w:cs="宋体"/>
          <w:b/>
          <w:bCs/>
          <w:snapToGrid/>
          <w:color w:val="auto"/>
          <w:kern w:val="2"/>
          <w:sz w:val="21"/>
          <w:szCs w:val="21"/>
          <w:highlight w:val="none"/>
          <w:lang w:eastAsia="zh-CN"/>
        </w:rPr>
        <w:t>“偏离说明”</w:t>
      </w:r>
      <w:r>
        <w:rPr>
          <w:rFonts w:hint="eastAsia" w:ascii="宋体" w:hAnsi="宋体" w:eastAsia="宋体" w:cs="宋体"/>
          <w:snapToGrid/>
          <w:color w:val="auto"/>
          <w:kern w:val="2"/>
          <w:sz w:val="21"/>
          <w:szCs w:val="21"/>
          <w:highlight w:val="none"/>
          <w:lang w:eastAsia="zh-CN"/>
        </w:rPr>
        <w:t>一栏应当选择</w:t>
      </w:r>
      <w:r>
        <w:rPr>
          <w:rFonts w:hint="eastAsia" w:ascii="宋体" w:hAnsi="宋体" w:eastAsia="宋体" w:cs="宋体"/>
          <w:b/>
          <w:bCs/>
          <w:snapToGrid/>
          <w:color w:val="auto"/>
          <w:kern w:val="2"/>
          <w:sz w:val="21"/>
          <w:szCs w:val="21"/>
          <w:highlight w:val="none"/>
          <w:lang w:eastAsia="zh-CN"/>
        </w:rPr>
        <w:t>“正偏离”、 “负偏离”或“无偏离”</w:t>
      </w:r>
      <w:r>
        <w:rPr>
          <w:rFonts w:hint="eastAsia" w:ascii="宋体" w:hAnsi="宋体" w:eastAsia="宋体" w:cs="宋体"/>
          <w:snapToGrid/>
          <w:color w:val="auto"/>
          <w:kern w:val="2"/>
          <w:sz w:val="21"/>
          <w:szCs w:val="21"/>
          <w:highlight w:val="none"/>
          <w:lang w:eastAsia="zh-CN"/>
        </w:rPr>
        <w:t>进行填写，否则按投标无效处理。</w:t>
      </w:r>
    </w:p>
    <w:p w14:paraId="2D2C897A">
      <w:pPr>
        <w:keepNext w:val="0"/>
        <w:keepLines w:val="0"/>
        <w:pageBreakBefore w:val="0"/>
        <w:wordWrap/>
        <w:overflowPunct/>
        <w:topLinePunct w:val="0"/>
        <w:bidi w:val="0"/>
        <w:spacing w:line="440" w:lineRule="exact"/>
        <w:rPr>
          <w:rFonts w:ascii="Arial"/>
          <w:color w:val="auto"/>
          <w:sz w:val="20"/>
          <w:szCs w:val="20"/>
          <w:highlight w:val="none"/>
        </w:rPr>
      </w:pPr>
    </w:p>
    <w:p w14:paraId="41DFA051">
      <w:pPr>
        <w:pStyle w:val="2"/>
        <w:rPr>
          <w:rFonts w:ascii="Arial"/>
          <w:color w:val="auto"/>
          <w:sz w:val="20"/>
          <w:szCs w:val="20"/>
          <w:highlight w:val="none"/>
        </w:rPr>
      </w:pPr>
    </w:p>
    <w:p w14:paraId="0C0A9159">
      <w:pPr>
        <w:rPr>
          <w:rFonts w:ascii="Arial"/>
          <w:color w:val="auto"/>
          <w:sz w:val="20"/>
          <w:szCs w:val="20"/>
          <w:highlight w:val="none"/>
        </w:rPr>
      </w:pPr>
    </w:p>
    <w:p w14:paraId="53559937">
      <w:pPr>
        <w:pStyle w:val="2"/>
        <w:rPr>
          <w:rFonts w:ascii="Arial"/>
          <w:color w:val="auto"/>
          <w:sz w:val="20"/>
          <w:szCs w:val="20"/>
          <w:highlight w:val="none"/>
        </w:rPr>
      </w:pPr>
    </w:p>
    <w:p w14:paraId="7EDA8BC3">
      <w:pPr>
        <w:rPr>
          <w:color w:val="auto"/>
          <w:sz w:val="20"/>
          <w:szCs w:val="20"/>
          <w:highlight w:val="none"/>
        </w:rPr>
      </w:pPr>
    </w:p>
    <w:p w14:paraId="31C6992E">
      <w:pPr>
        <w:pStyle w:val="8"/>
        <w:spacing w:before="79" w:line="219" w:lineRule="auto"/>
        <w:ind w:left="4449"/>
        <w:rPr>
          <w:color w:val="auto"/>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z w:val="21"/>
          <w:szCs w:val="21"/>
          <w:highlight w:val="none"/>
          <w:u w:val="single" w:color="auto"/>
        </w:rPr>
        <w:t xml:space="preserve">                        </w:t>
      </w:r>
    </w:p>
    <w:p w14:paraId="36882E8F">
      <w:pPr>
        <w:pStyle w:val="8"/>
        <w:spacing w:before="184" w:line="219" w:lineRule="auto"/>
        <w:ind w:left="4488"/>
        <w:outlineLvl w:val="2"/>
        <w:rPr>
          <w:color w:val="auto"/>
          <w:sz w:val="21"/>
          <w:szCs w:val="21"/>
          <w:highlight w:val="none"/>
        </w:rPr>
        <w:sectPr>
          <w:footerReference r:id="rId52" w:type="default"/>
          <w:pgSz w:w="11906" w:h="16839"/>
          <w:pgMar w:top="2098" w:right="1474" w:bottom="1984" w:left="1587" w:header="0" w:footer="677" w:gutter="0"/>
          <w:pgNumType w:fmt="decimal"/>
          <w:cols w:space="720" w:num="1"/>
          <w:rtlGutter w:val="0"/>
          <w:docGrid w:linePitch="0" w:charSpace="0"/>
        </w:sectPr>
      </w:pP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3135A7C9">
      <w:pPr>
        <w:pStyle w:val="8"/>
        <w:keepNext w:val="0"/>
        <w:keepLines w:val="0"/>
        <w:pageBreakBefore w:val="0"/>
        <w:wordWrap/>
        <w:overflowPunct/>
        <w:topLinePunct w:val="0"/>
        <w:bidi w:val="0"/>
        <w:spacing w:line="440" w:lineRule="exact"/>
        <w:rPr>
          <w:color w:val="auto"/>
          <w:sz w:val="24"/>
          <w:szCs w:val="24"/>
          <w:highlight w:val="none"/>
        </w:rPr>
      </w:pPr>
      <w:r>
        <w:rPr>
          <w:b/>
          <w:bCs/>
          <w:color w:val="auto"/>
          <w:spacing w:val="-3"/>
          <w:sz w:val="24"/>
          <w:szCs w:val="24"/>
          <w:highlight w:val="none"/>
        </w:rPr>
        <w:t>9.项目实施人员一览表格式</w:t>
      </w:r>
    </w:p>
    <w:p w14:paraId="17E91EF5">
      <w:pPr>
        <w:keepNext w:val="0"/>
        <w:keepLines w:val="0"/>
        <w:pageBreakBefore w:val="0"/>
        <w:wordWrap/>
        <w:overflowPunct/>
        <w:topLinePunct w:val="0"/>
        <w:bidi w:val="0"/>
        <w:spacing w:line="440" w:lineRule="exact"/>
        <w:rPr>
          <w:rFonts w:ascii="Arial"/>
          <w:color w:val="auto"/>
          <w:sz w:val="21"/>
          <w:highlight w:val="none"/>
        </w:rPr>
      </w:pPr>
    </w:p>
    <w:p w14:paraId="7C984DE6">
      <w:pPr>
        <w:keepNext w:val="0"/>
        <w:keepLines w:val="0"/>
        <w:pageBreakBefore w:val="0"/>
        <w:wordWrap/>
        <w:overflowPunct/>
        <w:topLinePunct w:val="0"/>
        <w:bidi w:val="0"/>
        <w:spacing w:line="440" w:lineRule="exact"/>
        <w:rPr>
          <w:rFonts w:ascii="Arial"/>
          <w:color w:val="auto"/>
          <w:sz w:val="21"/>
          <w:highlight w:val="none"/>
        </w:rPr>
      </w:pPr>
    </w:p>
    <w:p w14:paraId="65CAC156">
      <w:pPr>
        <w:pStyle w:val="8"/>
        <w:keepNext w:val="0"/>
        <w:keepLines w:val="0"/>
        <w:pageBreakBefore w:val="0"/>
        <w:wordWrap/>
        <w:overflowPunct/>
        <w:topLinePunct w:val="0"/>
        <w:bidi w:val="0"/>
        <w:spacing w:line="440" w:lineRule="exact"/>
        <w:ind w:left="3222"/>
        <w:rPr>
          <w:color w:val="auto"/>
          <w:sz w:val="28"/>
          <w:szCs w:val="28"/>
          <w:highlight w:val="none"/>
        </w:rPr>
      </w:pPr>
      <w:r>
        <w:rPr>
          <w:b/>
          <w:bCs/>
          <w:color w:val="auto"/>
          <w:spacing w:val="5"/>
          <w:sz w:val="28"/>
          <w:szCs w:val="28"/>
          <w:highlight w:val="none"/>
        </w:rPr>
        <w:t>项目实施人员一览表</w:t>
      </w:r>
    </w:p>
    <w:p w14:paraId="7C7F787F">
      <w:pPr>
        <w:keepNext w:val="0"/>
        <w:keepLines w:val="0"/>
        <w:pageBreakBefore w:val="0"/>
        <w:wordWrap/>
        <w:overflowPunct/>
        <w:topLinePunct w:val="0"/>
        <w:bidi w:val="0"/>
        <w:spacing w:line="440" w:lineRule="exact"/>
        <w:rPr>
          <w:rFonts w:ascii="Arial"/>
          <w:color w:val="auto"/>
          <w:sz w:val="21"/>
          <w:highlight w:val="none"/>
        </w:rPr>
      </w:pPr>
    </w:p>
    <w:p w14:paraId="7DF808F2">
      <w:pPr>
        <w:pStyle w:val="8"/>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所投分包：</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8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分包（标段）</w:t>
      </w:r>
    </w:p>
    <w:tbl>
      <w:tblPr>
        <w:tblStyle w:val="12"/>
        <w:tblW w:w="8865"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708"/>
        <w:gridCol w:w="707"/>
        <w:gridCol w:w="708"/>
        <w:gridCol w:w="708"/>
        <w:gridCol w:w="849"/>
        <w:gridCol w:w="708"/>
        <w:gridCol w:w="2131"/>
        <w:gridCol w:w="1231"/>
      </w:tblGrid>
      <w:tr w14:paraId="6BF7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15" w:type="dxa"/>
            <w:vAlign w:val="top"/>
          </w:tcPr>
          <w:p w14:paraId="111840C1">
            <w:pPr>
              <w:pStyle w:val="13"/>
              <w:keepNext w:val="0"/>
              <w:keepLines w:val="0"/>
              <w:pageBreakBefore w:val="0"/>
              <w:wordWrap/>
              <w:overflowPunct/>
              <w:topLinePunct w:val="0"/>
              <w:bidi w:val="0"/>
              <w:spacing w:line="440" w:lineRule="exact"/>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序号</w:t>
            </w:r>
          </w:p>
        </w:tc>
        <w:tc>
          <w:tcPr>
            <w:tcW w:w="708" w:type="dxa"/>
            <w:vAlign w:val="top"/>
          </w:tcPr>
          <w:p w14:paraId="51F8D62D">
            <w:pPr>
              <w:pStyle w:val="13"/>
              <w:keepNext w:val="0"/>
              <w:keepLines w:val="0"/>
              <w:pageBreakBefore w:val="0"/>
              <w:wordWrap/>
              <w:overflowPunct/>
              <w:topLinePunct w:val="0"/>
              <w:bidi w:val="0"/>
              <w:spacing w:line="440" w:lineRule="exact"/>
              <w:ind w:left="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姓名</w:t>
            </w:r>
          </w:p>
        </w:tc>
        <w:tc>
          <w:tcPr>
            <w:tcW w:w="707" w:type="dxa"/>
            <w:vAlign w:val="top"/>
          </w:tcPr>
          <w:p w14:paraId="54524E73">
            <w:pPr>
              <w:pStyle w:val="13"/>
              <w:keepNext w:val="0"/>
              <w:keepLines w:val="0"/>
              <w:pageBreakBefore w:val="0"/>
              <w:wordWrap/>
              <w:overflowPunct/>
              <w:topLinePunct w:val="0"/>
              <w:bidi w:val="0"/>
              <w:spacing w:line="440" w:lineRule="exact"/>
              <w:ind w:left="1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性别</w:t>
            </w:r>
          </w:p>
        </w:tc>
        <w:tc>
          <w:tcPr>
            <w:tcW w:w="708" w:type="dxa"/>
            <w:vAlign w:val="top"/>
          </w:tcPr>
          <w:p w14:paraId="270CC8C2">
            <w:pPr>
              <w:pStyle w:val="13"/>
              <w:keepNext w:val="0"/>
              <w:keepLines w:val="0"/>
              <w:pageBreakBefore w:val="0"/>
              <w:wordWrap/>
              <w:overflowPunct/>
              <w:topLinePunct w:val="0"/>
              <w:bidi w:val="0"/>
              <w:spacing w:line="440" w:lineRule="exact"/>
              <w:ind w:left="1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年龄</w:t>
            </w:r>
          </w:p>
        </w:tc>
        <w:tc>
          <w:tcPr>
            <w:tcW w:w="708" w:type="dxa"/>
            <w:vAlign w:val="top"/>
          </w:tcPr>
          <w:p w14:paraId="7A6DD93A">
            <w:pPr>
              <w:pStyle w:val="13"/>
              <w:keepNext w:val="0"/>
              <w:keepLines w:val="0"/>
              <w:pageBreakBefore w:val="0"/>
              <w:wordWrap/>
              <w:overflowPunct/>
              <w:topLinePunct w:val="0"/>
              <w:bidi w:val="0"/>
              <w:spacing w:line="440" w:lineRule="exact"/>
              <w:ind w:left="15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学历</w:t>
            </w:r>
          </w:p>
        </w:tc>
        <w:tc>
          <w:tcPr>
            <w:tcW w:w="849" w:type="dxa"/>
            <w:vAlign w:val="top"/>
          </w:tcPr>
          <w:p w14:paraId="1FDC48F0">
            <w:pPr>
              <w:pStyle w:val="13"/>
              <w:keepNext w:val="0"/>
              <w:keepLines w:val="0"/>
              <w:pageBreakBefore w:val="0"/>
              <w:wordWrap/>
              <w:overflowPunct/>
              <w:topLinePunct w:val="0"/>
              <w:bidi w:val="0"/>
              <w:spacing w:line="440" w:lineRule="exact"/>
              <w:ind w:left="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专业</w:t>
            </w:r>
          </w:p>
        </w:tc>
        <w:tc>
          <w:tcPr>
            <w:tcW w:w="708" w:type="dxa"/>
            <w:vAlign w:val="top"/>
          </w:tcPr>
          <w:p w14:paraId="6EB612C1">
            <w:pPr>
              <w:pStyle w:val="13"/>
              <w:keepNext w:val="0"/>
              <w:keepLines w:val="0"/>
              <w:pageBreakBefore w:val="0"/>
              <w:wordWrap/>
              <w:overflowPunct/>
              <w:topLinePunct w:val="0"/>
              <w:bidi w:val="0"/>
              <w:spacing w:line="440" w:lineRule="exact"/>
              <w:ind w:left="15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职称</w:t>
            </w:r>
          </w:p>
        </w:tc>
        <w:tc>
          <w:tcPr>
            <w:tcW w:w="2131" w:type="dxa"/>
            <w:vAlign w:val="top"/>
          </w:tcPr>
          <w:p w14:paraId="0CC98D1F">
            <w:pPr>
              <w:pStyle w:val="13"/>
              <w:keepNext w:val="0"/>
              <w:keepLines w:val="0"/>
              <w:pageBreakBefore w:val="0"/>
              <w:wordWrap/>
              <w:overflowPunct/>
              <w:topLinePunct w:val="0"/>
              <w:bidi w:val="0"/>
              <w:spacing w:line="440" w:lineRule="exact"/>
              <w:ind w:left="36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本项目中的职责</w:t>
            </w:r>
          </w:p>
        </w:tc>
        <w:tc>
          <w:tcPr>
            <w:tcW w:w="1231" w:type="dxa"/>
            <w:vAlign w:val="top"/>
          </w:tcPr>
          <w:p w14:paraId="4F3721DC">
            <w:pPr>
              <w:pStyle w:val="13"/>
              <w:keepNext w:val="0"/>
              <w:keepLines w:val="0"/>
              <w:pageBreakBefore w:val="0"/>
              <w:wordWrap/>
              <w:overflowPunct/>
              <w:topLinePunct w:val="0"/>
              <w:bidi w:val="0"/>
              <w:spacing w:line="440" w:lineRule="exact"/>
              <w:ind w:left="38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备注</w:t>
            </w:r>
          </w:p>
        </w:tc>
      </w:tr>
      <w:tr w14:paraId="3C251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15" w:type="dxa"/>
            <w:vAlign w:val="top"/>
          </w:tcPr>
          <w:p w14:paraId="14C57A8B">
            <w:pPr>
              <w:pStyle w:val="13"/>
              <w:keepNext w:val="0"/>
              <w:keepLines w:val="0"/>
              <w:pageBreakBefore w:val="0"/>
              <w:wordWrap/>
              <w:overflowPunct/>
              <w:topLinePunct w:val="0"/>
              <w:bidi w:val="0"/>
              <w:spacing w:line="440" w:lineRule="exact"/>
              <w:ind w:left="28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08" w:type="dxa"/>
            <w:vAlign w:val="top"/>
          </w:tcPr>
          <w:p w14:paraId="245A6924">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7" w:type="dxa"/>
            <w:vAlign w:val="top"/>
          </w:tcPr>
          <w:p w14:paraId="3181D8A4">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4FAC9AA1">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4259CBA9">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849" w:type="dxa"/>
            <w:vAlign w:val="top"/>
          </w:tcPr>
          <w:p w14:paraId="442B80F7">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5245BB65">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131" w:type="dxa"/>
            <w:vAlign w:val="top"/>
          </w:tcPr>
          <w:p w14:paraId="6A3D13E8">
            <w:pPr>
              <w:pStyle w:val="13"/>
              <w:keepNext w:val="0"/>
              <w:keepLines w:val="0"/>
              <w:pageBreakBefore w:val="0"/>
              <w:wordWrap/>
              <w:overflowPunct/>
              <w:topLinePunct w:val="0"/>
              <w:bidi w:val="0"/>
              <w:spacing w:line="440" w:lineRule="exact"/>
              <w:ind w:left="37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如：项目负责人</w:t>
            </w:r>
          </w:p>
        </w:tc>
        <w:tc>
          <w:tcPr>
            <w:tcW w:w="1231" w:type="dxa"/>
            <w:vAlign w:val="top"/>
          </w:tcPr>
          <w:p w14:paraId="7A27CD04">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r>
      <w:tr w14:paraId="229A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115" w:type="dxa"/>
            <w:vAlign w:val="top"/>
          </w:tcPr>
          <w:p w14:paraId="69B32448">
            <w:pPr>
              <w:pStyle w:val="13"/>
              <w:keepNext w:val="0"/>
              <w:keepLines w:val="0"/>
              <w:pageBreakBefore w:val="0"/>
              <w:wordWrap/>
              <w:overflowPunct/>
              <w:topLinePunct w:val="0"/>
              <w:bidi w:val="0"/>
              <w:spacing w:line="440" w:lineRule="exact"/>
              <w:ind w:left="26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08" w:type="dxa"/>
            <w:vAlign w:val="top"/>
          </w:tcPr>
          <w:p w14:paraId="39ABE8CC">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7" w:type="dxa"/>
            <w:vAlign w:val="top"/>
          </w:tcPr>
          <w:p w14:paraId="2341F5FE">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5C9B41A4">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2DEDC7BB">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849" w:type="dxa"/>
            <w:vAlign w:val="top"/>
          </w:tcPr>
          <w:p w14:paraId="423C71F8">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6D0E6FC5">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131" w:type="dxa"/>
            <w:vAlign w:val="top"/>
          </w:tcPr>
          <w:p w14:paraId="450C7411">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1231" w:type="dxa"/>
            <w:vAlign w:val="top"/>
          </w:tcPr>
          <w:p w14:paraId="17059C34">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r>
      <w:tr w14:paraId="1421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115" w:type="dxa"/>
            <w:vAlign w:val="top"/>
          </w:tcPr>
          <w:p w14:paraId="48EC4034">
            <w:pPr>
              <w:pStyle w:val="13"/>
              <w:keepNext w:val="0"/>
              <w:keepLines w:val="0"/>
              <w:pageBreakBefore w:val="0"/>
              <w:wordWrap/>
              <w:overflowPunct/>
              <w:topLinePunct w:val="0"/>
              <w:bidi w:val="0"/>
              <w:spacing w:line="440" w:lineRule="exact"/>
              <w:ind w:left="27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708" w:type="dxa"/>
            <w:vAlign w:val="top"/>
          </w:tcPr>
          <w:p w14:paraId="7E3492C6">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7" w:type="dxa"/>
            <w:vAlign w:val="top"/>
          </w:tcPr>
          <w:p w14:paraId="2702447A">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6DF96690">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2761DF2D">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849" w:type="dxa"/>
            <w:vAlign w:val="top"/>
          </w:tcPr>
          <w:p w14:paraId="58508E28">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1BF0CF30">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131" w:type="dxa"/>
            <w:vAlign w:val="top"/>
          </w:tcPr>
          <w:p w14:paraId="7F756720">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1231" w:type="dxa"/>
            <w:vAlign w:val="top"/>
          </w:tcPr>
          <w:p w14:paraId="0EE0A89E">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r>
      <w:tr w14:paraId="12A13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115" w:type="dxa"/>
            <w:vAlign w:val="top"/>
          </w:tcPr>
          <w:p w14:paraId="626B6FC4">
            <w:pPr>
              <w:pStyle w:val="13"/>
              <w:keepNext w:val="0"/>
              <w:keepLines w:val="0"/>
              <w:pageBreakBefore w:val="0"/>
              <w:wordWrap/>
              <w:overflowPunct/>
              <w:topLinePunct w:val="0"/>
              <w:bidi w:val="0"/>
              <w:spacing w:line="440" w:lineRule="exact"/>
              <w:ind w:left="2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w:t>
            </w:r>
          </w:p>
        </w:tc>
        <w:tc>
          <w:tcPr>
            <w:tcW w:w="708" w:type="dxa"/>
            <w:vAlign w:val="top"/>
          </w:tcPr>
          <w:p w14:paraId="79E2A586">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7" w:type="dxa"/>
            <w:vAlign w:val="top"/>
          </w:tcPr>
          <w:p w14:paraId="399D6E45">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4AAB9F7F">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0A0345A0">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849" w:type="dxa"/>
            <w:vAlign w:val="top"/>
          </w:tcPr>
          <w:p w14:paraId="131C9339">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708" w:type="dxa"/>
            <w:vAlign w:val="top"/>
          </w:tcPr>
          <w:p w14:paraId="2208D38A">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2131" w:type="dxa"/>
            <w:vAlign w:val="top"/>
          </w:tcPr>
          <w:p w14:paraId="3607578F">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c>
          <w:tcPr>
            <w:tcW w:w="1231" w:type="dxa"/>
            <w:vAlign w:val="top"/>
          </w:tcPr>
          <w:p w14:paraId="5235DC8D">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tc>
      </w:tr>
    </w:tbl>
    <w:p w14:paraId="43CCF1EF">
      <w:pPr>
        <w:pStyle w:val="8"/>
        <w:keepNext w:val="0"/>
        <w:keepLines w:val="0"/>
        <w:pageBreakBefore w:val="0"/>
        <w:wordWrap/>
        <w:overflowPunct/>
        <w:topLinePunct w:val="0"/>
        <w:bidi w:val="0"/>
        <w:spacing w:line="440" w:lineRule="exact"/>
        <w:ind w:left="743"/>
        <w:rPr>
          <w:rFonts w:hint="eastAsia" w:asciiTheme="minorEastAsia" w:hAnsiTheme="minorEastAsia" w:eastAsiaTheme="minorEastAsia" w:cstheme="minorEastAsia"/>
          <w:color w:val="auto"/>
          <w:sz w:val="21"/>
          <w:szCs w:val="21"/>
          <w:highlight w:val="none"/>
        </w:rPr>
      </w:pPr>
    </w:p>
    <w:p w14:paraId="55D16124">
      <w:pPr>
        <w:pStyle w:val="8"/>
        <w:keepNext w:val="0"/>
        <w:keepLines w:val="0"/>
        <w:pageBreakBefore w:val="0"/>
        <w:wordWrap/>
        <w:overflowPunct/>
        <w:topLinePunct w:val="0"/>
        <w:bidi w:val="0"/>
        <w:spacing w:line="440" w:lineRule="exact"/>
        <w:ind w:left="7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6AA3C0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val="en-US" w:eastAsia="zh-CN"/>
        </w:rPr>
        <w:t>1.</w:t>
      </w:r>
      <w:r>
        <w:rPr>
          <w:rFonts w:hint="eastAsia" w:asciiTheme="minorEastAsia" w:hAnsiTheme="minorEastAsia" w:eastAsiaTheme="minorEastAsia" w:cstheme="minorEastAsia"/>
          <w:snapToGrid/>
          <w:color w:val="auto"/>
          <w:kern w:val="2"/>
          <w:sz w:val="21"/>
          <w:szCs w:val="21"/>
          <w:highlight w:val="none"/>
          <w:lang w:eastAsia="zh-CN"/>
        </w:rPr>
        <w:t xml:space="preserve">在填写时，如本表格不适合投标单位的实际情况，可根据本表格式自行制表填写。 </w:t>
      </w:r>
    </w:p>
    <w:p w14:paraId="11C0B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val="en-US" w:eastAsia="zh-CN"/>
        </w:rPr>
        <w:t>2.</w:t>
      </w:r>
      <w:r>
        <w:rPr>
          <w:rFonts w:hint="eastAsia" w:asciiTheme="minorEastAsia" w:hAnsiTheme="minorEastAsia" w:eastAsiaTheme="minorEastAsia" w:cstheme="minorEastAsia"/>
          <w:snapToGrid/>
          <w:color w:val="auto"/>
          <w:kern w:val="2"/>
          <w:sz w:val="21"/>
          <w:szCs w:val="21"/>
          <w:highlight w:val="none"/>
          <w:lang w:eastAsia="zh-CN"/>
        </w:rPr>
        <w:t>投标人应当附本表所列证书的复印件并加盖投标人电子签章。</w:t>
      </w:r>
    </w:p>
    <w:p w14:paraId="000B9515">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FA23015">
      <w:pPr>
        <w:pStyle w:val="8"/>
        <w:keepNext w:val="0"/>
        <w:keepLines w:val="0"/>
        <w:pageBreakBefore w:val="0"/>
        <w:wordWrap/>
        <w:overflowPunct/>
        <w:topLinePunct w:val="0"/>
        <w:bidi w:val="0"/>
        <w:spacing w:line="440" w:lineRule="exact"/>
        <w:ind w:left="4039" w:hanging="38"/>
        <w:rPr>
          <w:rFonts w:hint="eastAsia" w:asciiTheme="minorEastAsia" w:hAnsiTheme="minorEastAsia" w:eastAsiaTheme="minorEastAsia" w:cstheme="minorEastAsia"/>
          <w:color w:val="auto"/>
          <w:spacing w:val="-2"/>
          <w:sz w:val="21"/>
          <w:szCs w:val="21"/>
          <w:highlight w:val="none"/>
        </w:rPr>
      </w:pPr>
    </w:p>
    <w:p w14:paraId="42B61940">
      <w:pPr>
        <w:pStyle w:val="8"/>
        <w:keepNext w:val="0"/>
        <w:keepLines w:val="0"/>
        <w:pageBreakBefore w:val="0"/>
        <w:wordWrap/>
        <w:overflowPunct/>
        <w:topLinePunct w:val="0"/>
        <w:bidi w:val="0"/>
        <w:spacing w:line="440" w:lineRule="exact"/>
        <w:ind w:left="4210" w:leftChars="2005" w:firstLine="166" w:firstLineChars="81"/>
        <w:rPr>
          <w:rFonts w:hint="eastAsia" w:asciiTheme="minorEastAsia" w:hAnsiTheme="minorEastAsia" w:eastAsiaTheme="minorEastAsia" w:cstheme="minorEastAsia"/>
          <w:color w:val="auto"/>
          <w:spacing w:val="1"/>
          <w:sz w:val="21"/>
          <w:szCs w:val="21"/>
          <w:highlight w:val="none"/>
          <w:u w:val="single" w:color="auto"/>
        </w:rPr>
      </w:pPr>
      <w:r>
        <w:rPr>
          <w:rFonts w:hint="eastAsia" w:asciiTheme="minorEastAsia" w:hAnsiTheme="minorEastAsia" w:eastAsiaTheme="minorEastAsia" w:cstheme="minorEastAsia"/>
          <w:color w:val="auto"/>
          <w:spacing w:val="-2"/>
          <w:sz w:val="21"/>
          <w:szCs w:val="21"/>
          <w:highlight w:val="none"/>
        </w:rPr>
        <w:t>投标人（电子签章</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 xml:space="preserve">                       </w:t>
      </w:r>
    </w:p>
    <w:p w14:paraId="5001B473">
      <w:pPr>
        <w:pStyle w:val="8"/>
        <w:keepNext w:val="0"/>
        <w:keepLines w:val="0"/>
        <w:pageBreakBefore w:val="0"/>
        <w:wordWrap/>
        <w:overflowPunct/>
        <w:topLinePunct w:val="0"/>
        <w:bidi w:val="0"/>
        <w:spacing w:line="440" w:lineRule="exact"/>
        <w:ind w:left="4039" w:hanging="38"/>
        <w:rPr>
          <w:color w:val="auto"/>
          <w:sz w:val="21"/>
          <w:szCs w:val="21"/>
          <w:highlight w:val="none"/>
        </w:rPr>
        <w:sectPr>
          <w:footerReference r:id="rId53" w:type="default"/>
          <w:pgSz w:w="11906" w:h="16839"/>
          <w:pgMar w:top="2098" w:right="1474" w:bottom="1984" w:left="1587" w:header="0" w:footer="677" w:gutter="0"/>
          <w:pgNumType w:fmt="decimal"/>
          <w:cols w:space="720" w:num="1"/>
          <w:rtlGutter w:val="0"/>
          <w:docGrid w:linePitch="0" w:charSpace="0"/>
        </w:sect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13"/>
          <w:sz w:val="21"/>
          <w:szCs w:val="21"/>
          <w:highlight w:val="none"/>
        </w:rPr>
        <w:t>日期：</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09"/>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年</w:t>
      </w:r>
      <w:r>
        <w:rPr>
          <w:rFonts w:hint="eastAsia" w:asciiTheme="minorEastAsia" w:hAnsiTheme="minorEastAsia" w:eastAsiaTheme="minorEastAsia" w:cstheme="minorEastAsia"/>
          <w:color w:val="auto"/>
          <w:spacing w:val="17"/>
          <w:sz w:val="21"/>
          <w:szCs w:val="21"/>
          <w:highlight w:val="none"/>
          <w:u w:val="single" w:color="auto"/>
        </w:rPr>
        <w:t xml:space="preserve">       </w:t>
      </w:r>
      <w:r>
        <w:rPr>
          <w:rFonts w:hint="eastAsia" w:asciiTheme="minorEastAsia" w:hAnsiTheme="minorEastAsia" w:eastAsiaTheme="minorEastAsia" w:cstheme="minorEastAsia"/>
          <w:color w:val="auto"/>
          <w:spacing w:val="-10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月</w:t>
      </w:r>
      <w:r>
        <w:rPr>
          <w:rFonts w:hint="eastAsia" w:asciiTheme="minorEastAsia" w:hAnsiTheme="minorEastAsia" w:eastAsiaTheme="minorEastAsia" w:cstheme="minorEastAsia"/>
          <w:color w:val="auto"/>
          <w:spacing w:val="19"/>
          <w:sz w:val="21"/>
          <w:szCs w:val="21"/>
          <w:highlight w:val="none"/>
          <w:u w:val="single" w:color="auto"/>
        </w:rPr>
        <w:t xml:space="preserve">      </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w:t>
      </w:r>
    </w:p>
    <w:p w14:paraId="046DF7AE">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2"/>
        <w:rPr>
          <w:color w:val="auto"/>
          <w:sz w:val="24"/>
          <w:szCs w:val="24"/>
          <w:highlight w:val="none"/>
        </w:rPr>
      </w:pPr>
      <w:r>
        <w:rPr>
          <w:b/>
          <w:bCs/>
          <w:color w:val="auto"/>
          <w:spacing w:val="-4"/>
          <w:sz w:val="24"/>
          <w:szCs w:val="24"/>
          <w:highlight w:val="none"/>
        </w:rPr>
        <w:t>10.拟投入设备一览表格式</w:t>
      </w:r>
    </w:p>
    <w:p w14:paraId="580D9F4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429"/>
        <w:textAlignment w:val="baseline"/>
        <w:rPr>
          <w:b/>
          <w:bCs/>
          <w:color w:val="auto"/>
          <w:spacing w:val="6"/>
          <w:sz w:val="28"/>
          <w:szCs w:val="28"/>
          <w:highlight w:val="none"/>
        </w:rPr>
      </w:pPr>
    </w:p>
    <w:p w14:paraId="26942EFD">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429"/>
        <w:textAlignment w:val="baseline"/>
        <w:rPr>
          <w:color w:val="auto"/>
          <w:highlight w:val="none"/>
        </w:rPr>
      </w:pPr>
      <w:r>
        <w:rPr>
          <w:b/>
          <w:bCs/>
          <w:color w:val="auto"/>
          <w:spacing w:val="6"/>
          <w:sz w:val="28"/>
          <w:szCs w:val="28"/>
          <w:highlight w:val="none"/>
        </w:rPr>
        <w:t>拟投入设备一览表</w:t>
      </w:r>
    </w:p>
    <w:p w14:paraId="2B00AC6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333AF264">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62"/>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所投分包：</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8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分包（标段）</w:t>
      </w:r>
    </w:p>
    <w:tbl>
      <w:tblPr>
        <w:tblStyle w:val="12"/>
        <w:tblW w:w="8837"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1034"/>
        <w:gridCol w:w="1305"/>
        <w:gridCol w:w="1080"/>
        <w:gridCol w:w="1440"/>
        <w:gridCol w:w="900"/>
        <w:gridCol w:w="1260"/>
        <w:gridCol w:w="1290"/>
      </w:tblGrid>
      <w:tr w14:paraId="59DBE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28" w:type="dxa"/>
            <w:textDirection w:val="tbRlV"/>
            <w:vAlign w:val="top"/>
          </w:tcPr>
          <w:p w14:paraId="15404D1F">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4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序</w:t>
            </w:r>
            <w:r>
              <w:rPr>
                <w:rFonts w:hint="eastAsia" w:asciiTheme="minorEastAsia" w:hAnsiTheme="minorEastAsia" w:eastAsiaTheme="minorEastAsia" w:cstheme="minorEastAsia"/>
                <w:color w:val="auto"/>
                <w:spacing w:val="89"/>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号</w:t>
            </w:r>
          </w:p>
        </w:tc>
        <w:tc>
          <w:tcPr>
            <w:tcW w:w="1034" w:type="dxa"/>
            <w:vAlign w:val="top"/>
          </w:tcPr>
          <w:p w14:paraId="17BDD22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3AB5ACD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51"/>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设备类别</w:t>
            </w:r>
          </w:p>
        </w:tc>
        <w:tc>
          <w:tcPr>
            <w:tcW w:w="1305" w:type="dxa"/>
            <w:vAlign w:val="top"/>
          </w:tcPr>
          <w:p w14:paraId="7930734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24A5793F">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69"/>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仪器名称/数量</w:t>
            </w:r>
          </w:p>
        </w:tc>
        <w:tc>
          <w:tcPr>
            <w:tcW w:w="1080" w:type="dxa"/>
            <w:vAlign w:val="top"/>
          </w:tcPr>
          <w:p w14:paraId="77E85E5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3A21C491">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46"/>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数量</w:t>
            </w:r>
          </w:p>
        </w:tc>
        <w:tc>
          <w:tcPr>
            <w:tcW w:w="1440" w:type="dxa"/>
            <w:vAlign w:val="top"/>
          </w:tcPr>
          <w:p w14:paraId="48FA4C0D">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36" w:right="121" w:hanging="212"/>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购买时间（提</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pacing w:val="3"/>
                <w:sz w:val="21"/>
                <w:szCs w:val="21"/>
                <w:highlight w:val="none"/>
              </w:rPr>
              <w:t>供发票）</w:t>
            </w:r>
          </w:p>
        </w:tc>
        <w:tc>
          <w:tcPr>
            <w:tcW w:w="900" w:type="dxa"/>
            <w:vAlign w:val="top"/>
          </w:tcPr>
          <w:p w14:paraId="09B709AE">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24" w:right="126" w:firstLine="9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金额</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pacing w:val="-4"/>
                <w:sz w:val="21"/>
                <w:szCs w:val="21"/>
                <w:highlight w:val="none"/>
              </w:rPr>
              <w:t>（元）</w:t>
            </w:r>
          </w:p>
        </w:tc>
        <w:tc>
          <w:tcPr>
            <w:tcW w:w="1260" w:type="dxa"/>
            <w:vAlign w:val="top"/>
          </w:tcPr>
          <w:p w14:paraId="1A4FFD8A">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4" w:right="103" w:firstLine="1"/>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4"/>
                <w:sz w:val="21"/>
                <w:szCs w:val="21"/>
                <w:highlight w:val="none"/>
              </w:rPr>
              <w:t>校准证书</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及有效期</w:t>
            </w:r>
          </w:p>
        </w:tc>
        <w:tc>
          <w:tcPr>
            <w:tcW w:w="1290" w:type="dxa"/>
            <w:vAlign w:val="top"/>
          </w:tcPr>
          <w:p w14:paraId="074BA1A2">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53" w:right="149"/>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证明材料在投</w:t>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b/>
                <w:bCs/>
                <w:color w:val="auto"/>
                <w:spacing w:val="6"/>
                <w:sz w:val="21"/>
                <w:szCs w:val="21"/>
                <w:highlight w:val="none"/>
              </w:rPr>
              <w:t>标文件中页码</w:t>
            </w:r>
          </w:p>
        </w:tc>
      </w:tr>
      <w:tr w14:paraId="3522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528" w:type="dxa"/>
            <w:vAlign w:val="top"/>
          </w:tcPr>
          <w:p w14:paraId="283FEDB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32"/>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34" w:type="dxa"/>
            <w:vAlign w:val="top"/>
          </w:tcPr>
          <w:p w14:paraId="07C6E7B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305" w:type="dxa"/>
            <w:vAlign w:val="top"/>
          </w:tcPr>
          <w:p w14:paraId="72F8928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80" w:type="dxa"/>
            <w:vAlign w:val="top"/>
          </w:tcPr>
          <w:p w14:paraId="7768B1D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440" w:type="dxa"/>
            <w:vAlign w:val="top"/>
          </w:tcPr>
          <w:p w14:paraId="15A5126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00" w:type="dxa"/>
            <w:vAlign w:val="top"/>
          </w:tcPr>
          <w:p w14:paraId="1A50457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60" w:type="dxa"/>
            <w:vAlign w:val="top"/>
          </w:tcPr>
          <w:p w14:paraId="4B6440E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90" w:type="dxa"/>
            <w:vAlign w:val="top"/>
          </w:tcPr>
          <w:p w14:paraId="04A4B0A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1CDCB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528" w:type="dxa"/>
            <w:vAlign w:val="top"/>
          </w:tcPr>
          <w:p w14:paraId="21BD3CBC">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19"/>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34" w:type="dxa"/>
            <w:vAlign w:val="top"/>
          </w:tcPr>
          <w:p w14:paraId="374F82D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305" w:type="dxa"/>
            <w:vAlign w:val="top"/>
          </w:tcPr>
          <w:p w14:paraId="08C10A9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80" w:type="dxa"/>
            <w:vAlign w:val="top"/>
          </w:tcPr>
          <w:p w14:paraId="5FBFDC8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440" w:type="dxa"/>
            <w:vAlign w:val="top"/>
          </w:tcPr>
          <w:p w14:paraId="05D9D31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00" w:type="dxa"/>
            <w:vAlign w:val="top"/>
          </w:tcPr>
          <w:p w14:paraId="0D9B0D0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60" w:type="dxa"/>
            <w:vAlign w:val="top"/>
          </w:tcPr>
          <w:p w14:paraId="25498EF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90" w:type="dxa"/>
            <w:vAlign w:val="top"/>
          </w:tcPr>
          <w:p w14:paraId="5D17A13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543C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528" w:type="dxa"/>
            <w:vAlign w:val="top"/>
          </w:tcPr>
          <w:p w14:paraId="590B62DE">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21"/>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34" w:type="dxa"/>
            <w:vAlign w:val="top"/>
          </w:tcPr>
          <w:p w14:paraId="4ED8A89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305" w:type="dxa"/>
            <w:vAlign w:val="top"/>
          </w:tcPr>
          <w:p w14:paraId="6F45AB6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80" w:type="dxa"/>
            <w:vAlign w:val="top"/>
          </w:tcPr>
          <w:p w14:paraId="314E4A2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440" w:type="dxa"/>
            <w:vAlign w:val="top"/>
          </w:tcPr>
          <w:p w14:paraId="4C5A760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00" w:type="dxa"/>
            <w:vAlign w:val="top"/>
          </w:tcPr>
          <w:p w14:paraId="1279905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60" w:type="dxa"/>
            <w:vAlign w:val="top"/>
          </w:tcPr>
          <w:p w14:paraId="689E073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90" w:type="dxa"/>
            <w:vAlign w:val="top"/>
          </w:tcPr>
          <w:p w14:paraId="19049DA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45D4B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28" w:type="dxa"/>
            <w:vAlign w:val="top"/>
          </w:tcPr>
          <w:p w14:paraId="20AD142A">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7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2"/>
                <w:sz w:val="21"/>
                <w:szCs w:val="21"/>
                <w:highlight w:val="none"/>
              </w:rPr>
              <w:t>…</w:t>
            </w:r>
          </w:p>
        </w:tc>
        <w:tc>
          <w:tcPr>
            <w:tcW w:w="1034" w:type="dxa"/>
            <w:vAlign w:val="top"/>
          </w:tcPr>
          <w:p w14:paraId="41B630D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305" w:type="dxa"/>
            <w:vAlign w:val="top"/>
          </w:tcPr>
          <w:p w14:paraId="49996E3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80" w:type="dxa"/>
            <w:vAlign w:val="top"/>
          </w:tcPr>
          <w:p w14:paraId="2D65A3B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440" w:type="dxa"/>
            <w:vAlign w:val="top"/>
          </w:tcPr>
          <w:p w14:paraId="10D295A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00" w:type="dxa"/>
            <w:vAlign w:val="top"/>
          </w:tcPr>
          <w:p w14:paraId="422C1B6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60" w:type="dxa"/>
            <w:vAlign w:val="top"/>
          </w:tcPr>
          <w:p w14:paraId="262EC89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90" w:type="dxa"/>
            <w:vAlign w:val="top"/>
          </w:tcPr>
          <w:p w14:paraId="1D3A416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67664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837" w:type="dxa"/>
            <w:gridSpan w:val="8"/>
            <w:vAlign w:val="top"/>
          </w:tcPr>
          <w:p w14:paraId="6507BD8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4" w:right="173" w:firstLine="1"/>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注：需有效证明（属于供应商自有，租用不予计算</w:t>
            </w:r>
            <w:r>
              <w:rPr>
                <w:rFonts w:hint="eastAsia" w:asciiTheme="minorEastAsia" w:hAnsiTheme="minorEastAsia" w:eastAsiaTheme="minorEastAsia" w:cstheme="minorEastAsia"/>
                <w:color w:val="auto"/>
                <w:spacing w:val="25"/>
                <w:sz w:val="21"/>
                <w:szCs w:val="21"/>
                <w:highlight w:val="none"/>
              </w:rPr>
              <w:t>），</w:t>
            </w:r>
            <w:r>
              <w:rPr>
                <w:rFonts w:hint="eastAsia" w:asciiTheme="minorEastAsia" w:hAnsiTheme="minorEastAsia" w:eastAsiaTheme="minorEastAsia" w:cstheme="minorEastAsia"/>
                <w:color w:val="auto"/>
                <w:spacing w:val="9"/>
                <w:sz w:val="21"/>
                <w:szCs w:val="21"/>
                <w:highlight w:val="none"/>
              </w:rPr>
              <w:t>即提供仪器设备列表、设备的彩色照片、采</w:t>
            </w:r>
            <w:r>
              <w:rPr>
                <w:rFonts w:hint="eastAsia" w:asciiTheme="minorEastAsia" w:hAnsiTheme="minorEastAsia" w:eastAsiaTheme="minorEastAsia" w:cstheme="minorEastAsia"/>
                <w:color w:val="auto"/>
                <w:spacing w:val="10"/>
                <w:sz w:val="21"/>
                <w:szCs w:val="21"/>
                <w:highlight w:val="none"/>
              </w:rPr>
              <w:t>购发票（发票抬头为投标人名字）和检测有效期限证明扫描件、检定证书（校</w:t>
            </w:r>
            <w:r>
              <w:rPr>
                <w:rFonts w:hint="eastAsia" w:asciiTheme="minorEastAsia" w:hAnsiTheme="minorEastAsia" w:eastAsiaTheme="minorEastAsia" w:cstheme="minorEastAsia"/>
                <w:color w:val="auto"/>
                <w:spacing w:val="9"/>
                <w:sz w:val="21"/>
                <w:szCs w:val="21"/>
                <w:highlight w:val="none"/>
              </w:rPr>
              <w:t>准证书）复印件等，</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并加盖公章，未提供不得分。</w:t>
            </w:r>
          </w:p>
        </w:tc>
      </w:tr>
    </w:tbl>
    <w:p w14:paraId="2C93F856">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6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rPr>
        <w:t>注：投标人按采购需求及评分办法要求对格式自行编制，须随表提交相应的证书复印</w:t>
      </w:r>
      <w:r>
        <w:rPr>
          <w:rFonts w:hint="eastAsia" w:asciiTheme="minorEastAsia" w:hAnsiTheme="minorEastAsia" w:eastAsiaTheme="minorEastAsia" w:cstheme="minorEastAsia"/>
          <w:color w:val="auto"/>
          <w:spacing w:val="9"/>
          <w:sz w:val="21"/>
          <w:szCs w:val="21"/>
          <w:highlight w:val="none"/>
          <w:lang w:eastAsia="zh-CN"/>
        </w:rPr>
        <w:t>件</w:t>
      </w:r>
    </w:p>
    <w:p w14:paraId="5EC285A9">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w:t>
      </w:r>
    </w:p>
    <w:p w14:paraId="75FA44B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71228FB9">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093" w:right="54" w:hanging="38"/>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投标人（电子签章</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日期：</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09"/>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年</w:t>
      </w:r>
      <w:r>
        <w:rPr>
          <w:rFonts w:hint="eastAsia" w:asciiTheme="minorEastAsia" w:hAnsiTheme="minorEastAsia" w:eastAsiaTheme="minorEastAsia" w:cstheme="minorEastAsia"/>
          <w:color w:val="auto"/>
          <w:spacing w:val="17"/>
          <w:sz w:val="21"/>
          <w:szCs w:val="21"/>
          <w:highlight w:val="none"/>
          <w:u w:val="single" w:color="auto"/>
        </w:rPr>
        <w:t xml:space="preserve">       </w:t>
      </w:r>
      <w:r>
        <w:rPr>
          <w:rFonts w:hint="eastAsia" w:asciiTheme="minorEastAsia" w:hAnsiTheme="minorEastAsia" w:eastAsiaTheme="minorEastAsia" w:cstheme="minorEastAsia"/>
          <w:color w:val="auto"/>
          <w:spacing w:val="-10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月</w:t>
      </w:r>
      <w:r>
        <w:rPr>
          <w:rFonts w:hint="eastAsia" w:asciiTheme="minorEastAsia" w:hAnsiTheme="minorEastAsia" w:eastAsiaTheme="minorEastAsia" w:cstheme="minorEastAsia"/>
          <w:color w:val="auto"/>
          <w:spacing w:val="19"/>
          <w:sz w:val="21"/>
          <w:szCs w:val="21"/>
          <w:highlight w:val="none"/>
          <w:u w:val="single" w:color="auto"/>
        </w:rPr>
        <w:t xml:space="preserve">      </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w:t>
      </w:r>
    </w:p>
    <w:p w14:paraId="75CD346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7B5AEABE">
      <w:pPr>
        <w:pStyle w:val="8"/>
        <w:spacing w:before="78" w:line="219" w:lineRule="auto"/>
        <w:ind w:left="81"/>
        <w:rPr>
          <w:b/>
          <w:bCs/>
          <w:color w:val="auto"/>
          <w:spacing w:val="-4"/>
          <w:sz w:val="24"/>
          <w:szCs w:val="24"/>
          <w:highlight w:val="none"/>
        </w:rPr>
      </w:pPr>
    </w:p>
    <w:p w14:paraId="7358BC68">
      <w:pPr>
        <w:pStyle w:val="8"/>
        <w:spacing w:before="78" w:line="219" w:lineRule="auto"/>
        <w:ind w:left="81"/>
        <w:rPr>
          <w:b/>
          <w:bCs/>
          <w:color w:val="auto"/>
          <w:spacing w:val="-4"/>
          <w:sz w:val="24"/>
          <w:szCs w:val="24"/>
          <w:highlight w:val="none"/>
        </w:rPr>
      </w:pPr>
    </w:p>
    <w:p w14:paraId="5AADCDF5">
      <w:pPr>
        <w:pStyle w:val="8"/>
        <w:spacing w:before="78" w:line="219" w:lineRule="auto"/>
        <w:ind w:left="81"/>
        <w:rPr>
          <w:b/>
          <w:bCs/>
          <w:color w:val="auto"/>
          <w:spacing w:val="-4"/>
          <w:sz w:val="24"/>
          <w:szCs w:val="24"/>
          <w:highlight w:val="none"/>
        </w:rPr>
      </w:pPr>
    </w:p>
    <w:p w14:paraId="7D515BAE">
      <w:pPr>
        <w:pStyle w:val="8"/>
        <w:spacing w:before="78" w:line="219" w:lineRule="auto"/>
        <w:ind w:left="81"/>
        <w:rPr>
          <w:b/>
          <w:bCs/>
          <w:color w:val="auto"/>
          <w:spacing w:val="-4"/>
          <w:sz w:val="24"/>
          <w:szCs w:val="24"/>
          <w:highlight w:val="none"/>
        </w:rPr>
      </w:pPr>
    </w:p>
    <w:p w14:paraId="5435780A">
      <w:pPr>
        <w:pStyle w:val="8"/>
        <w:spacing w:before="78" w:line="219" w:lineRule="auto"/>
        <w:ind w:left="81"/>
        <w:rPr>
          <w:b/>
          <w:bCs/>
          <w:color w:val="auto"/>
          <w:spacing w:val="-4"/>
          <w:sz w:val="24"/>
          <w:szCs w:val="24"/>
          <w:highlight w:val="none"/>
        </w:rPr>
      </w:pPr>
    </w:p>
    <w:p w14:paraId="39C3D055">
      <w:pPr>
        <w:pStyle w:val="8"/>
        <w:spacing w:before="78" w:line="219" w:lineRule="auto"/>
        <w:ind w:left="81"/>
        <w:rPr>
          <w:b/>
          <w:bCs/>
          <w:color w:val="auto"/>
          <w:spacing w:val="-4"/>
          <w:sz w:val="24"/>
          <w:szCs w:val="24"/>
          <w:highlight w:val="none"/>
        </w:rPr>
      </w:pPr>
    </w:p>
    <w:p w14:paraId="7815E853">
      <w:pPr>
        <w:pStyle w:val="8"/>
        <w:spacing w:before="78" w:line="219" w:lineRule="auto"/>
        <w:ind w:left="81"/>
        <w:rPr>
          <w:b/>
          <w:bCs/>
          <w:color w:val="auto"/>
          <w:spacing w:val="-4"/>
          <w:sz w:val="24"/>
          <w:szCs w:val="24"/>
          <w:highlight w:val="none"/>
        </w:rPr>
      </w:pPr>
    </w:p>
    <w:p w14:paraId="161CA18C">
      <w:pPr>
        <w:pStyle w:val="8"/>
        <w:spacing w:before="78" w:line="219" w:lineRule="auto"/>
        <w:ind w:left="81"/>
        <w:rPr>
          <w:b/>
          <w:bCs/>
          <w:color w:val="auto"/>
          <w:spacing w:val="-4"/>
          <w:sz w:val="24"/>
          <w:szCs w:val="24"/>
          <w:highlight w:val="none"/>
        </w:rPr>
      </w:pPr>
    </w:p>
    <w:p w14:paraId="0CFE1D64">
      <w:pPr>
        <w:pStyle w:val="8"/>
        <w:spacing w:before="78" w:line="219" w:lineRule="auto"/>
        <w:ind w:left="81"/>
        <w:rPr>
          <w:b/>
          <w:bCs/>
          <w:color w:val="auto"/>
          <w:spacing w:val="-4"/>
          <w:sz w:val="24"/>
          <w:szCs w:val="24"/>
          <w:highlight w:val="none"/>
        </w:rPr>
      </w:pPr>
    </w:p>
    <w:p w14:paraId="0360A428">
      <w:pPr>
        <w:pStyle w:val="8"/>
        <w:spacing w:before="78" w:line="219" w:lineRule="auto"/>
        <w:ind w:left="81"/>
        <w:rPr>
          <w:b/>
          <w:bCs/>
          <w:color w:val="auto"/>
          <w:spacing w:val="-4"/>
          <w:sz w:val="24"/>
          <w:szCs w:val="24"/>
          <w:highlight w:val="none"/>
        </w:rPr>
      </w:pPr>
    </w:p>
    <w:p w14:paraId="208DB380">
      <w:pPr>
        <w:pStyle w:val="8"/>
        <w:spacing w:before="78" w:line="219" w:lineRule="auto"/>
        <w:rPr>
          <w:color w:val="auto"/>
          <w:sz w:val="24"/>
          <w:szCs w:val="24"/>
          <w:highlight w:val="none"/>
        </w:rPr>
      </w:pPr>
      <w:r>
        <w:rPr>
          <w:b/>
          <w:bCs/>
          <w:color w:val="auto"/>
          <w:spacing w:val="-4"/>
          <w:sz w:val="24"/>
          <w:szCs w:val="24"/>
          <w:highlight w:val="none"/>
        </w:rPr>
        <w:t>11.奖项（表彰）一览表格式</w:t>
      </w:r>
    </w:p>
    <w:p w14:paraId="565FDBE1">
      <w:pPr>
        <w:pStyle w:val="8"/>
        <w:spacing w:before="78" w:line="219" w:lineRule="auto"/>
        <w:ind w:left="81"/>
        <w:jc w:val="center"/>
        <w:rPr>
          <w:b/>
          <w:bCs/>
          <w:color w:val="auto"/>
          <w:spacing w:val="-4"/>
          <w:sz w:val="24"/>
          <w:szCs w:val="24"/>
          <w:highlight w:val="none"/>
        </w:rPr>
      </w:pPr>
      <w:r>
        <w:rPr>
          <w:b/>
          <w:bCs/>
          <w:color w:val="auto"/>
          <w:spacing w:val="-4"/>
          <w:sz w:val="28"/>
          <w:szCs w:val="28"/>
          <w:highlight w:val="none"/>
        </w:rPr>
        <w:t>奖项（表彰）一览表</w:t>
      </w:r>
    </w:p>
    <w:p w14:paraId="205B0757">
      <w:pPr>
        <w:spacing w:line="270" w:lineRule="auto"/>
        <w:rPr>
          <w:rFonts w:ascii="Arial"/>
          <w:color w:val="auto"/>
          <w:sz w:val="21"/>
          <w:highlight w:val="none"/>
        </w:rPr>
      </w:pPr>
    </w:p>
    <w:p w14:paraId="65E9180D">
      <w:pPr>
        <w:pStyle w:val="8"/>
        <w:spacing w:before="65" w:line="228" w:lineRule="auto"/>
        <w:ind w:left="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所投分包：</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8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分包（标段）</w:t>
      </w:r>
    </w:p>
    <w:p w14:paraId="0F03948B">
      <w:pPr>
        <w:spacing w:line="138" w:lineRule="auto"/>
        <w:rPr>
          <w:rFonts w:hint="eastAsia" w:asciiTheme="minorEastAsia" w:hAnsiTheme="minorEastAsia" w:eastAsiaTheme="minorEastAsia" w:cstheme="minorEastAsia"/>
          <w:color w:val="auto"/>
          <w:sz w:val="21"/>
          <w:szCs w:val="21"/>
          <w:highlight w:val="none"/>
        </w:rPr>
      </w:pPr>
    </w:p>
    <w:tbl>
      <w:tblPr>
        <w:tblStyle w:val="1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21"/>
        <w:gridCol w:w="1028"/>
        <w:gridCol w:w="1987"/>
        <w:gridCol w:w="1230"/>
        <w:gridCol w:w="1110"/>
        <w:gridCol w:w="975"/>
        <w:gridCol w:w="900"/>
      </w:tblGrid>
      <w:tr w14:paraId="71CE1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13" w:type="dxa"/>
            <w:vAlign w:val="top"/>
          </w:tcPr>
          <w:p w14:paraId="31ED9D7E">
            <w:pPr>
              <w:spacing w:line="475" w:lineRule="auto"/>
              <w:rPr>
                <w:rFonts w:hint="eastAsia" w:asciiTheme="minorEastAsia" w:hAnsiTheme="minorEastAsia" w:eastAsiaTheme="minorEastAsia" w:cstheme="minorEastAsia"/>
                <w:color w:val="auto"/>
                <w:sz w:val="21"/>
                <w:szCs w:val="21"/>
                <w:highlight w:val="none"/>
              </w:rPr>
            </w:pPr>
          </w:p>
          <w:p w14:paraId="436097C3">
            <w:pPr>
              <w:pStyle w:val="13"/>
              <w:spacing w:before="65" w:line="229" w:lineRule="auto"/>
              <w:ind w:left="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序号</w:t>
            </w:r>
          </w:p>
        </w:tc>
        <w:tc>
          <w:tcPr>
            <w:tcW w:w="921" w:type="dxa"/>
            <w:vAlign w:val="top"/>
          </w:tcPr>
          <w:p w14:paraId="2857C3CA">
            <w:pPr>
              <w:spacing w:line="278" w:lineRule="auto"/>
              <w:rPr>
                <w:rFonts w:hint="eastAsia" w:asciiTheme="minorEastAsia" w:hAnsiTheme="minorEastAsia" w:eastAsiaTheme="minorEastAsia" w:cstheme="minorEastAsia"/>
                <w:color w:val="auto"/>
                <w:sz w:val="21"/>
                <w:szCs w:val="21"/>
                <w:highlight w:val="none"/>
              </w:rPr>
            </w:pPr>
          </w:p>
          <w:p w14:paraId="6348FAB4">
            <w:pPr>
              <w:pStyle w:val="13"/>
              <w:spacing w:before="65" w:line="356" w:lineRule="auto"/>
              <w:ind w:left="358" w:right="146" w:hanging="2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奖项名</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称</w:t>
            </w:r>
          </w:p>
        </w:tc>
        <w:tc>
          <w:tcPr>
            <w:tcW w:w="1028" w:type="dxa"/>
            <w:vAlign w:val="top"/>
          </w:tcPr>
          <w:p w14:paraId="76FCAA11">
            <w:pPr>
              <w:spacing w:line="277" w:lineRule="auto"/>
              <w:rPr>
                <w:rFonts w:hint="eastAsia" w:asciiTheme="minorEastAsia" w:hAnsiTheme="minorEastAsia" w:eastAsiaTheme="minorEastAsia" w:cstheme="minorEastAsia"/>
                <w:color w:val="auto"/>
                <w:sz w:val="21"/>
                <w:szCs w:val="21"/>
                <w:highlight w:val="none"/>
              </w:rPr>
            </w:pPr>
          </w:p>
          <w:p w14:paraId="2774E601">
            <w:pPr>
              <w:pStyle w:val="13"/>
              <w:spacing w:before="65" w:line="356" w:lineRule="auto"/>
              <w:ind w:left="307" w:right="108" w:hanging="19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文号（如 有）</w:t>
            </w:r>
          </w:p>
        </w:tc>
        <w:tc>
          <w:tcPr>
            <w:tcW w:w="1987" w:type="dxa"/>
            <w:vAlign w:val="top"/>
          </w:tcPr>
          <w:p w14:paraId="7B6A7DF0">
            <w:pPr>
              <w:spacing w:line="277" w:lineRule="auto"/>
              <w:rPr>
                <w:rFonts w:hint="eastAsia" w:asciiTheme="minorEastAsia" w:hAnsiTheme="minorEastAsia" w:eastAsiaTheme="minorEastAsia" w:cstheme="minorEastAsia"/>
                <w:color w:val="auto"/>
                <w:sz w:val="21"/>
                <w:szCs w:val="21"/>
                <w:highlight w:val="none"/>
              </w:rPr>
            </w:pPr>
          </w:p>
          <w:p w14:paraId="164087BE">
            <w:pPr>
              <w:pStyle w:val="13"/>
              <w:spacing w:before="65" w:line="355" w:lineRule="auto"/>
              <w:ind w:left="191" w:right="107" w:hanging="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获得人（投标人或参与</w:t>
            </w:r>
            <w:r>
              <w:rPr>
                <w:rFonts w:hint="eastAsia" w:asciiTheme="minorEastAsia" w:hAnsiTheme="minorEastAsia" w:eastAsiaTheme="minorEastAsia" w:cstheme="minorEastAsia"/>
                <w:color w:val="auto"/>
                <w:spacing w:val="7"/>
                <w:sz w:val="21"/>
                <w:szCs w:val="21"/>
                <w:highlight w:val="none"/>
              </w:rPr>
              <w:t xml:space="preserve"> 本项目的团队成员）</w:t>
            </w:r>
          </w:p>
        </w:tc>
        <w:tc>
          <w:tcPr>
            <w:tcW w:w="1230" w:type="dxa"/>
            <w:vAlign w:val="top"/>
          </w:tcPr>
          <w:p w14:paraId="25C28468">
            <w:pPr>
              <w:spacing w:line="278" w:lineRule="auto"/>
              <w:rPr>
                <w:rFonts w:hint="eastAsia" w:asciiTheme="minorEastAsia" w:hAnsiTheme="minorEastAsia" w:eastAsiaTheme="minorEastAsia" w:cstheme="minorEastAsia"/>
                <w:color w:val="auto"/>
                <w:sz w:val="21"/>
                <w:szCs w:val="21"/>
                <w:highlight w:val="none"/>
              </w:rPr>
            </w:pPr>
          </w:p>
          <w:p w14:paraId="0756C065">
            <w:pPr>
              <w:pStyle w:val="13"/>
              <w:spacing w:before="65" w:line="355" w:lineRule="auto"/>
              <w:ind w:left="123" w:right="18" w:firstLine="10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奖项等级</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（市、厅等）</w:t>
            </w:r>
          </w:p>
        </w:tc>
        <w:tc>
          <w:tcPr>
            <w:tcW w:w="1110" w:type="dxa"/>
            <w:vAlign w:val="top"/>
          </w:tcPr>
          <w:p w14:paraId="650812F0">
            <w:pPr>
              <w:pStyle w:val="13"/>
              <w:spacing w:before="144" w:line="228" w:lineRule="auto"/>
              <w:ind w:left="2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奖项类别</w:t>
            </w:r>
          </w:p>
          <w:p w14:paraId="537A9E9A">
            <w:pPr>
              <w:pStyle w:val="13"/>
              <w:spacing w:before="151" w:line="302" w:lineRule="auto"/>
              <w:ind w:left="420" w:right="197" w:hanging="2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（如实填</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写）</w:t>
            </w:r>
          </w:p>
        </w:tc>
        <w:tc>
          <w:tcPr>
            <w:tcW w:w="975" w:type="dxa"/>
            <w:vAlign w:val="top"/>
          </w:tcPr>
          <w:p w14:paraId="250C3AF1">
            <w:pPr>
              <w:spacing w:line="277" w:lineRule="auto"/>
              <w:rPr>
                <w:rFonts w:hint="eastAsia" w:asciiTheme="minorEastAsia" w:hAnsiTheme="minorEastAsia" w:eastAsiaTheme="minorEastAsia" w:cstheme="minorEastAsia"/>
                <w:color w:val="auto"/>
                <w:sz w:val="21"/>
                <w:szCs w:val="21"/>
                <w:highlight w:val="none"/>
              </w:rPr>
            </w:pPr>
          </w:p>
          <w:p w14:paraId="3C57897A">
            <w:pPr>
              <w:pStyle w:val="13"/>
              <w:spacing w:before="65" w:line="356" w:lineRule="auto"/>
              <w:ind w:left="210" w:right="1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证明材料</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所在页码</w:t>
            </w:r>
          </w:p>
        </w:tc>
        <w:tc>
          <w:tcPr>
            <w:tcW w:w="900" w:type="dxa"/>
            <w:vAlign w:val="top"/>
          </w:tcPr>
          <w:p w14:paraId="78B5272C">
            <w:pPr>
              <w:spacing w:line="475" w:lineRule="auto"/>
              <w:rPr>
                <w:rFonts w:hint="eastAsia" w:asciiTheme="minorEastAsia" w:hAnsiTheme="minorEastAsia" w:eastAsiaTheme="minorEastAsia" w:cstheme="minorEastAsia"/>
                <w:color w:val="auto"/>
                <w:sz w:val="21"/>
                <w:szCs w:val="21"/>
                <w:highlight w:val="none"/>
              </w:rPr>
            </w:pPr>
          </w:p>
          <w:p w14:paraId="111308D4">
            <w:pPr>
              <w:pStyle w:val="13"/>
              <w:spacing w:before="65" w:line="229" w:lineRule="auto"/>
              <w:ind w:left="15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备注</w:t>
            </w:r>
          </w:p>
        </w:tc>
      </w:tr>
      <w:tr w14:paraId="4F3B2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13" w:type="dxa"/>
            <w:vAlign w:val="top"/>
          </w:tcPr>
          <w:p w14:paraId="52835723">
            <w:pPr>
              <w:pStyle w:val="13"/>
              <w:spacing w:before="174" w:line="189" w:lineRule="auto"/>
              <w:ind w:left="3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21" w:type="dxa"/>
            <w:vAlign w:val="top"/>
          </w:tcPr>
          <w:p w14:paraId="5979EB10">
            <w:pPr>
              <w:rPr>
                <w:rFonts w:hint="eastAsia" w:asciiTheme="minorEastAsia" w:hAnsiTheme="minorEastAsia" w:eastAsiaTheme="minorEastAsia" w:cstheme="minorEastAsia"/>
                <w:color w:val="auto"/>
                <w:sz w:val="21"/>
                <w:szCs w:val="21"/>
                <w:highlight w:val="none"/>
              </w:rPr>
            </w:pPr>
          </w:p>
        </w:tc>
        <w:tc>
          <w:tcPr>
            <w:tcW w:w="1028" w:type="dxa"/>
            <w:vAlign w:val="top"/>
          </w:tcPr>
          <w:p w14:paraId="43DF9631">
            <w:pPr>
              <w:rPr>
                <w:rFonts w:hint="eastAsia" w:asciiTheme="minorEastAsia" w:hAnsiTheme="minorEastAsia" w:eastAsiaTheme="minorEastAsia" w:cstheme="minorEastAsia"/>
                <w:color w:val="auto"/>
                <w:sz w:val="21"/>
                <w:szCs w:val="21"/>
                <w:highlight w:val="none"/>
              </w:rPr>
            </w:pPr>
          </w:p>
        </w:tc>
        <w:tc>
          <w:tcPr>
            <w:tcW w:w="1987" w:type="dxa"/>
            <w:vAlign w:val="top"/>
          </w:tcPr>
          <w:p w14:paraId="2C33B719">
            <w:pPr>
              <w:rPr>
                <w:rFonts w:hint="eastAsia" w:asciiTheme="minorEastAsia" w:hAnsiTheme="minorEastAsia" w:eastAsiaTheme="minorEastAsia" w:cstheme="minorEastAsia"/>
                <w:color w:val="auto"/>
                <w:sz w:val="21"/>
                <w:szCs w:val="21"/>
                <w:highlight w:val="none"/>
              </w:rPr>
            </w:pPr>
          </w:p>
        </w:tc>
        <w:tc>
          <w:tcPr>
            <w:tcW w:w="1230" w:type="dxa"/>
            <w:vAlign w:val="top"/>
          </w:tcPr>
          <w:p w14:paraId="2C9836DB">
            <w:pPr>
              <w:rPr>
                <w:rFonts w:hint="eastAsia" w:asciiTheme="minorEastAsia" w:hAnsiTheme="minorEastAsia" w:eastAsiaTheme="minorEastAsia" w:cstheme="minorEastAsia"/>
                <w:color w:val="auto"/>
                <w:sz w:val="21"/>
                <w:szCs w:val="21"/>
                <w:highlight w:val="none"/>
              </w:rPr>
            </w:pPr>
          </w:p>
        </w:tc>
        <w:tc>
          <w:tcPr>
            <w:tcW w:w="1110" w:type="dxa"/>
            <w:vAlign w:val="top"/>
          </w:tcPr>
          <w:p w14:paraId="615D24F3">
            <w:pPr>
              <w:rPr>
                <w:rFonts w:hint="eastAsia" w:asciiTheme="minorEastAsia" w:hAnsiTheme="minorEastAsia" w:eastAsiaTheme="minorEastAsia" w:cstheme="minorEastAsia"/>
                <w:color w:val="auto"/>
                <w:sz w:val="21"/>
                <w:szCs w:val="21"/>
                <w:highlight w:val="none"/>
              </w:rPr>
            </w:pPr>
          </w:p>
        </w:tc>
        <w:tc>
          <w:tcPr>
            <w:tcW w:w="975" w:type="dxa"/>
            <w:vAlign w:val="top"/>
          </w:tcPr>
          <w:p w14:paraId="7E08AA05">
            <w:pPr>
              <w:rPr>
                <w:rFonts w:hint="eastAsia" w:asciiTheme="minorEastAsia" w:hAnsiTheme="minorEastAsia" w:eastAsiaTheme="minorEastAsia" w:cstheme="minorEastAsia"/>
                <w:color w:val="auto"/>
                <w:sz w:val="21"/>
                <w:szCs w:val="21"/>
                <w:highlight w:val="none"/>
              </w:rPr>
            </w:pPr>
          </w:p>
        </w:tc>
        <w:tc>
          <w:tcPr>
            <w:tcW w:w="900" w:type="dxa"/>
            <w:vAlign w:val="top"/>
          </w:tcPr>
          <w:p w14:paraId="79F5FA87">
            <w:pPr>
              <w:rPr>
                <w:rFonts w:hint="eastAsia" w:asciiTheme="minorEastAsia" w:hAnsiTheme="minorEastAsia" w:eastAsiaTheme="minorEastAsia" w:cstheme="minorEastAsia"/>
                <w:color w:val="auto"/>
                <w:sz w:val="21"/>
                <w:szCs w:val="21"/>
                <w:highlight w:val="none"/>
              </w:rPr>
            </w:pPr>
          </w:p>
        </w:tc>
      </w:tr>
      <w:tr w14:paraId="2900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13" w:type="dxa"/>
            <w:vAlign w:val="top"/>
          </w:tcPr>
          <w:p w14:paraId="7474741D">
            <w:pPr>
              <w:pStyle w:val="13"/>
              <w:spacing w:before="175" w:line="189" w:lineRule="auto"/>
              <w:ind w:left="3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921" w:type="dxa"/>
            <w:vAlign w:val="top"/>
          </w:tcPr>
          <w:p w14:paraId="31D48D3D">
            <w:pPr>
              <w:rPr>
                <w:rFonts w:hint="eastAsia" w:asciiTheme="minorEastAsia" w:hAnsiTheme="minorEastAsia" w:eastAsiaTheme="minorEastAsia" w:cstheme="minorEastAsia"/>
                <w:color w:val="auto"/>
                <w:sz w:val="21"/>
                <w:szCs w:val="21"/>
                <w:highlight w:val="none"/>
              </w:rPr>
            </w:pPr>
          </w:p>
        </w:tc>
        <w:tc>
          <w:tcPr>
            <w:tcW w:w="1028" w:type="dxa"/>
            <w:vAlign w:val="top"/>
          </w:tcPr>
          <w:p w14:paraId="548EA426">
            <w:pPr>
              <w:rPr>
                <w:rFonts w:hint="eastAsia" w:asciiTheme="minorEastAsia" w:hAnsiTheme="minorEastAsia" w:eastAsiaTheme="minorEastAsia" w:cstheme="minorEastAsia"/>
                <w:color w:val="auto"/>
                <w:sz w:val="21"/>
                <w:szCs w:val="21"/>
                <w:highlight w:val="none"/>
              </w:rPr>
            </w:pPr>
          </w:p>
        </w:tc>
        <w:tc>
          <w:tcPr>
            <w:tcW w:w="1987" w:type="dxa"/>
            <w:vAlign w:val="top"/>
          </w:tcPr>
          <w:p w14:paraId="394B5FBD">
            <w:pPr>
              <w:rPr>
                <w:rFonts w:hint="eastAsia" w:asciiTheme="minorEastAsia" w:hAnsiTheme="minorEastAsia" w:eastAsiaTheme="minorEastAsia" w:cstheme="minorEastAsia"/>
                <w:color w:val="auto"/>
                <w:sz w:val="21"/>
                <w:szCs w:val="21"/>
                <w:highlight w:val="none"/>
              </w:rPr>
            </w:pPr>
          </w:p>
        </w:tc>
        <w:tc>
          <w:tcPr>
            <w:tcW w:w="1230" w:type="dxa"/>
            <w:vAlign w:val="top"/>
          </w:tcPr>
          <w:p w14:paraId="1F3A9735">
            <w:pPr>
              <w:rPr>
                <w:rFonts w:hint="eastAsia" w:asciiTheme="minorEastAsia" w:hAnsiTheme="minorEastAsia" w:eastAsiaTheme="minorEastAsia" w:cstheme="minorEastAsia"/>
                <w:color w:val="auto"/>
                <w:sz w:val="21"/>
                <w:szCs w:val="21"/>
                <w:highlight w:val="none"/>
              </w:rPr>
            </w:pPr>
          </w:p>
        </w:tc>
        <w:tc>
          <w:tcPr>
            <w:tcW w:w="1110" w:type="dxa"/>
            <w:vAlign w:val="top"/>
          </w:tcPr>
          <w:p w14:paraId="2A96205E">
            <w:pPr>
              <w:rPr>
                <w:rFonts w:hint="eastAsia" w:asciiTheme="minorEastAsia" w:hAnsiTheme="minorEastAsia" w:eastAsiaTheme="minorEastAsia" w:cstheme="minorEastAsia"/>
                <w:color w:val="auto"/>
                <w:sz w:val="21"/>
                <w:szCs w:val="21"/>
                <w:highlight w:val="none"/>
              </w:rPr>
            </w:pPr>
          </w:p>
        </w:tc>
        <w:tc>
          <w:tcPr>
            <w:tcW w:w="975" w:type="dxa"/>
            <w:vAlign w:val="top"/>
          </w:tcPr>
          <w:p w14:paraId="7F08939A">
            <w:pPr>
              <w:rPr>
                <w:rFonts w:hint="eastAsia" w:asciiTheme="minorEastAsia" w:hAnsiTheme="minorEastAsia" w:eastAsiaTheme="minorEastAsia" w:cstheme="minorEastAsia"/>
                <w:color w:val="auto"/>
                <w:sz w:val="21"/>
                <w:szCs w:val="21"/>
                <w:highlight w:val="none"/>
              </w:rPr>
            </w:pPr>
          </w:p>
        </w:tc>
        <w:tc>
          <w:tcPr>
            <w:tcW w:w="900" w:type="dxa"/>
            <w:vAlign w:val="top"/>
          </w:tcPr>
          <w:p w14:paraId="455048DF">
            <w:pPr>
              <w:rPr>
                <w:rFonts w:hint="eastAsia" w:asciiTheme="minorEastAsia" w:hAnsiTheme="minorEastAsia" w:eastAsiaTheme="minorEastAsia" w:cstheme="minorEastAsia"/>
                <w:color w:val="auto"/>
                <w:sz w:val="21"/>
                <w:szCs w:val="21"/>
                <w:highlight w:val="none"/>
              </w:rPr>
            </w:pPr>
          </w:p>
        </w:tc>
      </w:tr>
      <w:tr w14:paraId="4C808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13" w:type="dxa"/>
            <w:vAlign w:val="top"/>
          </w:tcPr>
          <w:p w14:paraId="15A15967">
            <w:pPr>
              <w:pStyle w:val="13"/>
              <w:spacing w:before="176" w:line="189" w:lineRule="auto"/>
              <w:ind w:left="3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921" w:type="dxa"/>
            <w:vAlign w:val="top"/>
          </w:tcPr>
          <w:p w14:paraId="7693DA9B">
            <w:pPr>
              <w:rPr>
                <w:rFonts w:hint="eastAsia" w:asciiTheme="minorEastAsia" w:hAnsiTheme="minorEastAsia" w:eastAsiaTheme="minorEastAsia" w:cstheme="minorEastAsia"/>
                <w:color w:val="auto"/>
                <w:sz w:val="21"/>
                <w:szCs w:val="21"/>
                <w:highlight w:val="none"/>
              </w:rPr>
            </w:pPr>
          </w:p>
        </w:tc>
        <w:tc>
          <w:tcPr>
            <w:tcW w:w="1028" w:type="dxa"/>
            <w:vAlign w:val="top"/>
          </w:tcPr>
          <w:p w14:paraId="3DFC3A25">
            <w:pPr>
              <w:rPr>
                <w:rFonts w:hint="eastAsia" w:asciiTheme="minorEastAsia" w:hAnsiTheme="minorEastAsia" w:eastAsiaTheme="minorEastAsia" w:cstheme="minorEastAsia"/>
                <w:color w:val="auto"/>
                <w:sz w:val="21"/>
                <w:szCs w:val="21"/>
                <w:highlight w:val="none"/>
              </w:rPr>
            </w:pPr>
          </w:p>
        </w:tc>
        <w:tc>
          <w:tcPr>
            <w:tcW w:w="1987" w:type="dxa"/>
            <w:vAlign w:val="top"/>
          </w:tcPr>
          <w:p w14:paraId="6D0F2143">
            <w:pPr>
              <w:rPr>
                <w:rFonts w:hint="eastAsia" w:asciiTheme="minorEastAsia" w:hAnsiTheme="minorEastAsia" w:eastAsiaTheme="minorEastAsia" w:cstheme="minorEastAsia"/>
                <w:color w:val="auto"/>
                <w:sz w:val="21"/>
                <w:szCs w:val="21"/>
                <w:highlight w:val="none"/>
              </w:rPr>
            </w:pPr>
          </w:p>
        </w:tc>
        <w:tc>
          <w:tcPr>
            <w:tcW w:w="1230" w:type="dxa"/>
            <w:vAlign w:val="top"/>
          </w:tcPr>
          <w:p w14:paraId="5E818409">
            <w:pPr>
              <w:rPr>
                <w:rFonts w:hint="eastAsia" w:asciiTheme="minorEastAsia" w:hAnsiTheme="minorEastAsia" w:eastAsiaTheme="minorEastAsia" w:cstheme="minorEastAsia"/>
                <w:color w:val="auto"/>
                <w:sz w:val="21"/>
                <w:szCs w:val="21"/>
                <w:highlight w:val="none"/>
              </w:rPr>
            </w:pPr>
          </w:p>
        </w:tc>
        <w:tc>
          <w:tcPr>
            <w:tcW w:w="1110" w:type="dxa"/>
            <w:vAlign w:val="top"/>
          </w:tcPr>
          <w:p w14:paraId="47EE4CC2">
            <w:pPr>
              <w:rPr>
                <w:rFonts w:hint="eastAsia" w:asciiTheme="minorEastAsia" w:hAnsiTheme="minorEastAsia" w:eastAsiaTheme="minorEastAsia" w:cstheme="minorEastAsia"/>
                <w:color w:val="auto"/>
                <w:sz w:val="21"/>
                <w:szCs w:val="21"/>
                <w:highlight w:val="none"/>
              </w:rPr>
            </w:pPr>
          </w:p>
        </w:tc>
        <w:tc>
          <w:tcPr>
            <w:tcW w:w="975" w:type="dxa"/>
            <w:vAlign w:val="top"/>
          </w:tcPr>
          <w:p w14:paraId="284F2644">
            <w:pPr>
              <w:rPr>
                <w:rFonts w:hint="eastAsia" w:asciiTheme="minorEastAsia" w:hAnsiTheme="minorEastAsia" w:eastAsiaTheme="minorEastAsia" w:cstheme="minorEastAsia"/>
                <w:color w:val="auto"/>
                <w:sz w:val="21"/>
                <w:szCs w:val="21"/>
                <w:highlight w:val="none"/>
              </w:rPr>
            </w:pPr>
          </w:p>
        </w:tc>
        <w:tc>
          <w:tcPr>
            <w:tcW w:w="900" w:type="dxa"/>
            <w:vAlign w:val="top"/>
          </w:tcPr>
          <w:p w14:paraId="332CEF32">
            <w:pPr>
              <w:rPr>
                <w:rFonts w:hint="eastAsia" w:asciiTheme="minorEastAsia" w:hAnsiTheme="minorEastAsia" w:eastAsiaTheme="minorEastAsia" w:cstheme="minorEastAsia"/>
                <w:color w:val="auto"/>
                <w:sz w:val="21"/>
                <w:szCs w:val="21"/>
                <w:highlight w:val="none"/>
              </w:rPr>
            </w:pPr>
          </w:p>
        </w:tc>
      </w:tr>
      <w:tr w14:paraId="2E130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3" w:type="dxa"/>
            <w:vAlign w:val="top"/>
          </w:tcPr>
          <w:p w14:paraId="1C1B9DEF">
            <w:pPr>
              <w:pStyle w:val="13"/>
              <w:spacing w:before="298" w:line="83" w:lineRule="exact"/>
              <w:ind w:left="2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position w:val="1"/>
                <w:sz w:val="21"/>
                <w:szCs w:val="21"/>
                <w:highlight w:val="none"/>
              </w:rPr>
              <w:t>...</w:t>
            </w:r>
          </w:p>
        </w:tc>
        <w:tc>
          <w:tcPr>
            <w:tcW w:w="921" w:type="dxa"/>
            <w:vAlign w:val="top"/>
          </w:tcPr>
          <w:p w14:paraId="10D8E28F">
            <w:pPr>
              <w:rPr>
                <w:rFonts w:hint="eastAsia" w:asciiTheme="minorEastAsia" w:hAnsiTheme="minorEastAsia" w:eastAsiaTheme="minorEastAsia" w:cstheme="minorEastAsia"/>
                <w:color w:val="auto"/>
                <w:sz w:val="21"/>
                <w:szCs w:val="21"/>
                <w:highlight w:val="none"/>
              </w:rPr>
            </w:pPr>
          </w:p>
        </w:tc>
        <w:tc>
          <w:tcPr>
            <w:tcW w:w="1028" w:type="dxa"/>
            <w:vAlign w:val="top"/>
          </w:tcPr>
          <w:p w14:paraId="114FE4C1">
            <w:pPr>
              <w:rPr>
                <w:rFonts w:hint="eastAsia" w:asciiTheme="minorEastAsia" w:hAnsiTheme="minorEastAsia" w:eastAsiaTheme="minorEastAsia" w:cstheme="minorEastAsia"/>
                <w:color w:val="auto"/>
                <w:sz w:val="21"/>
                <w:szCs w:val="21"/>
                <w:highlight w:val="none"/>
              </w:rPr>
            </w:pPr>
          </w:p>
        </w:tc>
        <w:tc>
          <w:tcPr>
            <w:tcW w:w="1987" w:type="dxa"/>
            <w:vAlign w:val="top"/>
          </w:tcPr>
          <w:p w14:paraId="28CFEC7D">
            <w:pPr>
              <w:rPr>
                <w:rFonts w:hint="eastAsia" w:asciiTheme="minorEastAsia" w:hAnsiTheme="minorEastAsia" w:eastAsiaTheme="minorEastAsia" w:cstheme="minorEastAsia"/>
                <w:color w:val="auto"/>
                <w:sz w:val="21"/>
                <w:szCs w:val="21"/>
                <w:highlight w:val="none"/>
              </w:rPr>
            </w:pPr>
          </w:p>
        </w:tc>
        <w:tc>
          <w:tcPr>
            <w:tcW w:w="1230" w:type="dxa"/>
            <w:vAlign w:val="top"/>
          </w:tcPr>
          <w:p w14:paraId="35F858D7">
            <w:pPr>
              <w:rPr>
                <w:rFonts w:hint="eastAsia" w:asciiTheme="minorEastAsia" w:hAnsiTheme="minorEastAsia" w:eastAsiaTheme="minorEastAsia" w:cstheme="minorEastAsia"/>
                <w:color w:val="auto"/>
                <w:sz w:val="21"/>
                <w:szCs w:val="21"/>
                <w:highlight w:val="none"/>
              </w:rPr>
            </w:pPr>
          </w:p>
        </w:tc>
        <w:tc>
          <w:tcPr>
            <w:tcW w:w="1110" w:type="dxa"/>
            <w:vAlign w:val="top"/>
          </w:tcPr>
          <w:p w14:paraId="6622FCE8">
            <w:pPr>
              <w:rPr>
                <w:rFonts w:hint="eastAsia" w:asciiTheme="minorEastAsia" w:hAnsiTheme="minorEastAsia" w:eastAsiaTheme="minorEastAsia" w:cstheme="minorEastAsia"/>
                <w:color w:val="auto"/>
                <w:sz w:val="21"/>
                <w:szCs w:val="21"/>
                <w:highlight w:val="none"/>
              </w:rPr>
            </w:pPr>
          </w:p>
        </w:tc>
        <w:tc>
          <w:tcPr>
            <w:tcW w:w="975" w:type="dxa"/>
            <w:vAlign w:val="top"/>
          </w:tcPr>
          <w:p w14:paraId="7FBE4F8E">
            <w:pPr>
              <w:rPr>
                <w:rFonts w:hint="eastAsia" w:asciiTheme="minorEastAsia" w:hAnsiTheme="minorEastAsia" w:eastAsiaTheme="minorEastAsia" w:cstheme="minorEastAsia"/>
                <w:color w:val="auto"/>
                <w:sz w:val="21"/>
                <w:szCs w:val="21"/>
                <w:highlight w:val="none"/>
              </w:rPr>
            </w:pPr>
          </w:p>
        </w:tc>
        <w:tc>
          <w:tcPr>
            <w:tcW w:w="900" w:type="dxa"/>
            <w:vAlign w:val="top"/>
          </w:tcPr>
          <w:p w14:paraId="55B926B6">
            <w:pPr>
              <w:rPr>
                <w:rFonts w:hint="eastAsia" w:asciiTheme="minorEastAsia" w:hAnsiTheme="minorEastAsia" w:eastAsiaTheme="minorEastAsia" w:cstheme="minorEastAsia"/>
                <w:color w:val="auto"/>
                <w:sz w:val="21"/>
                <w:szCs w:val="21"/>
                <w:highlight w:val="none"/>
              </w:rPr>
            </w:pPr>
          </w:p>
        </w:tc>
      </w:tr>
    </w:tbl>
    <w:p w14:paraId="5008DCF9">
      <w:pPr>
        <w:pStyle w:val="8"/>
        <w:spacing w:before="150" w:line="227" w:lineRule="auto"/>
        <w:ind w:left="460"/>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注：投标人按采购需求及评分办法要求对格式自行编制，须随表提交相应的证书复印件</w:t>
      </w:r>
    </w:p>
    <w:p w14:paraId="04084287">
      <w:pPr>
        <w:pStyle w:val="8"/>
        <w:spacing w:before="150" w:line="227"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w:t>
      </w:r>
    </w:p>
    <w:p w14:paraId="1A2E6808">
      <w:pPr>
        <w:spacing w:line="256" w:lineRule="auto"/>
        <w:rPr>
          <w:rFonts w:hint="eastAsia" w:asciiTheme="minorEastAsia" w:hAnsiTheme="minorEastAsia" w:eastAsiaTheme="minorEastAsia" w:cstheme="minorEastAsia"/>
          <w:color w:val="auto"/>
          <w:sz w:val="21"/>
          <w:szCs w:val="21"/>
          <w:highlight w:val="none"/>
        </w:rPr>
      </w:pPr>
    </w:p>
    <w:p w14:paraId="6DCAF356">
      <w:pPr>
        <w:spacing w:line="256" w:lineRule="auto"/>
        <w:rPr>
          <w:rFonts w:hint="eastAsia" w:asciiTheme="minorEastAsia" w:hAnsiTheme="minorEastAsia" w:eastAsiaTheme="minorEastAsia" w:cstheme="minorEastAsia"/>
          <w:color w:val="auto"/>
          <w:sz w:val="21"/>
          <w:szCs w:val="21"/>
          <w:highlight w:val="none"/>
        </w:rPr>
      </w:pPr>
    </w:p>
    <w:p w14:paraId="79EB53B7">
      <w:pPr>
        <w:spacing w:line="256" w:lineRule="auto"/>
        <w:rPr>
          <w:rFonts w:hint="eastAsia" w:asciiTheme="minorEastAsia" w:hAnsiTheme="minorEastAsia" w:eastAsiaTheme="minorEastAsia" w:cstheme="minorEastAsia"/>
          <w:color w:val="auto"/>
          <w:sz w:val="21"/>
          <w:szCs w:val="21"/>
          <w:highlight w:val="none"/>
        </w:rPr>
      </w:pPr>
    </w:p>
    <w:p w14:paraId="47664962">
      <w:pPr>
        <w:pStyle w:val="8"/>
        <w:spacing w:before="79" w:line="345" w:lineRule="auto"/>
        <w:ind w:left="4093" w:right="54" w:hanging="38"/>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2"/>
          <w:sz w:val="21"/>
          <w:szCs w:val="21"/>
          <w:highlight w:val="none"/>
        </w:rPr>
        <w:t>投标人（电子签章</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 xml:space="preserve"> </w:t>
      </w:r>
    </w:p>
    <w:p w14:paraId="4F3072E6">
      <w:pPr>
        <w:pStyle w:val="8"/>
        <w:spacing w:before="79" w:line="345" w:lineRule="auto"/>
        <w:ind w:left="4093" w:right="54" w:hanging="38"/>
        <w:rPr>
          <w:rFonts w:hint="eastAsia" w:asciiTheme="minorEastAsia" w:hAnsiTheme="minorEastAsia" w:eastAsiaTheme="minorEastAsia" w:cstheme="minorEastAsia"/>
          <w:color w:val="auto"/>
          <w:sz w:val="21"/>
          <w:szCs w:val="21"/>
          <w:highlight w:val="none"/>
        </w:rPr>
        <w:sectPr>
          <w:footerReference r:id="rId54" w:type="default"/>
          <w:pgSz w:w="11906" w:h="16839"/>
          <w:pgMar w:top="2098" w:right="1474" w:bottom="1984" w:left="1587" w:header="0" w:footer="677" w:gutter="0"/>
          <w:pgNumType w:fmt="decimal"/>
          <w:cols w:space="720" w:num="1"/>
          <w:rtlGutter w:val="0"/>
          <w:docGrid w:linePitch="0" w:charSpace="0"/>
        </w:sectPr>
      </w:pPr>
      <w:r>
        <w:rPr>
          <w:rFonts w:hint="eastAsia" w:asciiTheme="minorEastAsia" w:hAnsiTheme="minorEastAsia" w:eastAsiaTheme="minorEastAsia" w:cstheme="minorEastAsia"/>
          <w:color w:val="auto"/>
          <w:spacing w:val="-13"/>
          <w:sz w:val="21"/>
          <w:szCs w:val="21"/>
          <w:highlight w:val="none"/>
        </w:rPr>
        <w:t>日期：</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09"/>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年</w:t>
      </w:r>
      <w:r>
        <w:rPr>
          <w:rFonts w:hint="eastAsia" w:asciiTheme="minorEastAsia" w:hAnsiTheme="minorEastAsia" w:eastAsiaTheme="minorEastAsia" w:cstheme="minorEastAsia"/>
          <w:color w:val="auto"/>
          <w:spacing w:val="17"/>
          <w:sz w:val="21"/>
          <w:szCs w:val="21"/>
          <w:highlight w:val="none"/>
          <w:u w:val="single" w:color="auto"/>
        </w:rPr>
        <w:t xml:space="preserve">       </w:t>
      </w:r>
      <w:r>
        <w:rPr>
          <w:rFonts w:hint="eastAsia" w:asciiTheme="minorEastAsia" w:hAnsiTheme="minorEastAsia" w:eastAsiaTheme="minorEastAsia" w:cstheme="minorEastAsia"/>
          <w:color w:val="auto"/>
          <w:spacing w:val="-10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月</w:t>
      </w:r>
      <w:r>
        <w:rPr>
          <w:rFonts w:hint="eastAsia" w:asciiTheme="minorEastAsia" w:hAnsiTheme="minorEastAsia" w:eastAsiaTheme="minorEastAsia" w:cstheme="minorEastAsia"/>
          <w:color w:val="auto"/>
          <w:spacing w:val="19"/>
          <w:sz w:val="21"/>
          <w:szCs w:val="21"/>
          <w:highlight w:val="none"/>
          <w:u w:val="single" w:color="auto"/>
        </w:rPr>
        <w:t xml:space="preserve">      </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w:t>
      </w:r>
    </w:p>
    <w:p w14:paraId="345D43A9">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2"/>
        <w:rPr>
          <w:color w:val="auto"/>
          <w:sz w:val="24"/>
          <w:szCs w:val="24"/>
          <w:highlight w:val="none"/>
        </w:rPr>
      </w:pPr>
      <w:r>
        <w:rPr>
          <w:b/>
          <w:bCs/>
          <w:color w:val="auto"/>
          <w:spacing w:val="-4"/>
          <w:sz w:val="24"/>
          <w:szCs w:val="24"/>
          <w:highlight w:val="none"/>
        </w:rPr>
        <w:t>12.相关业绩一览表格式</w:t>
      </w:r>
    </w:p>
    <w:p w14:paraId="5E90808A">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08"/>
        <w:jc w:val="center"/>
        <w:textAlignment w:val="baseline"/>
        <w:outlineLvl w:val="2"/>
        <w:rPr>
          <w:b/>
          <w:bCs/>
          <w:color w:val="auto"/>
          <w:spacing w:val="-4"/>
          <w:sz w:val="28"/>
          <w:szCs w:val="28"/>
          <w:highlight w:val="none"/>
        </w:rPr>
      </w:pPr>
      <w:r>
        <w:rPr>
          <w:b/>
          <w:bCs/>
          <w:color w:val="auto"/>
          <w:spacing w:val="-4"/>
          <w:sz w:val="28"/>
          <w:szCs w:val="28"/>
          <w:highlight w:val="none"/>
        </w:rPr>
        <w:t>相关业绩一览表</w:t>
      </w:r>
    </w:p>
    <w:p w14:paraId="6274161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2A5F40B5">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4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所投分包：</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8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分包（标段）</w:t>
      </w:r>
    </w:p>
    <w:tbl>
      <w:tblPr>
        <w:tblStyle w:val="12"/>
        <w:tblW w:w="8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158"/>
        <w:gridCol w:w="1134"/>
        <w:gridCol w:w="1133"/>
        <w:gridCol w:w="2273"/>
        <w:gridCol w:w="1029"/>
        <w:gridCol w:w="1275"/>
      </w:tblGrid>
      <w:tr w14:paraId="41E8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47" w:type="dxa"/>
            <w:vAlign w:val="center"/>
          </w:tcPr>
          <w:p w14:paraId="7061F273">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序号</w:t>
            </w:r>
          </w:p>
        </w:tc>
        <w:tc>
          <w:tcPr>
            <w:tcW w:w="1158" w:type="dxa"/>
            <w:vAlign w:val="center"/>
          </w:tcPr>
          <w:p w14:paraId="443F558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z w:val="21"/>
                <w:szCs w:val="21"/>
                <w:highlight w:val="none"/>
              </w:rPr>
            </w:pPr>
          </w:p>
          <w:p w14:paraId="65253F85">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61"/>
              <w:jc w:val="center"/>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采购人</w:t>
            </w:r>
          </w:p>
          <w:p w14:paraId="2DA201AB">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61"/>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名</w:t>
            </w:r>
            <w:r>
              <w:rPr>
                <w:rFonts w:hint="eastAsia" w:asciiTheme="minorEastAsia" w:hAnsiTheme="minorEastAsia" w:eastAsiaTheme="minorEastAsia" w:cstheme="minorEastAsia"/>
                <w:color w:val="auto"/>
                <w:spacing w:val="1"/>
                <w:sz w:val="21"/>
                <w:szCs w:val="21"/>
                <w:highlight w:val="none"/>
              </w:rPr>
              <w:t>称</w:t>
            </w:r>
          </w:p>
        </w:tc>
        <w:tc>
          <w:tcPr>
            <w:tcW w:w="1134" w:type="dxa"/>
            <w:vAlign w:val="center"/>
          </w:tcPr>
          <w:p w14:paraId="1E249A0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z w:val="21"/>
                <w:szCs w:val="21"/>
                <w:highlight w:val="none"/>
              </w:rPr>
            </w:pPr>
          </w:p>
          <w:p w14:paraId="30B8470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48"/>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项目名称</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及编号</w:t>
            </w:r>
          </w:p>
        </w:tc>
        <w:tc>
          <w:tcPr>
            <w:tcW w:w="1133" w:type="dxa"/>
            <w:vAlign w:val="center"/>
          </w:tcPr>
          <w:p w14:paraId="2704F4B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z w:val="21"/>
                <w:szCs w:val="21"/>
                <w:highlight w:val="none"/>
              </w:rPr>
            </w:pPr>
          </w:p>
          <w:p w14:paraId="13AFADF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45"/>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合同金额</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（万元）</w:t>
            </w:r>
          </w:p>
        </w:tc>
        <w:tc>
          <w:tcPr>
            <w:tcW w:w="2273" w:type="dxa"/>
            <w:vAlign w:val="center"/>
          </w:tcPr>
          <w:p w14:paraId="26B0BAAE">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07"/>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证明材料（中标通知</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书、项目合同或验收报</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6"/>
                <w:sz w:val="21"/>
                <w:szCs w:val="21"/>
                <w:highlight w:val="none"/>
              </w:rPr>
              <w:t>告或其他履行合同）</w:t>
            </w:r>
          </w:p>
        </w:tc>
        <w:tc>
          <w:tcPr>
            <w:tcW w:w="1029" w:type="dxa"/>
            <w:vAlign w:val="center"/>
          </w:tcPr>
          <w:p w14:paraId="4524FD7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z w:val="21"/>
                <w:szCs w:val="21"/>
                <w:highlight w:val="none"/>
              </w:rPr>
            </w:pPr>
          </w:p>
          <w:p w14:paraId="22FFBCE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8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val="en-US" w:eastAsia="zh-CN"/>
              </w:rPr>
              <w:t xml:space="preserve"> </w:t>
            </w:r>
            <w:r>
              <w:rPr>
                <w:rFonts w:hint="eastAsia" w:asciiTheme="minorEastAsia" w:hAnsiTheme="minorEastAsia" w:eastAsiaTheme="minorEastAsia" w:cstheme="minorEastAsia"/>
                <w:color w:val="auto"/>
                <w:spacing w:val="8"/>
                <w:sz w:val="21"/>
                <w:szCs w:val="21"/>
                <w:highlight w:val="none"/>
              </w:rPr>
              <w:t>证明材料所</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在页码</w:t>
            </w:r>
          </w:p>
        </w:tc>
        <w:tc>
          <w:tcPr>
            <w:tcW w:w="1275" w:type="dxa"/>
            <w:vAlign w:val="center"/>
          </w:tcPr>
          <w:p w14:paraId="26A1F33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z w:val="21"/>
                <w:szCs w:val="21"/>
                <w:highlight w:val="none"/>
              </w:rPr>
            </w:pPr>
          </w:p>
          <w:p w14:paraId="5E07E96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right="174"/>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val="en-US" w:eastAsia="zh-CN"/>
              </w:rPr>
              <w:t xml:space="preserve"> </w:t>
            </w:r>
            <w:r>
              <w:rPr>
                <w:rFonts w:hint="eastAsia" w:asciiTheme="minorEastAsia" w:hAnsiTheme="minorEastAsia" w:eastAsiaTheme="minorEastAsia" w:cstheme="minorEastAsia"/>
                <w:color w:val="auto"/>
                <w:spacing w:val="8"/>
                <w:sz w:val="21"/>
                <w:szCs w:val="21"/>
                <w:highlight w:val="none"/>
              </w:rPr>
              <w:t>采购人联系人</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8"/>
                <w:sz w:val="21"/>
                <w:szCs w:val="21"/>
                <w:highlight w:val="none"/>
              </w:rPr>
              <w:t>及联系电话</w:t>
            </w:r>
          </w:p>
        </w:tc>
      </w:tr>
      <w:tr w14:paraId="0539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47" w:type="dxa"/>
            <w:vAlign w:val="top"/>
          </w:tcPr>
          <w:p w14:paraId="12C205DB">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93"/>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58" w:type="dxa"/>
            <w:vAlign w:val="top"/>
          </w:tcPr>
          <w:p w14:paraId="3B9397F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4" w:type="dxa"/>
            <w:vAlign w:val="top"/>
          </w:tcPr>
          <w:p w14:paraId="0DD08FE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3" w:type="dxa"/>
            <w:vAlign w:val="top"/>
          </w:tcPr>
          <w:p w14:paraId="444AEE7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73" w:type="dxa"/>
            <w:vAlign w:val="top"/>
          </w:tcPr>
          <w:p w14:paraId="1574F8F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29" w:type="dxa"/>
            <w:vAlign w:val="top"/>
          </w:tcPr>
          <w:p w14:paraId="5AB8FBA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75" w:type="dxa"/>
            <w:vAlign w:val="top"/>
          </w:tcPr>
          <w:p w14:paraId="7B47919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61DD0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47" w:type="dxa"/>
            <w:vAlign w:val="top"/>
          </w:tcPr>
          <w:p w14:paraId="4782A6F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8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58" w:type="dxa"/>
            <w:vAlign w:val="top"/>
          </w:tcPr>
          <w:p w14:paraId="6AC2733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4" w:type="dxa"/>
            <w:vAlign w:val="top"/>
          </w:tcPr>
          <w:p w14:paraId="7C77752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3" w:type="dxa"/>
            <w:vAlign w:val="top"/>
          </w:tcPr>
          <w:p w14:paraId="2EE6FEC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73" w:type="dxa"/>
            <w:vAlign w:val="top"/>
          </w:tcPr>
          <w:p w14:paraId="0FD998D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29" w:type="dxa"/>
            <w:vAlign w:val="top"/>
          </w:tcPr>
          <w:p w14:paraId="0A1D095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75" w:type="dxa"/>
            <w:vAlign w:val="top"/>
          </w:tcPr>
          <w:p w14:paraId="281ED17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40D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47" w:type="dxa"/>
            <w:vAlign w:val="top"/>
          </w:tcPr>
          <w:p w14:paraId="696AB718">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82"/>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58" w:type="dxa"/>
            <w:vAlign w:val="top"/>
          </w:tcPr>
          <w:p w14:paraId="27F8663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4" w:type="dxa"/>
            <w:vAlign w:val="top"/>
          </w:tcPr>
          <w:p w14:paraId="59B7BD9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3" w:type="dxa"/>
            <w:vAlign w:val="top"/>
          </w:tcPr>
          <w:p w14:paraId="2A4F163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73" w:type="dxa"/>
            <w:vAlign w:val="top"/>
          </w:tcPr>
          <w:p w14:paraId="5A50C10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29" w:type="dxa"/>
            <w:vAlign w:val="top"/>
          </w:tcPr>
          <w:p w14:paraId="1634543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75" w:type="dxa"/>
            <w:vAlign w:val="top"/>
          </w:tcPr>
          <w:p w14:paraId="69B9B59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77A8D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47" w:type="dxa"/>
            <w:vAlign w:val="top"/>
          </w:tcPr>
          <w:p w14:paraId="3406D93E">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7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position w:val="1"/>
                <w:sz w:val="21"/>
                <w:szCs w:val="21"/>
                <w:highlight w:val="none"/>
              </w:rPr>
              <w:t>...</w:t>
            </w:r>
          </w:p>
        </w:tc>
        <w:tc>
          <w:tcPr>
            <w:tcW w:w="1158" w:type="dxa"/>
            <w:vAlign w:val="top"/>
          </w:tcPr>
          <w:p w14:paraId="198DF0D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4" w:type="dxa"/>
            <w:vAlign w:val="top"/>
          </w:tcPr>
          <w:p w14:paraId="5B529C8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33" w:type="dxa"/>
            <w:vAlign w:val="top"/>
          </w:tcPr>
          <w:p w14:paraId="3AD03F9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73" w:type="dxa"/>
            <w:vAlign w:val="top"/>
          </w:tcPr>
          <w:p w14:paraId="61D97D1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29" w:type="dxa"/>
            <w:vAlign w:val="top"/>
          </w:tcPr>
          <w:p w14:paraId="57E863F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75" w:type="dxa"/>
            <w:vAlign w:val="top"/>
          </w:tcPr>
          <w:p w14:paraId="386B4A7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bl>
    <w:p w14:paraId="6A12EAD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45"/>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注：投标人按采购需求及评分办法要求对格式自行编制，须随表提交相应的证书复印</w:t>
      </w:r>
    </w:p>
    <w:p w14:paraId="6C517A8C">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件。</w:t>
      </w:r>
    </w:p>
    <w:p w14:paraId="21C36C2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4EC8883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4DE3387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6E56BC79">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178" w:right="139" w:hanging="38"/>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投标人（电子签章</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日期：</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09"/>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年</w:t>
      </w:r>
      <w:r>
        <w:rPr>
          <w:rFonts w:hint="eastAsia" w:asciiTheme="minorEastAsia" w:hAnsiTheme="minorEastAsia" w:eastAsiaTheme="minorEastAsia" w:cstheme="minorEastAsia"/>
          <w:color w:val="auto"/>
          <w:spacing w:val="17"/>
          <w:sz w:val="21"/>
          <w:szCs w:val="21"/>
          <w:highlight w:val="none"/>
          <w:u w:val="single" w:color="auto"/>
        </w:rPr>
        <w:t xml:space="preserve">       </w:t>
      </w:r>
      <w:r>
        <w:rPr>
          <w:rFonts w:hint="eastAsia" w:asciiTheme="minorEastAsia" w:hAnsiTheme="minorEastAsia" w:eastAsiaTheme="minorEastAsia" w:cstheme="minorEastAsia"/>
          <w:color w:val="auto"/>
          <w:spacing w:val="-10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月</w:t>
      </w:r>
      <w:r>
        <w:rPr>
          <w:rFonts w:hint="eastAsia" w:asciiTheme="minorEastAsia" w:hAnsiTheme="minorEastAsia" w:eastAsiaTheme="minorEastAsia" w:cstheme="minorEastAsia"/>
          <w:color w:val="auto"/>
          <w:spacing w:val="19"/>
          <w:sz w:val="21"/>
          <w:szCs w:val="21"/>
          <w:highlight w:val="none"/>
          <w:u w:val="single" w:color="auto"/>
        </w:rPr>
        <w:t xml:space="preserve">      </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w:t>
      </w:r>
    </w:p>
    <w:p w14:paraId="526E4760">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08"/>
        <w:textAlignment w:val="baseline"/>
        <w:outlineLvl w:val="2"/>
        <w:rPr>
          <w:b/>
          <w:bCs/>
          <w:color w:val="auto"/>
          <w:spacing w:val="-4"/>
          <w:sz w:val="20"/>
          <w:szCs w:val="20"/>
          <w:highlight w:val="none"/>
        </w:rPr>
      </w:pPr>
    </w:p>
    <w:p w14:paraId="5BFE220D">
      <w:pPr>
        <w:pStyle w:val="8"/>
        <w:spacing w:before="157" w:line="219" w:lineRule="auto"/>
        <w:ind w:left="308"/>
        <w:outlineLvl w:val="2"/>
        <w:rPr>
          <w:b/>
          <w:bCs/>
          <w:color w:val="auto"/>
          <w:spacing w:val="-4"/>
          <w:sz w:val="24"/>
          <w:szCs w:val="24"/>
          <w:highlight w:val="none"/>
        </w:rPr>
      </w:pPr>
    </w:p>
    <w:p w14:paraId="1EA734DE">
      <w:pPr>
        <w:pStyle w:val="8"/>
        <w:spacing w:before="157" w:line="219" w:lineRule="auto"/>
        <w:ind w:left="308"/>
        <w:outlineLvl w:val="2"/>
        <w:rPr>
          <w:b/>
          <w:bCs/>
          <w:color w:val="auto"/>
          <w:spacing w:val="-4"/>
          <w:sz w:val="24"/>
          <w:szCs w:val="24"/>
          <w:highlight w:val="none"/>
        </w:rPr>
      </w:pPr>
    </w:p>
    <w:p w14:paraId="16E2C236">
      <w:pPr>
        <w:pStyle w:val="8"/>
        <w:spacing w:before="157" w:line="219" w:lineRule="auto"/>
        <w:ind w:left="308"/>
        <w:outlineLvl w:val="2"/>
        <w:rPr>
          <w:b/>
          <w:bCs/>
          <w:color w:val="auto"/>
          <w:spacing w:val="-4"/>
          <w:sz w:val="24"/>
          <w:szCs w:val="24"/>
          <w:highlight w:val="none"/>
        </w:rPr>
      </w:pPr>
    </w:p>
    <w:p w14:paraId="62E521C5">
      <w:pPr>
        <w:pStyle w:val="8"/>
        <w:spacing w:before="157" w:line="219" w:lineRule="auto"/>
        <w:ind w:left="308"/>
        <w:outlineLvl w:val="2"/>
        <w:rPr>
          <w:b/>
          <w:bCs/>
          <w:color w:val="auto"/>
          <w:spacing w:val="-4"/>
          <w:sz w:val="24"/>
          <w:szCs w:val="24"/>
          <w:highlight w:val="none"/>
        </w:rPr>
      </w:pPr>
    </w:p>
    <w:p w14:paraId="4F0DD461">
      <w:pPr>
        <w:pStyle w:val="8"/>
        <w:spacing w:before="157" w:line="219" w:lineRule="auto"/>
        <w:ind w:left="308"/>
        <w:outlineLvl w:val="2"/>
        <w:rPr>
          <w:b/>
          <w:bCs/>
          <w:color w:val="auto"/>
          <w:spacing w:val="-4"/>
          <w:sz w:val="24"/>
          <w:szCs w:val="24"/>
          <w:highlight w:val="none"/>
        </w:rPr>
      </w:pPr>
    </w:p>
    <w:p w14:paraId="7A34447A">
      <w:pPr>
        <w:pStyle w:val="8"/>
        <w:spacing w:before="157" w:line="219" w:lineRule="auto"/>
        <w:ind w:left="308"/>
        <w:outlineLvl w:val="2"/>
        <w:rPr>
          <w:b/>
          <w:bCs/>
          <w:color w:val="auto"/>
          <w:spacing w:val="-4"/>
          <w:sz w:val="24"/>
          <w:szCs w:val="24"/>
          <w:highlight w:val="none"/>
        </w:rPr>
      </w:pPr>
    </w:p>
    <w:p w14:paraId="56E19AD5">
      <w:pPr>
        <w:pStyle w:val="8"/>
        <w:spacing w:before="157" w:line="219" w:lineRule="auto"/>
        <w:ind w:left="308"/>
        <w:outlineLvl w:val="2"/>
        <w:rPr>
          <w:b/>
          <w:bCs/>
          <w:color w:val="auto"/>
          <w:spacing w:val="-4"/>
          <w:sz w:val="24"/>
          <w:szCs w:val="24"/>
          <w:highlight w:val="none"/>
        </w:rPr>
      </w:pPr>
    </w:p>
    <w:p w14:paraId="49DAE44C">
      <w:pPr>
        <w:pStyle w:val="8"/>
        <w:spacing w:before="157" w:line="219" w:lineRule="auto"/>
        <w:ind w:left="308"/>
        <w:outlineLvl w:val="2"/>
        <w:rPr>
          <w:b/>
          <w:bCs/>
          <w:color w:val="auto"/>
          <w:spacing w:val="-4"/>
          <w:sz w:val="24"/>
          <w:szCs w:val="24"/>
          <w:highlight w:val="none"/>
        </w:rPr>
      </w:pPr>
    </w:p>
    <w:p w14:paraId="78800E8C">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2"/>
        <w:rPr>
          <w:color w:val="auto"/>
          <w:sz w:val="24"/>
          <w:szCs w:val="24"/>
          <w:highlight w:val="none"/>
        </w:rPr>
      </w:pPr>
      <w:r>
        <w:rPr>
          <w:b/>
          <w:bCs/>
          <w:color w:val="auto"/>
          <w:spacing w:val="-4"/>
          <w:sz w:val="24"/>
          <w:szCs w:val="24"/>
          <w:highlight w:val="none"/>
        </w:rPr>
        <w:t>13.检测能力一览表格式</w:t>
      </w:r>
    </w:p>
    <w:p w14:paraId="1E3C3BB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6E5F2909">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08"/>
        <w:jc w:val="center"/>
        <w:textAlignment w:val="baseline"/>
        <w:outlineLvl w:val="2"/>
        <w:rPr>
          <w:b/>
          <w:bCs/>
          <w:color w:val="auto"/>
          <w:spacing w:val="-4"/>
          <w:sz w:val="28"/>
          <w:szCs w:val="28"/>
          <w:highlight w:val="none"/>
        </w:rPr>
      </w:pPr>
      <w:r>
        <w:rPr>
          <w:b/>
          <w:bCs/>
          <w:color w:val="auto"/>
          <w:spacing w:val="-4"/>
          <w:sz w:val="28"/>
          <w:szCs w:val="28"/>
          <w:highlight w:val="none"/>
        </w:rPr>
        <w:t>检测能力一览表</w:t>
      </w:r>
    </w:p>
    <w:p w14:paraId="3EF57A8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65291D0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14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所投分包：</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8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分包（标段）</w:t>
      </w:r>
    </w:p>
    <w:tbl>
      <w:tblPr>
        <w:tblStyle w:val="12"/>
        <w:tblW w:w="8701"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992"/>
        <w:gridCol w:w="1244"/>
        <w:gridCol w:w="780"/>
        <w:gridCol w:w="1155"/>
        <w:gridCol w:w="1065"/>
        <w:gridCol w:w="1515"/>
        <w:gridCol w:w="1095"/>
      </w:tblGrid>
      <w:tr w14:paraId="34661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55" w:type="dxa"/>
            <w:vAlign w:val="center"/>
          </w:tcPr>
          <w:p w14:paraId="0A050E22">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序号</w:t>
            </w:r>
          </w:p>
        </w:tc>
        <w:tc>
          <w:tcPr>
            <w:tcW w:w="992" w:type="dxa"/>
            <w:vAlign w:val="center"/>
          </w:tcPr>
          <w:p w14:paraId="6A4034B9">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名称</w:t>
            </w:r>
          </w:p>
        </w:tc>
        <w:tc>
          <w:tcPr>
            <w:tcW w:w="1244" w:type="dxa"/>
            <w:vAlign w:val="center"/>
          </w:tcPr>
          <w:p w14:paraId="429073DF">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组织单位</w:t>
            </w:r>
          </w:p>
        </w:tc>
        <w:tc>
          <w:tcPr>
            <w:tcW w:w="780" w:type="dxa"/>
            <w:vAlign w:val="center"/>
          </w:tcPr>
          <w:p w14:paraId="4C2203E4">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结果满 意项数</w:t>
            </w:r>
          </w:p>
        </w:tc>
        <w:tc>
          <w:tcPr>
            <w:tcW w:w="1155" w:type="dxa"/>
            <w:vAlign w:val="center"/>
          </w:tcPr>
          <w:p w14:paraId="5513035A">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等级（市、 厅等）</w:t>
            </w:r>
          </w:p>
        </w:tc>
        <w:tc>
          <w:tcPr>
            <w:tcW w:w="1065" w:type="dxa"/>
            <w:vAlign w:val="center"/>
          </w:tcPr>
          <w:p w14:paraId="540D79F4">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证明材料</w:t>
            </w:r>
          </w:p>
        </w:tc>
        <w:tc>
          <w:tcPr>
            <w:tcW w:w="1515" w:type="dxa"/>
            <w:vAlign w:val="center"/>
          </w:tcPr>
          <w:p w14:paraId="7EE7EB45">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证明材料在响应 文件中页码</w:t>
            </w:r>
          </w:p>
        </w:tc>
        <w:tc>
          <w:tcPr>
            <w:tcW w:w="1095" w:type="dxa"/>
            <w:vAlign w:val="center"/>
          </w:tcPr>
          <w:p w14:paraId="1C268F60">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备注</w:t>
            </w:r>
          </w:p>
        </w:tc>
      </w:tr>
      <w:tr w14:paraId="0271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5" w:type="dxa"/>
            <w:vAlign w:val="top"/>
          </w:tcPr>
          <w:p w14:paraId="5F06B0B2">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96"/>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2" w:type="dxa"/>
            <w:vAlign w:val="top"/>
          </w:tcPr>
          <w:p w14:paraId="7A1663B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44" w:type="dxa"/>
            <w:vAlign w:val="top"/>
          </w:tcPr>
          <w:p w14:paraId="550D7F3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780" w:type="dxa"/>
            <w:vAlign w:val="top"/>
          </w:tcPr>
          <w:p w14:paraId="55CFA4B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55" w:type="dxa"/>
            <w:vAlign w:val="top"/>
          </w:tcPr>
          <w:p w14:paraId="700B6A9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65" w:type="dxa"/>
            <w:vAlign w:val="top"/>
          </w:tcPr>
          <w:p w14:paraId="6512390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515" w:type="dxa"/>
            <w:vAlign w:val="top"/>
          </w:tcPr>
          <w:p w14:paraId="465FEC5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95" w:type="dxa"/>
            <w:vAlign w:val="top"/>
          </w:tcPr>
          <w:p w14:paraId="3511F3C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13D92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5" w:type="dxa"/>
            <w:vAlign w:val="top"/>
          </w:tcPr>
          <w:p w14:paraId="72F68614">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83"/>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992" w:type="dxa"/>
            <w:vAlign w:val="top"/>
          </w:tcPr>
          <w:p w14:paraId="6C015B6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44" w:type="dxa"/>
            <w:vAlign w:val="top"/>
          </w:tcPr>
          <w:p w14:paraId="0D68D80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780" w:type="dxa"/>
            <w:vAlign w:val="top"/>
          </w:tcPr>
          <w:p w14:paraId="5B6F745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55" w:type="dxa"/>
            <w:vAlign w:val="top"/>
          </w:tcPr>
          <w:p w14:paraId="2E79381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65" w:type="dxa"/>
            <w:vAlign w:val="top"/>
          </w:tcPr>
          <w:p w14:paraId="2ACE552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515" w:type="dxa"/>
            <w:vAlign w:val="top"/>
          </w:tcPr>
          <w:p w14:paraId="7AB6CB9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95" w:type="dxa"/>
            <w:vAlign w:val="top"/>
          </w:tcPr>
          <w:p w14:paraId="2AB5F2B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6B7D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5" w:type="dxa"/>
            <w:vAlign w:val="top"/>
          </w:tcPr>
          <w:p w14:paraId="0F463494">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38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992" w:type="dxa"/>
            <w:vAlign w:val="top"/>
          </w:tcPr>
          <w:p w14:paraId="5733C72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44" w:type="dxa"/>
            <w:vAlign w:val="top"/>
          </w:tcPr>
          <w:p w14:paraId="0C9D76E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780" w:type="dxa"/>
            <w:vAlign w:val="top"/>
          </w:tcPr>
          <w:p w14:paraId="6D35723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55" w:type="dxa"/>
            <w:vAlign w:val="top"/>
          </w:tcPr>
          <w:p w14:paraId="27274B0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65" w:type="dxa"/>
            <w:vAlign w:val="top"/>
          </w:tcPr>
          <w:p w14:paraId="0FD3808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515" w:type="dxa"/>
            <w:vAlign w:val="top"/>
          </w:tcPr>
          <w:p w14:paraId="5B31507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95" w:type="dxa"/>
            <w:vAlign w:val="top"/>
          </w:tcPr>
          <w:p w14:paraId="4D877CB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7A94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55" w:type="dxa"/>
            <w:vAlign w:val="top"/>
          </w:tcPr>
          <w:p w14:paraId="5D4A0538">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8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position w:val="1"/>
                <w:sz w:val="21"/>
                <w:szCs w:val="21"/>
                <w:highlight w:val="none"/>
              </w:rPr>
              <w:t>...</w:t>
            </w:r>
          </w:p>
        </w:tc>
        <w:tc>
          <w:tcPr>
            <w:tcW w:w="992" w:type="dxa"/>
            <w:vAlign w:val="top"/>
          </w:tcPr>
          <w:p w14:paraId="187BA35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244" w:type="dxa"/>
            <w:vAlign w:val="top"/>
          </w:tcPr>
          <w:p w14:paraId="3B57EF8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780" w:type="dxa"/>
            <w:vAlign w:val="top"/>
          </w:tcPr>
          <w:p w14:paraId="33CD7C9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155" w:type="dxa"/>
            <w:vAlign w:val="top"/>
          </w:tcPr>
          <w:p w14:paraId="443D7A1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65" w:type="dxa"/>
            <w:vAlign w:val="top"/>
          </w:tcPr>
          <w:p w14:paraId="03F5046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515" w:type="dxa"/>
            <w:vAlign w:val="top"/>
          </w:tcPr>
          <w:p w14:paraId="7AA9177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95" w:type="dxa"/>
            <w:vAlign w:val="top"/>
          </w:tcPr>
          <w:p w14:paraId="6436B5B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bl>
    <w:p w14:paraId="6ED69036">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545"/>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注：投标人按采购需求及评分办法要求对格式自行编制，须随表提交相应的证书复印</w:t>
      </w:r>
    </w:p>
    <w:p w14:paraId="53566860">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件。</w:t>
      </w:r>
    </w:p>
    <w:p w14:paraId="1CBDFF4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6267B5C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4CAE837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7EB4D82E">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4178" w:right="139" w:hanging="41"/>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供应商（电子签章</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日期：</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09"/>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年</w:t>
      </w:r>
      <w:r>
        <w:rPr>
          <w:rFonts w:hint="eastAsia" w:asciiTheme="minorEastAsia" w:hAnsiTheme="minorEastAsia" w:eastAsiaTheme="minorEastAsia" w:cstheme="minorEastAsia"/>
          <w:color w:val="auto"/>
          <w:spacing w:val="17"/>
          <w:sz w:val="21"/>
          <w:szCs w:val="21"/>
          <w:highlight w:val="none"/>
          <w:u w:val="single" w:color="auto"/>
        </w:rPr>
        <w:t xml:space="preserve">       </w:t>
      </w:r>
      <w:r>
        <w:rPr>
          <w:rFonts w:hint="eastAsia" w:asciiTheme="minorEastAsia" w:hAnsiTheme="minorEastAsia" w:eastAsiaTheme="minorEastAsia" w:cstheme="minorEastAsia"/>
          <w:color w:val="auto"/>
          <w:spacing w:val="-10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月</w:t>
      </w:r>
      <w:r>
        <w:rPr>
          <w:rFonts w:hint="eastAsia" w:asciiTheme="minorEastAsia" w:hAnsiTheme="minorEastAsia" w:eastAsiaTheme="minorEastAsia" w:cstheme="minorEastAsia"/>
          <w:color w:val="auto"/>
          <w:spacing w:val="19"/>
          <w:sz w:val="21"/>
          <w:szCs w:val="21"/>
          <w:highlight w:val="none"/>
          <w:u w:val="single" w:color="auto"/>
        </w:rPr>
        <w:t xml:space="preserve">      </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日</w:t>
      </w:r>
    </w:p>
    <w:p w14:paraId="4B37C05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color w:val="auto"/>
          <w:sz w:val="20"/>
          <w:szCs w:val="20"/>
          <w:highlight w:val="none"/>
        </w:rPr>
        <w:sectPr>
          <w:footerReference r:id="rId55" w:type="default"/>
          <w:pgSz w:w="11906" w:h="16839"/>
          <w:pgMar w:top="2098" w:right="1474" w:bottom="1984" w:left="1587" w:header="0" w:footer="677" w:gutter="0"/>
          <w:pgNumType w:fmt="decimal"/>
          <w:cols w:space="720" w:num="1"/>
          <w:rtlGutter w:val="0"/>
          <w:docGrid w:linePitch="0" w:charSpace="0"/>
        </w:sectPr>
      </w:pPr>
    </w:p>
    <w:p w14:paraId="79707A2B">
      <w:pPr>
        <w:pStyle w:val="8"/>
        <w:keepNext w:val="0"/>
        <w:keepLines w:val="0"/>
        <w:pageBreakBefore w:val="0"/>
        <w:wordWrap/>
        <w:overflowPunct/>
        <w:topLinePunct w:val="0"/>
        <w:bidi w:val="0"/>
        <w:spacing w:line="440" w:lineRule="exact"/>
        <w:ind w:left="157"/>
        <w:outlineLvl w:val="1"/>
        <w:rPr>
          <w:color w:val="auto"/>
          <w:sz w:val="28"/>
          <w:szCs w:val="28"/>
          <w:highlight w:val="none"/>
        </w:rPr>
      </w:pPr>
      <w:r>
        <w:rPr>
          <w:b/>
          <w:bCs/>
          <w:color w:val="auto"/>
          <w:spacing w:val="-4"/>
          <w:sz w:val="28"/>
          <w:szCs w:val="28"/>
          <w:highlight w:val="none"/>
        </w:rPr>
        <w:t>五、其他文书、文件格式</w:t>
      </w:r>
    </w:p>
    <w:p w14:paraId="1B4D68D8">
      <w:pPr>
        <w:pStyle w:val="8"/>
        <w:keepNext w:val="0"/>
        <w:keepLines w:val="0"/>
        <w:pageBreakBefore w:val="0"/>
        <w:wordWrap/>
        <w:overflowPunct/>
        <w:topLinePunct w:val="0"/>
        <w:bidi w:val="0"/>
        <w:spacing w:line="440" w:lineRule="exact"/>
        <w:ind w:left="27" w:firstLine="231" w:firstLineChars="100"/>
        <w:outlineLvl w:val="2"/>
        <w:rPr>
          <w:color w:val="auto"/>
          <w:sz w:val="24"/>
          <w:szCs w:val="24"/>
          <w:highlight w:val="none"/>
        </w:rPr>
      </w:pPr>
      <w:r>
        <w:rPr>
          <w:b/>
          <w:bCs/>
          <w:color w:val="auto"/>
          <w:spacing w:val="-5"/>
          <w:sz w:val="24"/>
          <w:szCs w:val="24"/>
          <w:highlight w:val="none"/>
        </w:rPr>
        <w:t>1.中小企业声明函格式</w:t>
      </w:r>
    </w:p>
    <w:p w14:paraId="5D2A7CD8">
      <w:pPr>
        <w:keepNext w:val="0"/>
        <w:keepLines w:val="0"/>
        <w:pageBreakBefore w:val="0"/>
        <w:wordWrap/>
        <w:overflowPunct/>
        <w:topLinePunct w:val="0"/>
        <w:bidi w:val="0"/>
        <w:spacing w:line="440" w:lineRule="exact"/>
        <w:rPr>
          <w:rFonts w:ascii="Arial"/>
          <w:color w:val="auto"/>
          <w:sz w:val="21"/>
          <w:highlight w:val="none"/>
        </w:rPr>
      </w:pPr>
    </w:p>
    <w:p w14:paraId="4F1257DE">
      <w:pPr>
        <w:pStyle w:val="8"/>
        <w:keepNext w:val="0"/>
        <w:keepLines w:val="0"/>
        <w:pageBreakBefore w:val="0"/>
        <w:wordWrap/>
        <w:overflowPunct/>
        <w:topLinePunct w:val="0"/>
        <w:bidi w:val="0"/>
        <w:spacing w:line="440" w:lineRule="exact"/>
        <w:ind w:left="27"/>
        <w:jc w:val="center"/>
        <w:outlineLvl w:val="2"/>
        <w:rPr>
          <w:b/>
          <w:bCs/>
          <w:color w:val="auto"/>
          <w:spacing w:val="-5"/>
          <w:sz w:val="28"/>
          <w:szCs w:val="28"/>
          <w:highlight w:val="none"/>
        </w:rPr>
      </w:pPr>
      <w:r>
        <w:rPr>
          <w:b/>
          <w:bCs/>
          <w:color w:val="auto"/>
          <w:spacing w:val="-5"/>
          <w:sz w:val="28"/>
          <w:szCs w:val="28"/>
          <w:highlight w:val="none"/>
        </w:rPr>
        <w:t>中小企业声明函（服务）</w:t>
      </w:r>
    </w:p>
    <w:p w14:paraId="49BE5357">
      <w:pPr>
        <w:keepNext w:val="0"/>
        <w:keepLines w:val="0"/>
        <w:pageBreakBefore w:val="0"/>
        <w:wordWrap/>
        <w:overflowPunct/>
        <w:topLinePunct w:val="0"/>
        <w:bidi w:val="0"/>
        <w:spacing w:line="440" w:lineRule="exact"/>
        <w:rPr>
          <w:rFonts w:ascii="Arial"/>
          <w:color w:val="auto"/>
          <w:sz w:val="21"/>
          <w:highlight w:val="none"/>
        </w:rPr>
      </w:pPr>
    </w:p>
    <w:p w14:paraId="18D421CB">
      <w:pPr>
        <w:pStyle w:val="8"/>
        <w:keepNext w:val="0"/>
        <w:keepLines w:val="0"/>
        <w:pageBreakBefore w:val="0"/>
        <w:wordWrap/>
        <w:overflowPunct/>
        <w:topLinePunct w:val="0"/>
        <w:bidi w:val="0"/>
        <w:spacing w:line="440" w:lineRule="exact"/>
        <w:ind w:left="-199" w:leftChars="-95" w:right="122" w:firstLine="285" w:firstLineChars="0"/>
        <w:jc w:val="both"/>
        <w:rPr>
          <w:color w:val="auto"/>
          <w:sz w:val="21"/>
          <w:szCs w:val="21"/>
          <w:highlight w:val="none"/>
        </w:rPr>
      </w:pPr>
      <w:r>
        <w:rPr>
          <w:color w:val="auto"/>
          <w:spacing w:val="1"/>
          <w:sz w:val="21"/>
          <w:szCs w:val="21"/>
          <w:highlight w:val="none"/>
        </w:rPr>
        <w:t>本公司（联合体）郑重声明，根据《政府采购促进中小企业发展管理办法》（财</w:t>
      </w:r>
      <w:r>
        <w:rPr>
          <w:color w:val="auto"/>
          <w:spacing w:val="-2"/>
          <w:sz w:val="21"/>
          <w:szCs w:val="21"/>
          <w:highlight w:val="none"/>
        </w:rPr>
        <w:t>库﹝2020﹞46</w:t>
      </w:r>
      <w:r>
        <w:rPr>
          <w:color w:val="auto"/>
          <w:spacing w:val="-33"/>
          <w:sz w:val="21"/>
          <w:szCs w:val="21"/>
          <w:highlight w:val="none"/>
        </w:rPr>
        <w:t xml:space="preserve"> </w:t>
      </w:r>
      <w:r>
        <w:rPr>
          <w:color w:val="auto"/>
          <w:spacing w:val="-2"/>
          <w:sz w:val="21"/>
          <w:szCs w:val="21"/>
          <w:highlight w:val="none"/>
        </w:rPr>
        <w:t>号）的规定，本公司（联合体）参加</w:t>
      </w:r>
      <w:r>
        <w:rPr>
          <w:color w:val="auto"/>
          <w:spacing w:val="-2"/>
          <w:sz w:val="21"/>
          <w:szCs w:val="21"/>
          <w:highlight w:val="none"/>
          <w:u w:val="single" w:color="auto"/>
        </w:rPr>
        <w:t>（采购人）</w:t>
      </w:r>
      <w:r>
        <w:rPr>
          <w:color w:val="auto"/>
          <w:spacing w:val="-2"/>
          <w:sz w:val="21"/>
          <w:szCs w:val="21"/>
          <w:highlight w:val="none"/>
        </w:rPr>
        <w:t>的</w:t>
      </w:r>
      <w:r>
        <w:rPr>
          <w:color w:val="auto"/>
          <w:spacing w:val="-2"/>
          <w:sz w:val="21"/>
          <w:szCs w:val="21"/>
          <w:highlight w:val="none"/>
          <w:u w:val="single" w:color="auto"/>
        </w:rPr>
        <w:t>（项目名称/项目编号）</w:t>
      </w:r>
      <w:r>
        <w:rPr>
          <w:color w:val="auto"/>
          <w:sz w:val="21"/>
          <w:szCs w:val="21"/>
          <w:highlight w:val="none"/>
        </w:rPr>
        <w:t xml:space="preserve"> </w:t>
      </w:r>
      <w:r>
        <w:rPr>
          <w:color w:val="auto"/>
          <w:spacing w:val="1"/>
          <w:sz w:val="21"/>
          <w:szCs w:val="21"/>
          <w:highlight w:val="none"/>
        </w:rPr>
        <w:t>项目采购活动，服务全部由符合政策要求的中小企业承</w:t>
      </w:r>
      <w:r>
        <w:rPr>
          <w:color w:val="auto"/>
          <w:sz w:val="21"/>
          <w:szCs w:val="21"/>
          <w:highlight w:val="none"/>
        </w:rPr>
        <w:t>接。相关企业（含联合体中的中</w:t>
      </w:r>
      <w:r>
        <w:rPr>
          <w:color w:val="auto"/>
          <w:spacing w:val="-1"/>
          <w:sz w:val="21"/>
          <w:szCs w:val="21"/>
          <w:highlight w:val="none"/>
        </w:rPr>
        <w:t>小企业、签订分包意向协议的中小企业）的具体情况如下：</w:t>
      </w:r>
    </w:p>
    <w:p w14:paraId="7E7D5B38">
      <w:pPr>
        <w:pStyle w:val="8"/>
        <w:keepNext w:val="0"/>
        <w:keepLines w:val="0"/>
        <w:pageBreakBefore w:val="0"/>
        <w:tabs>
          <w:tab w:val="left" w:pos="9040"/>
        </w:tabs>
        <w:wordWrap/>
        <w:overflowPunct/>
        <w:topLinePunct w:val="0"/>
        <w:bidi w:val="0"/>
        <w:spacing w:line="440" w:lineRule="exact"/>
        <w:ind w:left="-197" w:leftChars="-94" w:right="160" w:firstLine="198" w:firstLineChars="99"/>
        <w:jc w:val="both"/>
        <w:rPr>
          <w:color w:val="auto"/>
          <w:sz w:val="21"/>
          <w:szCs w:val="21"/>
          <w:highlight w:val="none"/>
        </w:rPr>
      </w:pPr>
      <w:r>
        <w:rPr>
          <w:color w:val="auto"/>
          <w:spacing w:val="-5"/>
          <w:sz w:val="21"/>
          <w:szCs w:val="21"/>
          <w:highlight w:val="none"/>
        </w:rPr>
        <w:t>1.</w:t>
      </w:r>
      <w:r>
        <w:rPr>
          <w:color w:val="auto"/>
          <w:spacing w:val="-5"/>
          <w:sz w:val="21"/>
          <w:szCs w:val="21"/>
          <w:highlight w:val="none"/>
          <w:u w:val="single" w:color="auto"/>
        </w:rPr>
        <w:t>（标的名称</w:t>
      </w:r>
      <w:r>
        <w:rPr>
          <w:color w:val="auto"/>
          <w:spacing w:val="-51"/>
          <w:sz w:val="21"/>
          <w:szCs w:val="21"/>
          <w:highlight w:val="none"/>
          <w:u w:val="single" w:color="auto"/>
        </w:rPr>
        <w:t>）</w:t>
      </w:r>
      <w:r>
        <w:rPr>
          <w:color w:val="auto"/>
          <w:spacing w:val="-51"/>
          <w:sz w:val="21"/>
          <w:szCs w:val="21"/>
          <w:highlight w:val="none"/>
        </w:rPr>
        <w:t>，</w:t>
      </w:r>
      <w:r>
        <w:rPr>
          <w:color w:val="auto"/>
          <w:spacing w:val="-5"/>
          <w:sz w:val="21"/>
          <w:szCs w:val="21"/>
          <w:highlight w:val="none"/>
        </w:rPr>
        <w:t>属于</w:t>
      </w:r>
      <w:r>
        <w:rPr>
          <w:color w:val="auto"/>
          <w:spacing w:val="-5"/>
          <w:sz w:val="21"/>
          <w:szCs w:val="21"/>
          <w:highlight w:val="none"/>
          <w:u w:val="single" w:color="auto"/>
        </w:rPr>
        <w:t>（采购文件中明确的所属行业</w:t>
      </w:r>
      <w:r>
        <w:rPr>
          <w:color w:val="auto"/>
          <w:spacing w:val="-51"/>
          <w:sz w:val="21"/>
          <w:szCs w:val="21"/>
          <w:highlight w:val="none"/>
          <w:u w:val="single" w:color="auto"/>
        </w:rPr>
        <w:t>）</w:t>
      </w:r>
      <w:r>
        <w:rPr>
          <w:color w:val="auto"/>
          <w:spacing w:val="-51"/>
          <w:sz w:val="21"/>
          <w:szCs w:val="21"/>
          <w:highlight w:val="none"/>
        </w:rPr>
        <w:t>；</w:t>
      </w:r>
      <w:r>
        <w:rPr>
          <w:color w:val="auto"/>
          <w:spacing w:val="-5"/>
          <w:sz w:val="21"/>
          <w:szCs w:val="21"/>
          <w:highlight w:val="none"/>
        </w:rPr>
        <w:t>承接企业为</w:t>
      </w:r>
      <w:r>
        <w:rPr>
          <w:color w:val="auto"/>
          <w:spacing w:val="-5"/>
          <w:sz w:val="21"/>
          <w:szCs w:val="21"/>
          <w:highlight w:val="none"/>
          <w:u w:val="single" w:color="auto"/>
        </w:rPr>
        <w:t>（企业</w:t>
      </w:r>
      <w:r>
        <w:rPr>
          <w:color w:val="auto"/>
          <w:spacing w:val="-6"/>
          <w:sz w:val="21"/>
          <w:szCs w:val="21"/>
          <w:highlight w:val="none"/>
          <w:u w:val="single" w:color="auto"/>
        </w:rPr>
        <w:t>名称</w:t>
      </w:r>
      <w:r>
        <w:rPr>
          <w:color w:val="auto"/>
          <w:spacing w:val="-51"/>
          <w:sz w:val="21"/>
          <w:szCs w:val="21"/>
          <w:highlight w:val="none"/>
          <w:u w:val="single" w:color="auto"/>
        </w:rPr>
        <w:t>）</w:t>
      </w:r>
      <w:r>
        <w:rPr>
          <w:color w:val="auto"/>
          <w:spacing w:val="-51"/>
          <w:sz w:val="21"/>
          <w:szCs w:val="21"/>
          <w:highlight w:val="none"/>
        </w:rPr>
        <w:t>，</w:t>
      </w:r>
      <w:r>
        <w:rPr>
          <w:color w:val="auto"/>
          <w:spacing w:val="1"/>
          <w:sz w:val="21"/>
          <w:szCs w:val="21"/>
          <w:highlight w:val="none"/>
        </w:rPr>
        <w:t>从业人员</w:t>
      </w:r>
      <w:r>
        <w:rPr>
          <w:rFonts w:hint="eastAsia"/>
          <w:color w:val="auto"/>
          <w:spacing w:val="1"/>
          <w:sz w:val="21"/>
          <w:szCs w:val="21"/>
          <w:highlight w:val="none"/>
          <w:u w:val="none"/>
          <w:lang w:val="en-US" w:eastAsia="zh-CN"/>
        </w:rPr>
        <w:t xml:space="preserve"> </w:t>
      </w:r>
      <w:r>
        <w:rPr>
          <w:rFonts w:hint="eastAsia"/>
          <w:color w:val="auto"/>
          <w:spacing w:val="1"/>
          <w:sz w:val="21"/>
          <w:szCs w:val="21"/>
          <w:highlight w:val="none"/>
          <w:u w:val="single"/>
          <w:lang w:val="en-US" w:eastAsia="zh-CN"/>
        </w:rPr>
        <w:t xml:space="preserve">   </w:t>
      </w:r>
      <w:r>
        <w:rPr>
          <w:color w:val="auto"/>
          <w:spacing w:val="1"/>
          <w:sz w:val="21"/>
          <w:szCs w:val="21"/>
          <w:highlight w:val="none"/>
        </w:rPr>
        <w:t>人，营业收入为</w:t>
      </w:r>
      <w:r>
        <w:rPr>
          <w:rFonts w:hint="eastAsia"/>
          <w:color w:val="auto"/>
          <w:spacing w:val="1"/>
          <w:sz w:val="21"/>
          <w:szCs w:val="21"/>
          <w:highlight w:val="none"/>
          <w:u w:val="single"/>
          <w:lang w:val="en-US" w:eastAsia="zh-CN"/>
        </w:rPr>
        <w:t xml:space="preserve">   </w:t>
      </w:r>
      <w:r>
        <w:rPr>
          <w:color w:val="auto"/>
          <w:spacing w:val="1"/>
          <w:sz w:val="21"/>
          <w:szCs w:val="21"/>
          <w:highlight w:val="none"/>
        </w:rPr>
        <w:t>万元，资产总额为</w:t>
      </w:r>
      <w:r>
        <w:rPr>
          <w:rFonts w:hint="eastAsia"/>
          <w:color w:val="auto"/>
          <w:spacing w:val="1"/>
          <w:sz w:val="21"/>
          <w:szCs w:val="21"/>
          <w:highlight w:val="none"/>
          <w:u w:val="single"/>
          <w:lang w:val="en-US" w:eastAsia="zh-CN"/>
        </w:rPr>
        <w:t xml:space="preserve">    </w:t>
      </w:r>
      <w:r>
        <w:rPr>
          <w:color w:val="auto"/>
          <w:spacing w:val="1"/>
          <w:sz w:val="21"/>
          <w:szCs w:val="21"/>
          <w:highlight w:val="none"/>
        </w:rPr>
        <w:t>万元，属于</w:t>
      </w:r>
      <w:r>
        <w:rPr>
          <w:color w:val="auto"/>
          <w:spacing w:val="1"/>
          <w:sz w:val="21"/>
          <w:szCs w:val="21"/>
          <w:highlight w:val="none"/>
          <w:u w:val="single" w:color="auto"/>
        </w:rPr>
        <w:t>（中</w:t>
      </w:r>
      <w:r>
        <w:rPr>
          <w:color w:val="auto"/>
          <w:sz w:val="21"/>
          <w:szCs w:val="21"/>
          <w:highlight w:val="none"/>
          <w:u w:val="single" w:color="auto"/>
        </w:rPr>
        <w:t>型企业、小型企业、微型企</w:t>
      </w:r>
      <w:r>
        <w:rPr>
          <w:color w:val="auto"/>
          <w:spacing w:val="-9"/>
          <w:sz w:val="21"/>
          <w:szCs w:val="21"/>
          <w:highlight w:val="none"/>
          <w:u w:val="single" w:color="auto"/>
        </w:rPr>
        <w:t>业</w:t>
      </w:r>
      <w:r>
        <w:rPr>
          <w:color w:val="auto"/>
          <w:sz w:val="21"/>
          <w:szCs w:val="21"/>
          <w:highlight w:val="none"/>
          <w:u w:val="single" w:color="auto"/>
        </w:rPr>
        <w:t>）</w:t>
      </w:r>
      <w:r>
        <w:rPr>
          <w:color w:val="auto"/>
          <w:sz w:val="21"/>
          <w:szCs w:val="21"/>
          <w:highlight w:val="none"/>
        </w:rPr>
        <w:t>；</w:t>
      </w:r>
    </w:p>
    <w:p w14:paraId="654B3995">
      <w:pPr>
        <w:pStyle w:val="8"/>
        <w:keepNext w:val="0"/>
        <w:keepLines w:val="0"/>
        <w:pageBreakBefore w:val="0"/>
        <w:wordWrap/>
        <w:overflowPunct/>
        <w:topLinePunct w:val="0"/>
        <w:bidi w:val="0"/>
        <w:spacing w:line="440" w:lineRule="exact"/>
        <w:ind w:left="0" w:leftChars="0" w:right="102" w:firstLine="0" w:firstLineChars="0"/>
        <w:rPr>
          <w:color w:val="auto"/>
          <w:sz w:val="21"/>
          <w:szCs w:val="21"/>
          <w:highlight w:val="none"/>
        </w:rPr>
      </w:pPr>
      <w:r>
        <w:rPr>
          <w:color w:val="auto"/>
          <w:spacing w:val="-4"/>
          <w:sz w:val="21"/>
          <w:szCs w:val="21"/>
          <w:highlight w:val="none"/>
        </w:rPr>
        <w:t>2.</w:t>
      </w:r>
      <w:r>
        <w:rPr>
          <w:color w:val="auto"/>
          <w:spacing w:val="-4"/>
          <w:sz w:val="21"/>
          <w:szCs w:val="21"/>
          <w:highlight w:val="none"/>
          <w:u w:val="single" w:color="auto"/>
        </w:rPr>
        <w:t>（标的名称</w:t>
      </w:r>
      <w:r>
        <w:rPr>
          <w:color w:val="auto"/>
          <w:spacing w:val="-44"/>
          <w:sz w:val="21"/>
          <w:szCs w:val="21"/>
          <w:highlight w:val="none"/>
          <w:u w:val="single" w:color="auto"/>
        </w:rPr>
        <w:t>）</w:t>
      </w:r>
      <w:r>
        <w:rPr>
          <w:color w:val="auto"/>
          <w:spacing w:val="-44"/>
          <w:sz w:val="21"/>
          <w:szCs w:val="21"/>
          <w:highlight w:val="none"/>
        </w:rPr>
        <w:t>，</w:t>
      </w:r>
      <w:r>
        <w:rPr>
          <w:color w:val="auto"/>
          <w:spacing w:val="-4"/>
          <w:sz w:val="21"/>
          <w:szCs w:val="21"/>
          <w:highlight w:val="none"/>
        </w:rPr>
        <w:t>属于</w:t>
      </w:r>
      <w:r>
        <w:rPr>
          <w:color w:val="auto"/>
          <w:spacing w:val="-4"/>
          <w:sz w:val="21"/>
          <w:szCs w:val="21"/>
          <w:highlight w:val="none"/>
          <w:u w:val="single" w:color="auto"/>
        </w:rPr>
        <w:t>（采购文件中明确的所属行业</w:t>
      </w:r>
      <w:r>
        <w:rPr>
          <w:color w:val="auto"/>
          <w:spacing w:val="-44"/>
          <w:sz w:val="21"/>
          <w:szCs w:val="21"/>
          <w:highlight w:val="none"/>
          <w:u w:val="single" w:color="auto"/>
        </w:rPr>
        <w:t>）</w:t>
      </w:r>
      <w:r>
        <w:rPr>
          <w:color w:val="auto"/>
          <w:spacing w:val="-44"/>
          <w:sz w:val="21"/>
          <w:szCs w:val="21"/>
          <w:highlight w:val="none"/>
        </w:rPr>
        <w:t>；</w:t>
      </w:r>
      <w:r>
        <w:rPr>
          <w:color w:val="auto"/>
          <w:spacing w:val="-4"/>
          <w:sz w:val="21"/>
          <w:szCs w:val="21"/>
          <w:highlight w:val="none"/>
        </w:rPr>
        <w:t>承接企业为</w:t>
      </w:r>
      <w:r>
        <w:rPr>
          <w:color w:val="auto"/>
          <w:spacing w:val="-4"/>
          <w:sz w:val="21"/>
          <w:szCs w:val="21"/>
          <w:highlight w:val="none"/>
          <w:u w:val="single" w:color="auto"/>
        </w:rPr>
        <w:t>（企业名称</w:t>
      </w:r>
      <w:r>
        <w:rPr>
          <w:color w:val="auto"/>
          <w:spacing w:val="-44"/>
          <w:sz w:val="21"/>
          <w:szCs w:val="21"/>
          <w:highlight w:val="none"/>
          <w:u w:val="single" w:color="auto"/>
        </w:rPr>
        <w:t>）</w:t>
      </w:r>
      <w:r>
        <w:rPr>
          <w:color w:val="auto"/>
          <w:spacing w:val="-44"/>
          <w:sz w:val="21"/>
          <w:szCs w:val="21"/>
          <w:highlight w:val="none"/>
        </w:rPr>
        <w:t>，</w:t>
      </w:r>
      <w:r>
        <w:rPr>
          <w:color w:val="auto"/>
          <w:spacing w:val="1"/>
          <w:sz w:val="21"/>
          <w:szCs w:val="21"/>
          <w:highlight w:val="none"/>
        </w:rPr>
        <w:t xml:space="preserve"> </w:t>
      </w:r>
      <w:r>
        <w:rPr>
          <w:color w:val="auto"/>
          <w:spacing w:val="2"/>
          <w:sz w:val="21"/>
          <w:szCs w:val="21"/>
          <w:highlight w:val="none"/>
        </w:rPr>
        <w:t>从业人员</w:t>
      </w:r>
      <w:r>
        <w:rPr>
          <w:rFonts w:hint="eastAsia"/>
          <w:color w:val="auto"/>
          <w:spacing w:val="2"/>
          <w:sz w:val="21"/>
          <w:szCs w:val="21"/>
          <w:highlight w:val="none"/>
          <w:u w:val="single"/>
          <w:lang w:val="en-US" w:eastAsia="zh-CN"/>
        </w:rPr>
        <w:t xml:space="preserve">  </w:t>
      </w:r>
      <w:r>
        <w:rPr>
          <w:color w:val="auto"/>
          <w:spacing w:val="2"/>
          <w:sz w:val="21"/>
          <w:szCs w:val="21"/>
          <w:highlight w:val="none"/>
        </w:rPr>
        <w:t>人，营业收入为</w:t>
      </w:r>
      <w:r>
        <w:rPr>
          <w:rFonts w:hint="eastAsia"/>
          <w:color w:val="auto"/>
          <w:spacing w:val="2"/>
          <w:sz w:val="21"/>
          <w:szCs w:val="21"/>
          <w:highlight w:val="none"/>
          <w:u w:val="single"/>
          <w:lang w:val="en-US" w:eastAsia="zh-CN"/>
        </w:rPr>
        <w:t xml:space="preserve">   </w:t>
      </w:r>
      <w:r>
        <w:rPr>
          <w:color w:val="auto"/>
          <w:spacing w:val="2"/>
          <w:sz w:val="21"/>
          <w:szCs w:val="21"/>
          <w:highlight w:val="none"/>
        </w:rPr>
        <w:t>万元，资产总额为</w:t>
      </w:r>
      <w:r>
        <w:rPr>
          <w:rFonts w:hint="eastAsia"/>
          <w:color w:val="auto"/>
          <w:spacing w:val="2"/>
          <w:sz w:val="21"/>
          <w:szCs w:val="21"/>
          <w:highlight w:val="none"/>
          <w:u w:val="single"/>
          <w:lang w:val="en-US" w:eastAsia="zh-CN"/>
        </w:rPr>
        <w:t xml:space="preserve">   </w:t>
      </w:r>
      <w:r>
        <w:rPr>
          <w:color w:val="auto"/>
          <w:spacing w:val="2"/>
          <w:sz w:val="21"/>
          <w:szCs w:val="21"/>
          <w:highlight w:val="none"/>
        </w:rPr>
        <w:t>万元，属于</w:t>
      </w:r>
      <w:r>
        <w:rPr>
          <w:color w:val="auto"/>
          <w:spacing w:val="2"/>
          <w:sz w:val="21"/>
          <w:szCs w:val="21"/>
          <w:highlight w:val="none"/>
          <w:u w:val="single" w:color="auto"/>
        </w:rPr>
        <w:t>（中型企业、小型企业、微型企</w:t>
      </w:r>
      <w:r>
        <w:rPr>
          <w:color w:val="auto"/>
          <w:spacing w:val="-9"/>
          <w:sz w:val="21"/>
          <w:szCs w:val="21"/>
          <w:highlight w:val="none"/>
          <w:u w:val="single" w:color="auto"/>
        </w:rPr>
        <w:t>业</w:t>
      </w:r>
      <w:r>
        <w:rPr>
          <w:color w:val="auto"/>
          <w:sz w:val="21"/>
          <w:szCs w:val="21"/>
          <w:highlight w:val="none"/>
          <w:u w:val="single" w:color="auto"/>
        </w:rPr>
        <w:t>）</w:t>
      </w:r>
      <w:r>
        <w:rPr>
          <w:color w:val="auto"/>
          <w:sz w:val="21"/>
          <w:szCs w:val="21"/>
          <w:highlight w:val="none"/>
        </w:rPr>
        <w:t>；</w:t>
      </w:r>
    </w:p>
    <w:p w14:paraId="30D3AC96">
      <w:pPr>
        <w:pStyle w:val="8"/>
        <w:keepNext w:val="0"/>
        <w:keepLines w:val="0"/>
        <w:pageBreakBefore w:val="0"/>
        <w:wordWrap/>
        <w:overflowPunct/>
        <w:topLinePunct w:val="0"/>
        <w:bidi w:val="0"/>
        <w:spacing w:line="440" w:lineRule="exact"/>
        <w:ind w:left="730"/>
        <w:rPr>
          <w:color w:val="auto"/>
          <w:sz w:val="21"/>
          <w:szCs w:val="21"/>
          <w:highlight w:val="none"/>
        </w:rPr>
      </w:pPr>
      <w:r>
        <w:rPr>
          <w:color w:val="auto"/>
          <w:spacing w:val="-13"/>
          <w:position w:val="3"/>
          <w:sz w:val="21"/>
          <w:szCs w:val="21"/>
          <w:highlight w:val="none"/>
        </w:rPr>
        <w:t>……</w:t>
      </w:r>
    </w:p>
    <w:p w14:paraId="6E9F9F25">
      <w:pPr>
        <w:pStyle w:val="8"/>
        <w:keepNext w:val="0"/>
        <w:keepLines w:val="0"/>
        <w:pageBreakBefore w:val="0"/>
        <w:wordWrap/>
        <w:overflowPunct/>
        <w:topLinePunct w:val="0"/>
        <w:bidi w:val="0"/>
        <w:spacing w:line="440" w:lineRule="exact"/>
        <w:ind w:left="9" w:right="221" w:firstLine="733"/>
        <w:rPr>
          <w:color w:val="auto"/>
          <w:sz w:val="21"/>
          <w:szCs w:val="21"/>
          <w:highlight w:val="none"/>
        </w:rPr>
      </w:pPr>
      <w:r>
        <w:rPr>
          <w:color w:val="auto"/>
          <w:sz w:val="21"/>
          <w:szCs w:val="21"/>
          <w:highlight w:val="none"/>
        </w:rPr>
        <w:t>以上企业，不属于大企业的分支机构，不存在控股股东为大企业的情形，也不存</w:t>
      </w:r>
      <w:r>
        <w:rPr>
          <w:color w:val="auto"/>
          <w:spacing w:val="-1"/>
          <w:sz w:val="21"/>
          <w:szCs w:val="21"/>
          <w:highlight w:val="none"/>
        </w:rPr>
        <w:t>在与大企业的负责人为同一人的情形。</w:t>
      </w:r>
    </w:p>
    <w:p w14:paraId="7A86D2F6">
      <w:pPr>
        <w:pStyle w:val="8"/>
        <w:keepNext w:val="0"/>
        <w:keepLines w:val="0"/>
        <w:pageBreakBefore w:val="0"/>
        <w:wordWrap/>
        <w:overflowPunct/>
        <w:topLinePunct w:val="0"/>
        <w:bidi w:val="0"/>
        <w:spacing w:line="440" w:lineRule="exact"/>
        <w:ind w:left="716"/>
        <w:rPr>
          <w:color w:val="auto"/>
          <w:sz w:val="21"/>
          <w:szCs w:val="21"/>
          <w:highlight w:val="none"/>
        </w:rPr>
      </w:pPr>
      <w:r>
        <w:rPr>
          <w:color w:val="auto"/>
          <w:sz w:val="21"/>
          <w:szCs w:val="21"/>
          <w:highlight w:val="none"/>
        </w:rPr>
        <w:t>本企业对上述声明内容的真实性负责。如有虚</w:t>
      </w:r>
      <w:r>
        <w:rPr>
          <w:color w:val="auto"/>
          <w:spacing w:val="-1"/>
          <w:sz w:val="21"/>
          <w:szCs w:val="21"/>
          <w:highlight w:val="none"/>
        </w:rPr>
        <w:t>假，将依法承担相应责任。</w:t>
      </w:r>
    </w:p>
    <w:p w14:paraId="4D8CD8FD">
      <w:pPr>
        <w:keepNext w:val="0"/>
        <w:keepLines w:val="0"/>
        <w:pageBreakBefore w:val="0"/>
        <w:wordWrap/>
        <w:overflowPunct/>
        <w:topLinePunct w:val="0"/>
        <w:bidi w:val="0"/>
        <w:spacing w:line="440" w:lineRule="exact"/>
        <w:rPr>
          <w:rFonts w:ascii="Arial"/>
          <w:color w:val="auto"/>
          <w:sz w:val="21"/>
          <w:szCs w:val="21"/>
          <w:highlight w:val="none"/>
        </w:rPr>
      </w:pPr>
    </w:p>
    <w:p w14:paraId="1C5A6440">
      <w:pPr>
        <w:pStyle w:val="8"/>
        <w:keepNext w:val="0"/>
        <w:keepLines w:val="0"/>
        <w:pageBreakBefore w:val="0"/>
        <w:wordWrap/>
        <w:overflowPunct/>
        <w:topLinePunct w:val="0"/>
        <w:bidi w:val="0"/>
        <w:spacing w:line="440" w:lineRule="exact"/>
        <w:ind w:left="4039" w:right="80" w:hanging="38"/>
        <w:rPr>
          <w:color w:val="auto"/>
          <w:spacing w:val="-13"/>
          <w:sz w:val="21"/>
          <w:szCs w:val="21"/>
          <w:highlight w:val="none"/>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r>
        <w:rPr>
          <w:color w:val="auto"/>
          <w:spacing w:val="6"/>
          <w:sz w:val="21"/>
          <w:szCs w:val="21"/>
          <w:highlight w:val="none"/>
        </w:rPr>
        <w:t xml:space="preserve"> </w:t>
      </w: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2B01BA9E">
      <w:pPr>
        <w:pStyle w:val="8"/>
        <w:keepNext w:val="0"/>
        <w:keepLines w:val="0"/>
        <w:pageBreakBefore w:val="0"/>
        <w:wordWrap/>
        <w:overflowPunct/>
        <w:topLinePunct w:val="0"/>
        <w:bidi w:val="0"/>
        <w:spacing w:line="440" w:lineRule="exact"/>
        <w:ind w:left="4039" w:right="80" w:hanging="38"/>
        <w:rPr>
          <w:color w:val="auto"/>
          <w:spacing w:val="-13"/>
          <w:sz w:val="20"/>
          <w:szCs w:val="20"/>
          <w:highlight w:val="none"/>
        </w:rPr>
      </w:pPr>
    </w:p>
    <w:p w14:paraId="7F32DCE9">
      <w:pPr>
        <w:pStyle w:val="8"/>
        <w:keepNext w:val="0"/>
        <w:keepLines w:val="0"/>
        <w:pageBreakBefore w:val="0"/>
        <w:wordWrap/>
        <w:overflowPunct/>
        <w:topLinePunct w:val="0"/>
        <w:bidi w:val="0"/>
        <w:spacing w:line="440" w:lineRule="exact"/>
        <w:ind w:left="4039" w:right="80" w:hanging="38"/>
        <w:rPr>
          <w:color w:val="auto"/>
          <w:spacing w:val="-13"/>
          <w:sz w:val="20"/>
          <w:szCs w:val="20"/>
          <w:highlight w:val="none"/>
        </w:rPr>
      </w:pPr>
    </w:p>
    <w:p w14:paraId="0B34D879">
      <w:pPr>
        <w:pStyle w:val="8"/>
        <w:keepNext w:val="0"/>
        <w:keepLines w:val="0"/>
        <w:pageBreakBefore w:val="0"/>
        <w:wordWrap/>
        <w:overflowPunct/>
        <w:topLinePunct w:val="0"/>
        <w:bidi w:val="0"/>
        <w:spacing w:line="440" w:lineRule="exact"/>
        <w:ind w:right="80"/>
        <w:rPr>
          <w:color w:val="auto"/>
          <w:spacing w:val="-13"/>
          <w:sz w:val="20"/>
          <w:szCs w:val="20"/>
          <w:highlight w:val="none"/>
        </w:rPr>
      </w:pPr>
    </w:p>
    <w:p w14:paraId="3A498FBB">
      <w:pPr>
        <w:pStyle w:val="13"/>
        <w:keepNext w:val="0"/>
        <w:keepLines w:val="0"/>
        <w:pageBreakBefore w:val="0"/>
        <w:wordWrap/>
        <w:overflowPunct/>
        <w:topLinePunct w:val="0"/>
        <w:bidi w:val="0"/>
        <w:spacing w:line="440" w:lineRule="exact"/>
        <w:ind w:left="114" w:right="173" w:firstLine="1"/>
        <w:rPr>
          <w:color w:val="auto"/>
          <w:spacing w:val="10"/>
          <w:sz w:val="21"/>
          <w:szCs w:val="21"/>
          <w:highlight w:val="none"/>
        </w:rPr>
      </w:pPr>
      <w:r>
        <w:rPr>
          <w:rFonts w:hint="eastAsia"/>
          <w:color w:val="auto"/>
          <w:spacing w:val="10"/>
          <w:sz w:val="21"/>
          <w:szCs w:val="21"/>
          <w:highlight w:val="none"/>
          <w:lang w:val="en-US" w:eastAsia="zh-CN"/>
        </w:rPr>
        <w:t xml:space="preserve">    </w:t>
      </w:r>
      <w:r>
        <w:rPr>
          <w:color w:val="auto"/>
          <w:spacing w:val="10"/>
          <w:sz w:val="21"/>
          <w:szCs w:val="21"/>
          <w:highlight w:val="none"/>
        </w:rPr>
        <w:t xml:space="preserve">注：享受《政府采购促进中小企业发展管理办法》（财库〔2020〕46 号）规定的中小  企业扶持政策的，采购人、采购代理机构中标结果公开投标人的《中小企业声明函》。从业人员、营业收入、资产总额填报上一年度数据，无上一年度数据的新成立企业可不填报。 </w:t>
      </w:r>
    </w:p>
    <w:p w14:paraId="2690301B">
      <w:pPr>
        <w:pStyle w:val="8"/>
        <w:keepNext w:val="0"/>
        <w:keepLines w:val="0"/>
        <w:pageBreakBefore w:val="0"/>
        <w:wordWrap/>
        <w:overflowPunct/>
        <w:topLinePunct w:val="0"/>
        <w:bidi w:val="0"/>
        <w:spacing w:line="440" w:lineRule="exact"/>
        <w:ind w:left="154"/>
        <w:rPr>
          <w:b/>
          <w:bCs/>
          <w:color w:val="auto"/>
          <w:spacing w:val="-3"/>
          <w:sz w:val="24"/>
          <w:szCs w:val="24"/>
          <w:highlight w:val="none"/>
        </w:rPr>
      </w:pPr>
    </w:p>
    <w:p w14:paraId="33FE4012">
      <w:pPr>
        <w:pStyle w:val="8"/>
        <w:keepNext w:val="0"/>
        <w:keepLines w:val="0"/>
        <w:pageBreakBefore w:val="0"/>
        <w:wordWrap/>
        <w:overflowPunct/>
        <w:topLinePunct w:val="0"/>
        <w:bidi w:val="0"/>
        <w:spacing w:line="440" w:lineRule="exact"/>
        <w:ind w:left="154"/>
        <w:rPr>
          <w:color w:val="auto"/>
          <w:sz w:val="24"/>
          <w:szCs w:val="24"/>
          <w:highlight w:val="none"/>
        </w:rPr>
      </w:pPr>
      <w:r>
        <w:rPr>
          <w:b/>
          <w:bCs/>
          <w:color w:val="auto"/>
          <w:spacing w:val="-3"/>
          <w:sz w:val="24"/>
          <w:szCs w:val="24"/>
          <w:highlight w:val="none"/>
        </w:rPr>
        <w:t>2.残疾人福利性单位声明函格式</w:t>
      </w:r>
    </w:p>
    <w:p w14:paraId="294F1465">
      <w:pPr>
        <w:keepNext w:val="0"/>
        <w:keepLines w:val="0"/>
        <w:pageBreakBefore w:val="0"/>
        <w:wordWrap/>
        <w:overflowPunct/>
        <w:topLinePunct w:val="0"/>
        <w:bidi w:val="0"/>
        <w:spacing w:line="440" w:lineRule="exact"/>
        <w:rPr>
          <w:rFonts w:ascii="Arial"/>
          <w:color w:val="auto"/>
          <w:sz w:val="21"/>
          <w:highlight w:val="none"/>
        </w:rPr>
      </w:pPr>
    </w:p>
    <w:p w14:paraId="1A8C0569">
      <w:pPr>
        <w:keepNext w:val="0"/>
        <w:keepLines w:val="0"/>
        <w:pageBreakBefore w:val="0"/>
        <w:wordWrap/>
        <w:overflowPunct/>
        <w:topLinePunct w:val="0"/>
        <w:bidi w:val="0"/>
        <w:spacing w:line="440" w:lineRule="exact"/>
        <w:rPr>
          <w:rFonts w:ascii="Arial"/>
          <w:color w:val="auto"/>
          <w:sz w:val="21"/>
          <w:highlight w:val="none"/>
        </w:rPr>
      </w:pPr>
    </w:p>
    <w:p w14:paraId="0E610919">
      <w:pPr>
        <w:pStyle w:val="8"/>
        <w:keepNext w:val="0"/>
        <w:keepLines w:val="0"/>
        <w:pageBreakBefore w:val="0"/>
        <w:wordWrap/>
        <w:overflowPunct/>
        <w:topLinePunct w:val="0"/>
        <w:bidi w:val="0"/>
        <w:spacing w:line="440" w:lineRule="exact"/>
        <w:ind w:left="154"/>
        <w:jc w:val="center"/>
        <w:rPr>
          <w:b/>
          <w:bCs/>
          <w:color w:val="auto"/>
          <w:spacing w:val="-3"/>
          <w:sz w:val="28"/>
          <w:szCs w:val="28"/>
          <w:highlight w:val="none"/>
        </w:rPr>
      </w:pPr>
      <w:r>
        <w:rPr>
          <w:b/>
          <w:bCs/>
          <w:color w:val="auto"/>
          <w:spacing w:val="-3"/>
          <w:sz w:val="28"/>
          <w:szCs w:val="28"/>
          <w:highlight w:val="none"/>
        </w:rPr>
        <w:t>残疾人福利性单位声明函</w:t>
      </w:r>
    </w:p>
    <w:p w14:paraId="3D93BE99">
      <w:pPr>
        <w:keepNext w:val="0"/>
        <w:keepLines w:val="0"/>
        <w:pageBreakBefore w:val="0"/>
        <w:wordWrap/>
        <w:overflowPunct/>
        <w:topLinePunct w:val="0"/>
        <w:bidi w:val="0"/>
        <w:spacing w:line="440" w:lineRule="exact"/>
        <w:rPr>
          <w:rFonts w:ascii="Arial"/>
          <w:color w:val="auto"/>
          <w:sz w:val="21"/>
          <w:highlight w:val="none"/>
        </w:rPr>
      </w:pPr>
    </w:p>
    <w:p w14:paraId="5A35B90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本单位郑重声明，根据《财政部民政部中国残疾人联合会关于促进残疾人就业政府采购政策的通知》（财库〔2017〕141 号）的规定，本单位为符合条件的残疾人福利性单位，且本单位参加（采购人）的</w:t>
      </w:r>
      <w:r>
        <w:rPr>
          <w:rFonts w:hint="eastAsia" w:ascii="宋体" w:hAnsi="宋体" w:eastAsia="宋体" w:cs="宋体"/>
          <w:snapToGrid/>
          <w:color w:val="auto"/>
          <w:kern w:val="2"/>
          <w:szCs w:val="21"/>
          <w:highlight w:val="none"/>
          <w:u w:val="single"/>
          <w:lang w:eastAsia="zh-CN"/>
        </w:rPr>
        <w:t>（项目名称/项目编号）</w:t>
      </w:r>
      <w:r>
        <w:rPr>
          <w:rFonts w:hint="eastAsia" w:ascii="宋体" w:hAnsi="宋体" w:eastAsia="宋体" w:cs="宋体"/>
          <w:snapToGrid/>
          <w:color w:val="auto"/>
          <w:kern w:val="2"/>
          <w:szCs w:val="21"/>
          <w:highlight w:val="none"/>
          <w:lang w:eastAsia="zh-CN"/>
        </w:rPr>
        <w:t>项目采购活动提供本单位制造的货物（由本单位承担</w:t>
      </w:r>
      <w:r>
        <w:rPr>
          <w:rFonts w:hint="eastAsia" w:ascii="宋体" w:hAnsi="宋体" w:eastAsia="宋体" w:cs="宋体"/>
          <w:snapToGrid/>
          <w:color w:val="auto"/>
          <w:kern w:val="2"/>
          <w:szCs w:val="21"/>
          <w:highlight w:val="none"/>
          <w:u w:val="single"/>
          <w:lang w:eastAsia="zh-CN"/>
        </w:rPr>
        <w:t>工程/提供服务</w:t>
      </w:r>
      <w:r>
        <w:rPr>
          <w:rFonts w:hint="eastAsia" w:ascii="宋体" w:hAnsi="宋体" w:eastAsia="宋体" w:cs="宋体"/>
          <w:snapToGrid/>
          <w:color w:val="auto"/>
          <w:kern w:val="2"/>
          <w:szCs w:val="21"/>
          <w:highlight w:val="none"/>
          <w:lang w:eastAsia="zh-CN"/>
        </w:rPr>
        <w:t>），或者提供其他残疾人福利性单位制造的货物（不包括使用非残疾人福利性单位注册商标的货物）。</w:t>
      </w:r>
    </w:p>
    <w:p w14:paraId="0322CBE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本单位对上述声明的真实性负责。如有虚假，将依法承担相应责任。</w:t>
      </w:r>
    </w:p>
    <w:p w14:paraId="55F99CBD">
      <w:pPr>
        <w:keepNext w:val="0"/>
        <w:keepLines w:val="0"/>
        <w:pageBreakBefore w:val="0"/>
        <w:wordWrap/>
        <w:overflowPunct/>
        <w:topLinePunct w:val="0"/>
        <w:bidi w:val="0"/>
        <w:spacing w:line="440" w:lineRule="exact"/>
        <w:rPr>
          <w:rFonts w:ascii="Arial"/>
          <w:color w:val="auto"/>
          <w:sz w:val="20"/>
          <w:szCs w:val="20"/>
          <w:highlight w:val="none"/>
        </w:rPr>
      </w:pPr>
    </w:p>
    <w:p w14:paraId="5D4404E9">
      <w:pPr>
        <w:keepNext w:val="0"/>
        <w:keepLines w:val="0"/>
        <w:pageBreakBefore w:val="0"/>
        <w:wordWrap/>
        <w:overflowPunct/>
        <w:topLinePunct w:val="0"/>
        <w:bidi w:val="0"/>
        <w:spacing w:line="440" w:lineRule="exact"/>
        <w:rPr>
          <w:rFonts w:ascii="Arial"/>
          <w:color w:val="auto"/>
          <w:sz w:val="20"/>
          <w:szCs w:val="20"/>
          <w:highlight w:val="none"/>
        </w:rPr>
      </w:pPr>
    </w:p>
    <w:p w14:paraId="3355587C">
      <w:pPr>
        <w:keepNext w:val="0"/>
        <w:keepLines w:val="0"/>
        <w:pageBreakBefore w:val="0"/>
        <w:wordWrap/>
        <w:overflowPunct/>
        <w:topLinePunct w:val="0"/>
        <w:bidi w:val="0"/>
        <w:spacing w:line="440" w:lineRule="exact"/>
        <w:rPr>
          <w:rFonts w:ascii="Arial"/>
          <w:color w:val="auto"/>
          <w:sz w:val="20"/>
          <w:szCs w:val="20"/>
          <w:highlight w:val="none"/>
        </w:rPr>
      </w:pPr>
    </w:p>
    <w:p w14:paraId="4E638392">
      <w:pPr>
        <w:keepNext w:val="0"/>
        <w:keepLines w:val="0"/>
        <w:pageBreakBefore w:val="0"/>
        <w:wordWrap/>
        <w:overflowPunct/>
        <w:topLinePunct w:val="0"/>
        <w:bidi w:val="0"/>
        <w:spacing w:line="440" w:lineRule="exact"/>
        <w:rPr>
          <w:rFonts w:ascii="Arial"/>
          <w:color w:val="auto"/>
          <w:sz w:val="20"/>
          <w:szCs w:val="20"/>
          <w:highlight w:val="none"/>
        </w:rPr>
      </w:pPr>
    </w:p>
    <w:p w14:paraId="55BD0768">
      <w:pPr>
        <w:pStyle w:val="8"/>
        <w:keepNext w:val="0"/>
        <w:keepLines w:val="0"/>
        <w:pageBreakBefore w:val="0"/>
        <w:wordWrap/>
        <w:overflowPunct/>
        <w:topLinePunct w:val="0"/>
        <w:bidi w:val="0"/>
        <w:spacing w:line="440" w:lineRule="exact"/>
        <w:ind w:left="4039" w:right="61" w:hanging="38"/>
        <w:rPr>
          <w:color w:val="auto"/>
          <w:spacing w:val="1"/>
          <w:sz w:val="21"/>
          <w:szCs w:val="21"/>
          <w:highlight w:val="none"/>
          <w:u w:val="single" w:color="auto"/>
        </w:rPr>
      </w:pPr>
      <w:r>
        <w:rPr>
          <w:color w:val="auto"/>
          <w:spacing w:val="-2"/>
          <w:sz w:val="21"/>
          <w:szCs w:val="21"/>
          <w:highlight w:val="none"/>
        </w:rPr>
        <w:t>投标人（电子签章</w:t>
      </w:r>
      <w:r>
        <w:rPr>
          <w:color w:val="auto"/>
          <w:spacing w:val="1"/>
          <w:sz w:val="21"/>
          <w:szCs w:val="21"/>
          <w:highlight w:val="none"/>
        </w:rPr>
        <w:t>）：</w:t>
      </w:r>
      <w:r>
        <w:rPr>
          <w:color w:val="auto"/>
          <w:sz w:val="21"/>
          <w:szCs w:val="21"/>
          <w:highlight w:val="none"/>
        </w:rPr>
        <w:t xml:space="preserve"> </w:t>
      </w:r>
      <w:r>
        <w:rPr>
          <w:color w:val="auto"/>
          <w:spacing w:val="1"/>
          <w:sz w:val="21"/>
          <w:szCs w:val="21"/>
          <w:highlight w:val="none"/>
          <w:u w:val="single" w:color="auto"/>
        </w:rPr>
        <w:t xml:space="preserve">                       </w:t>
      </w:r>
    </w:p>
    <w:p w14:paraId="154DFD2F">
      <w:pPr>
        <w:pStyle w:val="8"/>
        <w:keepNext w:val="0"/>
        <w:keepLines w:val="0"/>
        <w:pageBreakBefore w:val="0"/>
        <w:wordWrap/>
        <w:overflowPunct/>
        <w:topLinePunct w:val="0"/>
        <w:bidi w:val="0"/>
        <w:spacing w:line="440" w:lineRule="exact"/>
        <w:ind w:left="4039" w:right="61" w:hanging="38"/>
        <w:rPr>
          <w:color w:val="auto"/>
          <w:sz w:val="21"/>
          <w:szCs w:val="21"/>
          <w:highlight w:val="none"/>
        </w:rPr>
      </w:pPr>
      <w:r>
        <w:rPr>
          <w:color w:val="auto"/>
          <w:spacing w:val="6"/>
          <w:sz w:val="21"/>
          <w:szCs w:val="21"/>
          <w:highlight w:val="none"/>
        </w:rPr>
        <w:t xml:space="preserve"> </w:t>
      </w:r>
      <w:r>
        <w:rPr>
          <w:color w:val="auto"/>
          <w:spacing w:val="-13"/>
          <w:sz w:val="21"/>
          <w:szCs w:val="21"/>
          <w:highlight w:val="none"/>
        </w:rPr>
        <w:t>日期：</w:t>
      </w:r>
      <w:r>
        <w:rPr>
          <w:color w:val="auto"/>
          <w:sz w:val="21"/>
          <w:szCs w:val="21"/>
          <w:highlight w:val="none"/>
          <w:u w:val="single" w:color="auto"/>
        </w:rPr>
        <w:t xml:space="preserve">         </w:t>
      </w:r>
      <w:r>
        <w:rPr>
          <w:color w:val="auto"/>
          <w:spacing w:val="-109"/>
          <w:sz w:val="21"/>
          <w:szCs w:val="21"/>
          <w:highlight w:val="none"/>
        </w:rPr>
        <w:t xml:space="preserve"> </w:t>
      </w:r>
      <w:r>
        <w:rPr>
          <w:color w:val="auto"/>
          <w:spacing w:val="-13"/>
          <w:sz w:val="21"/>
          <w:szCs w:val="21"/>
          <w:highlight w:val="none"/>
        </w:rPr>
        <w:t>年</w:t>
      </w:r>
      <w:r>
        <w:rPr>
          <w:color w:val="auto"/>
          <w:spacing w:val="17"/>
          <w:sz w:val="21"/>
          <w:szCs w:val="21"/>
          <w:highlight w:val="none"/>
          <w:u w:val="single" w:color="auto"/>
        </w:rPr>
        <w:t xml:space="preserve">       </w:t>
      </w:r>
      <w:r>
        <w:rPr>
          <w:color w:val="auto"/>
          <w:spacing w:val="-104"/>
          <w:sz w:val="21"/>
          <w:szCs w:val="21"/>
          <w:highlight w:val="none"/>
        </w:rPr>
        <w:t xml:space="preserve"> </w:t>
      </w:r>
      <w:r>
        <w:rPr>
          <w:color w:val="auto"/>
          <w:spacing w:val="-13"/>
          <w:sz w:val="21"/>
          <w:szCs w:val="21"/>
          <w:highlight w:val="none"/>
        </w:rPr>
        <w:t>月</w:t>
      </w:r>
      <w:r>
        <w:rPr>
          <w:color w:val="auto"/>
          <w:spacing w:val="19"/>
          <w:sz w:val="21"/>
          <w:szCs w:val="21"/>
          <w:highlight w:val="none"/>
          <w:u w:val="single" w:color="auto"/>
        </w:rPr>
        <w:t xml:space="preserve">      </w:t>
      </w:r>
      <w:r>
        <w:rPr>
          <w:color w:val="auto"/>
          <w:spacing w:val="-64"/>
          <w:sz w:val="21"/>
          <w:szCs w:val="21"/>
          <w:highlight w:val="none"/>
        </w:rPr>
        <w:t xml:space="preserve"> </w:t>
      </w:r>
      <w:r>
        <w:rPr>
          <w:color w:val="auto"/>
          <w:spacing w:val="-13"/>
          <w:sz w:val="21"/>
          <w:szCs w:val="21"/>
          <w:highlight w:val="none"/>
        </w:rPr>
        <w:t>日</w:t>
      </w:r>
    </w:p>
    <w:p w14:paraId="4CA533B5">
      <w:pPr>
        <w:keepNext w:val="0"/>
        <w:keepLines w:val="0"/>
        <w:pageBreakBefore w:val="0"/>
        <w:wordWrap/>
        <w:overflowPunct/>
        <w:topLinePunct w:val="0"/>
        <w:bidi w:val="0"/>
        <w:spacing w:line="440" w:lineRule="exact"/>
        <w:rPr>
          <w:rFonts w:ascii="Arial"/>
          <w:color w:val="auto"/>
          <w:sz w:val="20"/>
          <w:szCs w:val="20"/>
          <w:highlight w:val="none"/>
        </w:rPr>
      </w:pPr>
    </w:p>
    <w:p w14:paraId="75C37D3C">
      <w:pPr>
        <w:keepNext w:val="0"/>
        <w:keepLines w:val="0"/>
        <w:pageBreakBefore w:val="0"/>
        <w:wordWrap/>
        <w:overflowPunct/>
        <w:topLinePunct w:val="0"/>
        <w:bidi w:val="0"/>
        <w:spacing w:line="440" w:lineRule="exact"/>
        <w:rPr>
          <w:rFonts w:ascii="Arial"/>
          <w:color w:val="auto"/>
          <w:sz w:val="20"/>
          <w:szCs w:val="20"/>
          <w:highlight w:val="none"/>
        </w:rPr>
      </w:pPr>
    </w:p>
    <w:p w14:paraId="4030B0F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color w:val="auto"/>
          <w:sz w:val="20"/>
          <w:szCs w:val="20"/>
          <w:highlight w:val="none"/>
        </w:rPr>
        <w:sectPr>
          <w:headerReference r:id="rId56" w:type="default"/>
          <w:footerReference r:id="rId57" w:type="default"/>
          <w:pgSz w:w="11906" w:h="16839"/>
          <w:pgMar w:top="2098" w:right="1279" w:bottom="1984" w:left="1587" w:header="963" w:footer="677" w:gutter="0"/>
          <w:pgNumType w:fmt="decimal"/>
          <w:cols w:space="720" w:num="1"/>
          <w:rtlGutter w:val="0"/>
          <w:docGrid w:linePitch="0" w:charSpace="0"/>
        </w:sectPr>
      </w:pPr>
      <w:r>
        <w:rPr>
          <w:rFonts w:hint="eastAsia" w:ascii="宋体" w:hAnsi="宋体" w:eastAsia="宋体" w:cs="宋体"/>
          <w:snapToGrid/>
          <w:color w:val="auto"/>
          <w:kern w:val="2"/>
          <w:szCs w:val="21"/>
          <w:highlight w:val="none"/>
          <w:lang w:eastAsia="zh-CN"/>
        </w:rPr>
        <w:t>注：请根据自己的真实情况出具《残疾人福利性单位声明函》。依法享受中小企业优惠政策的，采购人或者采购代理机构在公告中标结果时，同时公告其《残疾人福利性单位声明函》，接受社会监督。</w:t>
      </w:r>
    </w:p>
    <w:p w14:paraId="119DFB6B">
      <w:pPr>
        <w:pStyle w:val="8"/>
        <w:keepNext w:val="0"/>
        <w:keepLines w:val="0"/>
        <w:pageBreakBefore w:val="0"/>
        <w:wordWrap/>
        <w:overflowPunct/>
        <w:topLinePunct w:val="0"/>
        <w:bidi w:val="0"/>
        <w:spacing w:line="440" w:lineRule="exact"/>
        <w:rPr>
          <w:color w:val="auto"/>
          <w:sz w:val="24"/>
          <w:szCs w:val="24"/>
          <w:highlight w:val="none"/>
        </w:rPr>
      </w:pPr>
      <w:r>
        <w:rPr>
          <w:b/>
          <w:bCs/>
          <w:color w:val="auto"/>
          <w:spacing w:val="-4"/>
          <w:sz w:val="24"/>
          <w:szCs w:val="24"/>
          <w:highlight w:val="none"/>
        </w:rPr>
        <w:t>3.质疑函（格式）</w:t>
      </w:r>
    </w:p>
    <w:p w14:paraId="2C31E59F">
      <w:pPr>
        <w:pStyle w:val="8"/>
        <w:keepNext w:val="0"/>
        <w:keepLines w:val="0"/>
        <w:pageBreakBefore w:val="0"/>
        <w:wordWrap/>
        <w:overflowPunct/>
        <w:topLinePunct w:val="0"/>
        <w:bidi w:val="0"/>
        <w:spacing w:line="440" w:lineRule="exact"/>
        <w:ind w:left="14"/>
        <w:jc w:val="center"/>
        <w:rPr>
          <w:b/>
          <w:bCs/>
          <w:color w:val="auto"/>
          <w:spacing w:val="-4"/>
          <w:sz w:val="28"/>
          <w:szCs w:val="28"/>
          <w:highlight w:val="none"/>
        </w:rPr>
      </w:pPr>
    </w:p>
    <w:p w14:paraId="79192A9E">
      <w:pPr>
        <w:pStyle w:val="8"/>
        <w:keepNext w:val="0"/>
        <w:keepLines w:val="0"/>
        <w:pageBreakBefore w:val="0"/>
        <w:wordWrap/>
        <w:overflowPunct/>
        <w:topLinePunct w:val="0"/>
        <w:bidi w:val="0"/>
        <w:spacing w:line="440" w:lineRule="exact"/>
        <w:ind w:left="14"/>
        <w:jc w:val="center"/>
        <w:rPr>
          <w:b/>
          <w:bCs/>
          <w:color w:val="auto"/>
          <w:spacing w:val="-4"/>
          <w:sz w:val="28"/>
          <w:szCs w:val="28"/>
          <w:highlight w:val="none"/>
        </w:rPr>
      </w:pPr>
      <w:r>
        <w:rPr>
          <w:b/>
          <w:bCs/>
          <w:color w:val="auto"/>
          <w:spacing w:val="-4"/>
          <w:sz w:val="28"/>
          <w:szCs w:val="28"/>
          <w:highlight w:val="none"/>
        </w:rPr>
        <w:t>质疑函（格式）</w:t>
      </w:r>
    </w:p>
    <w:p w14:paraId="032BB22D">
      <w:pPr>
        <w:pStyle w:val="8"/>
        <w:keepNext w:val="0"/>
        <w:keepLines w:val="0"/>
        <w:pageBreakBefore w:val="0"/>
        <w:wordWrap/>
        <w:overflowPunct/>
        <w:topLinePunct w:val="0"/>
        <w:bidi w:val="0"/>
        <w:spacing w:line="440" w:lineRule="exact"/>
        <w:ind w:left="494"/>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一、质疑投标人基本信息：</w:t>
      </w:r>
    </w:p>
    <w:p w14:paraId="0C0C13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质疑投标人： 地址：</w:t>
      </w:r>
      <w:r>
        <w:rPr>
          <w:rFonts w:hint="eastAsia" w:ascii="宋体" w:hAnsi="宋体" w:eastAsia="宋体" w:cs="宋体"/>
          <w:snapToGrid/>
          <w:color w:val="auto"/>
          <w:kern w:val="2"/>
          <w:szCs w:val="21"/>
          <w:highlight w:val="none"/>
          <w:lang w:val="en-US" w:eastAsia="zh-CN"/>
        </w:rPr>
        <w:t xml:space="preserve">   </w:t>
      </w:r>
      <w:r>
        <w:rPr>
          <w:rFonts w:hint="eastAsia" w:ascii="宋体" w:hAnsi="宋体" w:eastAsia="宋体" w:cs="宋体"/>
          <w:snapToGrid/>
          <w:color w:val="auto"/>
          <w:kern w:val="2"/>
          <w:szCs w:val="21"/>
          <w:highlight w:val="none"/>
          <w:lang w:eastAsia="zh-CN"/>
        </w:rPr>
        <w:t>邮编：</w:t>
      </w:r>
    </w:p>
    <w:p w14:paraId="7EAD1B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 xml:space="preserve">联系人：联系电话： </w:t>
      </w:r>
    </w:p>
    <w:p w14:paraId="40DC579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授权代表：</w:t>
      </w:r>
    </w:p>
    <w:p w14:paraId="6ECB209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联系电话：</w:t>
      </w:r>
    </w:p>
    <w:p w14:paraId="593C872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地址：</w:t>
      </w:r>
      <w:r>
        <w:rPr>
          <w:rFonts w:hint="eastAsia" w:ascii="宋体" w:hAnsi="宋体" w:eastAsia="宋体" w:cs="宋体"/>
          <w:snapToGrid/>
          <w:color w:val="auto"/>
          <w:kern w:val="2"/>
          <w:szCs w:val="21"/>
          <w:highlight w:val="none"/>
          <w:lang w:val="en-US" w:eastAsia="zh-CN"/>
        </w:rPr>
        <w:t xml:space="preserve">   </w:t>
      </w:r>
      <w:r>
        <w:rPr>
          <w:rFonts w:hint="eastAsia" w:ascii="宋体" w:hAnsi="宋体" w:eastAsia="宋体" w:cs="宋体"/>
          <w:snapToGrid/>
          <w:color w:val="auto"/>
          <w:kern w:val="2"/>
          <w:szCs w:val="21"/>
          <w:highlight w:val="none"/>
          <w:lang w:eastAsia="zh-CN"/>
        </w:rPr>
        <w:t>邮编：</w:t>
      </w:r>
    </w:p>
    <w:p w14:paraId="286D931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二、质疑项目基本情况：</w:t>
      </w:r>
    </w:p>
    <w:p w14:paraId="55F6D8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质疑项目的名称：</w:t>
      </w:r>
    </w:p>
    <w:p w14:paraId="716565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质疑项目的编号：</w:t>
      </w:r>
    </w:p>
    <w:p w14:paraId="6599470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采购人名称： 质疑事项：</w:t>
      </w:r>
    </w:p>
    <w:p w14:paraId="5DD668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□采购文件获取日期：</w:t>
      </w:r>
    </w:p>
    <w:p w14:paraId="09B234C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□采购过程</w:t>
      </w:r>
    </w:p>
    <w:p w14:paraId="41DB50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□采购结果</w:t>
      </w:r>
    </w:p>
    <w:p w14:paraId="6B2EF668">
      <w:pPr>
        <w:pStyle w:val="8"/>
        <w:keepNext w:val="0"/>
        <w:keepLines w:val="0"/>
        <w:pageBreakBefore w:val="0"/>
        <w:wordWrap/>
        <w:overflowPunct/>
        <w:topLinePunct w:val="0"/>
        <w:bidi w:val="0"/>
        <w:spacing w:line="440" w:lineRule="exact"/>
        <w:ind w:left="504"/>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三、质疑事项具体内容</w:t>
      </w:r>
    </w:p>
    <w:p w14:paraId="307B3192">
      <w:pPr>
        <w:pStyle w:val="8"/>
        <w:keepNext w:val="0"/>
        <w:keepLines w:val="0"/>
        <w:pageBreakBefore w:val="0"/>
        <w:wordWrap/>
        <w:overflowPunct/>
        <w:topLinePunct w:val="0"/>
        <w:bidi w:val="0"/>
        <w:spacing w:line="440" w:lineRule="exact"/>
        <w:ind w:left="506" w:right="74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质疑事项</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17"/>
          <w:sz w:val="21"/>
          <w:szCs w:val="21"/>
          <w:highlight w:val="none"/>
        </w:rPr>
        <w:t>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事实依据：</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法律依据：</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质疑事项</w:t>
      </w:r>
      <w:r>
        <w:rPr>
          <w:rFonts w:hint="eastAsia" w:asciiTheme="minorEastAsia" w:hAnsiTheme="minorEastAsia" w:eastAsiaTheme="minorEastAsia" w:cstheme="minorEastAsia"/>
          <w:color w:val="auto"/>
          <w:spacing w:val="-46"/>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w:t>
      </w:r>
    </w:p>
    <w:p w14:paraId="16300A9D">
      <w:pPr>
        <w:pStyle w:val="8"/>
        <w:keepNext w:val="0"/>
        <w:keepLines w:val="0"/>
        <w:pageBreakBefore w:val="0"/>
        <w:wordWrap/>
        <w:overflowPunct/>
        <w:topLinePunct w:val="0"/>
        <w:bidi w:val="0"/>
        <w:spacing w:line="440" w:lineRule="exact"/>
        <w:ind w:left="529"/>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四、与质疑事项相关的质疑请求：</w:t>
      </w:r>
    </w:p>
    <w:p w14:paraId="62ED09DD">
      <w:pPr>
        <w:pStyle w:val="8"/>
        <w:keepNext w:val="0"/>
        <w:keepLines w:val="0"/>
        <w:pageBreakBefore w:val="0"/>
        <w:wordWrap/>
        <w:overflowPunct/>
        <w:topLinePunct w:val="0"/>
        <w:bidi w:val="0"/>
        <w:spacing w:line="440" w:lineRule="exact"/>
        <w:ind w:left="50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rPr>
        <w:t>请求：</w:t>
      </w:r>
    </w:p>
    <w:p w14:paraId="2633E889">
      <w:pPr>
        <w:pStyle w:val="8"/>
        <w:keepNext w:val="0"/>
        <w:keepLines w:val="0"/>
        <w:pageBreakBefore w:val="0"/>
        <w:wordWrap/>
        <w:overflowPunct/>
        <w:topLinePunct w:val="0"/>
        <w:bidi w:val="0"/>
        <w:spacing w:line="440" w:lineRule="exact"/>
        <w:ind w:left="506"/>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签字（签章</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4"/>
          <w:sz w:val="21"/>
          <w:szCs w:val="21"/>
          <w:highlight w:val="none"/>
        </w:rPr>
        <w:t>公章：</w:t>
      </w:r>
    </w:p>
    <w:p w14:paraId="78A6BADF">
      <w:pPr>
        <w:pStyle w:val="8"/>
        <w:keepNext w:val="0"/>
        <w:keepLines w:val="0"/>
        <w:pageBreakBefore w:val="0"/>
        <w:wordWrap/>
        <w:overflowPunct/>
        <w:topLinePunct w:val="0"/>
        <w:bidi w:val="0"/>
        <w:spacing w:line="440" w:lineRule="exact"/>
        <w:ind w:left="548"/>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日期：</w:t>
      </w:r>
    </w:p>
    <w:p w14:paraId="51A33CD3">
      <w:pPr>
        <w:keepNext w:val="0"/>
        <w:keepLines w:val="0"/>
        <w:pageBreakBefore w:val="0"/>
        <w:widowControl/>
        <w:tabs>
          <w:tab w:val="left" w:pos="992"/>
        </w:tabs>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lang w:val="en-US" w:eastAsia="zh-CN"/>
        </w:rPr>
        <w:t xml:space="preserve">    </w:t>
      </w:r>
      <w:r>
        <w:rPr>
          <w:rFonts w:hint="eastAsia" w:asciiTheme="minorEastAsia" w:hAnsiTheme="minorEastAsia" w:eastAsiaTheme="minorEastAsia" w:cstheme="minorEastAsia"/>
          <w:b/>
          <w:bCs/>
          <w:color w:val="auto"/>
          <w:spacing w:val="-7"/>
          <w:sz w:val="21"/>
          <w:szCs w:val="21"/>
          <w:highlight w:val="none"/>
        </w:rPr>
        <w:t>说明：</w:t>
      </w:r>
    </w:p>
    <w:p w14:paraId="4BC22147">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91"/>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1.投标人提出质疑时，应提交质疑函和必要的证明材料。</w:t>
      </w:r>
    </w:p>
    <w:p w14:paraId="19433FE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91"/>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2.质疑投标人若委托代理人进行质疑的，质疑函应按要求列明“授权代表 ”的有关内 容，并在</w:t>
      </w:r>
    </w:p>
    <w:p w14:paraId="55D3D866">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附件中提交由质疑投标人签署的授权委托书。授权委托书应载明代理人的姓名 或者名称、代理事项、具体权限、期限和相关事项。</w:t>
      </w:r>
    </w:p>
    <w:p w14:paraId="71D522F6">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91"/>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3.质疑函的质疑事项应具体、明确，并有必要的事实依据和法律依据。</w:t>
      </w:r>
    </w:p>
    <w:p w14:paraId="6D4B3A0D">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91"/>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4.质疑函的质疑请求应与质疑事项相关。</w:t>
      </w:r>
    </w:p>
    <w:p w14:paraId="29F77A99">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391"/>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5.质疑投标人为法人或者其他组织的，质疑函应由法定代表人、主要负责人，或者其授权代表签</w:t>
      </w:r>
    </w:p>
    <w:p w14:paraId="3A8788C0">
      <w:pPr>
        <w:pStyle w:val="8"/>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color w:val="auto"/>
          <w:spacing w:val="-2"/>
          <w:sz w:val="20"/>
          <w:szCs w:val="20"/>
          <w:highlight w:val="none"/>
        </w:rPr>
      </w:pPr>
      <w:r>
        <w:rPr>
          <w:rFonts w:hint="eastAsia" w:asciiTheme="minorEastAsia" w:hAnsiTheme="minorEastAsia" w:eastAsiaTheme="minorEastAsia" w:cstheme="minorEastAsia"/>
          <w:b/>
          <w:bCs/>
          <w:color w:val="auto"/>
          <w:spacing w:val="-2"/>
          <w:sz w:val="21"/>
          <w:szCs w:val="21"/>
          <w:highlight w:val="none"/>
        </w:rPr>
        <w:t>字或者盖章，并加盖公章。</w:t>
      </w:r>
    </w:p>
    <w:p w14:paraId="62E3344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0"/>
          <w:szCs w:val="20"/>
          <w:highlight w:val="none"/>
        </w:rPr>
        <w:sectPr>
          <w:headerReference r:id="rId58" w:type="default"/>
          <w:footerReference r:id="rId59" w:type="default"/>
          <w:pgSz w:w="11906" w:h="16839"/>
          <w:pgMar w:top="1474" w:right="1247" w:bottom="1474" w:left="1474" w:header="963" w:footer="677" w:gutter="0"/>
          <w:pgNumType w:fmt="decimal"/>
          <w:cols w:space="720" w:num="1"/>
        </w:sectPr>
      </w:pPr>
    </w:p>
    <w:p w14:paraId="76E98534">
      <w:pPr>
        <w:pStyle w:val="8"/>
        <w:keepNext w:val="0"/>
        <w:keepLines w:val="0"/>
        <w:pageBreakBefore w:val="0"/>
        <w:wordWrap/>
        <w:overflowPunct/>
        <w:topLinePunct w:val="0"/>
        <w:bidi w:val="0"/>
        <w:spacing w:line="440" w:lineRule="exact"/>
        <w:ind w:left="9"/>
        <w:rPr>
          <w:color w:val="auto"/>
          <w:sz w:val="24"/>
          <w:szCs w:val="24"/>
          <w:highlight w:val="none"/>
        </w:rPr>
      </w:pPr>
      <w:r>
        <w:rPr>
          <w:b/>
          <w:bCs/>
          <w:color w:val="auto"/>
          <w:spacing w:val="-3"/>
          <w:sz w:val="24"/>
          <w:szCs w:val="24"/>
          <w:highlight w:val="none"/>
        </w:rPr>
        <w:t>4.投诉书（格式）</w:t>
      </w:r>
    </w:p>
    <w:p w14:paraId="67DF11E5">
      <w:pPr>
        <w:pStyle w:val="8"/>
        <w:keepNext w:val="0"/>
        <w:keepLines w:val="0"/>
        <w:pageBreakBefore w:val="0"/>
        <w:wordWrap/>
        <w:overflowPunct/>
        <w:topLinePunct w:val="0"/>
        <w:bidi w:val="0"/>
        <w:spacing w:line="440" w:lineRule="exact"/>
        <w:jc w:val="center"/>
        <w:rPr>
          <w:color w:val="auto"/>
          <w:sz w:val="24"/>
          <w:szCs w:val="24"/>
          <w:highlight w:val="none"/>
        </w:rPr>
      </w:pPr>
      <w:r>
        <w:rPr>
          <w:b/>
          <w:bCs/>
          <w:color w:val="auto"/>
          <w:spacing w:val="3"/>
          <w:sz w:val="28"/>
          <w:szCs w:val="28"/>
          <w:highlight w:val="none"/>
        </w:rPr>
        <w:t>投诉书（格式）</w:t>
      </w:r>
    </w:p>
    <w:p w14:paraId="711BA9D9">
      <w:pPr>
        <w:pStyle w:val="8"/>
        <w:keepNext w:val="0"/>
        <w:keepLines w:val="0"/>
        <w:pageBreakBefore w:val="0"/>
        <w:wordWrap/>
        <w:overflowPunct/>
        <w:topLinePunct w:val="0"/>
        <w:bidi w:val="0"/>
        <w:spacing w:line="440" w:lineRule="exact"/>
        <w:ind w:left="494"/>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一、投诉相关主体基本情况：</w:t>
      </w:r>
    </w:p>
    <w:p w14:paraId="69BC2CB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投标人：</w:t>
      </w:r>
    </w:p>
    <w:p w14:paraId="160E0BC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地址：</w:t>
      </w:r>
      <w:r>
        <w:rPr>
          <w:rFonts w:hint="eastAsia" w:ascii="宋体" w:hAnsi="宋体" w:eastAsia="宋体" w:cs="宋体"/>
          <w:snapToGrid/>
          <w:color w:val="auto"/>
          <w:kern w:val="2"/>
          <w:szCs w:val="21"/>
          <w:highlight w:val="none"/>
          <w:lang w:val="en-US" w:eastAsia="zh-CN"/>
        </w:rPr>
        <w:t xml:space="preserve">   </w:t>
      </w:r>
      <w:r>
        <w:rPr>
          <w:rFonts w:hint="eastAsia" w:ascii="宋体" w:hAnsi="宋体" w:eastAsia="宋体" w:cs="宋体"/>
          <w:snapToGrid/>
          <w:color w:val="auto"/>
          <w:kern w:val="2"/>
          <w:szCs w:val="21"/>
          <w:highlight w:val="none"/>
          <w:lang w:eastAsia="zh-CN"/>
        </w:rPr>
        <w:t>邮编：</w:t>
      </w:r>
    </w:p>
    <w:p w14:paraId="057BDA6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法定代表人/主要负责人： 联系电话：</w:t>
      </w:r>
    </w:p>
    <w:p w14:paraId="443E9C8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授权代表：联系电话： 地址：</w:t>
      </w:r>
      <w:r>
        <w:rPr>
          <w:rFonts w:hint="eastAsia" w:ascii="宋体" w:hAnsi="宋体" w:eastAsia="宋体" w:cs="宋体"/>
          <w:snapToGrid/>
          <w:color w:val="auto"/>
          <w:kern w:val="2"/>
          <w:szCs w:val="21"/>
          <w:highlight w:val="none"/>
          <w:lang w:val="en-US" w:eastAsia="zh-CN"/>
        </w:rPr>
        <w:t xml:space="preserve">    </w:t>
      </w:r>
      <w:r>
        <w:rPr>
          <w:rFonts w:hint="eastAsia" w:ascii="宋体" w:hAnsi="宋体" w:eastAsia="宋体" w:cs="宋体"/>
          <w:snapToGrid/>
          <w:color w:val="auto"/>
          <w:kern w:val="2"/>
          <w:szCs w:val="21"/>
          <w:highlight w:val="none"/>
          <w:lang w:eastAsia="zh-CN"/>
        </w:rPr>
        <w:t>邮编：</w:t>
      </w:r>
    </w:p>
    <w:p w14:paraId="5A3C66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被投诉人 1： 地址：</w:t>
      </w:r>
    </w:p>
    <w:p w14:paraId="408F142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邮编：</w:t>
      </w:r>
    </w:p>
    <w:p w14:paraId="06B704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联系人：联系电话： 被投诉人 2：</w:t>
      </w:r>
    </w:p>
    <w:p w14:paraId="72B5BF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p>
    <w:p w14:paraId="76D4F309">
      <w:pPr>
        <w:pStyle w:val="8"/>
        <w:keepNext w:val="0"/>
        <w:keepLines w:val="0"/>
        <w:pageBreakBefore w:val="0"/>
        <w:wordWrap/>
        <w:overflowPunct/>
        <w:topLinePunct w:val="0"/>
        <w:bidi w:val="0"/>
        <w:spacing w:line="440" w:lineRule="exact"/>
        <w:ind w:left="49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相关投标人：地址：邮编：联系人：联系电话：</w:t>
      </w:r>
    </w:p>
    <w:p w14:paraId="5D6C2060">
      <w:pPr>
        <w:pStyle w:val="8"/>
        <w:keepNext w:val="0"/>
        <w:keepLines w:val="0"/>
        <w:pageBreakBefore w:val="0"/>
        <w:wordWrap/>
        <w:overflowPunct/>
        <w:topLinePunct w:val="0"/>
        <w:bidi w:val="0"/>
        <w:spacing w:line="440" w:lineRule="exact"/>
        <w:ind w:left="494"/>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二、投诉项目基本情况：</w:t>
      </w:r>
    </w:p>
    <w:p w14:paraId="0A65919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 xml:space="preserve">采购项目的名称： </w:t>
      </w:r>
    </w:p>
    <w:p w14:paraId="0F0B079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采购项目的编号：</w:t>
      </w:r>
    </w:p>
    <w:p w14:paraId="1C7135F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采购人名称：</w:t>
      </w:r>
    </w:p>
    <w:p w14:paraId="5CCC4E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代理机构名称：</w:t>
      </w:r>
    </w:p>
    <w:p w14:paraId="576B58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采购文件公告：是/否</w:t>
      </w:r>
    </w:p>
    <w:p w14:paraId="1EC6E4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公告期限： 采购结果公告：是/否</w:t>
      </w:r>
    </w:p>
    <w:p w14:paraId="13500A2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公告期限：</w:t>
      </w:r>
    </w:p>
    <w:p w14:paraId="569F70AB">
      <w:pPr>
        <w:pStyle w:val="8"/>
        <w:keepNext w:val="0"/>
        <w:keepLines w:val="0"/>
        <w:pageBreakBefore w:val="0"/>
        <w:wordWrap/>
        <w:overflowPunct/>
        <w:topLinePunct w:val="0"/>
        <w:bidi w:val="0"/>
        <w:spacing w:line="440" w:lineRule="exact"/>
        <w:ind w:left="504"/>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三、质疑基本情况</w:t>
      </w:r>
    </w:p>
    <w:p w14:paraId="4A6F9A1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投诉人于年月日，向提出质疑，质疑事项为：</w:t>
      </w:r>
    </w:p>
    <w:p w14:paraId="31A36A7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u w:val="single"/>
          <w:lang w:eastAsia="zh-CN"/>
        </w:rPr>
        <w:t>采购人/代理机构</w:t>
      </w:r>
      <w:r>
        <w:rPr>
          <w:rFonts w:hint="eastAsia" w:ascii="宋体" w:hAnsi="宋体" w:eastAsia="宋体" w:cs="宋体"/>
          <w:snapToGrid/>
          <w:color w:val="auto"/>
          <w:kern w:val="2"/>
          <w:szCs w:val="21"/>
          <w:highlight w:val="none"/>
          <w:lang w:eastAsia="zh-CN"/>
        </w:rPr>
        <w:t>于年月日，就质疑事项作出了答复/没有在法定期限内作出答复。</w:t>
      </w:r>
    </w:p>
    <w:p w14:paraId="7C15E390">
      <w:pPr>
        <w:pStyle w:val="8"/>
        <w:keepNext w:val="0"/>
        <w:keepLines w:val="0"/>
        <w:pageBreakBefore w:val="0"/>
        <w:wordWrap/>
        <w:overflowPunct/>
        <w:topLinePunct w:val="0"/>
        <w:bidi w:val="0"/>
        <w:spacing w:line="440" w:lineRule="exact"/>
        <w:ind w:left="527"/>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四、投诉事项具体内容</w:t>
      </w:r>
    </w:p>
    <w:p w14:paraId="7F07B7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投诉事项 1：</w:t>
      </w:r>
    </w:p>
    <w:p w14:paraId="4C7CEE4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事实依据：</w:t>
      </w:r>
    </w:p>
    <w:p w14:paraId="3A73ABBB">
      <w:pPr>
        <w:keepNext w:val="0"/>
        <w:keepLines w:val="0"/>
        <w:pageBreakBefore w:val="0"/>
        <w:wordWrap/>
        <w:overflowPunct/>
        <w:topLinePunct w:val="0"/>
        <w:bidi w:val="0"/>
        <w:spacing w:line="440" w:lineRule="exact"/>
        <w:rPr>
          <w:rFonts w:hint="eastAsia"/>
          <w:color w:val="auto"/>
          <w:highlight w:val="none"/>
          <w:lang w:val="en-US" w:eastAsia="zh-CN"/>
        </w:rPr>
      </w:pPr>
    </w:p>
    <w:p w14:paraId="1B6721E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法律依据：</w:t>
      </w:r>
    </w:p>
    <w:p w14:paraId="26E22054">
      <w:pPr>
        <w:pStyle w:val="8"/>
        <w:keepNext w:val="0"/>
        <w:keepLines w:val="0"/>
        <w:pageBreakBefore w:val="0"/>
        <w:wordWrap/>
        <w:overflowPunct/>
        <w:topLinePunct w:val="0"/>
        <w:bidi w:val="0"/>
        <w:spacing w:line="440" w:lineRule="exact"/>
        <w:ind w:firstLine="400" w:firstLineChars="200"/>
        <w:outlineLvl w:val="1"/>
        <w:rPr>
          <w:rFonts w:hint="eastAsia" w:asciiTheme="minorEastAsia" w:hAnsiTheme="minorEastAsia" w:eastAsiaTheme="minorEastAsia" w:cstheme="minorEastAsia"/>
          <w:b/>
          <w:bCs/>
          <w:color w:val="auto"/>
          <w:spacing w:val="-5"/>
          <w:sz w:val="21"/>
          <w:szCs w:val="21"/>
          <w:highlight w:val="none"/>
          <w:lang w:eastAsia="zh-CN"/>
        </w:rPr>
      </w:pPr>
      <w:r>
        <w:rPr>
          <w:rFonts w:hint="eastAsia" w:asciiTheme="minorEastAsia" w:hAnsiTheme="minorEastAsia" w:eastAsiaTheme="minorEastAsia" w:cstheme="minorEastAsia"/>
          <w:b w:val="0"/>
          <w:bCs w:val="0"/>
          <w:color w:val="auto"/>
          <w:spacing w:val="-5"/>
          <w:sz w:val="21"/>
          <w:szCs w:val="21"/>
          <w:highlight w:val="none"/>
          <w:lang w:eastAsia="zh-CN"/>
        </w:rPr>
        <w:t>投诉事项 2 ……</w:t>
      </w:r>
    </w:p>
    <w:p w14:paraId="69F5F1A5">
      <w:pPr>
        <w:pStyle w:val="8"/>
        <w:keepNext w:val="0"/>
        <w:keepLines w:val="0"/>
        <w:pageBreakBefore w:val="0"/>
        <w:wordWrap/>
        <w:overflowPunct/>
        <w:topLinePunct w:val="0"/>
        <w:bidi w:val="0"/>
        <w:spacing w:line="440" w:lineRule="exact"/>
        <w:ind w:firstLine="402" w:firstLineChars="200"/>
        <w:outlineLvl w:val="1"/>
        <w:rPr>
          <w:rFonts w:hint="eastAsia" w:asciiTheme="minorEastAsia" w:hAnsiTheme="minorEastAsia" w:eastAsiaTheme="minorEastAsia" w:cstheme="minorEastAsia"/>
          <w:b/>
          <w:bCs/>
          <w:color w:val="auto"/>
          <w:spacing w:val="-5"/>
          <w:sz w:val="21"/>
          <w:szCs w:val="21"/>
          <w:highlight w:val="none"/>
        </w:rPr>
      </w:pPr>
      <w:r>
        <w:rPr>
          <w:rFonts w:hint="eastAsia" w:asciiTheme="minorEastAsia" w:hAnsiTheme="minorEastAsia" w:eastAsiaTheme="minorEastAsia" w:cstheme="minorEastAsia"/>
          <w:b/>
          <w:bCs/>
          <w:color w:val="auto"/>
          <w:spacing w:val="-5"/>
          <w:sz w:val="21"/>
          <w:szCs w:val="21"/>
          <w:highlight w:val="none"/>
        </w:rPr>
        <w:t>五、与投诉事项相关的投诉请求：</w:t>
      </w:r>
    </w:p>
    <w:p w14:paraId="57FAF7BC">
      <w:pPr>
        <w:pStyle w:val="8"/>
        <w:keepNext w:val="0"/>
        <w:keepLines w:val="0"/>
        <w:pageBreakBefore w:val="0"/>
        <w:wordWrap/>
        <w:overflowPunct/>
        <w:topLinePunct w:val="0"/>
        <w:bidi w:val="0"/>
        <w:spacing w:line="440" w:lineRule="exact"/>
        <w:ind w:firstLine="400" w:firstLineChars="200"/>
        <w:outlineLvl w:val="1"/>
        <w:rPr>
          <w:rFonts w:hint="eastAsia" w:asciiTheme="minorEastAsia" w:hAnsiTheme="minorEastAsia" w:eastAsiaTheme="minorEastAsia" w:cstheme="minorEastAsia"/>
          <w:b w:val="0"/>
          <w:bCs w:val="0"/>
          <w:color w:val="auto"/>
          <w:spacing w:val="-5"/>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请求：</w:t>
      </w:r>
    </w:p>
    <w:p w14:paraId="289865FE">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52DFC4A3">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3761E3FA">
      <w:pPr>
        <w:pStyle w:val="2"/>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7A3F6045">
      <w:pPr>
        <w:pStyle w:val="2"/>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02D6ABDE">
      <w:pPr>
        <w:pStyle w:val="8"/>
        <w:keepNext w:val="0"/>
        <w:keepLines w:val="0"/>
        <w:pageBreakBefore w:val="0"/>
        <w:wordWrap/>
        <w:overflowPunct/>
        <w:topLinePunct w:val="0"/>
        <w:bidi w:val="0"/>
        <w:spacing w:line="440" w:lineRule="exact"/>
        <w:ind w:right="6461"/>
        <w:jc w:val="both"/>
        <w:rPr>
          <w:rFonts w:hint="eastAsia" w:asciiTheme="minorEastAsia" w:hAnsiTheme="minorEastAsia" w:eastAsiaTheme="minorEastAsia" w:cstheme="minorEastAsia"/>
          <w:color w:val="auto"/>
          <w:spacing w:val="-11"/>
          <w:sz w:val="21"/>
          <w:szCs w:val="21"/>
          <w:highlight w:val="none"/>
          <w:lang w:val="en-US" w:eastAsia="zh-CN"/>
        </w:rPr>
      </w:pPr>
      <w:r>
        <w:rPr>
          <w:rFonts w:hint="eastAsia" w:asciiTheme="minorEastAsia" w:hAnsiTheme="minorEastAsia" w:eastAsiaTheme="minorEastAsia" w:cstheme="minorEastAsia"/>
          <w:color w:val="auto"/>
          <w:spacing w:val="-11"/>
          <w:sz w:val="21"/>
          <w:szCs w:val="21"/>
          <w:highlight w:val="none"/>
          <w:lang w:val="en-US" w:eastAsia="zh-CN"/>
        </w:rPr>
        <w:t xml:space="preserve">                              </w:t>
      </w:r>
    </w:p>
    <w:p w14:paraId="7607B4EF">
      <w:pPr>
        <w:pStyle w:val="8"/>
        <w:keepNext w:val="0"/>
        <w:keepLines w:val="0"/>
        <w:pageBreakBefore w:val="0"/>
        <w:wordWrap/>
        <w:overflowPunct/>
        <w:topLinePunct w:val="0"/>
        <w:bidi w:val="0"/>
        <w:spacing w:line="440" w:lineRule="exact"/>
        <w:ind w:left="547" w:right="6461" w:hanging="41"/>
        <w:jc w:val="right"/>
        <w:rPr>
          <w:rFonts w:hint="eastAsia" w:asciiTheme="minorEastAsia" w:hAnsiTheme="minorEastAsia" w:eastAsiaTheme="minorEastAsia" w:cstheme="minorEastAsia"/>
          <w:color w:val="auto"/>
          <w:spacing w:val="-11"/>
          <w:sz w:val="21"/>
          <w:szCs w:val="21"/>
          <w:highlight w:val="none"/>
          <w:lang w:val="en-US" w:eastAsia="zh-CN"/>
        </w:rPr>
      </w:pPr>
    </w:p>
    <w:p w14:paraId="3C0EC466">
      <w:pPr>
        <w:pStyle w:val="8"/>
        <w:keepNext w:val="0"/>
        <w:keepLines w:val="0"/>
        <w:pageBreakBefore w:val="0"/>
        <w:wordWrap/>
        <w:overflowPunct/>
        <w:topLinePunct w:val="0"/>
        <w:bidi w:val="0"/>
        <w:spacing w:line="440" w:lineRule="exact"/>
        <w:ind w:left="547" w:right="6461" w:hanging="41"/>
        <w:jc w:val="left"/>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签字（签章</w:t>
      </w:r>
      <w:r>
        <w:rPr>
          <w:rFonts w:hint="eastAsia" w:asciiTheme="minorEastAsia" w:hAnsiTheme="minorEastAsia" w:eastAsiaTheme="minorEastAsia" w:cstheme="minorEastAsia"/>
          <w:color w:val="auto"/>
          <w:spacing w:val="8"/>
          <w:sz w:val="21"/>
          <w:szCs w:val="21"/>
          <w:highlight w:val="none"/>
        </w:rPr>
        <w:t>）：</w:t>
      </w:r>
    </w:p>
    <w:p w14:paraId="4D4394CC">
      <w:pPr>
        <w:pStyle w:val="8"/>
        <w:keepNext w:val="0"/>
        <w:keepLines w:val="0"/>
        <w:pageBreakBefore w:val="0"/>
        <w:wordWrap/>
        <w:overflowPunct/>
        <w:topLinePunct w:val="0"/>
        <w:bidi w:val="0"/>
        <w:spacing w:line="440" w:lineRule="exact"/>
        <w:ind w:left="547" w:right="6461" w:hanging="4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公章：</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7"/>
          <w:sz w:val="21"/>
          <w:szCs w:val="21"/>
          <w:highlight w:val="none"/>
        </w:rPr>
        <w:t>日期：</w:t>
      </w:r>
    </w:p>
    <w:p w14:paraId="601779BC">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490B6660">
      <w:pPr>
        <w:pStyle w:val="8"/>
        <w:keepNext w:val="0"/>
        <w:keepLines w:val="0"/>
        <w:pageBreakBefore w:val="0"/>
        <w:wordWrap/>
        <w:overflowPunct/>
        <w:topLinePunct w:val="0"/>
        <w:bidi w:val="0"/>
        <w:spacing w:line="440" w:lineRule="exact"/>
        <w:ind w:left="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lang w:val="en-US" w:eastAsia="zh-CN"/>
        </w:rPr>
        <w:t xml:space="preserve">   </w:t>
      </w:r>
      <w:r>
        <w:rPr>
          <w:rFonts w:hint="eastAsia" w:asciiTheme="minorEastAsia" w:hAnsiTheme="minorEastAsia" w:eastAsiaTheme="minorEastAsia" w:cstheme="minorEastAsia"/>
          <w:b/>
          <w:bCs/>
          <w:color w:val="auto"/>
          <w:spacing w:val="-7"/>
          <w:sz w:val="21"/>
          <w:szCs w:val="21"/>
          <w:highlight w:val="none"/>
        </w:rPr>
        <w:t>说明：</w:t>
      </w:r>
    </w:p>
    <w:p w14:paraId="2EB9A677">
      <w:pPr>
        <w:pStyle w:val="8"/>
        <w:keepNext w:val="0"/>
        <w:keepLines w:val="0"/>
        <w:pageBreakBefore w:val="0"/>
        <w:wordWrap/>
        <w:overflowPunct/>
        <w:topLinePunct w:val="0"/>
        <w:bidi w:val="0"/>
        <w:spacing w:line="440" w:lineRule="exact"/>
        <w:ind w:left="34" w:firstLine="3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1.投诉人提起投诉时，应当提交投诉书和必要的证明材料，并按照</w:t>
      </w:r>
      <w:r>
        <w:rPr>
          <w:rFonts w:hint="eastAsia" w:asciiTheme="minorEastAsia" w:hAnsiTheme="minorEastAsia" w:eastAsiaTheme="minorEastAsia" w:cstheme="minorEastAsia"/>
          <w:b/>
          <w:bCs/>
          <w:color w:val="auto"/>
          <w:spacing w:val="-3"/>
          <w:sz w:val="21"/>
          <w:szCs w:val="21"/>
          <w:highlight w:val="none"/>
        </w:rPr>
        <w:t>被投诉人和与投诉事项有关的投标人数量提供投诉书副本。</w:t>
      </w:r>
    </w:p>
    <w:p w14:paraId="1E485555">
      <w:pPr>
        <w:pStyle w:val="8"/>
        <w:keepNext w:val="0"/>
        <w:keepLines w:val="0"/>
        <w:pageBreakBefore w:val="0"/>
        <w:wordWrap/>
        <w:overflowPunct/>
        <w:topLinePunct w:val="0"/>
        <w:bidi w:val="0"/>
        <w:spacing w:line="440" w:lineRule="exact"/>
        <w:ind w:left="33" w:firstLine="35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2.投诉人若委托代理人进行投诉的，投诉书应按要求列明“授权代表</w:t>
      </w:r>
      <w:r>
        <w:rPr>
          <w:rFonts w:hint="eastAsia" w:asciiTheme="minorEastAsia" w:hAnsiTheme="minorEastAsia" w:eastAsiaTheme="minorEastAsia" w:cstheme="minorEastAsia"/>
          <w:color w:val="auto"/>
          <w:spacing w:val="-75"/>
          <w:sz w:val="21"/>
          <w:szCs w:val="21"/>
          <w:highlight w:val="none"/>
        </w:rPr>
        <w:t xml:space="preserve"> </w:t>
      </w:r>
      <w:r>
        <w:rPr>
          <w:rFonts w:hint="eastAsia" w:asciiTheme="minorEastAsia" w:hAnsiTheme="minorEastAsia" w:eastAsiaTheme="minorEastAsia" w:cstheme="minorEastAsia"/>
          <w:b/>
          <w:bCs/>
          <w:color w:val="auto"/>
          <w:spacing w:val="-3"/>
          <w:sz w:val="21"/>
          <w:szCs w:val="21"/>
          <w:highlight w:val="none"/>
        </w:rPr>
        <w:t>”的有关内容，</w:t>
      </w:r>
      <w:r>
        <w:rPr>
          <w:rFonts w:hint="eastAsia" w:asciiTheme="minorEastAsia" w:hAnsiTheme="minorEastAsia" w:eastAsiaTheme="minorEastAsia" w:cstheme="minorEastAsia"/>
          <w:b/>
          <w:bCs/>
          <w:color w:val="auto"/>
          <w:spacing w:val="1"/>
          <w:sz w:val="21"/>
          <w:szCs w:val="21"/>
          <w:highlight w:val="none"/>
        </w:rPr>
        <w:t>并在附件中提交由投诉人签署的授权委托书。授权委托书应当载明代理人的姓名或者名</w:t>
      </w:r>
      <w:r>
        <w:rPr>
          <w:rFonts w:hint="eastAsia" w:asciiTheme="minorEastAsia" w:hAnsiTheme="minorEastAsia" w:eastAsiaTheme="minorEastAsia" w:cstheme="minorEastAsia"/>
          <w:b/>
          <w:bCs/>
          <w:color w:val="auto"/>
          <w:spacing w:val="-3"/>
          <w:sz w:val="21"/>
          <w:szCs w:val="21"/>
          <w:highlight w:val="none"/>
        </w:rPr>
        <w:t>称、代理事项、具体权限、期限和相关事项。</w:t>
      </w:r>
    </w:p>
    <w:p w14:paraId="45424B3A">
      <w:pPr>
        <w:pStyle w:val="8"/>
        <w:keepNext w:val="0"/>
        <w:keepLines w:val="0"/>
        <w:pageBreakBefore w:val="0"/>
        <w:wordWrap/>
        <w:overflowPunct/>
        <w:topLinePunct w:val="0"/>
        <w:bidi w:val="0"/>
        <w:spacing w:line="440" w:lineRule="exact"/>
        <w:ind w:left="386" w:right="1250" w:firstLine="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3.投诉书应简要列明质疑事项，质疑函、质疑答复等</w:t>
      </w:r>
      <w:r>
        <w:rPr>
          <w:rFonts w:hint="eastAsia" w:asciiTheme="minorEastAsia" w:hAnsiTheme="minorEastAsia" w:eastAsiaTheme="minorEastAsia" w:cstheme="minorEastAsia"/>
          <w:b/>
          <w:bCs/>
          <w:color w:val="auto"/>
          <w:spacing w:val="-4"/>
          <w:sz w:val="21"/>
          <w:szCs w:val="21"/>
          <w:highlight w:val="none"/>
        </w:rPr>
        <w:t>作为附件材料提供。</w:t>
      </w:r>
      <w:r>
        <w:rPr>
          <w:rFonts w:hint="eastAsia" w:asciiTheme="minorEastAsia" w:hAnsiTheme="minorEastAsia" w:eastAsiaTheme="minorEastAsia" w:cstheme="minorEastAsia"/>
          <w:color w:val="auto"/>
          <w:sz w:val="21"/>
          <w:szCs w:val="21"/>
          <w:highlight w:val="none"/>
        </w:rPr>
        <w:t xml:space="preserve"> </w:t>
      </w:r>
    </w:p>
    <w:p w14:paraId="3702E759">
      <w:pPr>
        <w:pStyle w:val="8"/>
        <w:keepNext w:val="0"/>
        <w:keepLines w:val="0"/>
        <w:pageBreakBefore w:val="0"/>
        <w:wordWrap/>
        <w:overflowPunct/>
        <w:topLinePunct w:val="0"/>
        <w:bidi w:val="0"/>
        <w:spacing w:line="440" w:lineRule="exact"/>
        <w:ind w:left="386" w:right="1250" w:firstLine="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4.投诉书的投诉事项应具体、明确，并有必要的事实依据和法律依据。</w:t>
      </w:r>
    </w:p>
    <w:p w14:paraId="5B93FB13">
      <w:pPr>
        <w:pStyle w:val="8"/>
        <w:keepNext w:val="0"/>
        <w:keepLines w:val="0"/>
        <w:pageBreakBefore w:val="0"/>
        <w:wordWrap/>
        <w:overflowPunct/>
        <w:topLinePunct w:val="0"/>
        <w:bidi w:val="0"/>
        <w:spacing w:line="440" w:lineRule="exact"/>
        <w:ind w:left="391"/>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5.投诉书的投诉请求应与投诉事项相关。</w:t>
      </w:r>
    </w:p>
    <w:p w14:paraId="253A8489">
      <w:pPr>
        <w:pStyle w:val="8"/>
        <w:keepNext w:val="0"/>
        <w:keepLines w:val="0"/>
        <w:pageBreakBefore w:val="0"/>
        <w:wordWrap/>
        <w:overflowPunct/>
        <w:topLinePunct w:val="0"/>
        <w:bidi w:val="0"/>
        <w:spacing w:line="440" w:lineRule="exact"/>
        <w:ind w:left="33" w:firstLine="3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6.投诉人为法人或者其他组织的，投诉书应由法定代表人、主要负责人，或者其授权</w:t>
      </w:r>
      <w:r>
        <w:rPr>
          <w:rFonts w:hint="eastAsia" w:asciiTheme="minorEastAsia" w:hAnsiTheme="minorEastAsia" w:eastAsiaTheme="minorEastAsia" w:cstheme="minorEastAsia"/>
          <w:b/>
          <w:bCs/>
          <w:color w:val="auto"/>
          <w:spacing w:val="-3"/>
          <w:sz w:val="21"/>
          <w:szCs w:val="21"/>
          <w:highlight w:val="none"/>
        </w:rPr>
        <w:t>代表签字或者盖章，并加盖公章。</w:t>
      </w:r>
    </w:p>
    <w:p w14:paraId="5F99AE4B">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sectPr>
          <w:headerReference r:id="rId60" w:type="default"/>
          <w:footerReference r:id="rId61" w:type="default"/>
          <w:pgSz w:w="11906" w:h="16839"/>
          <w:pgMar w:top="2098" w:right="1474" w:bottom="1984" w:left="1587" w:header="963" w:footer="677" w:gutter="0"/>
          <w:pgNumType w:fmt="decimal"/>
          <w:cols w:space="720" w:num="1"/>
          <w:rtlGutter w:val="0"/>
          <w:docGrid w:linePitch="0" w:charSpace="0"/>
        </w:sectPr>
      </w:pPr>
    </w:p>
    <w:p w14:paraId="7DD54542">
      <w:pPr>
        <w:pStyle w:val="8"/>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color w:val="auto"/>
          <w:sz w:val="28"/>
          <w:szCs w:val="28"/>
          <w:highlight w:val="none"/>
        </w:rPr>
      </w:pPr>
      <w:r>
        <w:rPr>
          <w:b/>
          <w:bCs/>
          <w:color w:val="auto"/>
          <w:spacing w:val="6"/>
          <w:sz w:val="28"/>
          <w:szCs w:val="28"/>
          <w:highlight w:val="none"/>
        </w:rPr>
        <w:t>广西壮族自治区政府采购项目合同验收书（格式）</w:t>
      </w:r>
    </w:p>
    <w:p w14:paraId="34F88EF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highlight w:val="none"/>
        </w:rPr>
      </w:pPr>
    </w:p>
    <w:p w14:paraId="31D73AE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39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根据政府采购项目（</w:t>
      </w:r>
      <w:r>
        <w:rPr>
          <w:rFonts w:hint="eastAsia" w:asciiTheme="minorEastAsia" w:hAnsiTheme="minorEastAsia" w:eastAsiaTheme="minorEastAsia" w:cstheme="minorEastAsia"/>
          <w:color w:val="auto"/>
          <w:spacing w:val="-7"/>
          <w:sz w:val="21"/>
          <w:szCs w:val="21"/>
          <w:highlight w:val="none"/>
          <w:u w:val="single" w:color="auto"/>
        </w:rPr>
        <w:t>采购合同编号</w:t>
      </w:r>
      <w:r>
        <w:rPr>
          <w:rFonts w:hint="eastAsia" w:asciiTheme="minorEastAsia" w:hAnsiTheme="minorEastAsia" w:eastAsiaTheme="minorEastAsia" w:cstheme="minorEastAsia"/>
          <w:color w:val="auto"/>
          <w:spacing w:val="-12"/>
          <w:sz w:val="21"/>
          <w:szCs w:val="21"/>
          <w:highlight w:val="none"/>
          <w:u w:val="single" w:color="auto"/>
        </w:rPr>
        <w:t>：</w:t>
      </w:r>
      <w:r>
        <w:rPr>
          <w:rFonts w:hint="eastAsia" w:asciiTheme="minorEastAsia" w:hAnsiTheme="minorEastAsia" w:eastAsiaTheme="minorEastAsia" w:cstheme="minorEastAsia"/>
          <w:color w:val="auto"/>
          <w:spacing w:val="13"/>
          <w:sz w:val="21"/>
          <w:szCs w:val="21"/>
          <w:highlight w:val="none"/>
          <w:u w:val="single" w:color="auto"/>
        </w:rPr>
        <w:t xml:space="preserve">     </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7"/>
          <w:sz w:val="21"/>
          <w:szCs w:val="21"/>
          <w:highlight w:val="none"/>
        </w:rPr>
        <w:t>的约定，我单位对（</w:t>
      </w:r>
      <w:r>
        <w:rPr>
          <w:rFonts w:hint="eastAsia" w:asciiTheme="minorEastAsia" w:hAnsiTheme="minorEastAsia" w:eastAsiaTheme="minorEastAsia" w:cstheme="minorEastAsia"/>
          <w:color w:val="auto"/>
          <w:spacing w:val="-7"/>
          <w:sz w:val="21"/>
          <w:szCs w:val="21"/>
          <w:highlight w:val="none"/>
          <w:u w:val="single" w:color="auto"/>
        </w:rPr>
        <w:t xml:space="preserve">  项目名称   </w:t>
      </w:r>
      <w:r>
        <w:rPr>
          <w:rFonts w:hint="eastAsia" w:asciiTheme="minorEastAsia" w:hAnsiTheme="minorEastAsia" w:eastAsiaTheme="minorEastAsia" w:cstheme="minorEastAsia"/>
          <w:color w:val="auto"/>
          <w:spacing w:val="-82"/>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）政</w:t>
      </w:r>
      <w:r>
        <w:rPr>
          <w:rFonts w:hint="eastAsia" w:asciiTheme="minorEastAsia" w:hAnsiTheme="minorEastAsia" w:eastAsiaTheme="minorEastAsia" w:cstheme="minorEastAsia"/>
          <w:color w:val="auto"/>
          <w:spacing w:val="-2"/>
          <w:sz w:val="21"/>
          <w:szCs w:val="21"/>
          <w:highlight w:val="none"/>
        </w:rPr>
        <w:t>府采购项目中标（或成交）投标人（</w:t>
      </w:r>
      <w:r>
        <w:rPr>
          <w:rFonts w:hint="eastAsia" w:asciiTheme="minorEastAsia" w:hAnsiTheme="minorEastAsia" w:eastAsiaTheme="minorEastAsia" w:cstheme="minorEastAsia"/>
          <w:color w:val="auto"/>
          <w:spacing w:val="-73"/>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u w:val="single" w:color="auto"/>
        </w:rPr>
        <w:t xml:space="preserve">            公司名称              </w:t>
      </w:r>
      <w:r>
        <w:rPr>
          <w:rFonts w:hint="eastAsia" w:asciiTheme="minorEastAsia" w:hAnsiTheme="minorEastAsia" w:eastAsiaTheme="minorEastAsia" w:cstheme="minorEastAsia"/>
          <w:color w:val="auto"/>
          <w:spacing w:val="-85"/>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）提供的货</w:t>
      </w:r>
      <w:r>
        <w:rPr>
          <w:rFonts w:hint="eastAsia" w:asciiTheme="minorEastAsia" w:hAnsiTheme="minorEastAsia" w:eastAsiaTheme="minorEastAsia" w:cstheme="minorEastAsia"/>
          <w:color w:val="auto"/>
          <w:spacing w:val="-1"/>
          <w:sz w:val="21"/>
          <w:szCs w:val="21"/>
          <w:highlight w:val="none"/>
        </w:rPr>
        <w:t>物（或工程、服务）进行了验收，验收情况如下：</w:t>
      </w:r>
    </w:p>
    <w:tbl>
      <w:tblPr>
        <w:tblStyle w:val="12"/>
        <w:tblpPr w:leftFromText="180" w:rightFromText="180" w:vertAnchor="text" w:horzAnchor="page" w:tblpX="1168" w:tblpY="266"/>
        <w:tblOverlap w:val="never"/>
        <w:tblW w:w="928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4"/>
        <w:gridCol w:w="2290"/>
        <w:gridCol w:w="944"/>
        <w:gridCol w:w="2491"/>
        <w:gridCol w:w="205"/>
        <w:gridCol w:w="792"/>
        <w:gridCol w:w="1030"/>
      </w:tblGrid>
      <w:tr w14:paraId="18463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824" w:type="dxa"/>
            <w:gridSpan w:val="2"/>
            <w:vAlign w:val="top"/>
          </w:tcPr>
          <w:p w14:paraId="3DB62B05">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31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验收方式：</w:t>
            </w:r>
          </w:p>
        </w:tc>
        <w:tc>
          <w:tcPr>
            <w:tcW w:w="5462" w:type="dxa"/>
            <w:gridSpan w:val="5"/>
            <w:vAlign w:val="top"/>
          </w:tcPr>
          <w:p w14:paraId="747A4C0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945"/>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□自行验收</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□委托验收</w:t>
            </w:r>
          </w:p>
        </w:tc>
      </w:tr>
      <w:tr w14:paraId="4B29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534" w:type="dxa"/>
            <w:vAlign w:val="top"/>
          </w:tcPr>
          <w:p w14:paraId="09BA8C78">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52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序号</w:t>
            </w:r>
          </w:p>
        </w:tc>
        <w:tc>
          <w:tcPr>
            <w:tcW w:w="2290" w:type="dxa"/>
            <w:vAlign w:val="top"/>
          </w:tcPr>
          <w:p w14:paraId="6F881AE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725"/>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名</w:t>
            </w:r>
            <w:r>
              <w:rPr>
                <w:rFonts w:hint="eastAsia" w:asciiTheme="minorEastAsia" w:hAnsiTheme="minorEastAsia" w:eastAsiaTheme="minorEastAsia" w:cstheme="minorEastAsia"/>
                <w:color w:val="auto"/>
                <w:spacing w:val="3"/>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称</w:t>
            </w:r>
          </w:p>
        </w:tc>
        <w:tc>
          <w:tcPr>
            <w:tcW w:w="3435" w:type="dxa"/>
            <w:gridSpan w:val="2"/>
            <w:vAlign w:val="top"/>
          </w:tcPr>
          <w:p w14:paraId="6AB13DB5">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758" w:hanging="74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货</w:t>
            </w:r>
            <w:r>
              <w:rPr>
                <w:rFonts w:hint="eastAsia" w:asciiTheme="minorEastAsia" w:hAnsiTheme="minorEastAsia" w:eastAsiaTheme="minorEastAsia" w:cstheme="minorEastAsia"/>
                <w:color w:val="auto"/>
                <w:spacing w:val="-13"/>
                <w:sz w:val="21"/>
                <w:szCs w:val="21"/>
                <w:highlight w:val="none"/>
              </w:rPr>
              <w:t>物型号规格、标准及配置等（</w:t>
            </w:r>
            <w:r>
              <w:rPr>
                <w:rFonts w:hint="eastAsia" w:asciiTheme="minorEastAsia" w:hAnsiTheme="minorEastAsia" w:eastAsiaTheme="minorEastAsia" w:cstheme="minorEastAsia"/>
                <w:color w:val="auto"/>
                <w:spacing w:val="-12"/>
                <w:sz w:val="21"/>
                <w:szCs w:val="21"/>
                <w:highlight w:val="none"/>
              </w:rPr>
              <w:t>或</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服务内容、标准）</w:t>
            </w:r>
          </w:p>
        </w:tc>
        <w:tc>
          <w:tcPr>
            <w:tcW w:w="997" w:type="dxa"/>
            <w:gridSpan w:val="2"/>
            <w:vAlign w:val="top"/>
          </w:tcPr>
          <w:p w14:paraId="10518B6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6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数量</w:t>
            </w:r>
          </w:p>
        </w:tc>
        <w:tc>
          <w:tcPr>
            <w:tcW w:w="1030" w:type="dxa"/>
            <w:vAlign w:val="top"/>
          </w:tcPr>
          <w:p w14:paraId="5240888B">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73"/>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金</w:t>
            </w:r>
            <w:r>
              <w:rPr>
                <w:rFonts w:hint="eastAsia" w:asciiTheme="minorEastAsia" w:hAnsiTheme="minorEastAsia" w:eastAsiaTheme="minorEastAsia" w:cstheme="minorEastAsia"/>
                <w:color w:val="auto"/>
                <w:spacing w:val="3"/>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额</w:t>
            </w:r>
          </w:p>
        </w:tc>
      </w:tr>
      <w:tr w14:paraId="0589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34" w:type="dxa"/>
            <w:vAlign w:val="top"/>
          </w:tcPr>
          <w:p w14:paraId="0DFED1B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90" w:type="dxa"/>
            <w:vAlign w:val="top"/>
          </w:tcPr>
          <w:p w14:paraId="7ED337F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3435" w:type="dxa"/>
            <w:gridSpan w:val="2"/>
            <w:vAlign w:val="top"/>
          </w:tcPr>
          <w:p w14:paraId="7773F82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97" w:type="dxa"/>
            <w:gridSpan w:val="2"/>
            <w:vAlign w:val="top"/>
          </w:tcPr>
          <w:p w14:paraId="177E366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30" w:type="dxa"/>
            <w:vAlign w:val="top"/>
          </w:tcPr>
          <w:p w14:paraId="48032B9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5EAE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34" w:type="dxa"/>
            <w:vAlign w:val="top"/>
          </w:tcPr>
          <w:p w14:paraId="030A36B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90" w:type="dxa"/>
            <w:vAlign w:val="top"/>
          </w:tcPr>
          <w:p w14:paraId="6AA1D89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3435" w:type="dxa"/>
            <w:gridSpan w:val="2"/>
            <w:vAlign w:val="top"/>
          </w:tcPr>
          <w:p w14:paraId="19B0244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97" w:type="dxa"/>
            <w:gridSpan w:val="2"/>
            <w:vAlign w:val="top"/>
          </w:tcPr>
          <w:p w14:paraId="1F4F88B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30" w:type="dxa"/>
            <w:vAlign w:val="top"/>
          </w:tcPr>
          <w:p w14:paraId="3D5718F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11BED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34" w:type="dxa"/>
            <w:vAlign w:val="top"/>
          </w:tcPr>
          <w:p w14:paraId="1A3A203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290" w:type="dxa"/>
            <w:vAlign w:val="top"/>
          </w:tcPr>
          <w:p w14:paraId="463EAD7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3435" w:type="dxa"/>
            <w:gridSpan w:val="2"/>
            <w:vAlign w:val="top"/>
          </w:tcPr>
          <w:p w14:paraId="660E188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997" w:type="dxa"/>
            <w:gridSpan w:val="2"/>
            <w:vAlign w:val="top"/>
          </w:tcPr>
          <w:p w14:paraId="5B66A4A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30" w:type="dxa"/>
            <w:vAlign w:val="top"/>
          </w:tcPr>
          <w:p w14:paraId="295D701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1A4D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259" w:type="dxa"/>
            <w:gridSpan w:val="4"/>
            <w:vAlign w:val="top"/>
          </w:tcPr>
          <w:p w14:paraId="4B45627A">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合</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计</w:t>
            </w:r>
          </w:p>
        </w:tc>
        <w:tc>
          <w:tcPr>
            <w:tcW w:w="997" w:type="dxa"/>
            <w:gridSpan w:val="2"/>
            <w:vAlign w:val="top"/>
          </w:tcPr>
          <w:p w14:paraId="57DCD89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030" w:type="dxa"/>
            <w:vAlign w:val="top"/>
          </w:tcPr>
          <w:p w14:paraId="0514103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5406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9286" w:type="dxa"/>
            <w:gridSpan w:val="7"/>
            <w:vAlign w:val="top"/>
          </w:tcPr>
          <w:p w14:paraId="484C0D7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合计大写金</w:t>
            </w:r>
          </w:p>
          <w:p w14:paraId="6A37FB0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额</w:t>
            </w:r>
            <w:r>
              <w:rPr>
                <w:rFonts w:hint="eastAsia" w:asciiTheme="minorEastAsia" w:hAnsiTheme="minorEastAsia" w:eastAsiaTheme="minorEastAsia" w:cstheme="minorEastAsia"/>
                <w:color w:val="auto"/>
                <w:spacing w:val="-84"/>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仟</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佰</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拾</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万</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仟</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佰</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拾</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2"/>
                <w:sz w:val="21"/>
                <w:szCs w:val="21"/>
                <w:highlight w:val="none"/>
              </w:rPr>
              <w:t>元</w:t>
            </w:r>
          </w:p>
        </w:tc>
      </w:tr>
      <w:tr w14:paraId="479D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534" w:type="dxa"/>
            <w:vAlign w:val="top"/>
          </w:tcPr>
          <w:p w14:paraId="4B3DA74F">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2"/>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实际供货日期</w:t>
            </w:r>
          </w:p>
        </w:tc>
        <w:tc>
          <w:tcPr>
            <w:tcW w:w="3234" w:type="dxa"/>
            <w:gridSpan w:val="2"/>
            <w:vAlign w:val="top"/>
          </w:tcPr>
          <w:p w14:paraId="3D538A3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696" w:type="dxa"/>
            <w:gridSpan w:val="2"/>
            <w:vAlign w:val="top"/>
          </w:tcPr>
          <w:p w14:paraId="167DA5F7">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41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合同交货验收日期</w:t>
            </w:r>
          </w:p>
        </w:tc>
        <w:tc>
          <w:tcPr>
            <w:tcW w:w="1822" w:type="dxa"/>
            <w:gridSpan w:val="2"/>
            <w:vAlign w:val="top"/>
          </w:tcPr>
          <w:p w14:paraId="1CC74B8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5C1A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34" w:type="dxa"/>
            <w:vAlign w:val="top"/>
          </w:tcPr>
          <w:p w14:paraId="7492EC6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3234" w:type="dxa"/>
            <w:gridSpan w:val="2"/>
            <w:vAlign w:val="top"/>
          </w:tcPr>
          <w:p w14:paraId="2A7C643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2696" w:type="dxa"/>
            <w:gridSpan w:val="2"/>
            <w:vAlign w:val="top"/>
          </w:tcPr>
          <w:p w14:paraId="3E1A8AD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1822" w:type="dxa"/>
            <w:gridSpan w:val="2"/>
            <w:vAlign w:val="top"/>
          </w:tcPr>
          <w:p w14:paraId="3373E9C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r>
      <w:tr w14:paraId="638E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534" w:type="dxa"/>
            <w:vAlign w:val="top"/>
          </w:tcPr>
          <w:p w14:paraId="75033E2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350C975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4" w:right="215" w:hanging="3"/>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验收具体内</w:t>
            </w:r>
            <w:r>
              <w:rPr>
                <w:rFonts w:hint="eastAsia" w:asciiTheme="minorEastAsia" w:hAnsiTheme="minorEastAsia" w:eastAsiaTheme="minorEastAsia" w:cstheme="minorEastAsia"/>
                <w:color w:val="auto"/>
                <w:sz w:val="21"/>
                <w:szCs w:val="21"/>
                <w:highlight w:val="none"/>
              </w:rPr>
              <w:t xml:space="preserve"> 容</w:t>
            </w:r>
          </w:p>
        </w:tc>
        <w:tc>
          <w:tcPr>
            <w:tcW w:w="7752" w:type="dxa"/>
            <w:gridSpan w:val="6"/>
            <w:vAlign w:val="top"/>
          </w:tcPr>
          <w:p w14:paraId="695DAD6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06" w:right="102" w:firstLine="1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（应按采购合同、采购文件、投标响应文件及验收方案等进行验收；并核对</w:t>
            </w:r>
            <w:r>
              <w:rPr>
                <w:rFonts w:hint="eastAsia" w:asciiTheme="minorEastAsia" w:hAnsiTheme="minorEastAsia" w:eastAsiaTheme="minorEastAsia" w:cstheme="minorEastAsia"/>
                <w:color w:val="auto"/>
                <w:spacing w:val="8"/>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中标或者成交投标人在安装调试等方面是否违反合同约定或服务规范要求、</w:t>
            </w:r>
            <w:r>
              <w:rPr>
                <w:rFonts w:hint="eastAsia" w:asciiTheme="minorEastAsia" w:hAnsiTheme="minorEastAsia" w:eastAsiaTheme="minorEastAsia" w:cstheme="minorEastAsia"/>
                <w:color w:val="auto"/>
                <w:spacing w:val="18"/>
                <w:sz w:val="21"/>
                <w:szCs w:val="21"/>
                <w:highlight w:val="none"/>
              </w:rPr>
              <w:t xml:space="preserve"> </w:t>
            </w:r>
            <w:r>
              <w:rPr>
                <w:rFonts w:hint="eastAsia" w:asciiTheme="minorEastAsia" w:hAnsiTheme="minorEastAsia" w:eastAsiaTheme="minorEastAsia" w:cstheme="minorEastAsia"/>
                <w:color w:val="auto"/>
                <w:sz w:val="21"/>
                <w:szCs w:val="21"/>
                <w:highlight w:val="none"/>
              </w:rPr>
              <w:t>提供的质量保证证明材料是否齐全、应有的配</w:t>
            </w:r>
            <w:r>
              <w:rPr>
                <w:rFonts w:hint="eastAsia" w:asciiTheme="minorEastAsia" w:hAnsiTheme="minorEastAsia" w:eastAsiaTheme="minorEastAsia" w:cstheme="minorEastAsia"/>
                <w:color w:val="auto"/>
                <w:spacing w:val="-1"/>
                <w:sz w:val="21"/>
                <w:szCs w:val="21"/>
                <w:highlight w:val="none"/>
              </w:rPr>
              <w:t>件及附件是否达到合同约定</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等。可附件)</w:t>
            </w:r>
          </w:p>
        </w:tc>
      </w:tr>
      <w:tr w14:paraId="4B22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1534" w:type="dxa"/>
            <w:vMerge w:val="restart"/>
            <w:tcBorders>
              <w:bottom w:val="nil"/>
            </w:tcBorders>
            <w:vAlign w:val="top"/>
          </w:tcPr>
          <w:p w14:paraId="4AA3B9E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04577A2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2DBD94E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p w14:paraId="5C6077C7">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5" w:right="215" w:hanging="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验收小组意</w:t>
            </w:r>
            <w:r>
              <w:rPr>
                <w:rFonts w:hint="eastAsia" w:asciiTheme="minorEastAsia" w:hAnsiTheme="minorEastAsia" w:eastAsiaTheme="minorEastAsia" w:cstheme="minorEastAsia"/>
                <w:color w:val="auto"/>
                <w:sz w:val="21"/>
                <w:szCs w:val="21"/>
                <w:highlight w:val="none"/>
              </w:rPr>
              <w:t xml:space="preserve"> 见</w:t>
            </w:r>
          </w:p>
        </w:tc>
        <w:tc>
          <w:tcPr>
            <w:tcW w:w="7752" w:type="dxa"/>
            <w:gridSpan w:val="6"/>
            <w:tcBorders>
              <w:bottom w:val="single" w:color="000000" w:sz="2" w:space="0"/>
            </w:tcBorders>
            <w:vAlign w:val="top"/>
          </w:tcPr>
          <w:p w14:paraId="32CEA023">
            <w:pPr>
              <w:pStyle w:val="13"/>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验收结论性意见：</w:t>
            </w:r>
          </w:p>
        </w:tc>
      </w:tr>
      <w:tr w14:paraId="2602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1534" w:type="dxa"/>
            <w:vMerge w:val="continue"/>
            <w:tcBorders>
              <w:top w:val="nil"/>
            </w:tcBorders>
            <w:vAlign w:val="top"/>
          </w:tcPr>
          <w:p w14:paraId="35C5480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1"/>
                <w:szCs w:val="21"/>
                <w:highlight w:val="none"/>
              </w:rPr>
            </w:pPr>
          </w:p>
        </w:tc>
        <w:tc>
          <w:tcPr>
            <w:tcW w:w="7752" w:type="dxa"/>
            <w:gridSpan w:val="6"/>
            <w:tcBorders>
              <w:top w:val="single" w:color="000000" w:sz="2" w:space="0"/>
            </w:tcBorders>
            <w:vAlign w:val="top"/>
          </w:tcPr>
          <w:p w14:paraId="45E9B661">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03"/>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有异议的意见和说明理由：</w:t>
            </w:r>
          </w:p>
          <w:p w14:paraId="462AB52C">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4566"/>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签字：</w:t>
            </w:r>
          </w:p>
        </w:tc>
      </w:tr>
      <w:tr w14:paraId="6F13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9286" w:type="dxa"/>
            <w:gridSpan w:val="7"/>
            <w:vAlign w:val="top"/>
          </w:tcPr>
          <w:p w14:paraId="0E59BAE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1"/>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验收小组成员签字：</w:t>
            </w:r>
          </w:p>
        </w:tc>
      </w:tr>
      <w:tr w14:paraId="771E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9286" w:type="dxa"/>
            <w:gridSpan w:val="7"/>
            <w:vAlign w:val="top"/>
          </w:tcPr>
          <w:p w14:paraId="36012BF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86" w:right="6212" w:hanging="73"/>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监督人员或其他相关人员签字：</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或受邀机构的意见（盖章</w:t>
            </w:r>
            <w:r>
              <w:rPr>
                <w:rFonts w:hint="eastAsia" w:asciiTheme="minorEastAsia" w:hAnsiTheme="minorEastAsia" w:eastAsiaTheme="minorEastAsia" w:cstheme="minorEastAsia"/>
                <w:color w:val="auto"/>
                <w:spacing w:val="4"/>
                <w:sz w:val="21"/>
                <w:szCs w:val="21"/>
                <w:highlight w:val="none"/>
              </w:rPr>
              <w:t>）：</w:t>
            </w:r>
          </w:p>
        </w:tc>
      </w:tr>
      <w:tr w14:paraId="17C8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4768" w:type="dxa"/>
            <w:gridSpan w:val="3"/>
            <w:tcBorders>
              <w:right w:val="nil"/>
            </w:tcBorders>
            <w:vAlign w:val="top"/>
          </w:tcPr>
          <w:p w14:paraId="5C724994">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 w:firstLine="235"/>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中标或者成交投标人负责人签字或盖章：</w:t>
            </w:r>
          </w:p>
          <w:p w14:paraId="0F2EBAA7">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 w:firstLine="235"/>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联系电话：                 年  月  日</w:t>
            </w:r>
          </w:p>
        </w:tc>
        <w:tc>
          <w:tcPr>
            <w:tcW w:w="4518" w:type="dxa"/>
            <w:gridSpan w:val="4"/>
            <w:tcBorders>
              <w:left w:val="nil"/>
            </w:tcBorders>
            <w:vAlign w:val="top"/>
          </w:tcPr>
          <w:p w14:paraId="2505F08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 w:firstLine="235"/>
              <w:textAlignment w:val="baseline"/>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采购人或受托机构的意见（盖章）</w:t>
            </w:r>
          </w:p>
          <w:p w14:paraId="7944A4F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 w:firstLine="235"/>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联系电话：                年</w:t>
            </w:r>
            <w:r>
              <w:rPr>
                <w:rFonts w:hint="eastAsia" w:asciiTheme="minorEastAsia" w:hAnsiTheme="minorEastAsia" w:eastAsiaTheme="minorEastAsia" w:cstheme="minorEastAsia"/>
                <w:color w:val="auto"/>
                <w:spacing w:val="-2"/>
                <w:sz w:val="21"/>
                <w:szCs w:val="21"/>
                <w:highlight w:val="none"/>
                <w:lang w:val="en-US" w:eastAsia="zh-CN"/>
              </w:rPr>
              <w:t xml:space="preserve">   </w:t>
            </w:r>
            <w:r>
              <w:rPr>
                <w:rFonts w:hint="eastAsia" w:asciiTheme="minorEastAsia" w:hAnsiTheme="minorEastAsia" w:eastAsiaTheme="minorEastAsia" w:cstheme="minorEastAsia"/>
                <w:color w:val="auto"/>
                <w:spacing w:val="-8"/>
                <w:sz w:val="21"/>
                <w:szCs w:val="21"/>
                <w:highlight w:val="none"/>
              </w:rPr>
              <w:t>月</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日</w:t>
            </w:r>
          </w:p>
        </w:tc>
      </w:tr>
    </w:tbl>
    <w:p w14:paraId="6072D2A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hAnsi="Arial" w:eastAsia="Arial" w:cs="Arial"/>
          <w:color w:val="auto"/>
          <w:sz w:val="21"/>
          <w:szCs w:val="21"/>
          <w:highlight w:val="none"/>
        </w:rPr>
        <w:sectPr>
          <w:headerReference r:id="rId62" w:type="default"/>
          <w:footerReference r:id="rId63" w:type="default"/>
          <w:pgSz w:w="11906" w:h="16839"/>
          <w:pgMar w:top="1247" w:right="1474" w:bottom="1474" w:left="1134" w:header="0" w:footer="714" w:gutter="0"/>
          <w:pgNumType w:fmt="decimal"/>
          <w:cols w:space="0" w:num="1"/>
          <w:rtlGutter w:val="0"/>
          <w:docGrid w:linePitch="0" w:charSpace="0"/>
        </w:sectPr>
      </w:pPr>
    </w:p>
    <w:p w14:paraId="4BEDB55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黑体" w:hAnsi="黑体" w:eastAsia="黑体" w:cs="黑体"/>
          <w:color w:val="auto"/>
          <w:sz w:val="28"/>
          <w:szCs w:val="28"/>
          <w:highlight w:val="none"/>
        </w:rPr>
      </w:pPr>
      <w:r>
        <w:rPr>
          <w:rFonts w:ascii="黑体" w:hAnsi="黑体" w:eastAsia="黑体" w:cs="黑体"/>
          <w:color w:val="auto"/>
          <w:spacing w:val="8"/>
          <w:sz w:val="28"/>
          <w:szCs w:val="28"/>
          <w:highlight w:val="none"/>
        </w:rPr>
        <w:t>政府采购项目履约保证金退付意见书（参考）</w:t>
      </w:r>
    </w:p>
    <w:p w14:paraId="5F7E748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color w:val="auto"/>
          <w:highlight w:val="none"/>
        </w:rPr>
      </w:pPr>
    </w:p>
    <w:tbl>
      <w:tblPr>
        <w:tblStyle w:val="12"/>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8135"/>
      </w:tblGrid>
      <w:tr w14:paraId="61837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2" w:type="dxa"/>
            <w:vMerge w:val="restart"/>
            <w:tcBorders>
              <w:bottom w:val="nil"/>
            </w:tcBorders>
            <w:textDirection w:val="tbRlV"/>
            <w:vAlign w:val="top"/>
          </w:tcPr>
          <w:p w14:paraId="5DD4FFA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249230B5">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530"/>
              <w:textAlignment w:val="baseline"/>
              <w:rPr>
                <w:color w:val="auto"/>
                <w:sz w:val="21"/>
                <w:szCs w:val="21"/>
                <w:highlight w:val="none"/>
              </w:rPr>
            </w:pPr>
            <w:r>
              <w:rPr>
                <w:color w:val="auto"/>
                <w:spacing w:val="-1"/>
                <w:sz w:val="21"/>
                <w:szCs w:val="21"/>
                <w:highlight w:val="none"/>
              </w:rPr>
              <w:t>供</w:t>
            </w:r>
            <w:r>
              <w:rPr>
                <w:color w:val="auto"/>
                <w:spacing w:val="-26"/>
                <w:sz w:val="21"/>
                <w:szCs w:val="21"/>
                <w:highlight w:val="none"/>
              </w:rPr>
              <w:t xml:space="preserve"> </w:t>
            </w:r>
            <w:r>
              <w:rPr>
                <w:color w:val="auto"/>
                <w:spacing w:val="-1"/>
                <w:sz w:val="21"/>
                <w:szCs w:val="21"/>
                <w:highlight w:val="none"/>
              </w:rPr>
              <w:t>应</w:t>
            </w:r>
            <w:r>
              <w:rPr>
                <w:color w:val="auto"/>
                <w:spacing w:val="-29"/>
                <w:sz w:val="21"/>
                <w:szCs w:val="21"/>
                <w:highlight w:val="none"/>
              </w:rPr>
              <w:t xml:space="preserve"> </w:t>
            </w:r>
            <w:r>
              <w:rPr>
                <w:color w:val="auto"/>
                <w:spacing w:val="-1"/>
                <w:sz w:val="21"/>
                <w:szCs w:val="21"/>
                <w:highlight w:val="none"/>
              </w:rPr>
              <w:t>商</w:t>
            </w:r>
            <w:r>
              <w:rPr>
                <w:color w:val="auto"/>
                <w:spacing w:val="-28"/>
                <w:sz w:val="21"/>
                <w:szCs w:val="21"/>
                <w:highlight w:val="none"/>
              </w:rPr>
              <w:t xml:space="preserve"> </w:t>
            </w:r>
            <w:r>
              <w:rPr>
                <w:color w:val="auto"/>
                <w:spacing w:val="-1"/>
                <w:position w:val="1"/>
                <w:sz w:val="21"/>
                <w:szCs w:val="21"/>
                <w:highlight w:val="none"/>
              </w:rPr>
              <w:t>申</w:t>
            </w:r>
            <w:r>
              <w:rPr>
                <w:color w:val="auto"/>
                <w:spacing w:val="-31"/>
                <w:position w:val="1"/>
                <w:sz w:val="21"/>
                <w:szCs w:val="21"/>
                <w:highlight w:val="none"/>
              </w:rPr>
              <w:t xml:space="preserve"> </w:t>
            </w:r>
            <w:r>
              <w:rPr>
                <w:color w:val="auto"/>
                <w:spacing w:val="-1"/>
                <w:sz w:val="21"/>
                <w:szCs w:val="21"/>
                <w:highlight w:val="none"/>
              </w:rPr>
              <w:t>请</w:t>
            </w:r>
          </w:p>
        </w:tc>
        <w:tc>
          <w:tcPr>
            <w:tcW w:w="8135" w:type="dxa"/>
            <w:vAlign w:val="top"/>
          </w:tcPr>
          <w:p w14:paraId="5F904604">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color w:val="auto"/>
                <w:sz w:val="21"/>
                <w:szCs w:val="21"/>
                <w:highlight w:val="none"/>
              </w:rPr>
            </w:pPr>
            <w:r>
              <w:rPr>
                <w:color w:val="auto"/>
                <w:spacing w:val="-3"/>
                <w:sz w:val="21"/>
                <w:szCs w:val="21"/>
                <w:highlight w:val="none"/>
              </w:rPr>
              <w:t>项目编号：</w:t>
            </w:r>
          </w:p>
        </w:tc>
      </w:tr>
      <w:tr w14:paraId="3F02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12" w:type="dxa"/>
            <w:vMerge w:val="continue"/>
            <w:tcBorders>
              <w:top w:val="nil"/>
              <w:bottom w:val="nil"/>
            </w:tcBorders>
            <w:textDirection w:val="tbRlV"/>
            <w:vAlign w:val="top"/>
          </w:tcPr>
          <w:p w14:paraId="3E23458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tc>
        <w:tc>
          <w:tcPr>
            <w:tcW w:w="8135" w:type="dxa"/>
            <w:vAlign w:val="top"/>
          </w:tcPr>
          <w:p w14:paraId="0BDE8082">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color w:val="auto"/>
                <w:sz w:val="21"/>
                <w:szCs w:val="21"/>
                <w:highlight w:val="none"/>
              </w:rPr>
            </w:pPr>
            <w:r>
              <w:rPr>
                <w:color w:val="auto"/>
                <w:spacing w:val="-3"/>
                <w:sz w:val="21"/>
                <w:szCs w:val="21"/>
                <w:highlight w:val="none"/>
              </w:rPr>
              <w:t>项目名称：</w:t>
            </w:r>
          </w:p>
        </w:tc>
      </w:tr>
      <w:tr w14:paraId="006B7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4" w:hRule="atLeast"/>
        </w:trPr>
        <w:tc>
          <w:tcPr>
            <w:tcW w:w="1012" w:type="dxa"/>
            <w:vMerge w:val="continue"/>
            <w:tcBorders>
              <w:top w:val="nil"/>
            </w:tcBorders>
            <w:textDirection w:val="tbRlV"/>
            <w:vAlign w:val="top"/>
          </w:tcPr>
          <w:p w14:paraId="66B5A18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tc>
        <w:tc>
          <w:tcPr>
            <w:tcW w:w="8135" w:type="dxa"/>
            <w:vAlign w:val="top"/>
          </w:tcPr>
          <w:p w14:paraId="7C92603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5797407D">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right="106" w:firstLine="481"/>
              <w:jc w:val="both"/>
              <w:textAlignment w:val="baseline"/>
              <w:rPr>
                <w:color w:val="auto"/>
                <w:sz w:val="21"/>
                <w:szCs w:val="21"/>
                <w:highlight w:val="none"/>
              </w:rPr>
            </w:pPr>
            <w:r>
              <w:rPr>
                <w:color w:val="auto"/>
                <w:spacing w:val="-3"/>
                <w:sz w:val="21"/>
                <w:szCs w:val="21"/>
                <w:highlight w:val="none"/>
              </w:rPr>
              <w:t>该项目已于</w:t>
            </w:r>
            <w:r>
              <w:rPr>
                <w:color w:val="auto"/>
                <w:spacing w:val="-3"/>
                <w:sz w:val="21"/>
                <w:szCs w:val="21"/>
                <w:highlight w:val="none"/>
                <w:u w:val="single" w:color="auto"/>
              </w:rPr>
              <w:t xml:space="preserve">       </w:t>
            </w:r>
            <w:r>
              <w:rPr>
                <w:color w:val="auto"/>
                <w:spacing w:val="-108"/>
                <w:sz w:val="21"/>
                <w:szCs w:val="21"/>
                <w:highlight w:val="none"/>
              </w:rPr>
              <w:t xml:space="preserve"> </w:t>
            </w:r>
            <w:r>
              <w:rPr>
                <w:color w:val="auto"/>
                <w:spacing w:val="-3"/>
                <w:sz w:val="21"/>
                <w:szCs w:val="21"/>
                <w:highlight w:val="none"/>
              </w:rPr>
              <w:t>年</w:t>
            </w:r>
            <w:r>
              <w:rPr>
                <w:color w:val="auto"/>
                <w:spacing w:val="-3"/>
                <w:sz w:val="21"/>
                <w:szCs w:val="21"/>
                <w:highlight w:val="none"/>
                <w:u w:val="single" w:color="auto"/>
              </w:rPr>
              <w:t xml:space="preserve">     </w:t>
            </w:r>
            <w:r>
              <w:rPr>
                <w:color w:val="auto"/>
                <w:spacing w:val="-105"/>
                <w:sz w:val="21"/>
                <w:szCs w:val="21"/>
                <w:highlight w:val="none"/>
              </w:rPr>
              <w:t xml:space="preserve"> </w:t>
            </w:r>
            <w:r>
              <w:rPr>
                <w:color w:val="auto"/>
                <w:spacing w:val="-3"/>
                <w:sz w:val="21"/>
                <w:szCs w:val="21"/>
                <w:highlight w:val="none"/>
              </w:rPr>
              <w:t>月</w:t>
            </w:r>
            <w:r>
              <w:rPr>
                <w:color w:val="auto"/>
                <w:spacing w:val="-3"/>
                <w:sz w:val="21"/>
                <w:szCs w:val="21"/>
                <w:highlight w:val="none"/>
                <w:u w:val="single" w:color="auto"/>
              </w:rPr>
              <w:t xml:space="preserve">     </w:t>
            </w:r>
            <w:r>
              <w:rPr>
                <w:color w:val="auto"/>
                <w:spacing w:val="-68"/>
                <w:sz w:val="21"/>
                <w:szCs w:val="21"/>
                <w:highlight w:val="none"/>
              </w:rPr>
              <w:t xml:space="preserve"> </w:t>
            </w:r>
            <w:r>
              <w:rPr>
                <w:color w:val="auto"/>
                <w:spacing w:val="-3"/>
                <w:sz w:val="21"/>
                <w:szCs w:val="21"/>
                <w:highlight w:val="none"/>
              </w:rPr>
              <w:t>日验收并交付使用</w:t>
            </w:r>
            <w:r>
              <w:rPr>
                <w:color w:val="auto"/>
                <w:spacing w:val="-4"/>
                <w:sz w:val="21"/>
                <w:szCs w:val="21"/>
                <w:highlight w:val="none"/>
              </w:rPr>
              <w:t>。根据合同规定，该</w:t>
            </w:r>
            <w:r>
              <w:rPr>
                <w:color w:val="auto"/>
                <w:spacing w:val="-1"/>
                <w:sz w:val="21"/>
                <w:szCs w:val="21"/>
                <w:highlight w:val="none"/>
              </w:rPr>
              <w:t>项目的履约保证金期限于</w:t>
            </w:r>
            <w:r>
              <w:rPr>
                <w:color w:val="auto"/>
                <w:spacing w:val="-118"/>
                <w:sz w:val="21"/>
                <w:szCs w:val="21"/>
                <w:highlight w:val="none"/>
              </w:rPr>
              <w:t xml:space="preserve"> </w:t>
            </w:r>
            <w:r>
              <w:rPr>
                <w:color w:val="auto"/>
                <w:spacing w:val="1"/>
                <w:sz w:val="21"/>
                <w:szCs w:val="21"/>
                <w:highlight w:val="none"/>
                <w:u w:val="single" w:color="auto"/>
              </w:rPr>
              <w:t xml:space="preserve">         </w:t>
            </w:r>
            <w:r>
              <w:rPr>
                <w:color w:val="auto"/>
                <w:spacing w:val="-104"/>
                <w:sz w:val="21"/>
                <w:szCs w:val="21"/>
                <w:highlight w:val="none"/>
              </w:rPr>
              <w:t xml:space="preserve"> </w:t>
            </w:r>
            <w:r>
              <w:rPr>
                <w:color w:val="auto"/>
                <w:spacing w:val="-1"/>
                <w:sz w:val="21"/>
                <w:szCs w:val="21"/>
                <w:highlight w:val="none"/>
              </w:rPr>
              <w:t>年</w:t>
            </w:r>
            <w:r>
              <w:rPr>
                <w:color w:val="auto"/>
                <w:spacing w:val="-118"/>
                <w:sz w:val="21"/>
                <w:szCs w:val="21"/>
                <w:highlight w:val="none"/>
              </w:rPr>
              <w:t xml:space="preserve"> </w:t>
            </w:r>
            <w:r>
              <w:rPr>
                <w:color w:val="auto"/>
                <w:spacing w:val="2"/>
                <w:sz w:val="21"/>
                <w:szCs w:val="21"/>
                <w:highlight w:val="none"/>
                <w:u w:val="single" w:color="auto"/>
              </w:rPr>
              <w:t xml:space="preserve">      </w:t>
            </w:r>
            <w:r>
              <w:rPr>
                <w:color w:val="auto"/>
                <w:spacing w:val="-104"/>
                <w:sz w:val="21"/>
                <w:szCs w:val="21"/>
                <w:highlight w:val="none"/>
              </w:rPr>
              <w:t xml:space="preserve"> </w:t>
            </w:r>
            <w:r>
              <w:rPr>
                <w:color w:val="auto"/>
                <w:spacing w:val="-1"/>
                <w:sz w:val="21"/>
                <w:szCs w:val="21"/>
                <w:highlight w:val="none"/>
              </w:rPr>
              <w:t>月</w:t>
            </w:r>
            <w:r>
              <w:rPr>
                <w:color w:val="auto"/>
                <w:spacing w:val="-1"/>
                <w:sz w:val="21"/>
                <w:szCs w:val="21"/>
                <w:highlight w:val="none"/>
                <w:u w:val="single" w:color="auto"/>
              </w:rPr>
              <w:t xml:space="preserve">       </w:t>
            </w:r>
            <w:r>
              <w:rPr>
                <w:color w:val="auto"/>
                <w:spacing w:val="-69"/>
                <w:sz w:val="21"/>
                <w:szCs w:val="21"/>
                <w:highlight w:val="none"/>
              </w:rPr>
              <w:t xml:space="preserve"> </w:t>
            </w:r>
            <w:r>
              <w:rPr>
                <w:color w:val="auto"/>
                <w:spacing w:val="-1"/>
                <w:sz w:val="21"/>
                <w:szCs w:val="21"/>
                <w:highlight w:val="none"/>
              </w:rPr>
              <w:t>日</w:t>
            </w:r>
            <w:r>
              <w:rPr>
                <w:color w:val="auto"/>
                <w:spacing w:val="-2"/>
                <w:sz w:val="21"/>
                <w:szCs w:val="21"/>
                <w:highlight w:val="none"/>
              </w:rPr>
              <w:t>已满，请将履约保证</w:t>
            </w:r>
            <w:r>
              <w:rPr>
                <w:color w:val="auto"/>
                <w:sz w:val="21"/>
                <w:szCs w:val="21"/>
                <w:highlight w:val="none"/>
              </w:rPr>
              <w:t xml:space="preserve"> 金</w:t>
            </w:r>
          </w:p>
          <w:p w14:paraId="7F1A97D0">
            <w:pPr>
              <w:pStyle w:val="13"/>
              <w:keepNext w:val="0"/>
              <w:keepLines w:val="0"/>
              <w:pageBreakBefore w:val="0"/>
              <w:widowControl/>
              <w:tabs>
                <w:tab w:val="left" w:pos="4901"/>
              </w:tabs>
              <w:kinsoku w:val="0"/>
              <w:wordWrap/>
              <w:overflowPunct/>
              <w:topLinePunct w:val="0"/>
              <w:autoSpaceDE w:val="0"/>
              <w:autoSpaceDN w:val="0"/>
              <w:bidi w:val="0"/>
              <w:adjustRightInd w:val="0"/>
              <w:snapToGrid w:val="0"/>
              <w:spacing w:line="440" w:lineRule="exact"/>
              <w:ind w:left="112" w:right="127" w:hanging="11"/>
              <w:textAlignment w:val="baseline"/>
              <w:rPr>
                <w:color w:val="auto"/>
                <w:sz w:val="21"/>
                <w:szCs w:val="21"/>
                <w:highlight w:val="none"/>
              </w:rPr>
            </w:pPr>
            <w:r>
              <w:rPr>
                <w:color w:val="auto"/>
                <w:sz w:val="21"/>
                <w:szCs w:val="21"/>
                <w:highlight w:val="none"/>
                <w:u w:val="single" w:color="auto"/>
              </w:rPr>
              <w:tab/>
            </w:r>
            <w:r>
              <w:rPr>
                <w:color w:val="auto"/>
                <w:sz w:val="21"/>
                <w:szCs w:val="21"/>
                <w:highlight w:val="none"/>
                <w:u w:val="single" w:color="auto"/>
              </w:rPr>
              <w:tab/>
            </w:r>
            <w:r>
              <w:rPr>
                <w:color w:val="auto"/>
                <w:spacing w:val="-5"/>
                <w:sz w:val="21"/>
                <w:szCs w:val="21"/>
                <w:highlight w:val="none"/>
              </w:rPr>
              <w:t>（大写）</w:t>
            </w:r>
            <w:r>
              <w:rPr>
                <w:color w:val="auto"/>
                <w:spacing w:val="-89"/>
                <w:sz w:val="21"/>
                <w:szCs w:val="21"/>
                <w:highlight w:val="none"/>
              </w:rPr>
              <w:t xml:space="preserve"> </w:t>
            </w:r>
            <w:r>
              <w:rPr>
                <w:color w:val="auto"/>
                <w:spacing w:val="-5"/>
                <w:sz w:val="21"/>
                <w:szCs w:val="21"/>
                <w:highlight w:val="none"/>
              </w:rPr>
              <w:t>￥</w:t>
            </w:r>
            <w:r>
              <w:rPr>
                <w:color w:val="auto"/>
                <w:spacing w:val="-89"/>
                <w:sz w:val="21"/>
                <w:szCs w:val="21"/>
                <w:highlight w:val="none"/>
              </w:rPr>
              <w:t xml:space="preserve"> </w:t>
            </w:r>
            <w:r>
              <w:rPr>
                <w:color w:val="auto"/>
                <w:spacing w:val="4"/>
                <w:sz w:val="21"/>
                <w:szCs w:val="21"/>
                <w:highlight w:val="none"/>
                <w:u w:val="single" w:color="auto"/>
              </w:rPr>
              <w:t xml:space="preserve">          </w:t>
            </w:r>
            <w:r>
              <w:rPr>
                <w:color w:val="auto"/>
                <w:spacing w:val="-5"/>
                <w:sz w:val="21"/>
                <w:szCs w:val="21"/>
                <w:highlight w:val="none"/>
              </w:rPr>
              <w:t>（小写）</w:t>
            </w:r>
            <w:r>
              <w:rPr>
                <w:color w:val="auto"/>
                <w:spacing w:val="-2"/>
                <w:sz w:val="21"/>
                <w:szCs w:val="21"/>
                <w:highlight w:val="none"/>
              </w:rPr>
              <w:t>退付到达以下账户。</w:t>
            </w:r>
          </w:p>
          <w:p w14:paraId="427F712E">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818" w:right="6502"/>
              <w:textAlignment w:val="baseline"/>
              <w:rPr>
                <w:color w:val="auto"/>
                <w:sz w:val="21"/>
                <w:szCs w:val="21"/>
                <w:highlight w:val="none"/>
              </w:rPr>
            </w:pPr>
            <w:r>
              <w:rPr>
                <w:color w:val="auto"/>
                <w:spacing w:val="-15"/>
                <w:sz w:val="21"/>
                <w:szCs w:val="21"/>
                <w:highlight w:val="none"/>
              </w:rPr>
              <w:t>单位名称：</w:t>
            </w:r>
            <w:r>
              <w:rPr>
                <w:color w:val="auto"/>
                <w:spacing w:val="2"/>
                <w:sz w:val="21"/>
                <w:szCs w:val="21"/>
                <w:highlight w:val="none"/>
              </w:rPr>
              <w:t xml:space="preserve"> </w:t>
            </w:r>
            <w:r>
              <w:rPr>
                <w:color w:val="auto"/>
                <w:spacing w:val="-15"/>
                <w:sz w:val="21"/>
                <w:szCs w:val="21"/>
                <w:highlight w:val="none"/>
              </w:rPr>
              <w:t>开户银行：</w:t>
            </w:r>
          </w:p>
          <w:p w14:paraId="6E4916FB">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2" w:right="6622" w:firstLine="714"/>
              <w:textAlignment w:val="baseline"/>
              <w:rPr>
                <w:color w:val="auto"/>
                <w:sz w:val="21"/>
                <w:szCs w:val="21"/>
                <w:highlight w:val="none"/>
              </w:rPr>
            </w:pPr>
            <w:r>
              <w:rPr>
                <w:color w:val="auto"/>
                <w:spacing w:val="-32"/>
                <w:sz w:val="21"/>
                <w:szCs w:val="21"/>
                <w:highlight w:val="none"/>
              </w:rPr>
              <w:t>帐</w:t>
            </w:r>
            <w:r>
              <w:rPr>
                <w:color w:val="auto"/>
                <w:spacing w:val="5"/>
                <w:sz w:val="21"/>
                <w:szCs w:val="21"/>
                <w:highlight w:val="none"/>
              </w:rPr>
              <w:t xml:space="preserve">   </w:t>
            </w:r>
            <w:r>
              <w:rPr>
                <w:color w:val="auto"/>
                <w:spacing w:val="-32"/>
                <w:sz w:val="21"/>
                <w:szCs w:val="21"/>
                <w:highlight w:val="none"/>
              </w:rPr>
              <w:t>号：</w:t>
            </w:r>
            <w:r>
              <w:rPr>
                <w:color w:val="auto"/>
                <w:spacing w:val="1"/>
                <w:sz w:val="21"/>
                <w:szCs w:val="21"/>
                <w:highlight w:val="none"/>
              </w:rPr>
              <w:t xml:space="preserve"> </w:t>
            </w:r>
            <w:r>
              <w:rPr>
                <w:color w:val="auto"/>
                <w:spacing w:val="-2"/>
                <w:sz w:val="21"/>
                <w:szCs w:val="21"/>
                <w:highlight w:val="none"/>
              </w:rPr>
              <w:t>联系人及电话：</w:t>
            </w:r>
          </w:p>
          <w:p w14:paraId="7980363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39ECF0B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4055"/>
              <w:textAlignment w:val="baseline"/>
              <w:rPr>
                <w:color w:val="auto"/>
                <w:sz w:val="21"/>
                <w:szCs w:val="21"/>
                <w:highlight w:val="none"/>
              </w:rPr>
            </w:pPr>
            <w:r>
              <w:rPr>
                <w:color w:val="auto"/>
                <w:spacing w:val="-3"/>
                <w:sz w:val="21"/>
                <w:szCs w:val="21"/>
                <w:highlight w:val="none"/>
              </w:rPr>
              <w:t>投标人签章：</w:t>
            </w:r>
          </w:p>
          <w:p w14:paraId="0F4CC258">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4953"/>
              <w:textAlignment w:val="baseline"/>
              <w:rPr>
                <w:color w:val="auto"/>
                <w:sz w:val="21"/>
                <w:szCs w:val="21"/>
                <w:highlight w:val="none"/>
              </w:rPr>
            </w:pPr>
            <w:r>
              <w:rPr>
                <w:color w:val="auto"/>
                <w:spacing w:val="-9"/>
                <w:sz w:val="21"/>
                <w:szCs w:val="21"/>
                <w:highlight w:val="none"/>
              </w:rPr>
              <w:t>年</w:t>
            </w:r>
            <w:r>
              <w:rPr>
                <w:color w:val="auto"/>
                <w:spacing w:val="3"/>
                <w:sz w:val="21"/>
                <w:szCs w:val="21"/>
                <w:highlight w:val="none"/>
              </w:rPr>
              <w:t xml:space="preserve">    </w:t>
            </w:r>
            <w:r>
              <w:rPr>
                <w:color w:val="auto"/>
                <w:spacing w:val="-9"/>
                <w:sz w:val="21"/>
                <w:szCs w:val="21"/>
                <w:highlight w:val="none"/>
              </w:rPr>
              <w:t>月</w:t>
            </w:r>
            <w:r>
              <w:rPr>
                <w:color w:val="auto"/>
                <w:spacing w:val="10"/>
                <w:sz w:val="21"/>
                <w:szCs w:val="21"/>
                <w:highlight w:val="none"/>
              </w:rPr>
              <w:t xml:space="preserve">     </w:t>
            </w:r>
            <w:r>
              <w:rPr>
                <w:color w:val="auto"/>
                <w:spacing w:val="-9"/>
                <w:sz w:val="21"/>
                <w:szCs w:val="21"/>
                <w:highlight w:val="none"/>
              </w:rPr>
              <w:t>日</w:t>
            </w:r>
          </w:p>
        </w:tc>
      </w:tr>
      <w:tr w14:paraId="684B9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1012" w:type="dxa"/>
            <w:textDirection w:val="tbRlV"/>
            <w:vAlign w:val="top"/>
          </w:tcPr>
          <w:p w14:paraId="221FFD3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0AC75BC8">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934"/>
              <w:textAlignment w:val="baseline"/>
              <w:rPr>
                <w:color w:val="auto"/>
                <w:sz w:val="21"/>
                <w:szCs w:val="21"/>
                <w:highlight w:val="none"/>
              </w:rPr>
            </w:pPr>
            <w:r>
              <w:rPr>
                <w:color w:val="auto"/>
                <w:spacing w:val="-1"/>
                <w:sz w:val="21"/>
                <w:szCs w:val="21"/>
                <w:highlight w:val="none"/>
              </w:rPr>
              <w:t>采</w:t>
            </w:r>
            <w:r>
              <w:rPr>
                <w:color w:val="auto"/>
                <w:spacing w:val="-26"/>
                <w:sz w:val="21"/>
                <w:szCs w:val="21"/>
                <w:highlight w:val="none"/>
              </w:rPr>
              <w:t xml:space="preserve"> </w:t>
            </w:r>
            <w:r>
              <w:rPr>
                <w:color w:val="auto"/>
                <w:spacing w:val="-1"/>
                <w:sz w:val="21"/>
                <w:szCs w:val="21"/>
                <w:highlight w:val="none"/>
              </w:rPr>
              <w:t>购</w:t>
            </w:r>
            <w:r>
              <w:rPr>
                <w:color w:val="auto"/>
                <w:spacing w:val="-31"/>
                <w:sz w:val="21"/>
                <w:szCs w:val="21"/>
                <w:highlight w:val="none"/>
              </w:rPr>
              <w:t xml:space="preserve"> </w:t>
            </w:r>
            <w:r>
              <w:rPr>
                <w:color w:val="auto"/>
                <w:spacing w:val="-1"/>
                <w:sz w:val="21"/>
                <w:szCs w:val="21"/>
                <w:highlight w:val="none"/>
              </w:rPr>
              <w:t>人</w:t>
            </w:r>
            <w:r>
              <w:rPr>
                <w:color w:val="auto"/>
                <w:spacing w:val="-29"/>
                <w:sz w:val="21"/>
                <w:szCs w:val="21"/>
                <w:highlight w:val="none"/>
              </w:rPr>
              <w:t xml:space="preserve"> </w:t>
            </w:r>
            <w:r>
              <w:rPr>
                <w:color w:val="auto"/>
                <w:spacing w:val="-1"/>
                <w:sz w:val="21"/>
                <w:szCs w:val="21"/>
                <w:highlight w:val="none"/>
              </w:rPr>
              <w:t>意</w:t>
            </w:r>
            <w:r>
              <w:rPr>
                <w:color w:val="auto"/>
                <w:spacing w:val="-28"/>
                <w:sz w:val="21"/>
                <w:szCs w:val="21"/>
                <w:highlight w:val="none"/>
              </w:rPr>
              <w:t xml:space="preserve"> </w:t>
            </w:r>
            <w:r>
              <w:rPr>
                <w:color w:val="auto"/>
                <w:spacing w:val="-1"/>
                <w:sz w:val="21"/>
                <w:szCs w:val="21"/>
                <w:highlight w:val="none"/>
              </w:rPr>
              <w:t>见</w:t>
            </w:r>
          </w:p>
        </w:tc>
        <w:tc>
          <w:tcPr>
            <w:tcW w:w="8135" w:type="dxa"/>
            <w:vAlign w:val="top"/>
          </w:tcPr>
          <w:p w14:paraId="4DE6B46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66A1594D">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2"/>
              <w:textAlignment w:val="baseline"/>
              <w:rPr>
                <w:color w:val="auto"/>
                <w:sz w:val="21"/>
                <w:szCs w:val="21"/>
                <w:highlight w:val="none"/>
              </w:rPr>
            </w:pPr>
            <w:r>
              <w:rPr>
                <w:color w:val="auto"/>
                <w:spacing w:val="1"/>
                <w:sz w:val="21"/>
                <w:szCs w:val="21"/>
                <w:highlight w:val="none"/>
              </w:rPr>
              <w:t>退付意见</w:t>
            </w:r>
            <w:r>
              <w:rPr>
                <w:color w:val="auto"/>
                <w:spacing w:val="-17"/>
                <w:sz w:val="21"/>
                <w:szCs w:val="21"/>
                <w:highlight w:val="none"/>
              </w:rPr>
              <w:t>：（</w:t>
            </w:r>
            <w:r>
              <w:rPr>
                <w:color w:val="auto"/>
                <w:spacing w:val="1"/>
                <w:sz w:val="21"/>
                <w:szCs w:val="21"/>
                <w:highlight w:val="none"/>
              </w:rPr>
              <w:t>是否同意退付履约保证金及退付金额）</w:t>
            </w:r>
          </w:p>
          <w:p w14:paraId="7535F9E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113905C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61CD44A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23D8F0F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1B77E9C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2"/>
              <w:textAlignment w:val="baseline"/>
              <w:rPr>
                <w:color w:val="auto"/>
                <w:sz w:val="21"/>
                <w:szCs w:val="21"/>
                <w:highlight w:val="none"/>
              </w:rPr>
            </w:pPr>
            <w:r>
              <w:rPr>
                <w:color w:val="auto"/>
                <w:sz w:val="21"/>
                <w:szCs w:val="21"/>
                <w:highlight w:val="none"/>
              </w:rPr>
              <w:t xml:space="preserve">联系人及电话：                  </w:t>
            </w:r>
            <w:r>
              <w:rPr>
                <w:color w:val="auto"/>
                <w:spacing w:val="-1"/>
                <w:sz w:val="21"/>
                <w:szCs w:val="21"/>
                <w:highlight w:val="none"/>
              </w:rPr>
              <w:t xml:space="preserve">       采购人签章</w:t>
            </w:r>
          </w:p>
          <w:p w14:paraId="19F745DE">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5733"/>
              <w:textAlignment w:val="baseline"/>
              <w:rPr>
                <w:color w:val="auto"/>
                <w:sz w:val="21"/>
                <w:szCs w:val="21"/>
                <w:highlight w:val="none"/>
              </w:rPr>
            </w:pPr>
            <w:r>
              <w:rPr>
                <w:color w:val="auto"/>
                <w:spacing w:val="-9"/>
                <w:sz w:val="21"/>
                <w:szCs w:val="21"/>
                <w:highlight w:val="none"/>
              </w:rPr>
              <w:t>年</w:t>
            </w:r>
            <w:r>
              <w:rPr>
                <w:color w:val="auto"/>
                <w:spacing w:val="3"/>
                <w:sz w:val="21"/>
                <w:szCs w:val="21"/>
                <w:highlight w:val="none"/>
              </w:rPr>
              <w:t xml:space="preserve">    </w:t>
            </w:r>
            <w:r>
              <w:rPr>
                <w:color w:val="auto"/>
                <w:spacing w:val="-9"/>
                <w:sz w:val="21"/>
                <w:szCs w:val="21"/>
                <w:highlight w:val="none"/>
              </w:rPr>
              <w:t>月</w:t>
            </w:r>
            <w:r>
              <w:rPr>
                <w:color w:val="auto"/>
                <w:spacing w:val="10"/>
                <w:sz w:val="21"/>
                <w:szCs w:val="21"/>
                <w:highlight w:val="none"/>
              </w:rPr>
              <w:t xml:space="preserve">     </w:t>
            </w:r>
            <w:r>
              <w:rPr>
                <w:color w:val="auto"/>
                <w:spacing w:val="-9"/>
                <w:sz w:val="21"/>
                <w:szCs w:val="21"/>
                <w:highlight w:val="none"/>
              </w:rPr>
              <w:t>日</w:t>
            </w:r>
          </w:p>
        </w:tc>
      </w:tr>
      <w:tr w14:paraId="75DE6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012" w:type="dxa"/>
            <w:vAlign w:val="top"/>
          </w:tcPr>
          <w:p w14:paraId="61FD161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p w14:paraId="50D3429B">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274"/>
              <w:textAlignment w:val="baseline"/>
              <w:rPr>
                <w:color w:val="auto"/>
                <w:sz w:val="21"/>
                <w:szCs w:val="21"/>
                <w:highlight w:val="none"/>
              </w:rPr>
            </w:pPr>
            <w:r>
              <w:rPr>
                <w:color w:val="auto"/>
                <w:spacing w:val="-7"/>
                <w:sz w:val="21"/>
                <w:szCs w:val="21"/>
                <w:highlight w:val="none"/>
              </w:rPr>
              <w:t>备注</w:t>
            </w:r>
          </w:p>
        </w:tc>
        <w:tc>
          <w:tcPr>
            <w:tcW w:w="8135" w:type="dxa"/>
            <w:vAlign w:val="top"/>
          </w:tcPr>
          <w:p w14:paraId="5D58189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color w:val="auto"/>
                <w:sz w:val="21"/>
                <w:szCs w:val="21"/>
                <w:highlight w:val="none"/>
              </w:rPr>
            </w:pPr>
          </w:p>
        </w:tc>
      </w:tr>
    </w:tbl>
    <w:p w14:paraId="1BD732D0">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250"/>
        <w:textAlignment w:val="baseline"/>
        <w:rPr>
          <w:color w:val="auto"/>
          <w:sz w:val="21"/>
          <w:szCs w:val="21"/>
          <w:highlight w:val="none"/>
        </w:rPr>
      </w:pPr>
      <w:r>
        <w:rPr>
          <w:b/>
          <w:bCs/>
          <w:color w:val="auto"/>
          <w:spacing w:val="-1"/>
          <w:sz w:val="21"/>
          <w:szCs w:val="21"/>
          <w:highlight w:val="none"/>
        </w:rPr>
        <w:t>注：投标人凭经采购人审批的退付意见书到保证金</w:t>
      </w:r>
      <w:r>
        <w:rPr>
          <w:b/>
          <w:bCs/>
          <w:color w:val="auto"/>
          <w:spacing w:val="-2"/>
          <w:sz w:val="21"/>
          <w:szCs w:val="21"/>
          <w:highlight w:val="none"/>
        </w:rPr>
        <w:t>收取单位办理履约保证金退付事宜。</w:t>
      </w:r>
    </w:p>
    <w:sectPr>
      <w:footerReference r:id="rId64" w:type="default"/>
      <w:pgSz w:w="11906" w:h="16839"/>
      <w:pgMar w:top="1474" w:right="1417" w:bottom="1474" w:left="1417" w:header="0" w:footer="71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C5B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C42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6C8C42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71DB">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9286D">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FC9286D">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EAFC">
    <w:pPr>
      <w:spacing w:line="176"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0D33">
                          <w:pPr>
                            <w:pStyle w:val="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E0C0D33">
                    <w:pPr>
                      <w:pStyle w:val="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CB31">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E8F54">
                          <w:pPr>
                            <w:pStyle w:val="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E1E8F54">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CBEB">
    <w:pPr>
      <w:spacing w:line="173"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0D67">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CAB0D67">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E965">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BC82D">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F7BC82D">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AB72E">
    <w:pPr>
      <w:spacing w:line="176" w:lineRule="auto"/>
      <w:ind w:left="45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B6E1">
                          <w:pPr>
                            <w:pStyle w:val="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AA7B6E1">
                    <w:pPr>
                      <w:pStyle w:val="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09E3">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80395">
                          <w:pPr>
                            <w:pStyle w:val="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2180395">
                    <w:pPr>
                      <w:pStyle w:val="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626D">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FC05D">
                          <w:pPr>
                            <w:pStyle w:val="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2EFC05D">
                    <w:pPr>
                      <w:pStyle w:val="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5770">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6B234">
                          <w:pPr>
                            <w:pStyle w:val="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0FA6B234">
                    <w:pPr>
                      <w:pStyle w:val="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FD80">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BFBA4">
                          <w:pPr>
                            <w:pStyle w:val="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F6BFBA4">
                    <w:pPr>
                      <w:pStyle w:val="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CC9E">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CCBE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09CCBE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6D04">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5DD2E">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18C5DD2E">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DBBD">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D0319">
                          <w:pPr>
                            <w:pStyle w:val="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19D0319">
                    <w:pPr>
                      <w:pStyle w:val="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F7B9">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884FE">
                          <w:pPr>
                            <w:pStyle w:val="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B4884FE">
                    <w:pPr>
                      <w:pStyle w:val="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59C7">
    <w:pPr>
      <w:spacing w:line="173"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786EC">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AD786EC">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AE3C">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73124">
                          <w:pPr>
                            <w:pStyle w:val="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2273124">
                    <w:pPr>
                      <w:pStyle w:val="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CCD2">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EEEE4">
                          <w:pPr>
                            <w:pStyle w:val="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E1EEEE4">
                    <w:pPr>
                      <w:pStyle w:val="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C379">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CA2AE">
                          <w:pPr>
                            <w:pStyle w:val="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FACA2AE">
                    <w:pPr>
                      <w:pStyle w:val="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4CBB">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1E38F">
                          <w:pPr>
                            <w:pStyle w:val="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231E38F">
                    <w:pPr>
                      <w:pStyle w:val="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A62B">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7DD0C">
                          <w:pPr>
                            <w:pStyle w:val="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4687DD0C">
                    <w:pPr>
                      <w:pStyle w:val="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18A3">
    <w:pPr>
      <w:spacing w:line="176" w:lineRule="auto"/>
      <w:ind w:left="46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C213F">
                          <w:pPr>
                            <w:pStyle w:val="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72FC213F">
                    <w:pPr>
                      <w:pStyle w:val="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6C56">
    <w:pPr>
      <w:spacing w:line="173"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6A07E">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F66A07E">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EFFB6">
    <w:pPr>
      <w:spacing w:line="176" w:lineRule="auto"/>
      <w:ind w:left="50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2D988">
                          <w:pPr>
                            <w:pStyle w:val="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3E2D988">
                    <w:pPr>
                      <w:pStyle w:val="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AA04">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25D95">
                          <w:pPr>
                            <w:pStyle w:val="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9325D95">
                    <w:pPr>
                      <w:pStyle w:val="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6AD7">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8BAAE">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EE8BAAE">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5764">
    <w:pPr>
      <w:spacing w:line="176" w:lineRule="auto"/>
      <w:ind w:left="47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3D693">
                          <w:pPr>
                            <w:pStyle w:val="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7253D693">
                    <w:pPr>
                      <w:pStyle w:val="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7C86">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8FBFC">
                          <w:pPr>
                            <w:pStyle w:val="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2D08FBFC">
                    <w:pPr>
                      <w:pStyle w:val="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17A2">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D2A65">
                          <w:pPr>
                            <w:pStyle w:val="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4F0D2A65">
                    <w:pPr>
                      <w:pStyle w:val="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2962">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0DA53">
                          <w:pPr>
                            <w:pStyle w:val="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2D0DA53">
                    <w:pPr>
                      <w:pStyle w:val="2"/>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CF8C">
    <w:pPr>
      <w:spacing w:line="17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D8210">
                          <w:pPr>
                            <w:pStyle w:val="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60D8210">
                    <w:pPr>
                      <w:pStyle w:val="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34EE">
    <w:pPr>
      <w:spacing w:line="17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2B757">
                          <w:pPr>
                            <w:pStyle w:val="2"/>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8B2B757">
                    <w:pPr>
                      <w:pStyle w:val="2"/>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52E2">
    <w:pPr>
      <w:spacing w:line="176" w:lineRule="auto"/>
      <w:ind w:left="48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6D691">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636D691">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95D9">
    <w:pPr>
      <w:spacing w:line="176" w:lineRule="auto"/>
      <w:ind w:left="4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275E2">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AD275E2">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1ED4">
    <w:pPr>
      <w:spacing w:line="176" w:lineRule="auto"/>
      <w:ind w:left="4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A242C">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C7A242C">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5B02">
    <w:pPr>
      <w:spacing w:line="176" w:lineRule="auto"/>
      <w:ind w:left="4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93702">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74293702">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8FC6">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B46A7">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A2B46A7">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9993">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8E65B">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D78E65B">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8EA5">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808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A917">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3CD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E1919">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4A90">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FF4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6E5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EF2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98BC">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65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B25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AB6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78C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204E">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1D758">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E107">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7F6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00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9FA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6B33">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9F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67928"/>
    <w:multiLevelType w:val="singleLevel"/>
    <w:tmpl w:val="AEC67928"/>
    <w:lvl w:ilvl="0" w:tentative="0">
      <w:start w:val="5"/>
      <w:numFmt w:val="decimal"/>
      <w:lvlText w:val="%1."/>
      <w:lvlJc w:val="left"/>
      <w:pPr>
        <w:tabs>
          <w:tab w:val="left" w:pos="312"/>
        </w:tabs>
      </w:pPr>
    </w:lvl>
  </w:abstractNum>
  <w:abstractNum w:abstractNumId="1">
    <w:nsid w:val="B92BA4A9"/>
    <w:multiLevelType w:val="singleLevel"/>
    <w:tmpl w:val="B92BA4A9"/>
    <w:lvl w:ilvl="0" w:tentative="0">
      <w:start w:val="1"/>
      <w:numFmt w:val="chineseCounting"/>
      <w:suff w:val="nothing"/>
      <w:lvlText w:val="%1、"/>
      <w:lvlJc w:val="left"/>
      <w:rPr>
        <w:rFonts w:hint="eastAsia"/>
      </w:rPr>
    </w:lvl>
  </w:abstractNum>
  <w:abstractNum w:abstractNumId="2">
    <w:nsid w:val="184FA226"/>
    <w:multiLevelType w:val="singleLevel"/>
    <w:tmpl w:val="184FA226"/>
    <w:lvl w:ilvl="0" w:tentative="0">
      <w:start w:val="1"/>
      <w:numFmt w:val="decimal"/>
      <w:lvlText w:val="%1."/>
      <w:lvlJc w:val="left"/>
      <w:pPr>
        <w:tabs>
          <w:tab w:val="left" w:pos="312"/>
        </w:tabs>
      </w:pPr>
    </w:lvl>
  </w:abstractNum>
  <w:abstractNum w:abstractNumId="3">
    <w:nsid w:val="2DE98CD1"/>
    <w:multiLevelType w:val="singleLevel"/>
    <w:tmpl w:val="2DE98CD1"/>
    <w:lvl w:ilvl="0" w:tentative="0">
      <w:start w:val="1"/>
      <w:numFmt w:val="decimal"/>
      <w:suff w:val="nothing"/>
      <w:lvlText w:val="（%1）"/>
      <w:lvlJc w:val="left"/>
    </w:lvl>
  </w:abstractNum>
  <w:abstractNum w:abstractNumId="4">
    <w:nsid w:val="7C30436F"/>
    <w:multiLevelType w:val="singleLevel"/>
    <w:tmpl w:val="7C30436F"/>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RkYzUzZWFkMDIwNzBmMjZhMTFjMmQxZDk4YTQ4ZTYifQ=="/>
  </w:docVars>
  <w:rsids>
    <w:rsidRoot w:val="00000000"/>
    <w:rsid w:val="00A830CC"/>
    <w:rsid w:val="00F8420E"/>
    <w:rsid w:val="02C637E1"/>
    <w:rsid w:val="04B151D2"/>
    <w:rsid w:val="04D74A36"/>
    <w:rsid w:val="05616943"/>
    <w:rsid w:val="06155E98"/>
    <w:rsid w:val="06D159CF"/>
    <w:rsid w:val="0ADF4592"/>
    <w:rsid w:val="0BC2186E"/>
    <w:rsid w:val="0BD22349"/>
    <w:rsid w:val="0CE02843"/>
    <w:rsid w:val="0DF81AB7"/>
    <w:rsid w:val="0F484FA3"/>
    <w:rsid w:val="0FBF1D9C"/>
    <w:rsid w:val="128D191E"/>
    <w:rsid w:val="136B2CC6"/>
    <w:rsid w:val="15CE169E"/>
    <w:rsid w:val="15FA6724"/>
    <w:rsid w:val="160D3F22"/>
    <w:rsid w:val="18CE3E98"/>
    <w:rsid w:val="21142ED0"/>
    <w:rsid w:val="216942A7"/>
    <w:rsid w:val="25884B12"/>
    <w:rsid w:val="25B44EBD"/>
    <w:rsid w:val="273C3CC9"/>
    <w:rsid w:val="277E3A25"/>
    <w:rsid w:val="278411D0"/>
    <w:rsid w:val="2A11379E"/>
    <w:rsid w:val="2A880FB0"/>
    <w:rsid w:val="2A89237E"/>
    <w:rsid w:val="2BEE3514"/>
    <w:rsid w:val="2D4A67E2"/>
    <w:rsid w:val="2DB96A6D"/>
    <w:rsid w:val="2EE67D5B"/>
    <w:rsid w:val="2F45750E"/>
    <w:rsid w:val="2FAD3C4C"/>
    <w:rsid w:val="2FCD1C02"/>
    <w:rsid w:val="31C50FF9"/>
    <w:rsid w:val="31CB5583"/>
    <w:rsid w:val="32CD1F60"/>
    <w:rsid w:val="340824FC"/>
    <w:rsid w:val="34675474"/>
    <w:rsid w:val="346A0AC1"/>
    <w:rsid w:val="370A0339"/>
    <w:rsid w:val="38740160"/>
    <w:rsid w:val="394A0EC1"/>
    <w:rsid w:val="3FBF5B13"/>
    <w:rsid w:val="407231D7"/>
    <w:rsid w:val="412B45A6"/>
    <w:rsid w:val="42DD02D3"/>
    <w:rsid w:val="43234D3C"/>
    <w:rsid w:val="4345287A"/>
    <w:rsid w:val="439A62FF"/>
    <w:rsid w:val="45A339CF"/>
    <w:rsid w:val="4C0B3864"/>
    <w:rsid w:val="4D5E5469"/>
    <w:rsid w:val="4D9E1978"/>
    <w:rsid w:val="503E7658"/>
    <w:rsid w:val="507F467B"/>
    <w:rsid w:val="524020FD"/>
    <w:rsid w:val="537D6DC1"/>
    <w:rsid w:val="53C5766A"/>
    <w:rsid w:val="55FD2EFD"/>
    <w:rsid w:val="55FDF4B5"/>
    <w:rsid w:val="56862290"/>
    <w:rsid w:val="569304D7"/>
    <w:rsid w:val="57F3EC29"/>
    <w:rsid w:val="5A5459A9"/>
    <w:rsid w:val="5AD43EEF"/>
    <w:rsid w:val="5BB82598"/>
    <w:rsid w:val="5CBC79AD"/>
    <w:rsid w:val="5D717478"/>
    <w:rsid w:val="5D7778D5"/>
    <w:rsid w:val="60FE3AEE"/>
    <w:rsid w:val="611E37D0"/>
    <w:rsid w:val="637B47CD"/>
    <w:rsid w:val="64FBA779"/>
    <w:rsid w:val="6A40044A"/>
    <w:rsid w:val="6AD37B7E"/>
    <w:rsid w:val="6D03530B"/>
    <w:rsid w:val="6EBD40AC"/>
    <w:rsid w:val="6EFF8C73"/>
    <w:rsid w:val="6F6EEF0E"/>
    <w:rsid w:val="6FD76284"/>
    <w:rsid w:val="6FEF1353"/>
    <w:rsid w:val="70DBF7A8"/>
    <w:rsid w:val="7109625C"/>
    <w:rsid w:val="710D5FB0"/>
    <w:rsid w:val="73BD51DB"/>
    <w:rsid w:val="73EF7DA7"/>
    <w:rsid w:val="741458A8"/>
    <w:rsid w:val="748A428C"/>
    <w:rsid w:val="76867A1D"/>
    <w:rsid w:val="76E70124"/>
    <w:rsid w:val="797C680C"/>
    <w:rsid w:val="79F2AAFC"/>
    <w:rsid w:val="7B7B66DC"/>
    <w:rsid w:val="7B9F1075"/>
    <w:rsid w:val="7D28092D"/>
    <w:rsid w:val="7EA67397"/>
    <w:rsid w:val="7ED78C85"/>
    <w:rsid w:val="7F082584"/>
    <w:rsid w:val="7F5F631A"/>
    <w:rsid w:val="7FBBEEE7"/>
    <w:rsid w:val="9FDB67F2"/>
    <w:rsid w:val="AFF9648B"/>
    <w:rsid w:val="C3EF3DDE"/>
    <w:rsid w:val="DEF36B60"/>
    <w:rsid w:val="EFD50E6A"/>
    <w:rsid w:val="F667F496"/>
    <w:rsid w:val="FBEF6E8C"/>
    <w:rsid w:val="FD4784A5"/>
    <w:rsid w:val="FDFF0ABB"/>
    <w:rsid w:val="FEDF8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Indent"/>
    <w:basedOn w:val="1"/>
    <w:next w:val="5"/>
    <w:qFormat/>
    <w:uiPriority w:val="0"/>
    <w:pPr>
      <w:ind w:firstLine="420"/>
    </w:pPr>
    <w:rPr>
      <w:szCs w:val="20"/>
    </w:rPr>
  </w:style>
  <w:style w:type="paragraph" w:customStyle="1" w:styleId="5">
    <w:name w:val="图表标题"/>
    <w:basedOn w:val="6"/>
    <w:next w:val="6"/>
    <w:qFormat/>
    <w:uiPriority w:val="0"/>
    <w:pPr>
      <w:spacing w:line="360" w:lineRule="auto"/>
      <w:jc w:val="center"/>
    </w:pPr>
    <w:rPr>
      <w:rFonts w:ascii="Times New Roman" w:hAnsi="Times New Roman"/>
      <w:sz w:val="24"/>
    </w:rPr>
  </w:style>
  <w:style w:type="paragraph" w:styleId="6">
    <w:name w:val="caption"/>
    <w:basedOn w:val="1"/>
    <w:next w:val="1"/>
    <w:qFormat/>
    <w:uiPriority w:val="35"/>
    <w:pPr>
      <w:spacing w:before="152" w:after="160"/>
    </w:pPr>
    <w:rPr>
      <w:rFonts w:ascii="Arial" w:hAnsi="Arial" w:eastAsia="黑体" w:cs="Arial"/>
      <w:sz w:val="20"/>
      <w:szCs w:val="20"/>
    </w:rPr>
  </w:style>
  <w:style w:type="paragraph" w:styleId="7">
    <w:name w:val="annotation text"/>
    <w:basedOn w:val="1"/>
    <w:qFormat/>
    <w:uiPriority w:val="0"/>
    <w:pPr>
      <w:jc w:val="left"/>
    </w:pPr>
  </w:style>
  <w:style w:type="paragraph" w:styleId="8">
    <w:name w:val="Body Text"/>
    <w:basedOn w:val="1"/>
    <w:semiHidden/>
    <w:qFormat/>
    <w:uiPriority w:val="0"/>
    <w:rPr>
      <w:rFonts w:ascii="宋体" w:hAnsi="宋体" w:eastAsia="宋体" w:cs="宋体"/>
      <w:sz w:val="31"/>
      <w:szCs w:val="31"/>
      <w:lang w:val="en-US" w:eastAsia="en-US" w:bidi="ar-SA"/>
    </w:rPr>
  </w:style>
  <w:style w:type="paragraph" w:styleId="9">
    <w:name w:val="Plain Text"/>
    <w:basedOn w:val="1"/>
    <w:next w:val="3"/>
    <w:qFormat/>
    <w:uiPriority w:val="0"/>
    <w:rPr>
      <w:rFonts w:ascii="宋体" w:hAnsi="Courier New"/>
      <w:kern w:val="0"/>
      <w:sz w:val="20"/>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paragraph" w:customStyle="1" w:styleId="14">
    <w:name w:val="表格"/>
    <w:qFormat/>
    <w:uiPriority w:val="0"/>
    <w:pPr>
      <w:ind w:firstLine="0" w:firstLineChars="0"/>
      <w:jc w:val="center"/>
    </w:pPr>
    <w:rPr>
      <w:rFonts w:ascii="Times New Roman" w:hAnsi="Times New Roman" w:eastAsia="仿宋" w:cs="Times New Roman"/>
      <w:color w:val="000000"/>
      <w:sz w:val="21"/>
      <w:szCs w:val="22"/>
    </w:rPr>
  </w:style>
  <w:style w:type="paragraph" w:customStyle="1" w:styleId="15">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16">
    <w:name w:val="Legal_L2"/>
    <w:basedOn w:val="1"/>
    <w:qFormat/>
    <w:uiPriority w:val="0"/>
    <w:pPr>
      <w:widowControl/>
      <w:spacing w:after="240" w:line="259" w:lineRule="auto"/>
      <w:jc w:val="left"/>
      <w:outlineLvl w:val="1"/>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header" Target="header22.xml"/><Relationship Id="rId61" Type="http://schemas.openxmlformats.org/officeDocument/2006/relationships/footer" Target="footer36.xml"/><Relationship Id="rId60" Type="http://schemas.openxmlformats.org/officeDocument/2006/relationships/header" Target="header21.xml"/><Relationship Id="rId6" Type="http://schemas.openxmlformats.org/officeDocument/2006/relationships/footer" Target="footer1.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footer" Target="footer34.xml"/><Relationship Id="rId56" Type="http://schemas.openxmlformats.org/officeDocument/2006/relationships/header" Target="header19.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footer" Target="footer30.xml"/><Relationship Id="rId51" Type="http://schemas.openxmlformats.org/officeDocument/2006/relationships/footer" Target="footer29.xml"/><Relationship Id="rId50" Type="http://schemas.openxmlformats.org/officeDocument/2006/relationships/header" Target="header18.xml"/><Relationship Id="rId5" Type="http://schemas.openxmlformats.org/officeDocument/2006/relationships/header" Target="header1.xml"/><Relationship Id="rId49" Type="http://schemas.openxmlformats.org/officeDocument/2006/relationships/footer" Target="footer28.xml"/><Relationship Id="rId48" Type="http://schemas.openxmlformats.org/officeDocument/2006/relationships/footer" Target="footer27.xml"/><Relationship Id="rId47" Type="http://schemas.openxmlformats.org/officeDocument/2006/relationships/header" Target="header1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12582</Words>
  <Characters>13902</Characters>
  <TotalTime>55</TotalTime>
  <ScaleCrop>false</ScaleCrop>
  <LinksUpToDate>false</LinksUpToDate>
  <CharactersWithSpaces>14135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2024-06-06T17:51:00Z</dcterms:created>
  <dc:creator>Microsoft</dc:creator>
  <cp:lastModifiedBy>代理机构</cp:lastModifiedBy>
  <cp:lastPrinted>2024-11-06T09:55:00Z</cp:lastPrinted>
  <dcterms:modified xsi:type="dcterms:W3CDTF">2024-11-14T01:35:18Z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2024-09-10T09:29:24Z</vt:filetime>
  </property>
  <property fmtid="{D5CDD505-2E9C-101B-9397-08002B2CF9AE}" pid="4" name="KSOProductBuildVer">
    <vt:lpwstr>2052-12.1.0.18608</vt:lpwstr>
  </property>
  <property fmtid="{D5CDD505-2E9C-101B-9397-08002B2CF9AE}" pid="5" name="ICV">
    <vt:lpwstr>E3FBD2364DA74821A599088491F40956_12</vt:lpwstr>
  </property>
</Properties>
</file>