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4F9DD9">
      <w:pPr>
        <w:spacing w:before="156" w:beforeLines="50" w:line="360" w:lineRule="auto"/>
        <w:jc w:val="center"/>
        <w:rPr>
          <w:rFonts w:hint="eastAsia" w:ascii="宋体" w:hAnsi="宋体" w:eastAsia="宋体" w:cs="宋体"/>
          <w:color w:val="auto"/>
          <w:sz w:val="36"/>
          <w:szCs w:val="36"/>
          <w:highlight w:val="none"/>
        </w:rPr>
      </w:pPr>
    </w:p>
    <w:p w14:paraId="0794D3B0">
      <w:pPr>
        <w:spacing w:before="156" w:beforeLines="50" w:line="360" w:lineRule="auto"/>
        <w:jc w:val="center"/>
        <w:rPr>
          <w:rFonts w:hint="eastAsia" w:ascii="宋体" w:hAnsi="宋体" w:eastAsia="宋体" w:cs="宋体"/>
          <w:color w:val="auto"/>
          <w:sz w:val="52"/>
          <w:szCs w:val="52"/>
          <w:highlight w:val="none"/>
        </w:rPr>
      </w:pPr>
      <w:r>
        <w:rPr>
          <w:rFonts w:hint="eastAsia" w:ascii="宋体" w:hAnsi="宋体" w:eastAsia="宋体" w:cs="宋体"/>
          <w:color w:val="auto"/>
          <w:sz w:val="52"/>
          <w:szCs w:val="52"/>
          <w:highlight w:val="none"/>
        </w:rPr>
        <w:t>南宁市政府采购</w:t>
      </w:r>
    </w:p>
    <w:p w14:paraId="3AAC554B">
      <w:pPr>
        <w:spacing w:before="156" w:beforeLines="50" w:line="360" w:lineRule="auto"/>
        <w:jc w:val="center"/>
        <w:rPr>
          <w:rFonts w:hint="eastAsia" w:ascii="宋体" w:hAnsi="宋体" w:eastAsia="宋体" w:cs="宋体"/>
          <w:color w:val="auto"/>
          <w:sz w:val="52"/>
          <w:szCs w:val="52"/>
          <w:highlight w:val="none"/>
        </w:rPr>
      </w:pPr>
      <w:r>
        <w:rPr>
          <w:rFonts w:hint="eastAsia" w:ascii="宋体" w:hAnsi="宋体" w:eastAsia="宋体" w:cs="宋体"/>
          <w:color w:val="auto"/>
          <w:sz w:val="52"/>
          <w:szCs w:val="52"/>
          <w:highlight w:val="none"/>
        </w:rPr>
        <w:t>竞争性</w:t>
      </w:r>
      <w:r>
        <w:rPr>
          <w:rFonts w:hint="eastAsia" w:ascii="宋体" w:hAnsi="宋体" w:eastAsia="宋体" w:cs="宋体"/>
          <w:color w:val="auto"/>
          <w:sz w:val="52"/>
          <w:szCs w:val="52"/>
          <w:highlight w:val="none"/>
          <w:lang w:val="en-US" w:eastAsia="zh-CN"/>
        </w:rPr>
        <w:t>磋商</w:t>
      </w:r>
      <w:r>
        <w:rPr>
          <w:rFonts w:hint="eastAsia" w:ascii="宋体" w:hAnsi="宋体" w:eastAsia="宋体" w:cs="宋体"/>
          <w:color w:val="auto"/>
          <w:sz w:val="52"/>
          <w:szCs w:val="52"/>
          <w:highlight w:val="none"/>
        </w:rPr>
        <w:t>文件(工程类)</w:t>
      </w:r>
    </w:p>
    <w:p w14:paraId="47566119">
      <w:pPr>
        <w:snapToGrid w:val="0"/>
        <w:spacing w:before="156" w:beforeLines="50" w:line="360" w:lineRule="auto"/>
        <w:jc w:val="center"/>
        <w:rPr>
          <w:rFonts w:hint="eastAsia" w:ascii="宋体" w:hAnsi="宋体" w:eastAsia="宋体" w:cs="宋体"/>
          <w:color w:val="auto"/>
          <w:sz w:val="72"/>
          <w:szCs w:val="72"/>
          <w:highlight w:val="none"/>
        </w:rPr>
      </w:pPr>
    </w:p>
    <w:p w14:paraId="328234D0">
      <w:pPr>
        <w:snapToGrid w:val="0"/>
        <w:spacing w:before="156" w:beforeLines="50" w:line="360" w:lineRule="auto"/>
        <w:jc w:val="center"/>
        <w:rPr>
          <w:rFonts w:hint="eastAsia" w:ascii="宋体" w:hAnsi="宋体" w:eastAsia="宋体" w:cs="宋体"/>
          <w:color w:val="auto"/>
          <w:sz w:val="44"/>
          <w:szCs w:val="44"/>
          <w:highlight w:val="none"/>
        </w:rPr>
      </w:pPr>
      <w:r>
        <w:rPr>
          <w:rFonts w:hint="eastAsia" w:ascii="宋体" w:hAnsi="宋体" w:eastAsia="宋体" w:cs="宋体"/>
          <w:color w:val="auto"/>
          <w:sz w:val="72"/>
          <w:szCs w:val="72"/>
          <w:highlight w:val="none"/>
        </w:rPr>
        <w:t>竞争性磋商文件</w:t>
      </w:r>
    </w:p>
    <w:p w14:paraId="689B01A4">
      <w:pPr>
        <w:spacing w:before="312" w:beforeLines="100" w:after="156" w:afterLines="50"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（全流程电子化评标）</w:t>
      </w:r>
    </w:p>
    <w:p w14:paraId="75251EEF">
      <w:pPr>
        <w:spacing w:line="360" w:lineRule="auto"/>
        <w:rPr>
          <w:rFonts w:hint="eastAsia" w:ascii="宋体" w:hAnsi="宋体" w:eastAsia="宋体" w:cs="宋体"/>
          <w:b/>
          <w:color w:val="auto"/>
          <w:sz w:val="32"/>
          <w:szCs w:val="32"/>
          <w:highlight w:val="none"/>
        </w:rPr>
      </w:pPr>
    </w:p>
    <w:p w14:paraId="3225CE7E">
      <w:pPr>
        <w:spacing w:line="360" w:lineRule="auto"/>
        <w:jc w:val="center"/>
        <w:rPr>
          <w:rFonts w:hint="eastAsia" w:ascii="宋体" w:hAnsi="宋体" w:eastAsia="宋体" w:cs="宋体"/>
          <w:b/>
          <w:color w:val="auto"/>
          <w:sz w:val="32"/>
          <w:szCs w:val="32"/>
          <w:highlight w:val="none"/>
        </w:rPr>
      </w:pPr>
    </w:p>
    <w:p w14:paraId="66D19D6F">
      <w:pPr>
        <w:spacing w:line="360" w:lineRule="auto"/>
        <w:ind w:left="2525" w:leftChars="459" w:hanging="1561" w:hangingChars="486"/>
        <w:rPr>
          <w:rFonts w:hint="eastAsia" w:ascii="宋体" w:hAnsi="宋体" w:eastAsia="宋体" w:cs="宋体"/>
          <w:b/>
          <w:color w:val="auto"/>
          <w:sz w:val="32"/>
          <w:szCs w:val="32"/>
          <w:highlight w:val="none"/>
          <w:lang w:eastAsia="zh-CN"/>
        </w:rPr>
      </w:pPr>
      <w:r>
        <w:rPr>
          <w:rFonts w:hint="eastAsia" w:ascii="宋体" w:hAnsi="宋体" w:eastAsia="宋体" w:cs="宋体"/>
          <w:b/>
          <w:color w:val="auto"/>
          <w:sz w:val="32"/>
          <w:szCs w:val="32"/>
          <w:highlight w:val="none"/>
        </w:rPr>
        <w:t>项目名称：</w:t>
      </w:r>
      <w:r>
        <w:rPr>
          <w:rFonts w:hint="eastAsia" w:ascii="宋体" w:hAnsi="宋体" w:cs="宋体"/>
          <w:b/>
          <w:color w:val="auto"/>
          <w:sz w:val="32"/>
          <w:szCs w:val="32"/>
          <w:highlight w:val="none"/>
          <w:lang w:val="en-US" w:eastAsia="zh-CN"/>
        </w:rPr>
        <w:t>马岭镇良和村委留塘路口至校椅镇壬水村路口路段太阳能公共照明项目（一期）</w:t>
      </w:r>
    </w:p>
    <w:p w14:paraId="7F2917C7">
      <w:pPr>
        <w:spacing w:line="360" w:lineRule="auto"/>
        <w:ind w:firstLine="964" w:firstLineChars="300"/>
        <w:rPr>
          <w:rFonts w:hint="eastAsia" w:ascii="宋体" w:hAnsi="宋体" w:eastAsia="宋体" w:cs="宋体"/>
          <w:b/>
          <w:color w:val="auto"/>
          <w:sz w:val="32"/>
          <w:szCs w:val="32"/>
          <w:highlight w:val="none"/>
          <w:lang w:eastAsia="zh-CN"/>
        </w:rPr>
      </w:pPr>
      <w:r>
        <w:rPr>
          <w:rFonts w:hint="eastAsia" w:ascii="宋体" w:hAnsi="宋体" w:eastAsia="宋体" w:cs="宋体"/>
          <w:b/>
          <w:color w:val="auto"/>
          <w:sz w:val="32"/>
          <w:szCs w:val="32"/>
          <w:highlight w:val="none"/>
        </w:rPr>
        <w:t>项目编号：</w:t>
      </w:r>
      <w:r>
        <w:rPr>
          <w:rFonts w:hint="eastAsia" w:ascii="宋体" w:hAnsi="宋体" w:eastAsia="宋体" w:cs="宋体"/>
          <w:b/>
          <w:color w:val="auto"/>
          <w:sz w:val="32"/>
          <w:szCs w:val="32"/>
          <w:highlight w:val="none"/>
        </w:rPr>
        <w:fldChar w:fldCharType="begin"/>
      </w:r>
      <w:r>
        <w:rPr>
          <w:rFonts w:hint="eastAsia" w:ascii="宋体" w:hAnsi="宋体" w:eastAsia="宋体" w:cs="宋体"/>
          <w:b/>
          <w:color w:val="auto"/>
          <w:sz w:val="32"/>
          <w:szCs w:val="32"/>
          <w:highlight w:val="none"/>
        </w:rPr>
        <w:instrText xml:space="preserve"> HYPERLINK "https://www.gcy.zfcg.gxzf.gov.cn/gaea/api/project/flow/redirect?projectId=7211243122104205357&amp;newUrl=https://www.gcy.zfcg.gxzf.gov.cn/micro-app-back-index/blank?_flow_type_=agency&amp;_flow_projectId_=7211243122104205357&amp;_jump_page_type_=project_procurement_management_flow&amp;_app_=zcy.procurement&amp;oldUrl=https://www.gcy.zfcg.gxzf.gov.cn/project-center/_procurement_/project-result-detail/7211243122104205357" \t "https://www.gcy.zfcg.gxzf.gov.cn/project-center/_procurement_/self-project/_blank" </w:instrText>
      </w:r>
      <w:r>
        <w:rPr>
          <w:rFonts w:hint="eastAsia" w:ascii="宋体" w:hAnsi="宋体" w:eastAsia="宋体" w:cs="宋体"/>
          <w:b/>
          <w:color w:val="auto"/>
          <w:sz w:val="32"/>
          <w:szCs w:val="32"/>
          <w:highlight w:val="none"/>
        </w:rPr>
        <w:fldChar w:fldCharType="separate"/>
      </w:r>
      <w:r>
        <w:rPr>
          <w:rFonts w:hint="eastAsia" w:ascii="宋体" w:hAnsi="宋体" w:eastAsia="宋体" w:cs="宋体"/>
          <w:b/>
          <w:color w:val="auto"/>
          <w:sz w:val="32"/>
          <w:szCs w:val="32"/>
          <w:highlight w:val="none"/>
        </w:rPr>
        <w:t>NNZC2025-C2-270051-GXTZ</w:t>
      </w:r>
      <w:r>
        <w:rPr>
          <w:rFonts w:hint="eastAsia" w:ascii="宋体" w:hAnsi="宋体" w:eastAsia="宋体" w:cs="宋体"/>
          <w:b/>
          <w:color w:val="auto"/>
          <w:sz w:val="32"/>
          <w:szCs w:val="32"/>
          <w:highlight w:val="none"/>
        </w:rPr>
        <w:fldChar w:fldCharType="end"/>
      </w:r>
    </w:p>
    <w:p w14:paraId="4EC00183">
      <w:pPr>
        <w:spacing w:line="360" w:lineRule="auto"/>
        <w:ind w:firstLine="964" w:firstLineChars="300"/>
        <w:rPr>
          <w:rFonts w:hint="default" w:ascii="宋体" w:hAnsi="宋体" w:eastAsia="宋体" w:cs="宋体"/>
          <w:b/>
          <w:color w:val="auto"/>
          <w:sz w:val="32"/>
          <w:szCs w:val="32"/>
          <w:highlight w:val="none"/>
          <w:lang w:val="en-US" w:eastAsia="zh-CN"/>
        </w:rPr>
      </w:pPr>
      <w:r>
        <w:rPr>
          <w:rFonts w:hint="eastAsia" w:ascii="宋体" w:hAnsi="宋体" w:eastAsia="宋体" w:cs="宋体"/>
          <w:b/>
          <w:color w:val="auto"/>
          <w:sz w:val="32"/>
          <w:szCs w:val="32"/>
          <w:highlight w:val="none"/>
        </w:rPr>
        <w:t>所属行政区划：</w:t>
      </w:r>
      <w:r>
        <w:rPr>
          <w:rFonts w:hint="eastAsia" w:ascii="宋体" w:hAnsi="宋体" w:eastAsia="宋体" w:cs="宋体"/>
          <w:b/>
          <w:color w:val="auto"/>
          <w:sz w:val="32"/>
          <w:szCs w:val="32"/>
          <w:highlight w:val="none"/>
          <w:u w:val="none"/>
          <w:lang w:val="en-US" w:eastAsia="zh-CN"/>
        </w:rPr>
        <w:t>横州市</w:t>
      </w:r>
    </w:p>
    <w:p w14:paraId="07C1EAB4">
      <w:pPr>
        <w:spacing w:line="360" w:lineRule="auto"/>
        <w:ind w:firstLine="964" w:firstLineChars="300"/>
        <w:rPr>
          <w:rFonts w:hint="eastAsia" w:ascii="宋体" w:hAnsi="宋体" w:eastAsia="宋体" w:cs="宋体"/>
          <w:b/>
          <w:color w:val="auto"/>
          <w:sz w:val="32"/>
          <w:szCs w:val="32"/>
          <w:highlight w:val="none"/>
          <w:lang w:eastAsia="zh-CN"/>
        </w:rPr>
      </w:pPr>
      <w:r>
        <w:rPr>
          <w:rFonts w:hint="eastAsia" w:ascii="宋体" w:hAnsi="宋体" w:eastAsia="宋体" w:cs="宋体"/>
          <w:b/>
          <w:color w:val="auto"/>
          <w:sz w:val="32"/>
          <w:szCs w:val="32"/>
          <w:highlight w:val="none"/>
        </w:rPr>
        <w:t>采购人：</w:t>
      </w:r>
      <w:r>
        <w:rPr>
          <w:rFonts w:hint="eastAsia" w:ascii="宋体" w:hAnsi="宋体" w:eastAsia="宋体" w:cs="宋体"/>
          <w:b/>
          <w:color w:val="auto"/>
          <w:sz w:val="32"/>
          <w:szCs w:val="32"/>
          <w:highlight w:val="none"/>
          <w:lang w:eastAsia="zh-CN"/>
        </w:rPr>
        <w:t>横州市马岭镇人民政府</w:t>
      </w:r>
    </w:p>
    <w:p w14:paraId="3AD97FE2">
      <w:pPr>
        <w:spacing w:line="360" w:lineRule="auto"/>
        <w:ind w:firstLine="964" w:firstLineChars="300"/>
        <w:rPr>
          <w:rFonts w:hint="eastAsia" w:ascii="宋体" w:hAnsi="宋体" w:eastAsia="宋体" w:cs="宋体"/>
          <w:b/>
          <w:color w:val="auto"/>
          <w:sz w:val="32"/>
          <w:szCs w:val="32"/>
          <w:highlight w:val="none"/>
          <w:lang w:eastAsia="zh-CN"/>
        </w:rPr>
      </w:pPr>
      <w:r>
        <w:rPr>
          <w:rFonts w:hint="eastAsia" w:ascii="宋体" w:hAnsi="宋体" w:eastAsia="宋体" w:cs="宋体"/>
          <w:b/>
          <w:color w:val="auto"/>
          <w:sz w:val="32"/>
          <w:szCs w:val="32"/>
          <w:highlight w:val="none"/>
        </w:rPr>
        <w:t>采购代理机构：</w:t>
      </w:r>
      <w:r>
        <w:rPr>
          <w:rFonts w:hint="eastAsia" w:ascii="宋体" w:hAnsi="宋体" w:eastAsia="宋体" w:cs="宋体"/>
          <w:b/>
          <w:color w:val="auto"/>
          <w:sz w:val="32"/>
          <w:szCs w:val="32"/>
          <w:highlight w:val="none"/>
          <w:lang w:eastAsia="zh-CN"/>
        </w:rPr>
        <w:t>广西同泽工程项目管理股份有限公司</w:t>
      </w:r>
    </w:p>
    <w:p w14:paraId="77FDA351">
      <w:pPr>
        <w:spacing w:line="360" w:lineRule="auto"/>
        <w:jc w:val="center"/>
        <w:rPr>
          <w:rFonts w:hint="eastAsia" w:ascii="宋体" w:hAnsi="宋体" w:eastAsia="宋体" w:cs="宋体"/>
          <w:b/>
          <w:color w:val="auto"/>
          <w:sz w:val="32"/>
          <w:szCs w:val="32"/>
          <w:highlight w:val="none"/>
        </w:rPr>
      </w:pPr>
    </w:p>
    <w:p w14:paraId="79263CAD">
      <w:pPr>
        <w:spacing w:line="360" w:lineRule="auto"/>
        <w:jc w:val="center"/>
        <w:rPr>
          <w:rFonts w:hint="default" w:ascii="宋体" w:hAnsi="宋体" w:eastAsia="宋体" w:cs="宋体"/>
          <w:b/>
          <w:color w:val="auto"/>
          <w:sz w:val="32"/>
          <w:szCs w:val="32"/>
          <w:highlight w:val="none"/>
          <w:lang w:val="en-US" w:eastAsia="zh-CN"/>
        </w:rPr>
      </w:pPr>
      <w:r>
        <w:rPr>
          <w:rFonts w:hint="eastAsia" w:ascii="宋体" w:hAnsi="宋体" w:eastAsia="宋体" w:cs="宋体"/>
          <w:b/>
          <w:color w:val="auto"/>
          <w:sz w:val="32"/>
          <w:szCs w:val="32"/>
          <w:highlight w:val="none"/>
        </w:rPr>
        <w:t>202</w:t>
      </w:r>
      <w:r>
        <w:rPr>
          <w:rFonts w:hint="eastAsia" w:ascii="宋体" w:hAnsi="宋体" w:eastAsia="宋体" w:cs="宋体"/>
          <w:b/>
          <w:color w:val="auto"/>
          <w:sz w:val="32"/>
          <w:szCs w:val="32"/>
          <w:highlight w:val="none"/>
          <w:lang w:val="en-US" w:eastAsia="zh-CN"/>
        </w:rPr>
        <w:t>5</w:t>
      </w:r>
      <w:r>
        <w:rPr>
          <w:rFonts w:hint="eastAsia" w:ascii="宋体" w:hAnsi="宋体" w:eastAsia="宋体" w:cs="宋体"/>
          <w:b/>
          <w:color w:val="auto"/>
          <w:sz w:val="32"/>
          <w:szCs w:val="32"/>
          <w:highlight w:val="none"/>
        </w:rPr>
        <w:t>年</w:t>
      </w:r>
      <w:r>
        <w:rPr>
          <w:rFonts w:hint="eastAsia" w:ascii="宋体" w:hAnsi="宋体" w:eastAsia="宋体" w:cs="宋体"/>
          <w:b/>
          <w:color w:val="auto"/>
          <w:sz w:val="32"/>
          <w:szCs w:val="32"/>
          <w:highlight w:val="none"/>
          <w:lang w:val="en-US" w:eastAsia="zh-CN"/>
        </w:rPr>
        <w:t>04</w:t>
      </w:r>
      <w:r>
        <w:rPr>
          <w:rFonts w:hint="eastAsia" w:ascii="宋体" w:hAnsi="宋体" w:eastAsia="宋体" w:cs="宋体"/>
          <w:b/>
          <w:color w:val="auto"/>
          <w:sz w:val="32"/>
          <w:szCs w:val="32"/>
          <w:highlight w:val="none"/>
        </w:rPr>
        <w:t>月</w:t>
      </w:r>
      <w:r>
        <w:rPr>
          <w:rFonts w:hint="eastAsia" w:ascii="宋体" w:hAnsi="宋体" w:cs="宋体"/>
          <w:b/>
          <w:color w:val="auto"/>
          <w:sz w:val="32"/>
          <w:szCs w:val="32"/>
          <w:highlight w:val="none"/>
          <w:lang w:val="en-US" w:eastAsia="zh-CN"/>
        </w:rPr>
        <w:t>30</w:t>
      </w:r>
      <w:r>
        <w:rPr>
          <w:rFonts w:hint="eastAsia" w:ascii="宋体" w:hAnsi="宋体" w:eastAsia="宋体" w:cs="宋体"/>
          <w:b/>
          <w:color w:val="auto"/>
          <w:sz w:val="32"/>
          <w:szCs w:val="32"/>
          <w:highlight w:val="none"/>
          <w:lang w:val="en-US" w:eastAsia="zh-CN"/>
        </w:rPr>
        <w:t>日</w:t>
      </w:r>
    </w:p>
    <w:p w14:paraId="1BD46252">
      <w:pPr>
        <w:spacing w:line="360" w:lineRule="auto"/>
        <w:jc w:val="center"/>
        <w:rPr>
          <w:color w:val="auto"/>
          <w:highlight w:val="none"/>
        </w:rPr>
      </w:pPr>
    </w:p>
    <w:p w14:paraId="2B2EDA4D">
      <w:pPr>
        <w:spacing w:line="360" w:lineRule="auto"/>
        <w:jc w:val="center"/>
        <w:rPr>
          <w:rFonts w:hint="eastAsia" w:ascii="宋体" w:hAnsi="宋体" w:cs="宋体"/>
          <w:b/>
          <w:color w:val="auto"/>
          <w:sz w:val="44"/>
          <w:szCs w:val="44"/>
          <w:highlight w:val="none"/>
        </w:rPr>
        <w:sectPr>
          <w:headerReference r:id="rId3" w:type="default"/>
          <w:footerReference r:id="rId4" w:type="default"/>
          <w:pgSz w:w="11905" w:h="16838"/>
          <w:pgMar w:top="1134" w:right="1474" w:bottom="1134" w:left="1474" w:header="720" w:footer="720" w:gutter="0"/>
          <w:pgBorders>
            <w:top w:val="none" w:sz="0" w:space="0"/>
            <w:left w:val="none" w:sz="0" w:space="0"/>
            <w:bottom w:val="none" w:sz="0" w:space="0"/>
            <w:right w:val="none" w:sz="0" w:space="0"/>
          </w:pgBorders>
          <w:pgNumType w:start="1"/>
          <w:cols w:space="720" w:num="1"/>
          <w:docGrid w:type="lines" w:linePitch="331" w:charSpace="0"/>
        </w:sectPr>
      </w:pPr>
    </w:p>
    <w:p w14:paraId="453D1D52">
      <w:pPr>
        <w:spacing w:line="360" w:lineRule="auto"/>
        <w:jc w:val="center"/>
        <w:rPr>
          <w:rFonts w:hint="eastAsia" w:ascii="宋体" w:hAnsi="宋体" w:cs="宋体"/>
          <w:b/>
          <w:color w:val="auto"/>
          <w:sz w:val="44"/>
          <w:szCs w:val="44"/>
          <w:highlight w:val="none"/>
        </w:rPr>
      </w:pPr>
      <w:r>
        <w:rPr>
          <w:rFonts w:hint="eastAsia" w:ascii="宋体" w:hAnsi="宋体" w:cs="宋体"/>
          <w:b/>
          <w:color w:val="auto"/>
          <w:sz w:val="44"/>
          <w:szCs w:val="44"/>
          <w:highlight w:val="none"/>
        </w:rPr>
        <w:t>目   录</w:t>
      </w:r>
    </w:p>
    <w:p w14:paraId="314A7F30">
      <w:pPr>
        <w:spacing w:line="400" w:lineRule="exact"/>
        <w:jc w:val="center"/>
        <w:rPr>
          <w:rFonts w:hint="eastAsia" w:ascii="宋体" w:hAnsi="宋体" w:cs="宋体"/>
          <w:b/>
          <w:color w:val="auto"/>
          <w:sz w:val="44"/>
          <w:szCs w:val="44"/>
          <w:highlight w:val="none"/>
        </w:rPr>
      </w:pPr>
    </w:p>
    <w:p w14:paraId="1E746BF9">
      <w:pPr>
        <w:pStyle w:val="18"/>
        <w:tabs>
          <w:tab w:val="right" w:leader="dot" w:pos="8957"/>
        </w:tabs>
        <w:spacing w:line="360" w:lineRule="auto"/>
        <w:rPr>
          <w:color w:val="auto"/>
          <w:sz w:val="24"/>
          <w:szCs w:val="24"/>
          <w:highlight w:val="none"/>
        </w:rPr>
      </w:pPr>
      <w:r>
        <w:rPr>
          <w:rFonts w:hint="eastAsia" w:ascii="宋体" w:hAnsi="宋体" w:cs="宋体"/>
          <w:b/>
          <w:color w:val="auto"/>
          <w:sz w:val="24"/>
          <w:szCs w:val="24"/>
          <w:highlight w:val="none"/>
        </w:rPr>
        <w:fldChar w:fldCharType="begin"/>
      </w:r>
      <w:r>
        <w:rPr>
          <w:rFonts w:hint="eastAsia" w:ascii="宋体" w:hAnsi="宋体" w:cs="宋体"/>
          <w:b/>
          <w:color w:val="auto"/>
          <w:sz w:val="24"/>
          <w:szCs w:val="24"/>
          <w:highlight w:val="none"/>
        </w:rPr>
        <w:instrText xml:space="preserve"> TOC \o "1-3" \h \z \u </w:instrText>
      </w:r>
      <w:r>
        <w:rPr>
          <w:rFonts w:hint="eastAsia" w:ascii="宋体" w:hAnsi="宋体" w:cs="宋体"/>
          <w:b/>
          <w:color w:val="auto"/>
          <w:sz w:val="24"/>
          <w:szCs w:val="24"/>
          <w:highlight w:val="none"/>
        </w:rPr>
        <w:fldChar w:fldCharType="separate"/>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HYPERLINK \l _Toc1219 </w:instrText>
      </w:r>
      <w:r>
        <w:rPr>
          <w:rFonts w:hint="eastAsia" w:ascii="宋体" w:hAnsi="宋体" w:cs="宋体"/>
          <w:color w:val="auto"/>
          <w:sz w:val="24"/>
          <w:szCs w:val="24"/>
          <w:highlight w:val="none"/>
        </w:rPr>
        <w:fldChar w:fldCharType="separate"/>
      </w:r>
      <w:r>
        <w:rPr>
          <w:rFonts w:hint="eastAsia" w:ascii="宋体" w:hAnsi="宋体" w:cs="宋体"/>
          <w:bCs w:val="0"/>
          <w:color w:val="auto"/>
          <w:sz w:val="24"/>
          <w:szCs w:val="24"/>
          <w:highlight w:val="none"/>
        </w:rPr>
        <w:t xml:space="preserve">第一章 </w:t>
      </w:r>
      <w:r>
        <w:rPr>
          <w:rFonts w:hint="eastAsia" w:ascii="宋体" w:hAnsi="宋体" w:cs="宋体"/>
          <w:color w:val="auto"/>
          <w:sz w:val="24"/>
          <w:szCs w:val="24"/>
          <w:highlight w:val="none"/>
        </w:rPr>
        <w:t>竞争性磋商公告</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_Toc1219 \h </w:instrText>
      </w:r>
      <w:r>
        <w:rPr>
          <w:color w:val="auto"/>
          <w:sz w:val="24"/>
          <w:szCs w:val="24"/>
          <w:highlight w:val="none"/>
        </w:rPr>
        <w:fldChar w:fldCharType="separate"/>
      </w:r>
      <w:r>
        <w:rPr>
          <w:color w:val="auto"/>
          <w:sz w:val="24"/>
          <w:szCs w:val="24"/>
          <w:highlight w:val="none"/>
        </w:rPr>
        <w:t>2</w:t>
      </w:r>
      <w:r>
        <w:rPr>
          <w:color w:val="auto"/>
          <w:sz w:val="24"/>
          <w:szCs w:val="24"/>
          <w:highlight w:val="none"/>
        </w:rPr>
        <w:fldChar w:fldCharType="end"/>
      </w:r>
      <w:r>
        <w:rPr>
          <w:rFonts w:hint="eastAsia" w:ascii="宋体" w:hAnsi="宋体" w:cs="宋体"/>
          <w:color w:val="auto"/>
          <w:sz w:val="24"/>
          <w:szCs w:val="24"/>
          <w:highlight w:val="none"/>
        </w:rPr>
        <w:fldChar w:fldCharType="end"/>
      </w:r>
    </w:p>
    <w:p w14:paraId="26DFA1AF">
      <w:pPr>
        <w:pStyle w:val="18"/>
        <w:tabs>
          <w:tab w:val="right" w:leader="dot" w:pos="8957"/>
        </w:tabs>
        <w:spacing w:line="360" w:lineRule="auto"/>
        <w:rPr>
          <w:color w:val="auto"/>
          <w:sz w:val="24"/>
          <w:szCs w:val="24"/>
          <w:highlight w:val="none"/>
        </w:rPr>
      </w:pP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HYPERLINK \l _Toc25846 </w:instrText>
      </w:r>
      <w:r>
        <w:rPr>
          <w:rFonts w:hint="eastAsia" w:ascii="宋体" w:hAnsi="宋体" w:cs="宋体"/>
          <w:color w:val="auto"/>
          <w:sz w:val="24"/>
          <w:szCs w:val="24"/>
          <w:highlight w:val="none"/>
        </w:rPr>
        <w:fldChar w:fldCharType="separate"/>
      </w:r>
      <w:r>
        <w:rPr>
          <w:rFonts w:hint="eastAsia" w:ascii="宋体" w:hAnsi="宋体" w:cs="宋体"/>
          <w:bCs w:val="0"/>
          <w:color w:val="auto"/>
          <w:sz w:val="24"/>
          <w:szCs w:val="24"/>
          <w:highlight w:val="none"/>
        </w:rPr>
        <w:t>第二章 采购需求</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_Toc25846 \h </w:instrText>
      </w:r>
      <w:r>
        <w:rPr>
          <w:color w:val="auto"/>
          <w:sz w:val="24"/>
          <w:szCs w:val="24"/>
          <w:highlight w:val="none"/>
        </w:rPr>
        <w:fldChar w:fldCharType="separate"/>
      </w:r>
      <w:r>
        <w:rPr>
          <w:color w:val="auto"/>
          <w:sz w:val="24"/>
          <w:szCs w:val="24"/>
          <w:highlight w:val="none"/>
        </w:rPr>
        <w:t>6</w:t>
      </w:r>
      <w:r>
        <w:rPr>
          <w:color w:val="auto"/>
          <w:sz w:val="24"/>
          <w:szCs w:val="24"/>
          <w:highlight w:val="none"/>
        </w:rPr>
        <w:fldChar w:fldCharType="end"/>
      </w:r>
      <w:r>
        <w:rPr>
          <w:rFonts w:hint="eastAsia" w:ascii="宋体" w:hAnsi="宋体" w:cs="宋体"/>
          <w:color w:val="auto"/>
          <w:sz w:val="24"/>
          <w:szCs w:val="24"/>
          <w:highlight w:val="none"/>
        </w:rPr>
        <w:fldChar w:fldCharType="end"/>
      </w:r>
    </w:p>
    <w:p w14:paraId="181901CE">
      <w:pPr>
        <w:pStyle w:val="18"/>
        <w:tabs>
          <w:tab w:val="right" w:leader="dot" w:pos="8957"/>
        </w:tabs>
        <w:spacing w:line="360" w:lineRule="auto"/>
        <w:rPr>
          <w:color w:val="auto"/>
          <w:sz w:val="24"/>
          <w:szCs w:val="24"/>
          <w:highlight w:val="none"/>
        </w:rPr>
      </w:pP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HYPERLINK \l _Toc12284 </w:instrText>
      </w:r>
      <w:r>
        <w:rPr>
          <w:rFonts w:hint="eastAsia" w:ascii="宋体" w:hAnsi="宋体" w:cs="宋体"/>
          <w:color w:val="auto"/>
          <w:sz w:val="24"/>
          <w:szCs w:val="24"/>
          <w:highlight w:val="none"/>
        </w:rPr>
        <w:fldChar w:fldCharType="separate"/>
      </w:r>
      <w:r>
        <w:rPr>
          <w:rFonts w:hint="eastAsia" w:ascii="宋体" w:hAnsi="宋体" w:cs="宋体"/>
          <w:bCs w:val="0"/>
          <w:color w:val="auto"/>
          <w:sz w:val="24"/>
          <w:szCs w:val="24"/>
          <w:highlight w:val="none"/>
        </w:rPr>
        <w:t>第三章 供应商须知</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_Toc12284 \h </w:instrText>
      </w:r>
      <w:r>
        <w:rPr>
          <w:color w:val="auto"/>
          <w:sz w:val="24"/>
          <w:szCs w:val="24"/>
          <w:highlight w:val="none"/>
        </w:rPr>
        <w:fldChar w:fldCharType="separate"/>
      </w:r>
      <w:r>
        <w:rPr>
          <w:color w:val="auto"/>
          <w:sz w:val="24"/>
          <w:szCs w:val="24"/>
          <w:highlight w:val="none"/>
        </w:rPr>
        <w:t>13</w:t>
      </w:r>
      <w:r>
        <w:rPr>
          <w:color w:val="auto"/>
          <w:sz w:val="24"/>
          <w:szCs w:val="24"/>
          <w:highlight w:val="none"/>
        </w:rPr>
        <w:fldChar w:fldCharType="end"/>
      </w:r>
      <w:r>
        <w:rPr>
          <w:rFonts w:hint="eastAsia" w:ascii="宋体" w:hAnsi="宋体" w:cs="宋体"/>
          <w:color w:val="auto"/>
          <w:sz w:val="24"/>
          <w:szCs w:val="24"/>
          <w:highlight w:val="none"/>
        </w:rPr>
        <w:fldChar w:fldCharType="end"/>
      </w:r>
    </w:p>
    <w:p w14:paraId="20ABECFC">
      <w:pPr>
        <w:pStyle w:val="11"/>
        <w:tabs>
          <w:tab w:val="right" w:leader="dot" w:pos="8957"/>
          <w:tab w:val="clear" w:pos="8296"/>
        </w:tabs>
        <w:spacing w:line="360" w:lineRule="auto"/>
        <w:rPr>
          <w:color w:val="auto"/>
          <w:sz w:val="24"/>
          <w:szCs w:val="24"/>
          <w:highlight w:val="none"/>
        </w:rPr>
      </w:pP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HYPERLINK \l _Toc20474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第一节 供应商须知前附表</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_Toc20474 \h </w:instrText>
      </w:r>
      <w:r>
        <w:rPr>
          <w:color w:val="auto"/>
          <w:sz w:val="24"/>
          <w:szCs w:val="24"/>
          <w:highlight w:val="none"/>
        </w:rPr>
        <w:fldChar w:fldCharType="separate"/>
      </w:r>
      <w:r>
        <w:rPr>
          <w:color w:val="auto"/>
          <w:sz w:val="24"/>
          <w:szCs w:val="24"/>
          <w:highlight w:val="none"/>
        </w:rPr>
        <w:t>13</w:t>
      </w:r>
      <w:r>
        <w:rPr>
          <w:color w:val="auto"/>
          <w:sz w:val="24"/>
          <w:szCs w:val="24"/>
          <w:highlight w:val="none"/>
        </w:rPr>
        <w:fldChar w:fldCharType="end"/>
      </w:r>
      <w:r>
        <w:rPr>
          <w:rFonts w:hint="eastAsia" w:ascii="宋体" w:hAnsi="宋体" w:cs="宋体"/>
          <w:color w:val="auto"/>
          <w:sz w:val="24"/>
          <w:szCs w:val="24"/>
          <w:highlight w:val="none"/>
        </w:rPr>
        <w:fldChar w:fldCharType="end"/>
      </w:r>
    </w:p>
    <w:p w14:paraId="1DF6EB92">
      <w:pPr>
        <w:pStyle w:val="11"/>
        <w:tabs>
          <w:tab w:val="right" w:leader="dot" w:pos="8957"/>
          <w:tab w:val="clear" w:pos="8296"/>
        </w:tabs>
        <w:spacing w:line="360" w:lineRule="auto"/>
        <w:rPr>
          <w:color w:val="auto"/>
          <w:sz w:val="24"/>
          <w:szCs w:val="24"/>
          <w:highlight w:val="none"/>
        </w:rPr>
      </w:pP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HYPERLINK \l _Toc24832 </w:instrText>
      </w:r>
      <w:r>
        <w:rPr>
          <w:rFonts w:hint="eastAsia" w:ascii="宋体" w:hAnsi="宋体" w:cs="宋体"/>
          <w:color w:val="auto"/>
          <w:sz w:val="24"/>
          <w:szCs w:val="24"/>
          <w:highlight w:val="none"/>
        </w:rPr>
        <w:fldChar w:fldCharType="separate"/>
      </w:r>
      <w:r>
        <w:rPr>
          <w:rFonts w:hint="eastAsia" w:ascii="宋体" w:hAnsi="宋体" w:cs="宋体"/>
          <w:bCs w:val="0"/>
          <w:color w:val="auto"/>
          <w:sz w:val="24"/>
          <w:szCs w:val="24"/>
          <w:highlight w:val="none"/>
        </w:rPr>
        <w:t>第二节 供应商须知正文</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_Toc24832 \h </w:instrText>
      </w:r>
      <w:r>
        <w:rPr>
          <w:color w:val="auto"/>
          <w:sz w:val="24"/>
          <w:szCs w:val="24"/>
          <w:highlight w:val="none"/>
        </w:rPr>
        <w:fldChar w:fldCharType="separate"/>
      </w:r>
      <w:r>
        <w:rPr>
          <w:color w:val="auto"/>
          <w:sz w:val="24"/>
          <w:szCs w:val="24"/>
          <w:highlight w:val="none"/>
        </w:rPr>
        <w:t>18</w:t>
      </w:r>
      <w:r>
        <w:rPr>
          <w:color w:val="auto"/>
          <w:sz w:val="24"/>
          <w:szCs w:val="24"/>
          <w:highlight w:val="none"/>
        </w:rPr>
        <w:fldChar w:fldCharType="end"/>
      </w:r>
      <w:r>
        <w:rPr>
          <w:rFonts w:hint="eastAsia" w:ascii="宋体" w:hAnsi="宋体" w:cs="宋体"/>
          <w:color w:val="auto"/>
          <w:sz w:val="24"/>
          <w:szCs w:val="24"/>
          <w:highlight w:val="none"/>
        </w:rPr>
        <w:fldChar w:fldCharType="end"/>
      </w:r>
    </w:p>
    <w:p w14:paraId="15403986">
      <w:pPr>
        <w:pStyle w:val="14"/>
        <w:tabs>
          <w:tab w:val="right" w:leader="dot" w:pos="8957"/>
        </w:tabs>
        <w:spacing w:line="360" w:lineRule="auto"/>
        <w:rPr>
          <w:color w:val="auto"/>
          <w:sz w:val="24"/>
          <w:szCs w:val="24"/>
          <w:highlight w:val="none"/>
        </w:rPr>
      </w:pP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HYPERLINK \l _Toc15960 </w:instrText>
      </w:r>
      <w:r>
        <w:rPr>
          <w:rFonts w:hint="eastAsia" w:ascii="宋体" w:hAnsi="宋体" w:cs="宋体"/>
          <w:color w:val="auto"/>
          <w:sz w:val="24"/>
          <w:szCs w:val="24"/>
          <w:highlight w:val="none"/>
        </w:rPr>
        <w:fldChar w:fldCharType="separate"/>
      </w:r>
      <w:r>
        <w:rPr>
          <w:rFonts w:hint="eastAsia" w:ascii="宋体" w:hAnsi="宋体" w:cs="宋体"/>
          <w:bCs w:val="0"/>
          <w:color w:val="auto"/>
          <w:sz w:val="24"/>
          <w:szCs w:val="24"/>
          <w:highlight w:val="none"/>
        </w:rPr>
        <w:t>一、总则</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_Toc15960 \h </w:instrText>
      </w:r>
      <w:r>
        <w:rPr>
          <w:color w:val="auto"/>
          <w:sz w:val="24"/>
          <w:szCs w:val="24"/>
          <w:highlight w:val="none"/>
        </w:rPr>
        <w:fldChar w:fldCharType="separate"/>
      </w:r>
      <w:r>
        <w:rPr>
          <w:color w:val="auto"/>
          <w:sz w:val="24"/>
          <w:szCs w:val="24"/>
          <w:highlight w:val="none"/>
        </w:rPr>
        <w:t>18</w:t>
      </w:r>
      <w:r>
        <w:rPr>
          <w:color w:val="auto"/>
          <w:sz w:val="24"/>
          <w:szCs w:val="24"/>
          <w:highlight w:val="none"/>
        </w:rPr>
        <w:fldChar w:fldCharType="end"/>
      </w:r>
      <w:r>
        <w:rPr>
          <w:rFonts w:hint="eastAsia" w:ascii="宋体" w:hAnsi="宋体" w:cs="宋体"/>
          <w:color w:val="auto"/>
          <w:sz w:val="24"/>
          <w:szCs w:val="24"/>
          <w:highlight w:val="none"/>
        </w:rPr>
        <w:fldChar w:fldCharType="end"/>
      </w:r>
    </w:p>
    <w:p w14:paraId="7021BBC1">
      <w:pPr>
        <w:pStyle w:val="14"/>
        <w:tabs>
          <w:tab w:val="right" w:leader="dot" w:pos="8957"/>
        </w:tabs>
        <w:spacing w:line="360" w:lineRule="auto"/>
        <w:rPr>
          <w:color w:val="auto"/>
          <w:sz w:val="24"/>
          <w:szCs w:val="24"/>
          <w:highlight w:val="none"/>
        </w:rPr>
      </w:pP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HYPERLINK \l _Toc2755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二、磋商文件</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_Toc2755 \h </w:instrText>
      </w:r>
      <w:r>
        <w:rPr>
          <w:color w:val="auto"/>
          <w:sz w:val="24"/>
          <w:szCs w:val="24"/>
          <w:highlight w:val="none"/>
        </w:rPr>
        <w:fldChar w:fldCharType="separate"/>
      </w:r>
      <w:r>
        <w:rPr>
          <w:color w:val="auto"/>
          <w:sz w:val="24"/>
          <w:szCs w:val="24"/>
          <w:highlight w:val="none"/>
        </w:rPr>
        <w:t>21</w:t>
      </w:r>
      <w:r>
        <w:rPr>
          <w:color w:val="auto"/>
          <w:sz w:val="24"/>
          <w:szCs w:val="24"/>
          <w:highlight w:val="none"/>
        </w:rPr>
        <w:fldChar w:fldCharType="end"/>
      </w:r>
      <w:r>
        <w:rPr>
          <w:rFonts w:hint="eastAsia" w:ascii="宋体" w:hAnsi="宋体" w:cs="宋体"/>
          <w:color w:val="auto"/>
          <w:sz w:val="24"/>
          <w:szCs w:val="24"/>
          <w:highlight w:val="none"/>
        </w:rPr>
        <w:fldChar w:fldCharType="end"/>
      </w:r>
    </w:p>
    <w:p w14:paraId="145B1AA0">
      <w:pPr>
        <w:pStyle w:val="14"/>
        <w:tabs>
          <w:tab w:val="right" w:leader="dot" w:pos="8957"/>
        </w:tabs>
        <w:spacing w:line="360" w:lineRule="auto"/>
        <w:rPr>
          <w:color w:val="auto"/>
          <w:sz w:val="24"/>
          <w:szCs w:val="24"/>
          <w:highlight w:val="none"/>
        </w:rPr>
      </w:pP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HYPERLINK \l _Toc30490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三、响应文件的编制</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_Toc30490 \h </w:instrText>
      </w:r>
      <w:r>
        <w:rPr>
          <w:color w:val="auto"/>
          <w:sz w:val="24"/>
          <w:szCs w:val="24"/>
          <w:highlight w:val="none"/>
        </w:rPr>
        <w:fldChar w:fldCharType="separate"/>
      </w:r>
      <w:r>
        <w:rPr>
          <w:color w:val="auto"/>
          <w:sz w:val="24"/>
          <w:szCs w:val="24"/>
          <w:highlight w:val="none"/>
        </w:rPr>
        <w:t>22</w:t>
      </w:r>
      <w:r>
        <w:rPr>
          <w:color w:val="auto"/>
          <w:sz w:val="24"/>
          <w:szCs w:val="24"/>
          <w:highlight w:val="none"/>
        </w:rPr>
        <w:fldChar w:fldCharType="end"/>
      </w:r>
      <w:r>
        <w:rPr>
          <w:rFonts w:hint="eastAsia" w:ascii="宋体" w:hAnsi="宋体" w:cs="宋体"/>
          <w:color w:val="auto"/>
          <w:sz w:val="24"/>
          <w:szCs w:val="24"/>
          <w:highlight w:val="none"/>
        </w:rPr>
        <w:fldChar w:fldCharType="end"/>
      </w:r>
    </w:p>
    <w:p w14:paraId="62E74453">
      <w:pPr>
        <w:pStyle w:val="14"/>
        <w:tabs>
          <w:tab w:val="right" w:leader="dot" w:pos="8957"/>
        </w:tabs>
        <w:spacing w:line="360" w:lineRule="auto"/>
        <w:rPr>
          <w:color w:val="auto"/>
          <w:sz w:val="24"/>
          <w:szCs w:val="24"/>
          <w:highlight w:val="none"/>
        </w:rPr>
      </w:pP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HYPERLINK \l _Toc127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四、评审及磋商</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_Toc127 \h </w:instrText>
      </w:r>
      <w:r>
        <w:rPr>
          <w:color w:val="auto"/>
          <w:sz w:val="24"/>
          <w:szCs w:val="24"/>
          <w:highlight w:val="none"/>
        </w:rPr>
        <w:fldChar w:fldCharType="separate"/>
      </w:r>
      <w:r>
        <w:rPr>
          <w:color w:val="auto"/>
          <w:sz w:val="24"/>
          <w:szCs w:val="24"/>
          <w:highlight w:val="none"/>
        </w:rPr>
        <w:t>24</w:t>
      </w:r>
      <w:r>
        <w:rPr>
          <w:color w:val="auto"/>
          <w:sz w:val="24"/>
          <w:szCs w:val="24"/>
          <w:highlight w:val="none"/>
        </w:rPr>
        <w:fldChar w:fldCharType="end"/>
      </w:r>
      <w:r>
        <w:rPr>
          <w:rFonts w:hint="eastAsia" w:ascii="宋体" w:hAnsi="宋体" w:cs="宋体"/>
          <w:color w:val="auto"/>
          <w:sz w:val="24"/>
          <w:szCs w:val="24"/>
          <w:highlight w:val="none"/>
        </w:rPr>
        <w:fldChar w:fldCharType="end"/>
      </w:r>
    </w:p>
    <w:p w14:paraId="487BE085">
      <w:pPr>
        <w:pStyle w:val="14"/>
        <w:tabs>
          <w:tab w:val="right" w:leader="dot" w:pos="8957"/>
        </w:tabs>
        <w:spacing w:line="360" w:lineRule="auto"/>
        <w:rPr>
          <w:color w:val="auto"/>
          <w:sz w:val="24"/>
          <w:szCs w:val="24"/>
          <w:highlight w:val="none"/>
        </w:rPr>
      </w:pP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HYPERLINK \l _Toc28545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五、成交及合同</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_Toc28545 \h </w:instrText>
      </w:r>
      <w:r>
        <w:rPr>
          <w:color w:val="auto"/>
          <w:sz w:val="24"/>
          <w:szCs w:val="24"/>
          <w:highlight w:val="none"/>
        </w:rPr>
        <w:fldChar w:fldCharType="separate"/>
      </w:r>
      <w:r>
        <w:rPr>
          <w:color w:val="auto"/>
          <w:sz w:val="24"/>
          <w:szCs w:val="24"/>
          <w:highlight w:val="none"/>
        </w:rPr>
        <w:t>26</w:t>
      </w:r>
      <w:r>
        <w:rPr>
          <w:color w:val="auto"/>
          <w:sz w:val="24"/>
          <w:szCs w:val="24"/>
          <w:highlight w:val="none"/>
        </w:rPr>
        <w:fldChar w:fldCharType="end"/>
      </w:r>
      <w:r>
        <w:rPr>
          <w:rFonts w:hint="eastAsia" w:ascii="宋体" w:hAnsi="宋体" w:cs="宋体"/>
          <w:color w:val="auto"/>
          <w:sz w:val="24"/>
          <w:szCs w:val="24"/>
          <w:highlight w:val="none"/>
        </w:rPr>
        <w:fldChar w:fldCharType="end"/>
      </w:r>
    </w:p>
    <w:p w14:paraId="7D313AC3">
      <w:pPr>
        <w:pStyle w:val="14"/>
        <w:tabs>
          <w:tab w:val="right" w:leader="dot" w:pos="8957"/>
        </w:tabs>
        <w:spacing w:line="360" w:lineRule="auto"/>
        <w:rPr>
          <w:color w:val="auto"/>
          <w:sz w:val="24"/>
          <w:szCs w:val="24"/>
          <w:highlight w:val="none"/>
        </w:rPr>
      </w:pP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HYPERLINK \l _Toc23963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六、验收</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_Toc23963 \h </w:instrText>
      </w:r>
      <w:r>
        <w:rPr>
          <w:color w:val="auto"/>
          <w:sz w:val="24"/>
          <w:szCs w:val="24"/>
          <w:highlight w:val="none"/>
        </w:rPr>
        <w:fldChar w:fldCharType="separate"/>
      </w:r>
      <w:r>
        <w:rPr>
          <w:color w:val="auto"/>
          <w:sz w:val="24"/>
          <w:szCs w:val="24"/>
          <w:highlight w:val="none"/>
        </w:rPr>
        <w:t>29</w:t>
      </w:r>
      <w:r>
        <w:rPr>
          <w:color w:val="auto"/>
          <w:sz w:val="24"/>
          <w:szCs w:val="24"/>
          <w:highlight w:val="none"/>
        </w:rPr>
        <w:fldChar w:fldCharType="end"/>
      </w:r>
      <w:r>
        <w:rPr>
          <w:rFonts w:hint="eastAsia" w:ascii="宋体" w:hAnsi="宋体" w:cs="宋体"/>
          <w:color w:val="auto"/>
          <w:sz w:val="24"/>
          <w:szCs w:val="24"/>
          <w:highlight w:val="none"/>
        </w:rPr>
        <w:fldChar w:fldCharType="end"/>
      </w:r>
    </w:p>
    <w:p w14:paraId="781BC24A">
      <w:pPr>
        <w:pStyle w:val="14"/>
        <w:tabs>
          <w:tab w:val="right" w:leader="dot" w:pos="8957"/>
        </w:tabs>
        <w:spacing w:line="360" w:lineRule="auto"/>
        <w:rPr>
          <w:color w:val="auto"/>
          <w:sz w:val="24"/>
          <w:szCs w:val="24"/>
          <w:highlight w:val="none"/>
        </w:rPr>
      </w:pP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HYPERLINK \l _Toc3032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七、其他事项</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_Toc3032 \h </w:instrText>
      </w:r>
      <w:r>
        <w:rPr>
          <w:color w:val="auto"/>
          <w:sz w:val="24"/>
          <w:szCs w:val="24"/>
          <w:highlight w:val="none"/>
        </w:rPr>
        <w:fldChar w:fldCharType="separate"/>
      </w:r>
      <w:r>
        <w:rPr>
          <w:color w:val="auto"/>
          <w:sz w:val="24"/>
          <w:szCs w:val="24"/>
          <w:highlight w:val="none"/>
        </w:rPr>
        <w:t>29</w:t>
      </w:r>
      <w:r>
        <w:rPr>
          <w:color w:val="auto"/>
          <w:sz w:val="24"/>
          <w:szCs w:val="24"/>
          <w:highlight w:val="none"/>
        </w:rPr>
        <w:fldChar w:fldCharType="end"/>
      </w:r>
      <w:r>
        <w:rPr>
          <w:rFonts w:hint="eastAsia" w:ascii="宋体" w:hAnsi="宋体" w:cs="宋体"/>
          <w:color w:val="auto"/>
          <w:sz w:val="24"/>
          <w:szCs w:val="24"/>
          <w:highlight w:val="none"/>
        </w:rPr>
        <w:fldChar w:fldCharType="end"/>
      </w:r>
    </w:p>
    <w:p w14:paraId="1316C938">
      <w:pPr>
        <w:pStyle w:val="18"/>
        <w:tabs>
          <w:tab w:val="right" w:leader="dot" w:pos="8957"/>
        </w:tabs>
        <w:spacing w:line="360" w:lineRule="auto"/>
        <w:rPr>
          <w:color w:val="auto"/>
          <w:sz w:val="24"/>
          <w:szCs w:val="24"/>
          <w:highlight w:val="none"/>
        </w:rPr>
      </w:pP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HYPERLINK \l _Toc22962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第四章 评审程序、评审方法和评审标准</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_Toc22962 \h </w:instrText>
      </w:r>
      <w:r>
        <w:rPr>
          <w:color w:val="auto"/>
          <w:sz w:val="24"/>
          <w:szCs w:val="24"/>
          <w:highlight w:val="none"/>
        </w:rPr>
        <w:fldChar w:fldCharType="separate"/>
      </w:r>
      <w:r>
        <w:rPr>
          <w:color w:val="auto"/>
          <w:sz w:val="24"/>
          <w:szCs w:val="24"/>
          <w:highlight w:val="none"/>
        </w:rPr>
        <w:t>31</w:t>
      </w:r>
      <w:r>
        <w:rPr>
          <w:color w:val="auto"/>
          <w:sz w:val="24"/>
          <w:szCs w:val="24"/>
          <w:highlight w:val="none"/>
        </w:rPr>
        <w:fldChar w:fldCharType="end"/>
      </w:r>
      <w:r>
        <w:rPr>
          <w:rFonts w:hint="eastAsia" w:ascii="宋体" w:hAnsi="宋体" w:cs="宋体"/>
          <w:color w:val="auto"/>
          <w:sz w:val="24"/>
          <w:szCs w:val="24"/>
          <w:highlight w:val="none"/>
        </w:rPr>
        <w:fldChar w:fldCharType="end"/>
      </w:r>
    </w:p>
    <w:p w14:paraId="45823406">
      <w:pPr>
        <w:pStyle w:val="11"/>
        <w:tabs>
          <w:tab w:val="right" w:leader="dot" w:pos="8957"/>
          <w:tab w:val="clear" w:pos="8296"/>
        </w:tabs>
        <w:spacing w:line="360" w:lineRule="auto"/>
        <w:rPr>
          <w:color w:val="auto"/>
          <w:sz w:val="24"/>
          <w:szCs w:val="24"/>
          <w:highlight w:val="none"/>
        </w:rPr>
      </w:pP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HYPERLINK \l _Toc24547 </w:instrText>
      </w:r>
      <w:r>
        <w:rPr>
          <w:rFonts w:hint="eastAsia" w:ascii="宋体" w:hAnsi="宋体" w:cs="宋体"/>
          <w:color w:val="auto"/>
          <w:sz w:val="24"/>
          <w:szCs w:val="24"/>
          <w:highlight w:val="none"/>
        </w:rPr>
        <w:fldChar w:fldCharType="separate"/>
      </w:r>
      <w:r>
        <w:rPr>
          <w:rFonts w:ascii="宋体" w:hAnsi="宋体"/>
          <w:color w:val="auto"/>
          <w:sz w:val="24"/>
          <w:szCs w:val="24"/>
          <w:highlight w:val="none"/>
        </w:rPr>
        <w:t>第一节 评审程序和评审方法</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_Toc24547 \h </w:instrText>
      </w:r>
      <w:r>
        <w:rPr>
          <w:color w:val="auto"/>
          <w:sz w:val="24"/>
          <w:szCs w:val="24"/>
          <w:highlight w:val="none"/>
        </w:rPr>
        <w:fldChar w:fldCharType="separate"/>
      </w:r>
      <w:r>
        <w:rPr>
          <w:color w:val="auto"/>
          <w:sz w:val="24"/>
          <w:szCs w:val="24"/>
          <w:highlight w:val="none"/>
        </w:rPr>
        <w:t>31</w:t>
      </w:r>
      <w:r>
        <w:rPr>
          <w:color w:val="auto"/>
          <w:sz w:val="24"/>
          <w:szCs w:val="24"/>
          <w:highlight w:val="none"/>
        </w:rPr>
        <w:fldChar w:fldCharType="end"/>
      </w:r>
      <w:r>
        <w:rPr>
          <w:rFonts w:hint="eastAsia" w:ascii="宋体" w:hAnsi="宋体" w:cs="宋体"/>
          <w:color w:val="auto"/>
          <w:sz w:val="24"/>
          <w:szCs w:val="24"/>
          <w:highlight w:val="none"/>
        </w:rPr>
        <w:fldChar w:fldCharType="end"/>
      </w:r>
    </w:p>
    <w:p w14:paraId="62E0FBE6">
      <w:pPr>
        <w:pStyle w:val="11"/>
        <w:tabs>
          <w:tab w:val="right" w:leader="dot" w:pos="8957"/>
          <w:tab w:val="clear" w:pos="8296"/>
        </w:tabs>
        <w:spacing w:line="360" w:lineRule="auto"/>
        <w:rPr>
          <w:color w:val="auto"/>
          <w:sz w:val="24"/>
          <w:szCs w:val="24"/>
          <w:highlight w:val="none"/>
        </w:rPr>
      </w:pP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HYPERLINK \l _Toc20925 </w:instrText>
      </w:r>
      <w:r>
        <w:rPr>
          <w:rFonts w:hint="eastAsia" w:ascii="宋体" w:hAnsi="宋体" w:cs="宋体"/>
          <w:color w:val="auto"/>
          <w:sz w:val="24"/>
          <w:szCs w:val="24"/>
          <w:highlight w:val="none"/>
        </w:rPr>
        <w:fldChar w:fldCharType="separate"/>
      </w:r>
      <w:r>
        <w:rPr>
          <w:rFonts w:ascii="宋体" w:hAnsi="宋体"/>
          <w:color w:val="auto"/>
          <w:sz w:val="24"/>
          <w:szCs w:val="24"/>
          <w:highlight w:val="none"/>
        </w:rPr>
        <w:t>第二节 评标报告</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_Toc20925 \h </w:instrText>
      </w:r>
      <w:r>
        <w:rPr>
          <w:color w:val="auto"/>
          <w:sz w:val="24"/>
          <w:szCs w:val="24"/>
          <w:highlight w:val="none"/>
        </w:rPr>
        <w:fldChar w:fldCharType="separate"/>
      </w:r>
      <w:r>
        <w:rPr>
          <w:color w:val="auto"/>
          <w:sz w:val="24"/>
          <w:szCs w:val="24"/>
          <w:highlight w:val="none"/>
        </w:rPr>
        <w:t>41</w:t>
      </w:r>
      <w:r>
        <w:rPr>
          <w:color w:val="auto"/>
          <w:sz w:val="24"/>
          <w:szCs w:val="24"/>
          <w:highlight w:val="none"/>
        </w:rPr>
        <w:fldChar w:fldCharType="end"/>
      </w:r>
      <w:r>
        <w:rPr>
          <w:rFonts w:hint="eastAsia" w:ascii="宋体" w:hAnsi="宋体" w:cs="宋体"/>
          <w:color w:val="auto"/>
          <w:sz w:val="24"/>
          <w:szCs w:val="24"/>
          <w:highlight w:val="none"/>
        </w:rPr>
        <w:fldChar w:fldCharType="end"/>
      </w:r>
    </w:p>
    <w:p w14:paraId="7F67F41B">
      <w:pPr>
        <w:pStyle w:val="11"/>
        <w:tabs>
          <w:tab w:val="right" w:leader="dot" w:pos="8957"/>
          <w:tab w:val="clear" w:pos="8296"/>
        </w:tabs>
        <w:spacing w:line="360" w:lineRule="auto"/>
        <w:rPr>
          <w:color w:val="auto"/>
          <w:sz w:val="24"/>
          <w:szCs w:val="24"/>
          <w:highlight w:val="none"/>
        </w:rPr>
      </w:pP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HYPERLINK \l _Toc13274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第三节 评审过程的保密与录像</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_Toc13274 \h </w:instrText>
      </w:r>
      <w:r>
        <w:rPr>
          <w:color w:val="auto"/>
          <w:sz w:val="24"/>
          <w:szCs w:val="24"/>
          <w:highlight w:val="none"/>
        </w:rPr>
        <w:fldChar w:fldCharType="separate"/>
      </w:r>
      <w:r>
        <w:rPr>
          <w:color w:val="auto"/>
          <w:sz w:val="24"/>
          <w:szCs w:val="24"/>
          <w:highlight w:val="none"/>
        </w:rPr>
        <w:t>41</w:t>
      </w:r>
      <w:r>
        <w:rPr>
          <w:color w:val="auto"/>
          <w:sz w:val="24"/>
          <w:szCs w:val="24"/>
          <w:highlight w:val="none"/>
        </w:rPr>
        <w:fldChar w:fldCharType="end"/>
      </w:r>
      <w:r>
        <w:rPr>
          <w:rFonts w:hint="eastAsia" w:ascii="宋体" w:hAnsi="宋体" w:cs="宋体"/>
          <w:color w:val="auto"/>
          <w:sz w:val="24"/>
          <w:szCs w:val="24"/>
          <w:highlight w:val="none"/>
        </w:rPr>
        <w:fldChar w:fldCharType="end"/>
      </w:r>
    </w:p>
    <w:p w14:paraId="74EDFADB">
      <w:pPr>
        <w:pStyle w:val="18"/>
        <w:tabs>
          <w:tab w:val="right" w:leader="dot" w:pos="8957"/>
        </w:tabs>
        <w:spacing w:line="360" w:lineRule="auto"/>
        <w:rPr>
          <w:color w:val="auto"/>
          <w:sz w:val="24"/>
          <w:szCs w:val="24"/>
          <w:highlight w:val="none"/>
        </w:rPr>
      </w:pP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HYPERLINK \l _Toc22452 </w:instrText>
      </w:r>
      <w:r>
        <w:rPr>
          <w:rFonts w:hint="eastAsia" w:ascii="宋体" w:hAnsi="宋体" w:cs="宋体"/>
          <w:color w:val="auto"/>
          <w:sz w:val="24"/>
          <w:szCs w:val="24"/>
          <w:highlight w:val="none"/>
        </w:rPr>
        <w:fldChar w:fldCharType="separate"/>
      </w:r>
      <w:r>
        <w:rPr>
          <w:rFonts w:hint="eastAsia" w:ascii="宋体" w:hAnsi="宋体" w:cs="宋体"/>
          <w:bCs/>
          <w:color w:val="auto"/>
          <w:sz w:val="24"/>
          <w:szCs w:val="24"/>
          <w:highlight w:val="none"/>
        </w:rPr>
        <w:t>第五章 响应文件格式</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_Toc22452 \h </w:instrText>
      </w:r>
      <w:r>
        <w:rPr>
          <w:color w:val="auto"/>
          <w:sz w:val="24"/>
          <w:szCs w:val="24"/>
          <w:highlight w:val="none"/>
        </w:rPr>
        <w:fldChar w:fldCharType="separate"/>
      </w:r>
      <w:r>
        <w:rPr>
          <w:color w:val="auto"/>
          <w:sz w:val="24"/>
          <w:szCs w:val="24"/>
          <w:highlight w:val="none"/>
        </w:rPr>
        <w:t>42</w:t>
      </w:r>
      <w:r>
        <w:rPr>
          <w:color w:val="auto"/>
          <w:sz w:val="24"/>
          <w:szCs w:val="24"/>
          <w:highlight w:val="none"/>
        </w:rPr>
        <w:fldChar w:fldCharType="end"/>
      </w:r>
      <w:r>
        <w:rPr>
          <w:rFonts w:hint="eastAsia" w:ascii="宋体" w:hAnsi="宋体" w:cs="宋体"/>
          <w:color w:val="auto"/>
          <w:sz w:val="24"/>
          <w:szCs w:val="24"/>
          <w:highlight w:val="none"/>
        </w:rPr>
        <w:fldChar w:fldCharType="end"/>
      </w:r>
    </w:p>
    <w:p w14:paraId="3327F0B6">
      <w:pPr>
        <w:pStyle w:val="11"/>
        <w:tabs>
          <w:tab w:val="right" w:leader="dot" w:pos="8957"/>
          <w:tab w:val="clear" w:pos="8296"/>
        </w:tabs>
        <w:spacing w:line="360" w:lineRule="auto"/>
        <w:rPr>
          <w:color w:val="auto"/>
          <w:sz w:val="24"/>
          <w:szCs w:val="24"/>
          <w:highlight w:val="none"/>
        </w:rPr>
      </w:pP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HYPERLINK \l _Toc31236 </w:instrText>
      </w:r>
      <w:r>
        <w:rPr>
          <w:rFonts w:hint="eastAsia" w:ascii="宋体" w:hAnsi="宋体" w:cs="宋体"/>
          <w:color w:val="auto"/>
          <w:sz w:val="24"/>
          <w:szCs w:val="24"/>
          <w:highlight w:val="none"/>
        </w:rPr>
        <w:fldChar w:fldCharType="separate"/>
      </w:r>
      <w:r>
        <w:rPr>
          <w:rFonts w:hint="eastAsia" w:ascii="宋体" w:hAnsi="宋体" w:cs="宋体"/>
          <w:bCs w:val="0"/>
          <w:color w:val="auto"/>
          <w:sz w:val="24"/>
          <w:szCs w:val="24"/>
          <w:highlight w:val="none"/>
        </w:rPr>
        <w:t>第一节 封面格式</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_Toc31236 \h </w:instrText>
      </w:r>
      <w:r>
        <w:rPr>
          <w:color w:val="auto"/>
          <w:sz w:val="24"/>
          <w:szCs w:val="24"/>
          <w:highlight w:val="none"/>
        </w:rPr>
        <w:fldChar w:fldCharType="separate"/>
      </w:r>
      <w:r>
        <w:rPr>
          <w:color w:val="auto"/>
          <w:sz w:val="24"/>
          <w:szCs w:val="24"/>
          <w:highlight w:val="none"/>
        </w:rPr>
        <w:t>42</w:t>
      </w:r>
      <w:r>
        <w:rPr>
          <w:color w:val="auto"/>
          <w:sz w:val="24"/>
          <w:szCs w:val="24"/>
          <w:highlight w:val="none"/>
        </w:rPr>
        <w:fldChar w:fldCharType="end"/>
      </w:r>
      <w:r>
        <w:rPr>
          <w:rFonts w:hint="eastAsia" w:ascii="宋体" w:hAnsi="宋体" w:cs="宋体"/>
          <w:color w:val="auto"/>
          <w:sz w:val="24"/>
          <w:szCs w:val="24"/>
          <w:highlight w:val="none"/>
        </w:rPr>
        <w:fldChar w:fldCharType="end"/>
      </w:r>
    </w:p>
    <w:p w14:paraId="528F214D">
      <w:pPr>
        <w:pStyle w:val="11"/>
        <w:tabs>
          <w:tab w:val="right" w:leader="dot" w:pos="8957"/>
          <w:tab w:val="clear" w:pos="8296"/>
        </w:tabs>
        <w:spacing w:line="360" w:lineRule="auto"/>
        <w:rPr>
          <w:color w:val="auto"/>
          <w:sz w:val="24"/>
          <w:szCs w:val="24"/>
          <w:highlight w:val="none"/>
        </w:rPr>
      </w:pP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HYPERLINK \l _Toc25639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第二节 资格证明文件格式</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_Toc25639 \h </w:instrText>
      </w:r>
      <w:r>
        <w:rPr>
          <w:color w:val="auto"/>
          <w:sz w:val="24"/>
          <w:szCs w:val="24"/>
          <w:highlight w:val="none"/>
        </w:rPr>
        <w:fldChar w:fldCharType="separate"/>
      </w:r>
      <w:r>
        <w:rPr>
          <w:color w:val="auto"/>
          <w:sz w:val="24"/>
          <w:szCs w:val="24"/>
          <w:highlight w:val="none"/>
        </w:rPr>
        <w:t>43</w:t>
      </w:r>
      <w:r>
        <w:rPr>
          <w:color w:val="auto"/>
          <w:sz w:val="24"/>
          <w:szCs w:val="24"/>
          <w:highlight w:val="none"/>
        </w:rPr>
        <w:fldChar w:fldCharType="end"/>
      </w:r>
      <w:r>
        <w:rPr>
          <w:rFonts w:hint="eastAsia" w:ascii="宋体" w:hAnsi="宋体" w:cs="宋体"/>
          <w:color w:val="auto"/>
          <w:sz w:val="24"/>
          <w:szCs w:val="24"/>
          <w:highlight w:val="none"/>
        </w:rPr>
        <w:fldChar w:fldCharType="end"/>
      </w:r>
    </w:p>
    <w:p w14:paraId="20692A64">
      <w:pPr>
        <w:pStyle w:val="11"/>
        <w:tabs>
          <w:tab w:val="right" w:leader="dot" w:pos="8957"/>
          <w:tab w:val="clear" w:pos="8296"/>
        </w:tabs>
        <w:spacing w:line="360" w:lineRule="auto"/>
        <w:rPr>
          <w:color w:val="auto"/>
          <w:sz w:val="24"/>
          <w:szCs w:val="24"/>
          <w:highlight w:val="none"/>
        </w:rPr>
      </w:pP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HYPERLINK \l _Toc630 </w:instrText>
      </w:r>
      <w:r>
        <w:rPr>
          <w:rFonts w:hint="eastAsia" w:ascii="宋体" w:hAnsi="宋体" w:cs="宋体"/>
          <w:color w:val="auto"/>
          <w:sz w:val="24"/>
          <w:szCs w:val="24"/>
          <w:highlight w:val="none"/>
        </w:rPr>
        <w:fldChar w:fldCharType="separate"/>
      </w:r>
      <w:r>
        <w:rPr>
          <w:rFonts w:hint="eastAsia" w:ascii="宋体" w:hAnsi="宋体" w:cs="宋体"/>
          <w:bCs w:val="0"/>
          <w:color w:val="auto"/>
          <w:sz w:val="24"/>
          <w:szCs w:val="24"/>
          <w:highlight w:val="none"/>
        </w:rPr>
        <w:t>第三节 商务技术文件格式</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_Toc630 \h </w:instrText>
      </w:r>
      <w:r>
        <w:rPr>
          <w:color w:val="auto"/>
          <w:sz w:val="24"/>
          <w:szCs w:val="24"/>
          <w:highlight w:val="none"/>
        </w:rPr>
        <w:fldChar w:fldCharType="separate"/>
      </w:r>
      <w:r>
        <w:rPr>
          <w:color w:val="auto"/>
          <w:sz w:val="24"/>
          <w:szCs w:val="24"/>
          <w:highlight w:val="none"/>
        </w:rPr>
        <w:t>53</w:t>
      </w:r>
      <w:r>
        <w:rPr>
          <w:color w:val="auto"/>
          <w:sz w:val="24"/>
          <w:szCs w:val="24"/>
          <w:highlight w:val="none"/>
        </w:rPr>
        <w:fldChar w:fldCharType="end"/>
      </w:r>
      <w:r>
        <w:rPr>
          <w:rFonts w:hint="eastAsia" w:ascii="宋体" w:hAnsi="宋体" w:cs="宋体"/>
          <w:color w:val="auto"/>
          <w:sz w:val="24"/>
          <w:szCs w:val="24"/>
          <w:highlight w:val="none"/>
        </w:rPr>
        <w:fldChar w:fldCharType="end"/>
      </w:r>
    </w:p>
    <w:p w14:paraId="5FAE9341">
      <w:pPr>
        <w:pStyle w:val="11"/>
        <w:tabs>
          <w:tab w:val="right" w:leader="dot" w:pos="8957"/>
          <w:tab w:val="clear" w:pos="8296"/>
        </w:tabs>
        <w:spacing w:line="360" w:lineRule="auto"/>
        <w:rPr>
          <w:color w:val="auto"/>
          <w:sz w:val="24"/>
          <w:szCs w:val="24"/>
          <w:highlight w:val="none"/>
        </w:rPr>
      </w:pP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HYPERLINK \l _Toc24981 </w:instrText>
      </w:r>
      <w:r>
        <w:rPr>
          <w:rFonts w:hint="eastAsia" w:ascii="宋体" w:hAnsi="宋体" w:cs="宋体"/>
          <w:color w:val="auto"/>
          <w:sz w:val="24"/>
          <w:szCs w:val="24"/>
          <w:highlight w:val="none"/>
        </w:rPr>
        <w:fldChar w:fldCharType="separate"/>
      </w:r>
      <w:r>
        <w:rPr>
          <w:rFonts w:hint="eastAsia" w:ascii="宋体" w:hAnsi="宋体" w:cs="宋体"/>
          <w:bCs w:val="0"/>
          <w:color w:val="auto"/>
          <w:sz w:val="24"/>
          <w:szCs w:val="24"/>
          <w:highlight w:val="none"/>
        </w:rPr>
        <w:t>第四节 报价文件格式</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_Toc24981 \h </w:instrText>
      </w:r>
      <w:r>
        <w:rPr>
          <w:color w:val="auto"/>
          <w:sz w:val="24"/>
          <w:szCs w:val="24"/>
          <w:highlight w:val="none"/>
        </w:rPr>
        <w:fldChar w:fldCharType="separate"/>
      </w:r>
      <w:r>
        <w:rPr>
          <w:color w:val="auto"/>
          <w:sz w:val="24"/>
          <w:szCs w:val="24"/>
          <w:highlight w:val="none"/>
        </w:rPr>
        <w:t>70</w:t>
      </w:r>
      <w:r>
        <w:rPr>
          <w:color w:val="auto"/>
          <w:sz w:val="24"/>
          <w:szCs w:val="24"/>
          <w:highlight w:val="none"/>
        </w:rPr>
        <w:fldChar w:fldCharType="end"/>
      </w:r>
      <w:r>
        <w:rPr>
          <w:rFonts w:hint="eastAsia" w:ascii="宋体" w:hAnsi="宋体" w:cs="宋体"/>
          <w:color w:val="auto"/>
          <w:sz w:val="24"/>
          <w:szCs w:val="24"/>
          <w:highlight w:val="none"/>
        </w:rPr>
        <w:fldChar w:fldCharType="end"/>
      </w:r>
    </w:p>
    <w:p w14:paraId="0C8B354E">
      <w:pPr>
        <w:pStyle w:val="11"/>
        <w:tabs>
          <w:tab w:val="right" w:leader="dot" w:pos="8957"/>
          <w:tab w:val="clear" w:pos="8296"/>
        </w:tabs>
        <w:spacing w:line="360" w:lineRule="auto"/>
        <w:rPr>
          <w:color w:val="auto"/>
          <w:sz w:val="24"/>
          <w:szCs w:val="24"/>
          <w:highlight w:val="none"/>
        </w:rPr>
      </w:pP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HYPERLINK \l _Toc25986 </w:instrText>
      </w:r>
      <w:r>
        <w:rPr>
          <w:rFonts w:hint="eastAsia" w:ascii="宋体" w:hAnsi="宋体" w:cs="宋体"/>
          <w:color w:val="auto"/>
          <w:sz w:val="24"/>
          <w:szCs w:val="24"/>
          <w:highlight w:val="none"/>
        </w:rPr>
        <w:fldChar w:fldCharType="separate"/>
      </w:r>
      <w:r>
        <w:rPr>
          <w:rFonts w:hint="eastAsia" w:ascii="宋体" w:hAnsi="宋体" w:cs="宋体"/>
          <w:bCs w:val="0"/>
          <w:color w:val="auto"/>
          <w:sz w:val="24"/>
          <w:szCs w:val="24"/>
          <w:highlight w:val="none"/>
        </w:rPr>
        <w:t>第五节 其他文书、文件格式</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_Toc25986 \h </w:instrText>
      </w:r>
      <w:r>
        <w:rPr>
          <w:color w:val="auto"/>
          <w:sz w:val="24"/>
          <w:szCs w:val="24"/>
          <w:highlight w:val="none"/>
        </w:rPr>
        <w:fldChar w:fldCharType="separate"/>
      </w:r>
      <w:r>
        <w:rPr>
          <w:color w:val="auto"/>
          <w:sz w:val="24"/>
          <w:szCs w:val="24"/>
          <w:highlight w:val="none"/>
        </w:rPr>
        <w:t>76</w:t>
      </w:r>
      <w:r>
        <w:rPr>
          <w:color w:val="auto"/>
          <w:sz w:val="24"/>
          <w:szCs w:val="24"/>
          <w:highlight w:val="none"/>
        </w:rPr>
        <w:fldChar w:fldCharType="end"/>
      </w:r>
      <w:r>
        <w:rPr>
          <w:rFonts w:hint="eastAsia" w:ascii="宋体" w:hAnsi="宋体" w:cs="宋体"/>
          <w:color w:val="auto"/>
          <w:sz w:val="24"/>
          <w:szCs w:val="24"/>
          <w:highlight w:val="none"/>
        </w:rPr>
        <w:fldChar w:fldCharType="end"/>
      </w:r>
    </w:p>
    <w:p w14:paraId="2CF378AB">
      <w:pPr>
        <w:pStyle w:val="18"/>
        <w:tabs>
          <w:tab w:val="right" w:leader="dot" w:pos="8957"/>
        </w:tabs>
        <w:spacing w:line="360" w:lineRule="auto"/>
        <w:rPr>
          <w:color w:val="auto"/>
          <w:sz w:val="24"/>
          <w:szCs w:val="24"/>
          <w:highlight w:val="none"/>
        </w:rPr>
      </w:pP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HYPERLINK \l _Toc18320 </w:instrText>
      </w:r>
      <w:r>
        <w:rPr>
          <w:rFonts w:hint="eastAsia" w:ascii="宋体" w:hAnsi="宋体" w:cs="宋体"/>
          <w:color w:val="auto"/>
          <w:sz w:val="24"/>
          <w:szCs w:val="24"/>
          <w:highlight w:val="none"/>
        </w:rPr>
        <w:fldChar w:fldCharType="separate"/>
      </w:r>
      <w:r>
        <w:rPr>
          <w:rFonts w:hint="eastAsia" w:ascii="宋体" w:hAnsi="宋体" w:cs="宋体"/>
          <w:bCs/>
          <w:color w:val="auto"/>
          <w:kern w:val="44"/>
          <w:sz w:val="24"/>
          <w:szCs w:val="24"/>
          <w:highlight w:val="none"/>
        </w:rPr>
        <w:t>第六章 合同文本</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_Toc18320 \h </w:instrText>
      </w:r>
      <w:r>
        <w:rPr>
          <w:color w:val="auto"/>
          <w:sz w:val="24"/>
          <w:szCs w:val="24"/>
          <w:highlight w:val="none"/>
        </w:rPr>
        <w:fldChar w:fldCharType="separate"/>
      </w:r>
      <w:r>
        <w:rPr>
          <w:color w:val="auto"/>
          <w:sz w:val="24"/>
          <w:szCs w:val="24"/>
          <w:highlight w:val="none"/>
        </w:rPr>
        <w:t>79</w:t>
      </w:r>
      <w:r>
        <w:rPr>
          <w:color w:val="auto"/>
          <w:sz w:val="24"/>
          <w:szCs w:val="24"/>
          <w:highlight w:val="none"/>
        </w:rPr>
        <w:fldChar w:fldCharType="end"/>
      </w:r>
      <w:r>
        <w:rPr>
          <w:rFonts w:hint="eastAsia" w:ascii="宋体" w:hAnsi="宋体" w:cs="宋体"/>
          <w:color w:val="auto"/>
          <w:sz w:val="24"/>
          <w:szCs w:val="24"/>
          <w:highlight w:val="none"/>
        </w:rPr>
        <w:fldChar w:fldCharType="end"/>
      </w:r>
    </w:p>
    <w:p w14:paraId="6B3EC397">
      <w:pPr>
        <w:pStyle w:val="18"/>
        <w:tabs>
          <w:tab w:val="right" w:leader="dot" w:pos="8957"/>
        </w:tabs>
        <w:spacing w:line="360" w:lineRule="auto"/>
        <w:rPr>
          <w:color w:val="auto"/>
          <w:sz w:val="24"/>
          <w:szCs w:val="24"/>
          <w:highlight w:val="none"/>
        </w:rPr>
      </w:pP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HYPERLINK \l _Toc8915 </w:instrText>
      </w:r>
      <w:r>
        <w:rPr>
          <w:rFonts w:hint="eastAsia" w:ascii="宋体" w:hAnsi="宋体" w:cs="宋体"/>
          <w:color w:val="auto"/>
          <w:sz w:val="24"/>
          <w:szCs w:val="24"/>
          <w:highlight w:val="none"/>
        </w:rPr>
        <w:fldChar w:fldCharType="separate"/>
      </w:r>
      <w:r>
        <w:rPr>
          <w:rFonts w:hint="eastAsia" w:ascii="宋体" w:hAnsi="宋体" w:cs="宋体"/>
          <w:bCs w:val="0"/>
          <w:color w:val="auto"/>
          <w:sz w:val="24"/>
          <w:szCs w:val="24"/>
          <w:highlight w:val="none"/>
        </w:rPr>
        <w:t>第七章 质疑、投诉材料格式</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_Toc8915 \h </w:instrText>
      </w:r>
      <w:r>
        <w:rPr>
          <w:color w:val="auto"/>
          <w:sz w:val="24"/>
          <w:szCs w:val="24"/>
          <w:highlight w:val="none"/>
        </w:rPr>
        <w:fldChar w:fldCharType="separate"/>
      </w:r>
      <w:r>
        <w:rPr>
          <w:color w:val="auto"/>
          <w:sz w:val="24"/>
          <w:szCs w:val="24"/>
          <w:highlight w:val="none"/>
        </w:rPr>
        <w:t>108</w:t>
      </w:r>
      <w:r>
        <w:rPr>
          <w:color w:val="auto"/>
          <w:sz w:val="24"/>
          <w:szCs w:val="24"/>
          <w:highlight w:val="none"/>
        </w:rPr>
        <w:fldChar w:fldCharType="end"/>
      </w:r>
      <w:r>
        <w:rPr>
          <w:rFonts w:hint="eastAsia" w:ascii="宋体" w:hAnsi="宋体" w:cs="宋体"/>
          <w:color w:val="auto"/>
          <w:sz w:val="24"/>
          <w:szCs w:val="24"/>
          <w:highlight w:val="none"/>
        </w:rPr>
        <w:fldChar w:fldCharType="end"/>
      </w:r>
    </w:p>
    <w:p w14:paraId="307F6B7F">
      <w:pPr>
        <w:pStyle w:val="11"/>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fldChar w:fldCharType="end"/>
      </w:r>
    </w:p>
    <w:p w14:paraId="067AED4F">
      <w:pPr>
        <w:tabs>
          <w:tab w:val="left" w:pos="7470"/>
        </w:tabs>
        <w:spacing w:line="400" w:lineRule="exact"/>
        <w:jc w:val="left"/>
        <w:rPr>
          <w:rFonts w:hint="eastAsia" w:ascii="宋体" w:hAnsi="宋体" w:cs="宋体"/>
          <w:b/>
          <w:color w:val="auto"/>
          <w:sz w:val="32"/>
          <w:szCs w:val="32"/>
          <w:highlight w:val="none"/>
        </w:rPr>
      </w:pPr>
      <w:r>
        <w:rPr>
          <w:rFonts w:hint="eastAsia" w:ascii="宋体" w:hAnsi="宋体" w:cs="宋体"/>
          <w:b/>
          <w:color w:val="auto"/>
          <w:sz w:val="32"/>
          <w:szCs w:val="32"/>
          <w:highlight w:val="none"/>
        </w:rPr>
        <w:tab/>
      </w:r>
    </w:p>
    <w:p w14:paraId="17F21059">
      <w:pPr>
        <w:spacing w:line="400" w:lineRule="exact"/>
        <w:jc w:val="both"/>
        <w:rPr>
          <w:rFonts w:hint="eastAsia" w:ascii="宋体" w:hAnsi="宋体" w:cs="宋体"/>
          <w:b/>
          <w:color w:val="auto"/>
          <w:sz w:val="32"/>
          <w:szCs w:val="32"/>
          <w:highlight w:val="none"/>
        </w:rPr>
      </w:pPr>
    </w:p>
    <w:p w14:paraId="515D6380">
      <w:pPr>
        <w:pStyle w:val="2"/>
        <w:keepNext/>
        <w:keepLines/>
        <w:pageBreakBefore w:val="0"/>
        <w:widowControl w:val="0"/>
        <w:kinsoku/>
        <w:wordWrap/>
        <w:overflowPunct/>
        <w:topLinePunct w:val="0"/>
        <w:autoSpaceDE/>
        <w:autoSpaceDN/>
        <w:bidi w:val="0"/>
        <w:adjustRightInd/>
        <w:snapToGrid/>
        <w:spacing w:after="0" w:line="480" w:lineRule="exact"/>
        <w:jc w:val="center"/>
        <w:textAlignment w:val="auto"/>
        <w:rPr>
          <w:rFonts w:hint="eastAsia" w:ascii="宋体" w:hAnsi="宋体" w:cs="宋体"/>
          <w:color w:val="auto"/>
          <w:highlight w:val="none"/>
        </w:rPr>
      </w:pPr>
      <w:bookmarkStart w:id="0" w:name="_Toc19284"/>
      <w:bookmarkStart w:id="1" w:name="_Toc3875"/>
      <w:bookmarkStart w:id="2" w:name="_Toc1219"/>
      <w:r>
        <w:rPr>
          <w:rFonts w:hint="eastAsia" w:ascii="宋体" w:hAnsi="宋体" w:cs="宋体"/>
          <w:bCs w:val="0"/>
          <w:color w:val="auto"/>
          <w:highlight w:val="none"/>
        </w:rPr>
        <w:t xml:space="preserve">第一章 </w:t>
      </w:r>
      <w:r>
        <w:rPr>
          <w:rFonts w:hint="eastAsia" w:ascii="宋体" w:hAnsi="宋体" w:cs="宋体"/>
          <w:color w:val="auto"/>
          <w:highlight w:val="none"/>
        </w:rPr>
        <w:t>竞争性磋商公告</w:t>
      </w:r>
      <w:bookmarkEnd w:id="0"/>
      <w:bookmarkEnd w:id="1"/>
      <w:bookmarkEnd w:id="2"/>
      <w:bookmarkStart w:id="3" w:name="_Toc44229878"/>
      <w:bookmarkStart w:id="4" w:name="_Toc28359089"/>
      <w:bookmarkStart w:id="5" w:name="_Toc35393623"/>
      <w:bookmarkStart w:id="6" w:name="_Toc28359012"/>
      <w:bookmarkStart w:id="7" w:name="_Toc28359081"/>
      <w:bookmarkStart w:id="8" w:name="_Toc28359004"/>
      <w:bookmarkStart w:id="9" w:name="_Toc35393798"/>
      <w:bookmarkStart w:id="10" w:name="_Toc35393792"/>
      <w:bookmarkStart w:id="11" w:name="_Toc35393629"/>
    </w:p>
    <w:p w14:paraId="5636F475">
      <w:pPr>
        <w:pStyle w:val="26"/>
        <w:rPr>
          <w:rFonts w:hint="eastAsia" w:ascii="宋体" w:hAnsi="宋体" w:cs="宋体"/>
          <w:color w:val="auto"/>
          <w:highlight w:val="none"/>
        </w:rPr>
      </w:pP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9"/>
      </w:tblGrid>
      <w:tr w14:paraId="1C71F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9" w:type="dxa"/>
            <w:noWrap w:val="0"/>
            <w:vAlign w:val="top"/>
          </w:tcPr>
          <w:p w14:paraId="251CE757">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项目概况</w:t>
            </w:r>
          </w:p>
          <w:p w14:paraId="3587714E">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cs="宋体"/>
                <w:bCs/>
                <w:color w:val="auto"/>
                <w:sz w:val="24"/>
                <w:highlight w:val="none"/>
              </w:rPr>
            </w:pPr>
            <w:r>
              <w:rPr>
                <w:rFonts w:hint="eastAsia" w:ascii="宋体" w:hAnsi="宋体" w:cs="宋体"/>
                <w:color w:val="auto"/>
                <w:szCs w:val="21"/>
                <w:highlight w:val="none"/>
                <w:u w:val="single"/>
                <w:lang w:val="en-US" w:eastAsia="zh-CN"/>
              </w:rPr>
              <w:t>马岭镇良和村委留塘路口至校椅镇壬水村路口路段太阳能公共照明项目（一期）</w:t>
            </w:r>
            <w:r>
              <w:rPr>
                <w:rFonts w:hint="eastAsia" w:ascii="宋体" w:hAnsi="宋体" w:cs="宋体"/>
                <w:color w:val="auto"/>
                <w:szCs w:val="21"/>
                <w:highlight w:val="none"/>
              </w:rPr>
              <w:t>采购项目的潜在供应商应在广西政府采购云平台</w:t>
            </w:r>
            <w:r>
              <w:rPr>
                <w:rFonts w:hint="eastAsia" w:ascii="宋体" w:hAnsi="宋体" w:cs="宋体"/>
                <w:color w:val="auto"/>
                <w:szCs w:val="21"/>
                <w:highlight w:val="none"/>
                <w:lang w:eastAsia="zh-CN"/>
              </w:rPr>
              <w:t>（</w:t>
            </w:r>
            <w:r>
              <w:rPr>
                <w:rFonts w:hint="eastAsia" w:ascii="宋体" w:hAnsi="宋体" w:cs="宋体"/>
                <w:color w:val="auto"/>
                <w:szCs w:val="21"/>
                <w:highlight w:val="none"/>
              </w:rPr>
              <w:t>https://www.gcy.zfcg.gxzf.gov.cn）获取（下载）获取竞争性磋商文件，并于</w:t>
            </w:r>
            <w:r>
              <w:rPr>
                <w:rFonts w:hint="eastAsia" w:ascii="宋体" w:hAnsi="宋体" w:cs="宋体"/>
                <w:bCs/>
                <w:color w:val="auto"/>
                <w:szCs w:val="21"/>
                <w:highlight w:val="none"/>
                <w:u w:val="single"/>
                <w:lang w:eastAsia="zh-CN"/>
              </w:rPr>
              <w:t>202</w:t>
            </w:r>
            <w:r>
              <w:rPr>
                <w:rFonts w:hint="eastAsia" w:ascii="宋体" w:hAnsi="宋体" w:cs="宋体"/>
                <w:bCs/>
                <w:color w:val="auto"/>
                <w:szCs w:val="21"/>
                <w:highlight w:val="none"/>
                <w:u w:val="single"/>
                <w:lang w:val="en-US" w:eastAsia="zh-CN"/>
              </w:rPr>
              <w:t>5</w:t>
            </w:r>
            <w:r>
              <w:rPr>
                <w:rFonts w:hint="eastAsia" w:ascii="宋体" w:hAnsi="宋体" w:cs="宋体"/>
                <w:bCs/>
                <w:color w:val="auto"/>
                <w:szCs w:val="21"/>
                <w:highlight w:val="none"/>
                <w:u w:val="single"/>
                <w:lang w:eastAsia="zh-CN"/>
              </w:rPr>
              <w:t>年</w:t>
            </w:r>
            <w:r>
              <w:rPr>
                <w:rFonts w:hint="eastAsia" w:ascii="宋体" w:hAnsi="宋体" w:cs="宋体"/>
                <w:bCs/>
                <w:color w:val="auto"/>
                <w:szCs w:val="21"/>
                <w:highlight w:val="none"/>
                <w:u w:val="single"/>
                <w:lang w:val="en-US" w:eastAsia="zh-CN"/>
              </w:rPr>
              <w:t>05</w:t>
            </w:r>
            <w:r>
              <w:rPr>
                <w:rFonts w:hint="eastAsia" w:ascii="宋体" w:hAnsi="宋体" w:cs="宋体"/>
                <w:bCs/>
                <w:color w:val="auto"/>
                <w:szCs w:val="21"/>
                <w:highlight w:val="none"/>
                <w:u w:val="single"/>
                <w:lang w:eastAsia="zh-CN"/>
              </w:rPr>
              <w:t>月</w:t>
            </w:r>
            <w:r>
              <w:rPr>
                <w:rFonts w:hint="eastAsia" w:ascii="宋体" w:hAnsi="宋体" w:cs="宋体"/>
                <w:bCs/>
                <w:color w:val="auto"/>
                <w:szCs w:val="21"/>
                <w:highlight w:val="none"/>
                <w:u w:val="single"/>
                <w:lang w:val="en-US" w:eastAsia="zh-CN"/>
              </w:rPr>
              <w:t xml:space="preserve"> 12</w:t>
            </w:r>
            <w:r>
              <w:rPr>
                <w:rFonts w:hint="eastAsia" w:ascii="宋体" w:hAnsi="宋体" w:cs="宋体"/>
                <w:bCs/>
                <w:color w:val="auto"/>
                <w:szCs w:val="21"/>
                <w:highlight w:val="none"/>
                <w:u w:val="single"/>
                <w:lang w:eastAsia="zh-CN"/>
              </w:rPr>
              <w:t>日</w:t>
            </w:r>
            <w:r>
              <w:rPr>
                <w:rFonts w:hint="eastAsia" w:ascii="宋体" w:hAnsi="宋体" w:cs="宋体"/>
                <w:bCs/>
                <w:color w:val="auto"/>
                <w:szCs w:val="21"/>
                <w:highlight w:val="none"/>
                <w:u w:val="single"/>
                <w:lang w:val="en-US" w:eastAsia="zh-CN"/>
              </w:rPr>
              <w:t>15</w:t>
            </w:r>
            <w:r>
              <w:rPr>
                <w:rFonts w:hint="eastAsia" w:ascii="宋体" w:hAnsi="宋体" w:cs="宋体"/>
                <w:bCs/>
                <w:color w:val="auto"/>
                <w:szCs w:val="21"/>
                <w:highlight w:val="none"/>
                <w:u w:val="single"/>
                <w:lang w:eastAsia="zh-CN"/>
              </w:rPr>
              <w:t>时</w:t>
            </w:r>
            <w:r>
              <w:rPr>
                <w:rFonts w:hint="eastAsia" w:ascii="宋体" w:hAnsi="宋体" w:cs="宋体"/>
                <w:bCs/>
                <w:color w:val="auto"/>
                <w:szCs w:val="21"/>
                <w:highlight w:val="none"/>
                <w:u w:val="single"/>
                <w:lang w:val="en-US" w:eastAsia="zh-CN"/>
              </w:rPr>
              <w:t>00</w:t>
            </w:r>
            <w:r>
              <w:rPr>
                <w:rFonts w:hint="eastAsia" w:ascii="宋体" w:hAnsi="宋体" w:cs="宋体"/>
                <w:bCs/>
                <w:color w:val="auto"/>
                <w:szCs w:val="21"/>
                <w:highlight w:val="none"/>
                <w:u w:val="single"/>
                <w:lang w:eastAsia="zh-CN"/>
              </w:rPr>
              <w:t>分</w:t>
            </w:r>
            <w:r>
              <w:rPr>
                <w:rFonts w:hint="eastAsia" w:ascii="宋体" w:hAnsi="宋体" w:cs="宋体"/>
                <w:color w:val="auto"/>
                <w:szCs w:val="21"/>
                <w:highlight w:val="none"/>
              </w:rPr>
              <w:t>（北京时间）前提交响应文件。</w:t>
            </w:r>
          </w:p>
        </w:tc>
      </w:tr>
      <w:bookmarkEnd w:id="3"/>
      <w:bookmarkEnd w:id="4"/>
      <w:bookmarkEnd w:id="5"/>
      <w:bookmarkEnd w:id="6"/>
      <w:bookmarkEnd w:id="7"/>
      <w:bookmarkEnd w:id="8"/>
      <w:bookmarkEnd w:id="9"/>
      <w:bookmarkEnd w:id="10"/>
      <w:bookmarkEnd w:id="11"/>
    </w:tbl>
    <w:p w14:paraId="297A9ACC">
      <w:pPr>
        <w:keepNext w:val="0"/>
        <w:keepLines w:val="0"/>
        <w:pageBreakBefore w:val="0"/>
        <w:kinsoku/>
        <w:wordWrap/>
        <w:overflowPunct/>
        <w:topLinePunct w:val="0"/>
        <w:autoSpaceDE/>
        <w:autoSpaceDN/>
        <w:bidi w:val="0"/>
        <w:adjustRightInd/>
        <w:spacing w:line="400" w:lineRule="exact"/>
        <w:ind w:firstLine="482" w:firstLineChars="200"/>
        <w:textAlignment w:val="auto"/>
        <w:rPr>
          <w:rFonts w:hint="eastAsia" w:ascii="宋体" w:hAnsi="宋体" w:cs="宋体"/>
          <w:b/>
          <w:color w:val="auto"/>
          <w:sz w:val="24"/>
          <w:highlight w:val="none"/>
        </w:rPr>
      </w:pPr>
    </w:p>
    <w:p w14:paraId="2B0653CB">
      <w:pPr>
        <w:keepNext w:val="0"/>
        <w:keepLines w:val="0"/>
        <w:pageBreakBefore w:val="0"/>
        <w:kinsoku/>
        <w:wordWrap/>
        <w:overflowPunct/>
        <w:topLinePunct w:val="0"/>
        <w:autoSpaceDE/>
        <w:autoSpaceDN/>
        <w:bidi w:val="0"/>
        <w:adjustRightInd/>
        <w:spacing w:line="400" w:lineRule="exact"/>
        <w:ind w:firstLine="482" w:firstLineChars="200"/>
        <w:textAlignment w:val="auto"/>
        <w:rPr>
          <w:rFonts w:hint="eastAsia" w:ascii="宋体" w:hAnsi="宋体" w:cs="宋体"/>
          <w:b/>
          <w:color w:val="auto"/>
          <w:highlight w:val="none"/>
        </w:rPr>
      </w:pPr>
      <w:r>
        <w:rPr>
          <w:rFonts w:hint="eastAsia" w:ascii="宋体" w:hAnsi="宋体" w:cs="宋体"/>
          <w:b/>
          <w:color w:val="auto"/>
          <w:sz w:val="24"/>
          <w:highlight w:val="none"/>
        </w:rPr>
        <w:t>一、项目基本情况</w:t>
      </w:r>
    </w:p>
    <w:p w14:paraId="5636533B">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b w:val="0"/>
          <w:bCs w:val="0"/>
          <w:color w:val="auto"/>
          <w:szCs w:val="21"/>
          <w:highlight w:val="none"/>
          <w:lang w:eastAsia="zh-CN"/>
        </w:rPr>
      </w:pPr>
      <w:r>
        <w:rPr>
          <w:rFonts w:hint="eastAsia" w:ascii="宋体" w:hAnsi="宋体" w:cs="宋体"/>
          <w:b w:val="0"/>
          <w:bCs w:val="0"/>
          <w:color w:val="auto"/>
          <w:szCs w:val="21"/>
          <w:highlight w:val="none"/>
          <w:lang w:val="en-US" w:eastAsia="zh-CN"/>
        </w:rPr>
        <w:t>1.</w:t>
      </w:r>
      <w:r>
        <w:rPr>
          <w:rFonts w:hint="eastAsia" w:ascii="宋体" w:hAnsi="宋体" w:cs="宋体"/>
          <w:b w:val="0"/>
          <w:bCs w:val="0"/>
          <w:color w:val="auto"/>
          <w:szCs w:val="21"/>
          <w:highlight w:val="none"/>
        </w:rPr>
        <w:t>项目编号</w:t>
      </w:r>
      <w:r>
        <w:rPr>
          <w:rFonts w:hint="eastAsia" w:ascii="宋体" w:hAnsi="宋体" w:eastAsia="宋体" w:cs="宋体"/>
          <w:b w:val="0"/>
          <w:bCs w:val="0"/>
          <w:color w:val="auto"/>
          <w:szCs w:val="21"/>
          <w:highlight w:val="none"/>
        </w:rPr>
        <w:t>：</w:t>
      </w:r>
      <w:r>
        <w:rPr>
          <w:rFonts w:hint="eastAsia" w:ascii="宋体" w:hAnsi="宋体" w:eastAsia="宋体" w:cs="宋体"/>
          <w:b w:val="0"/>
          <w:bCs w:val="0"/>
          <w:color w:val="auto"/>
          <w:szCs w:val="21"/>
          <w:highlight w:val="none"/>
        </w:rPr>
        <w:fldChar w:fldCharType="begin"/>
      </w:r>
      <w:r>
        <w:rPr>
          <w:rFonts w:hint="eastAsia" w:ascii="宋体" w:hAnsi="宋体" w:eastAsia="宋体" w:cs="宋体"/>
          <w:b w:val="0"/>
          <w:bCs w:val="0"/>
          <w:color w:val="auto"/>
          <w:szCs w:val="21"/>
          <w:highlight w:val="none"/>
        </w:rPr>
        <w:instrText xml:space="preserve"> HYPERLINK "https://www.gcy.zfcg.gxzf.gov.cn/gaea/api/project/flow/redirect?projectId=7211243122104205357&amp;newUrl=https://www.gcy.zfcg.gxzf.gov.cn/micro-app-back-index/blank?_flow_type_=agency&amp;_flow_projectId_=7211243122104205357&amp;_jump_page_type_=project_procurement_management_flow&amp;_app_=zcy.procurement&amp;oldUrl=https://www.gcy.zfcg.gxzf.gov.cn/project-center/_procurement_/project-result-detail/7211243122104205357" \t "https://www.gcy.zfcg.gxzf.gov.cn/project-center/_procurement_/self-project/_blank" </w:instrText>
      </w:r>
      <w:r>
        <w:rPr>
          <w:rFonts w:hint="eastAsia" w:ascii="宋体" w:hAnsi="宋体" w:eastAsia="宋体" w:cs="宋体"/>
          <w:b w:val="0"/>
          <w:bCs w:val="0"/>
          <w:color w:val="auto"/>
          <w:szCs w:val="21"/>
          <w:highlight w:val="none"/>
        </w:rPr>
        <w:fldChar w:fldCharType="separate"/>
      </w:r>
      <w:r>
        <w:rPr>
          <w:rFonts w:hint="eastAsia" w:ascii="宋体" w:hAnsi="宋体" w:eastAsia="宋体" w:cs="宋体"/>
          <w:b w:val="0"/>
          <w:bCs w:val="0"/>
          <w:color w:val="auto"/>
          <w:szCs w:val="21"/>
          <w:highlight w:val="none"/>
        </w:rPr>
        <w:t>NNZC2025-C2-270051-GXTZ</w:t>
      </w:r>
      <w:r>
        <w:rPr>
          <w:rFonts w:hint="eastAsia" w:ascii="宋体" w:hAnsi="宋体" w:eastAsia="宋体" w:cs="宋体"/>
          <w:b w:val="0"/>
          <w:bCs w:val="0"/>
          <w:color w:val="auto"/>
          <w:szCs w:val="21"/>
          <w:highlight w:val="none"/>
        </w:rPr>
        <w:fldChar w:fldCharType="end"/>
      </w:r>
    </w:p>
    <w:p w14:paraId="504C7405">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2.项目名称：</w:t>
      </w:r>
      <w:r>
        <w:rPr>
          <w:rFonts w:hint="eastAsia" w:ascii="宋体" w:hAnsi="宋体" w:cs="宋体"/>
          <w:b w:val="0"/>
          <w:bCs w:val="0"/>
          <w:color w:val="auto"/>
          <w:szCs w:val="21"/>
          <w:highlight w:val="none"/>
          <w:lang w:val="en-US" w:eastAsia="zh-CN"/>
        </w:rPr>
        <w:t>马岭镇良和村委留塘路口至校椅镇壬水村路口路段太阳能公共照明项目（一期）</w:t>
      </w:r>
    </w:p>
    <w:p w14:paraId="72464F84">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3.采购方式：竞争性磋商</w:t>
      </w:r>
    </w:p>
    <w:p w14:paraId="2EF69F3F">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default"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4.预算金额：996591.65 元</w:t>
      </w:r>
    </w:p>
    <w:p w14:paraId="2116974A">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default"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5.最高限价（如有）：996591.65 元</w:t>
      </w:r>
    </w:p>
    <w:p w14:paraId="78585D13">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default" w:ascii="宋体" w:hAnsi="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6.</w:t>
      </w:r>
      <w:r>
        <w:rPr>
          <w:rFonts w:hint="eastAsia" w:ascii="宋体" w:hAnsi="宋体"/>
          <w:color w:val="auto"/>
          <w:szCs w:val="21"/>
          <w:highlight w:val="none"/>
        </w:rPr>
        <w:t>采购需求：</w:t>
      </w:r>
    </w:p>
    <w:tbl>
      <w:tblPr>
        <w:tblStyle w:val="23"/>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90"/>
        <w:gridCol w:w="2764"/>
        <w:gridCol w:w="1134"/>
        <w:gridCol w:w="4401"/>
      </w:tblGrid>
      <w:tr w14:paraId="7EE6AF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3" w:hRule="atLeast"/>
          <w:jc w:val="center"/>
        </w:trPr>
        <w:tc>
          <w:tcPr>
            <w:tcW w:w="690" w:type="dxa"/>
            <w:tcBorders>
              <w:top w:val="single" w:color="auto" w:sz="4" w:space="0"/>
              <w:left w:val="single" w:color="auto" w:sz="4" w:space="0"/>
              <w:bottom w:val="single" w:color="auto" w:sz="4" w:space="0"/>
              <w:right w:val="single" w:color="auto" w:sz="4" w:space="0"/>
            </w:tcBorders>
            <w:noWrap w:val="0"/>
            <w:vAlign w:val="center"/>
          </w:tcPr>
          <w:p w14:paraId="04E11C03">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2764" w:type="dxa"/>
            <w:tcBorders>
              <w:top w:val="single" w:color="auto" w:sz="4" w:space="0"/>
              <w:left w:val="single" w:color="auto" w:sz="4" w:space="0"/>
              <w:bottom w:val="single" w:color="auto" w:sz="4" w:space="0"/>
              <w:right w:val="single" w:color="auto" w:sz="4" w:space="0"/>
            </w:tcBorders>
            <w:noWrap w:val="0"/>
            <w:vAlign w:val="center"/>
          </w:tcPr>
          <w:p w14:paraId="2F765BF7">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标的的名称</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6B464B44">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数量及</w:t>
            </w:r>
          </w:p>
          <w:p w14:paraId="663D2BA6">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单位</w:t>
            </w:r>
          </w:p>
        </w:tc>
        <w:tc>
          <w:tcPr>
            <w:tcW w:w="4401" w:type="dxa"/>
            <w:tcBorders>
              <w:top w:val="single" w:color="auto" w:sz="4" w:space="0"/>
              <w:left w:val="single" w:color="auto" w:sz="4" w:space="0"/>
              <w:bottom w:val="single" w:color="auto" w:sz="4" w:space="0"/>
              <w:right w:val="single" w:color="auto" w:sz="4" w:space="0"/>
            </w:tcBorders>
            <w:noWrap w:val="0"/>
            <w:vAlign w:val="center"/>
          </w:tcPr>
          <w:p w14:paraId="34606306">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cs="宋体"/>
                <w:color w:val="auto"/>
                <w:szCs w:val="21"/>
                <w:highlight w:val="none"/>
              </w:rPr>
            </w:pPr>
            <w:r>
              <w:rPr>
                <w:rFonts w:hint="eastAsia" w:ascii="宋体" w:hAnsi="宋体" w:cs="宋体"/>
                <w:color w:val="auto"/>
                <w:highlight w:val="none"/>
              </w:rPr>
              <w:t>简要技术需求或者</w:t>
            </w:r>
            <w:r>
              <w:rPr>
                <w:rFonts w:hint="eastAsia" w:ascii="宋体" w:hAnsi="宋体" w:cs="宋体"/>
                <w:color w:val="auto"/>
                <w:highlight w:val="none"/>
                <w:lang w:eastAsia="zh-CN"/>
              </w:rPr>
              <w:t>服务</w:t>
            </w:r>
            <w:r>
              <w:rPr>
                <w:rFonts w:hint="eastAsia" w:ascii="宋体" w:hAnsi="宋体" w:cs="宋体"/>
                <w:color w:val="auto"/>
                <w:highlight w:val="none"/>
              </w:rPr>
              <w:t>要求</w:t>
            </w:r>
          </w:p>
        </w:tc>
      </w:tr>
      <w:tr w14:paraId="27E0C42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90" w:type="dxa"/>
            <w:tcBorders>
              <w:top w:val="single" w:color="auto" w:sz="4" w:space="0"/>
              <w:left w:val="single" w:color="auto" w:sz="4" w:space="0"/>
              <w:bottom w:val="single" w:color="auto" w:sz="4" w:space="0"/>
              <w:right w:val="single" w:color="auto" w:sz="4" w:space="0"/>
            </w:tcBorders>
            <w:noWrap w:val="0"/>
            <w:vAlign w:val="center"/>
          </w:tcPr>
          <w:p w14:paraId="04740007">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2764" w:type="dxa"/>
            <w:tcBorders>
              <w:top w:val="single" w:color="auto" w:sz="4" w:space="0"/>
              <w:left w:val="single" w:color="auto" w:sz="4" w:space="0"/>
              <w:bottom w:val="single" w:color="auto" w:sz="4" w:space="0"/>
              <w:right w:val="single" w:color="auto" w:sz="4" w:space="0"/>
            </w:tcBorders>
            <w:noWrap w:val="0"/>
            <w:vAlign w:val="center"/>
          </w:tcPr>
          <w:p w14:paraId="3AAA8707">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szCs w:val="21"/>
                <w:highlight w:val="none"/>
              </w:rPr>
            </w:pPr>
            <w:r>
              <w:rPr>
                <w:rFonts w:hint="eastAsia" w:ascii="宋体" w:hAnsi="宋体" w:eastAsia="宋体" w:cs="宋体"/>
                <w:b w:val="0"/>
                <w:bCs w:val="0"/>
                <w:color w:val="auto"/>
                <w:szCs w:val="21"/>
                <w:highlight w:val="none"/>
                <w:lang w:val="en-US" w:eastAsia="zh-CN"/>
              </w:rPr>
              <w:t>马岭镇良和村委留塘路口至校椅镇壬水村路口路段太阳能公共照明项目（一期）工程</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05C1429C">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1项 </w:t>
            </w:r>
          </w:p>
        </w:tc>
        <w:tc>
          <w:tcPr>
            <w:tcW w:w="4401" w:type="dxa"/>
            <w:tcBorders>
              <w:top w:val="single" w:color="auto" w:sz="4" w:space="0"/>
              <w:left w:val="single" w:color="auto" w:sz="4" w:space="0"/>
              <w:bottom w:val="single" w:color="auto" w:sz="4" w:space="0"/>
              <w:right w:val="single" w:color="auto" w:sz="4" w:space="0"/>
            </w:tcBorders>
            <w:noWrap w:val="0"/>
            <w:vAlign w:val="center"/>
          </w:tcPr>
          <w:p w14:paraId="6AD6D695">
            <w:pPr>
              <w:keepNext w:val="0"/>
              <w:keepLines w:val="0"/>
              <w:pageBreakBefore w:val="0"/>
              <w:kinsoku/>
              <w:wordWrap/>
              <w:overflowPunct/>
              <w:topLinePunct w:val="0"/>
              <w:autoSpaceDE/>
              <w:autoSpaceDN/>
              <w:bidi w:val="0"/>
              <w:adjustRightInd/>
              <w:snapToGrid w:val="0"/>
              <w:spacing w:line="400" w:lineRule="exact"/>
              <w:jc w:val="both"/>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本项目位于横州市马岭镇，马岭镇辖区内可分为2个路段：从马岭镇良和村委留塘村路口（接209国道处）至社区中国石化加油站为第一路段，设计长度2620.877米，设计范围K7+620~K10+240.877;从飞马村委一组路况至龙坪村松木岭路口（马岭镇与校椅镇辖区分界处）为第二路段，设计长度6100米，设计范围K0+000~K6+120。</w:t>
            </w:r>
            <w:r>
              <w:rPr>
                <w:rFonts w:hint="eastAsia" w:ascii="宋体" w:hAnsi="宋体" w:cs="宋体"/>
                <w:color w:val="auto"/>
                <w:szCs w:val="21"/>
                <w:highlight w:val="none"/>
                <w:lang w:val="en-US" w:eastAsia="zh-CN"/>
              </w:rPr>
              <w:t>具体内容详见图纸及招标控制价文件。</w:t>
            </w:r>
          </w:p>
        </w:tc>
      </w:tr>
    </w:tbl>
    <w:p w14:paraId="6FFC3642">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合同履约期限：</w:t>
      </w:r>
      <w:r>
        <w:rPr>
          <w:rFonts w:hint="eastAsia" w:ascii="宋体" w:hAnsi="宋体" w:cs="宋体"/>
          <w:color w:val="auto"/>
          <w:szCs w:val="21"/>
          <w:highlight w:val="none"/>
          <w:lang w:val="en-US" w:eastAsia="zh-CN"/>
        </w:rPr>
        <w:t>工期</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 xml:space="preserve">60个日历天 </w:t>
      </w:r>
      <w:r>
        <w:rPr>
          <w:rFonts w:hint="eastAsia" w:ascii="宋体" w:hAnsi="宋体" w:cs="宋体"/>
          <w:color w:val="auto"/>
          <w:szCs w:val="21"/>
          <w:highlight w:val="none"/>
        </w:rPr>
        <w:t>。</w:t>
      </w:r>
    </w:p>
    <w:p w14:paraId="525A1E27">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color w:val="auto"/>
          <w:highlight w:val="none"/>
        </w:rPr>
      </w:pPr>
      <w:r>
        <w:rPr>
          <w:rFonts w:hint="eastAsia" w:ascii="宋体" w:hAnsi="宋体"/>
          <w:color w:val="auto"/>
          <w:highlight w:val="none"/>
          <w:lang w:val="en-US" w:eastAsia="zh-CN"/>
        </w:rPr>
        <w:t>8.</w:t>
      </w:r>
      <w:r>
        <w:rPr>
          <w:rFonts w:hint="eastAsia" w:ascii="宋体" w:hAnsi="宋体"/>
          <w:color w:val="auto"/>
          <w:highlight w:val="none"/>
        </w:rPr>
        <w:t>本项目是否接受联合体：</w:t>
      </w:r>
      <w:r>
        <w:rPr>
          <w:rFonts w:hint="eastAsia" w:ascii="宋体" w:hAnsi="宋体" w:cs="宋体"/>
          <w:color w:val="auto"/>
          <w:szCs w:val="21"/>
          <w:highlight w:val="none"/>
        </w:rPr>
        <w:t>□是，☑否</w:t>
      </w:r>
    </w:p>
    <w:p w14:paraId="32028F0F">
      <w:pPr>
        <w:keepNext w:val="0"/>
        <w:keepLines w:val="0"/>
        <w:pageBreakBefore w:val="0"/>
        <w:kinsoku/>
        <w:wordWrap/>
        <w:overflowPunct/>
        <w:topLinePunct w:val="0"/>
        <w:autoSpaceDE/>
        <w:autoSpaceDN/>
        <w:bidi w:val="0"/>
        <w:adjustRightInd/>
        <w:spacing w:line="400" w:lineRule="exact"/>
        <w:ind w:firstLine="482" w:firstLineChars="200"/>
        <w:textAlignment w:val="auto"/>
        <w:rPr>
          <w:rFonts w:hint="eastAsia" w:ascii="宋体" w:hAnsi="宋体" w:cs="宋体"/>
          <w:bCs/>
          <w:color w:val="auto"/>
          <w:sz w:val="24"/>
          <w:highlight w:val="none"/>
        </w:rPr>
      </w:pPr>
      <w:bookmarkStart w:id="12" w:name="_Toc28359090"/>
      <w:bookmarkStart w:id="13" w:name="_Toc35393799"/>
      <w:bookmarkStart w:id="14" w:name="_Toc44229879"/>
      <w:bookmarkStart w:id="15" w:name="_Toc28359013"/>
      <w:bookmarkStart w:id="16" w:name="_Toc35393630"/>
      <w:r>
        <w:rPr>
          <w:rFonts w:hint="eastAsia" w:ascii="宋体" w:hAnsi="宋体" w:cs="宋体"/>
          <w:b/>
          <w:color w:val="auto"/>
          <w:kern w:val="44"/>
          <w:sz w:val="24"/>
          <w:highlight w:val="none"/>
        </w:rPr>
        <w:t>二、供应商的资格条件</w:t>
      </w:r>
      <w:bookmarkEnd w:id="12"/>
      <w:bookmarkEnd w:id="13"/>
      <w:bookmarkEnd w:id="14"/>
      <w:bookmarkEnd w:id="15"/>
      <w:bookmarkEnd w:id="16"/>
    </w:p>
    <w:p w14:paraId="75C582D7">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1.满足《中华人民共和国政府采购法》第二十二条规定；</w:t>
      </w:r>
    </w:p>
    <w:p w14:paraId="010FDC13">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2.落实政府采购政策需满足的资格要求：专门面向中小微企业采购的项目（供应商应为中小微企业、监狱企业、残疾人福利性单位) ；</w:t>
      </w:r>
    </w:p>
    <w:p w14:paraId="56E9B5F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3.本项目的特定资格要求：供应商须具备</w:t>
      </w:r>
      <w:r>
        <w:rPr>
          <w:rFonts w:hint="eastAsia" w:ascii="宋体" w:hAnsi="宋体"/>
          <w:color w:val="auto"/>
          <w:highlight w:val="none"/>
        </w:rPr>
        <w:t>市政公</w:t>
      </w:r>
      <w:r>
        <w:rPr>
          <w:rFonts w:hint="eastAsia" w:ascii="宋体" w:hAnsi="宋体" w:eastAsia="宋体" w:cs="宋体"/>
          <w:color w:val="auto"/>
          <w:szCs w:val="21"/>
          <w:highlight w:val="none"/>
        </w:rPr>
        <w:t>用工程施工总承包三级以上（含三级）资质，</w:t>
      </w:r>
      <w:r>
        <w:rPr>
          <w:rFonts w:hint="eastAsia" w:ascii="宋体" w:hAnsi="宋体" w:eastAsia="宋体" w:cs="宋体"/>
          <w:color w:val="auto"/>
          <w:szCs w:val="21"/>
          <w:highlight w:val="none"/>
          <w:lang w:val="en-US" w:eastAsia="zh-CN"/>
        </w:rPr>
        <w:t>同时</w:t>
      </w:r>
      <w:r>
        <w:rPr>
          <w:rFonts w:hint="eastAsia" w:ascii="宋体" w:hAnsi="宋体"/>
          <w:color w:val="auto"/>
          <w:szCs w:val="21"/>
          <w:highlight w:val="none"/>
        </w:rPr>
        <w:t>具有有效的安全生产许可证</w:t>
      </w:r>
      <w:r>
        <w:rPr>
          <w:rFonts w:hint="eastAsia" w:ascii="宋体" w:hAnsi="宋体" w:eastAsia="宋体" w:cs="宋体"/>
          <w:color w:val="auto"/>
          <w:szCs w:val="21"/>
          <w:highlight w:val="none"/>
        </w:rPr>
        <w:t>，并在人员</w:t>
      </w:r>
      <w:r>
        <w:rPr>
          <w:rFonts w:hint="eastAsia" w:ascii="宋体" w:hAnsi="宋体" w:cs="宋体"/>
          <w:color w:val="auto"/>
          <w:szCs w:val="21"/>
          <w:highlight w:val="none"/>
        </w:rPr>
        <w:t>、设备、资金等方面具备相应的施工能力；</w:t>
      </w:r>
      <w:r>
        <w:rPr>
          <w:rFonts w:hint="eastAsia" w:ascii="宋体" w:hAnsi="宋体" w:cs="宋体"/>
          <w:color w:val="auto"/>
          <w:szCs w:val="21"/>
          <w:highlight w:val="none"/>
          <w:lang w:val="en-US" w:eastAsia="zh-CN"/>
        </w:rPr>
        <w:t>拟投入本项目的</w:t>
      </w:r>
      <w:r>
        <w:rPr>
          <w:rFonts w:hint="eastAsia" w:ascii="宋体" w:hAnsi="宋体" w:cs="宋体"/>
          <w:color w:val="auto"/>
          <w:szCs w:val="21"/>
          <w:highlight w:val="none"/>
        </w:rPr>
        <w:t>项</w:t>
      </w:r>
      <w:r>
        <w:rPr>
          <w:rFonts w:hint="eastAsia" w:ascii="宋体" w:hAnsi="宋体" w:eastAsia="宋体" w:cs="宋体"/>
          <w:color w:val="auto"/>
          <w:szCs w:val="21"/>
          <w:highlight w:val="none"/>
        </w:rPr>
        <w:t>目经理须</w:t>
      </w:r>
      <w:r>
        <w:rPr>
          <w:rFonts w:hint="eastAsia" w:ascii="宋体" w:hAnsi="宋体" w:eastAsia="宋体" w:cs="宋体"/>
          <w:color w:val="auto"/>
          <w:szCs w:val="21"/>
          <w:highlight w:val="none"/>
          <w:lang w:val="en-US" w:eastAsia="zh-CN"/>
        </w:rPr>
        <w:t>具备</w:t>
      </w:r>
      <w:r>
        <w:rPr>
          <w:rFonts w:hint="eastAsia" w:ascii="宋体" w:hAnsi="宋体" w:eastAsia="宋体" w:cs="宋体"/>
          <w:color w:val="auto"/>
          <w:szCs w:val="21"/>
          <w:highlight w:val="none"/>
        </w:rPr>
        <w:t>市政公用工程专业二级以上（含二级）注册建造师资格</w:t>
      </w:r>
      <w:r>
        <w:rPr>
          <w:rFonts w:hint="eastAsia" w:ascii="宋体" w:hAnsi="宋体"/>
          <w:color w:val="auto"/>
          <w:highlight w:val="none"/>
        </w:rPr>
        <w:t>，</w:t>
      </w:r>
      <w:r>
        <w:rPr>
          <w:rFonts w:hint="eastAsia" w:ascii="宋体" w:hAnsi="宋体"/>
          <w:color w:val="auto"/>
          <w:highlight w:val="none"/>
          <w:lang w:val="en-US" w:eastAsia="zh-CN"/>
        </w:rPr>
        <w:t>并</w:t>
      </w:r>
      <w:r>
        <w:rPr>
          <w:rFonts w:hint="eastAsia" w:ascii="宋体" w:hAnsi="宋体"/>
          <w:color w:val="auto"/>
          <w:highlight w:val="none"/>
        </w:rPr>
        <w:t>具备有效的安全生产考核合格证书（B类）</w:t>
      </w:r>
    </w:p>
    <w:p w14:paraId="49AB48EC">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4.本项目的特定条件：</w:t>
      </w:r>
      <w:r>
        <w:rPr>
          <w:rFonts w:hint="eastAsia" w:ascii="宋体" w:hAnsi="宋体" w:cs="宋体"/>
          <w:color w:val="auto"/>
          <w:szCs w:val="21"/>
          <w:highlight w:val="none"/>
          <w:lang w:val="en-US" w:eastAsia="zh-CN"/>
        </w:rPr>
        <w:t>无；</w:t>
      </w:r>
    </w:p>
    <w:p w14:paraId="2D89A24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.对在“信用中国”网站</w:t>
      </w:r>
      <w:r>
        <w:rPr>
          <w:rFonts w:hint="eastAsia" w:ascii="宋体" w:hAnsi="宋体" w:cs="宋体"/>
          <w:color w:val="auto"/>
          <w:szCs w:val="21"/>
          <w:highlight w:val="none"/>
          <w:lang w:eastAsia="zh-CN"/>
        </w:rPr>
        <w:t>（</w:t>
      </w:r>
      <w:r>
        <w:rPr>
          <w:rFonts w:hint="eastAsia" w:ascii="宋体" w:hAnsi="宋体" w:cs="宋体"/>
          <w:color w:val="auto"/>
          <w:szCs w:val="21"/>
          <w:highlight w:val="none"/>
        </w:rPr>
        <w:t>www.creditchina.gov.cn</w:t>
      </w:r>
      <w:r>
        <w:rPr>
          <w:rFonts w:hint="eastAsia" w:ascii="宋体" w:hAnsi="宋体" w:cs="宋体"/>
          <w:color w:val="auto"/>
          <w:szCs w:val="21"/>
          <w:highlight w:val="none"/>
          <w:lang w:eastAsia="zh-CN"/>
        </w:rPr>
        <w:t>）</w:t>
      </w:r>
      <w:r>
        <w:rPr>
          <w:rFonts w:hint="eastAsia" w:ascii="宋体" w:hAnsi="宋体" w:cs="宋体"/>
          <w:color w:val="auto"/>
          <w:szCs w:val="21"/>
          <w:highlight w:val="none"/>
        </w:rPr>
        <w:t xml:space="preserve"> 、中国政府采购网</w:t>
      </w:r>
      <w:r>
        <w:rPr>
          <w:rFonts w:hint="eastAsia" w:ascii="宋体" w:hAnsi="宋体" w:cs="宋体"/>
          <w:color w:val="auto"/>
          <w:szCs w:val="21"/>
          <w:highlight w:val="none"/>
          <w:lang w:eastAsia="zh-CN"/>
        </w:rPr>
        <w:t>（</w:t>
      </w:r>
      <w:r>
        <w:rPr>
          <w:rFonts w:hint="eastAsia" w:ascii="宋体" w:hAnsi="宋体" w:cs="宋体"/>
          <w:color w:val="auto"/>
          <w:szCs w:val="21"/>
          <w:highlight w:val="none"/>
        </w:rPr>
        <w:t>www.ccgp.gov.cn</w:t>
      </w:r>
      <w:r>
        <w:rPr>
          <w:rFonts w:hint="eastAsia" w:ascii="宋体" w:hAnsi="宋体" w:cs="宋体"/>
          <w:color w:val="auto"/>
          <w:szCs w:val="21"/>
          <w:highlight w:val="none"/>
          <w:lang w:eastAsia="zh-CN"/>
        </w:rPr>
        <w:t>）</w:t>
      </w:r>
      <w:r>
        <w:rPr>
          <w:rFonts w:hint="eastAsia" w:ascii="宋体" w:hAnsi="宋体" w:cs="宋体"/>
          <w:color w:val="auto"/>
          <w:szCs w:val="21"/>
          <w:highlight w:val="none"/>
        </w:rPr>
        <w:t>被列入失信被执行人、</w:t>
      </w:r>
      <w:r>
        <w:rPr>
          <w:rFonts w:hint="eastAsia" w:ascii="宋体" w:hAnsi="宋体" w:cs="宋体"/>
          <w:color w:val="auto"/>
          <w:szCs w:val="21"/>
          <w:highlight w:val="none"/>
          <w:lang w:eastAsia="zh-CN"/>
        </w:rPr>
        <w:t>重大税收违法失信主体</w:t>
      </w:r>
      <w:r>
        <w:rPr>
          <w:rFonts w:hint="eastAsia" w:ascii="宋体" w:hAnsi="宋体" w:cs="宋体"/>
          <w:color w:val="auto"/>
          <w:szCs w:val="21"/>
          <w:highlight w:val="none"/>
        </w:rPr>
        <w:t>、政府采购严重违法失信行为记录名单及其他不符合《中华人民共和国政府采购法》第二十二条规定条件的供应商，不得参与政府采购活动。</w:t>
      </w:r>
    </w:p>
    <w:p w14:paraId="79248D28">
      <w:pPr>
        <w:keepNext w:val="0"/>
        <w:keepLines w:val="0"/>
        <w:pageBreakBefore w:val="0"/>
        <w:kinsoku/>
        <w:wordWrap/>
        <w:overflowPunct/>
        <w:topLinePunct w:val="0"/>
        <w:autoSpaceDE/>
        <w:autoSpaceDN/>
        <w:bidi w:val="0"/>
        <w:adjustRightInd/>
        <w:spacing w:line="400" w:lineRule="exact"/>
        <w:ind w:firstLine="482" w:firstLineChars="200"/>
        <w:textAlignment w:val="auto"/>
        <w:rPr>
          <w:rFonts w:hint="eastAsia" w:ascii="宋体" w:hAnsi="宋体" w:cs="宋体"/>
          <w:b/>
          <w:bCs/>
          <w:color w:val="auto"/>
          <w:sz w:val="24"/>
          <w:highlight w:val="none"/>
        </w:rPr>
      </w:pPr>
      <w:r>
        <w:rPr>
          <w:rFonts w:hint="eastAsia" w:ascii="宋体" w:hAnsi="宋体" w:cs="宋体"/>
          <w:b/>
          <w:bCs/>
          <w:color w:val="auto"/>
          <w:sz w:val="24"/>
          <w:highlight w:val="none"/>
        </w:rPr>
        <w:t>三、获取竞争性磋商文件</w:t>
      </w:r>
    </w:p>
    <w:p w14:paraId="7711964B">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cs="宋体"/>
          <w:color w:val="auto"/>
          <w:szCs w:val="21"/>
          <w:highlight w:val="none"/>
        </w:rPr>
      </w:pPr>
      <w:bookmarkStart w:id="17" w:name="_Toc28359005"/>
      <w:bookmarkStart w:id="18" w:name="_Toc35393624"/>
      <w:bookmarkStart w:id="19" w:name="_Toc35393793"/>
      <w:bookmarkStart w:id="20" w:name="_Toc28359082"/>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时间：自公告发布之日起至磋商响应文件提交截止时间前</w:t>
      </w:r>
    </w:p>
    <w:p w14:paraId="4AF54249">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地点：“广西政府采购云”平台（https://www.gcy.zfcg.gxzf.gov.cn）</w:t>
      </w:r>
    </w:p>
    <w:p w14:paraId="0D36ECC1">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方式：网上下载。本项目不发放纸质采购文件，潜在供应商可自行在“广西政府采购云平台”（https://www.gcy.zfcg.gxzf.gov.cn）下载采购文件（操作路径：登录“广西政府采购云平台”-项目采购-获取采购文件-找到本项目-点击“申请获取采购文件”），电子响应文件制作需要基于“广西政府采购云平台”（https://www.gcy.zfcg.gxzf.gov.cn）获取的采购文件编制。</w:t>
      </w:r>
    </w:p>
    <w:p w14:paraId="6F00ADCF">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售价：0元。</w:t>
      </w:r>
    </w:p>
    <w:p w14:paraId="38F68B13">
      <w:pPr>
        <w:keepNext w:val="0"/>
        <w:keepLines w:val="0"/>
        <w:pageBreakBefore w:val="0"/>
        <w:kinsoku/>
        <w:wordWrap/>
        <w:overflowPunct/>
        <w:topLinePunct w:val="0"/>
        <w:autoSpaceDE/>
        <w:autoSpaceDN/>
        <w:bidi w:val="0"/>
        <w:adjustRightInd/>
        <w:spacing w:line="400" w:lineRule="exact"/>
        <w:ind w:firstLine="482" w:firstLineChars="200"/>
        <w:textAlignment w:val="auto"/>
        <w:rPr>
          <w:rFonts w:hint="eastAsia" w:ascii="宋体" w:hAnsi="宋体" w:cs="宋体"/>
          <w:b/>
          <w:bCs/>
          <w:color w:val="auto"/>
          <w:sz w:val="24"/>
          <w:highlight w:val="none"/>
        </w:rPr>
      </w:pPr>
      <w:r>
        <w:rPr>
          <w:rFonts w:hint="eastAsia" w:ascii="宋体" w:hAnsi="宋体" w:cs="宋体"/>
          <w:b/>
          <w:bCs/>
          <w:color w:val="auto"/>
          <w:sz w:val="24"/>
          <w:highlight w:val="none"/>
        </w:rPr>
        <w:t>四、</w:t>
      </w:r>
      <w:bookmarkEnd w:id="17"/>
      <w:bookmarkEnd w:id="18"/>
      <w:bookmarkEnd w:id="19"/>
      <w:bookmarkEnd w:id="20"/>
      <w:r>
        <w:rPr>
          <w:rFonts w:hint="eastAsia" w:ascii="宋体" w:hAnsi="宋体" w:cs="宋体"/>
          <w:b/>
          <w:bCs/>
          <w:color w:val="auto"/>
          <w:sz w:val="24"/>
          <w:highlight w:val="none"/>
        </w:rPr>
        <w:t>响应文件提交</w:t>
      </w:r>
    </w:p>
    <w:p w14:paraId="36C17743">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cs="宋体"/>
          <w:color w:val="auto"/>
          <w:szCs w:val="21"/>
          <w:highlight w:val="none"/>
          <w:u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首次响应文件提交截止时间</w:t>
      </w:r>
      <w:r>
        <w:rPr>
          <w:rFonts w:hint="eastAsia" w:ascii="宋体" w:hAnsi="宋体" w:cs="宋体"/>
          <w:bCs/>
          <w:color w:val="auto"/>
          <w:szCs w:val="21"/>
          <w:highlight w:val="none"/>
        </w:rPr>
        <w:t>（北京时间）：</w:t>
      </w:r>
      <w:r>
        <w:rPr>
          <w:rFonts w:hint="eastAsia" w:ascii="宋体" w:hAnsi="宋体" w:cs="宋体"/>
          <w:bCs/>
          <w:color w:val="auto"/>
          <w:szCs w:val="21"/>
          <w:highlight w:val="none"/>
          <w:u w:val="none"/>
          <w:lang w:eastAsia="zh-CN"/>
        </w:rPr>
        <w:t>202</w:t>
      </w:r>
      <w:r>
        <w:rPr>
          <w:rFonts w:hint="eastAsia" w:ascii="宋体" w:hAnsi="宋体" w:cs="宋体"/>
          <w:bCs/>
          <w:color w:val="auto"/>
          <w:szCs w:val="21"/>
          <w:highlight w:val="none"/>
          <w:u w:val="none"/>
          <w:lang w:val="en-US" w:eastAsia="zh-CN"/>
        </w:rPr>
        <w:t>5</w:t>
      </w:r>
      <w:r>
        <w:rPr>
          <w:rFonts w:hint="eastAsia" w:ascii="宋体" w:hAnsi="宋体" w:cs="宋体"/>
          <w:bCs/>
          <w:color w:val="auto"/>
          <w:szCs w:val="21"/>
          <w:highlight w:val="none"/>
          <w:u w:val="none"/>
          <w:lang w:eastAsia="zh-CN"/>
        </w:rPr>
        <w:t>年</w:t>
      </w:r>
      <w:r>
        <w:rPr>
          <w:rFonts w:hint="eastAsia" w:ascii="宋体" w:hAnsi="宋体" w:cs="宋体"/>
          <w:bCs/>
          <w:color w:val="auto"/>
          <w:szCs w:val="21"/>
          <w:highlight w:val="none"/>
          <w:u w:val="none"/>
          <w:lang w:val="en-US" w:eastAsia="zh-CN"/>
        </w:rPr>
        <w:t>05</w:t>
      </w:r>
      <w:r>
        <w:rPr>
          <w:rFonts w:hint="eastAsia" w:ascii="宋体" w:hAnsi="宋体" w:cs="宋体"/>
          <w:bCs/>
          <w:color w:val="auto"/>
          <w:szCs w:val="21"/>
          <w:highlight w:val="none"/>
          <w:u w:val="none"/>
          <w:lang w:eastAsia="zh-CN"/>
        </w:rPr>
        <w:t>月</w:t>
      </w:r>
      <w:r>
        <w:rPr>
          <w:rFonts w:hint="eastAsia" w:ascii="宋体" w:hAnsi="宋体" w:cs="宋体"/>
          <w:bCs/>
          <w:color w:val="auto"/>
          <w:szCs w:val="21"/>
          <w:highlight w:val="none"/>
          <w:u w:val="none"/>
          <w:lang w:val="en-US" w:eastAsia="zh-CN"/>
        </w:rPr>
        <w:t>12</w:t>
      </w:r>
      <w:r>
        <w:rPr>
          <w:rFonts w:hint="eastAsia" w:ascii="宋体" w:hAnsi="宋体" w:cs="宋体"/>
          <w:bCs/>
          <w:color w:val="auto"/>
          <w:szCs w:val="21"/>
          <w:highlight w:val="none"/>
          <w:u w:val="none"/>
          <w:lang w:eastAsia="zh-CN"/>
        </w:rPr>
        <w:t>日</w:t>
      </w:r>
      <w:r>
        <w:rPr>
          <w:rFonts w:hint="eastAsia" w:ascii="宋体" w:hAnsi="宋体" w:cs="宋体"/>
          <w:bCs/>
          <w:color w:val="auto"/>
          <w:szCs w:val="21"/>
          <w:highlight w:val="none"/>
          <w:u w:val="none"/>
          <w:lang w:val="en-US" w:eastAsia="zh-CN"/>
        </w:rPr>
        <w:t>15</w:t>
      </w:r>
      <w:r>
        <w:rPr>
          <w:rFonts w:hint="eastAsia" w:ascii="宋体" w:hAnsi="宋体" w:cs="宋体"/>
          <w:bCs/>
          <w:color w:val="auto"/>
          <w:szCs w:val="21"/>
          <w:highlight w:val="none"/>
          <w:u w:val="none"/>
          <w:lang w:eastAsia="zh-CN"/>
        </w:rPr>
        <w:t>时</w:t>
      </w:r>
      <w:r>
        <w:rPr>
          <w:rFonts w:hint="eastAsia" w:ascii="宋体" w:hAnsi="宋体" w:cs="宋体"/>
          <w:bCs/>
          <w:color w:val="auto"/>
          <w:szCs w:val="21"/>
          <w:highlight w:val="none"/>
          <w:u w:val="none"/>
          <w:lang w:val="en-US" w:eastAsia="zh-CN"/>
        </w:rPr>
        <w:t>00</w:t>
      </w:r>
      <w:r>
        <w:rPr>
          <w:rFonts w:hint="eastAsia" w:ascii="宋体" w:hAnsi="宋体" w:cs="宋体"/>
          <w:bCs/>
          <w:color w:val="auto"/>
          <w:szCs w:val="21"/>
          <w:highlight w:val="none"/>
          <w:u w:val="none"/>
          <w:lang w:eastAsia="zh-CN"/>
        </w:rPr>
        <w:t>分</w:t>
      </w:r>
    </w:p>
    <w:p w14:paraId="3D54C975">
      <w:pPr>
        <w:widowControl/>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首次响应文件提交地点：</w:t>
      </w:r>
    </w:p>
    <w:p w14:paraId="59464634">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文件提交方式：本项目为南宁市全流程电子化项目，通过“广西政府采购云平台”（https://www.gcy.zfcg.gxzf.gov.cn）实行在线电子响应，供应商应先安装“广西政府采购云平台新版客户端”（新版客户端下载路径：广西政府采购网（访问地址http://zfcg.gxzf.gov.cn/）—办事服务—下载专区），并按照本项目采购文件和“广西政府采购云平台”的要求编制、加密后在投标截止时间前通过网络上传至“广西政府采购云平台”，供应商在“广西政府采购云平台”提交电子版响应文件时，请填写参加远程采购活动经办人联系方式，电子响应文件具体操作流程详见本公告附件2。</w:t>
      </w:r>
    </w:p>
    <w:p w14:paraId="588FB394">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未进行网上注册并办理数字证书（CA认证）的供应商将无法参与本项目政府采购活动，潜在供应商应当在投标截止时间前，完成电子交易平台上的CA数字证书办理（申领流程见本公告附件2）及响应文件的提交。完成CA数字证书办理预计7日左右，供应商只需办理其中一家CA数字证书及签章。</w:t>
      </w:r>
    </w:p>
    <w:p w14:paraId="2D9DD0CF">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（3）为确保网上操作合法、有效和安全，请供应商确保在电子响应过程中能够对相关数据电文进行加密和使用电子签章，妥善保管CA数字证书并使用有效的CA数字证书参与整个采购活动。</w:t>
      </w:r>
    </w:p>
    <w:p w14:paraId="3A49E4AC">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供应商应当在首次响应文件提交截止时间前完成电子响应文件的上传、递交，响应文件提交截止时间前可以补充、修改或者撤回响应文件。补充或者修改响应文件的，应当先行撤回原文件，补充、修改后重新上传、递交。响应截止时间前未完成上传、递交的，视为撤回响应文件。响应文件提交截止时间以后上传递交的响应文件的，“广西政府采购云平台”将予以拒收。</w:t>
      </w:r>
    </w:p>
    <w:p w14:paraId="2ED80228">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cs="宋体"/>
          <w:color w:val="auto"/>
          <w:szCs w:val="21"/>
          <w:highlight w:val="none"/>
          <w:u w:val="none"/>
          <w:lang w:val="en-US" w:eastAsia="zh-CN"/>
        </w:rPr>
      </w:pPr>
      <w:r>
        <w:rPr>
          <w:rFonts w:hint="eastAsia" w:ascii="宋体" w:hAnsi="宋体" w:eastAsia="宋体" w:cs="宋体"/>
          <w:color w:val="auto"/>
          <w:szCs w:val="21"/>
          <w:highlight w:val="none"/>
        </w:rPr>
        <w:t>3、CA证书在线解密：</w:t>
      </w:r>
      <w:r>
        <w:rPr>
          <w:rFonts w:hint="eastAsia" w:ascii="宋体" w:hAnsi="宋体" w:eastAsia="宋体" w:cs="宋体"/>
          <w:b/>
          <w:bCs/>
          <w:color w:val="auto"/>
          <w:szCs w:val="21"/>
          <w:highlight w:val="none"/>
        </w:rPr>
        <w:t>首次响应文件开启时，须要供应商携带制作响应文件时用来加密的有效数字证书（CA认证）登录“广西政府采购云平台”电子开标大厅现场按规定时间对加密的响应文件进行解密，未能按要求进行解密的，由此产生的后果由投标人自行承担。</w:t>
      </w:r>
    </w:p>
    <w:p w14:paraId="2323365F">
      <w:pPr>
        <w:snapToGrid w:val="0"/>
        <w:spacing w:line="440" w:lineRule="exact"/>
        <w:ind w:firstLine="420" w:firstLineChars="200"/>
        <w:rPr>
          <w:rFonts w:ascii="宋体" w:hAnsi="宋体" w:cs="宋体"/>
          <w:color w:val="auto"/>
          <w:kern w:val="0"/>
          <w:szCs w:val="21"/>
          <w:highlight w:val="none"/>
        </w:rPr>
      </w:pPr>
      <w:r>
        <w:rPr>
          <w:rFonts w:hint="eastAsia" w:ascii="宋体" w:hAnsi="宋体" w:eastAsia="宋体" w:cs="宋体"/>
          <w:color w:val="auto"/>
          <w:kern w:val="0"/>
          <w:szCs w:val="21"/>
          <w:highlight w:val="none"/>
        </w:rPr>
        <w:t>4、供应商需要在具备有摄像头及语音功能且互联网网络状况良好的电脑登录“广西政府采购云平台”远程开标大厅参与本次磋商，否则后果自负</w:t>
      </w:r>
      <w:r>
        <w:rPr>
          <w:rFonts w:hint="eastAsia" w:ascii="宋体" w:hAnsi="宋体" w:cs="宋体"/>
          <w:color w:val="auto"/>
          <w:kern w:val="0"/>
          <w:szCs w:val="21"/>
          <w:highlight w:val="none"/>
        </w:rPr>
        <w:t>。</w:t>
      </w:r>
    </w:p>
    <w:p w14:paraId="5AD02F05">
      <w:pPr>
        <w:keepNext w:val="0"/>
        <w:keepLines w:val="0"/>
        <w:pageBreakBefore w:val="0"/>
        <w:kinsoku/>
        <w:wordWrap/>
        <w:overflowPunct/>
        <w:topLinePunct w:val="0"/>
        <w:autoSpaceDE/>
        <w:autoSpaceDN/>
        <w:bidi w:val="0"/>
        <w:adjustRightInd/>
        <w:spacing w:line="400" w:lineRule="exact"/>
        <w:ind w:firstLine="482" w:firstLineChars="200"/>
        <w:textAlignment w:val="auto"/>
        <w:rPr>
          <w:rFonts w:hint="eastAsia" w:ascii="宋体" w:hAnsi="宋体" w:cs="宋体"/>
          <w:b/>
          <w:bCs/>
          <w:color w:val="auto"/>
          <w:sz w:val="24"/>
          <w:highlight w:val="none"/>
        </w:rPr>
      </w:pPr>
      <w:r>
        <w:rPr>
          <w:rFonts w:hint="eastAsia" w:ascii="宋体" w:hAnsi="宋体" w:cs="宋体"/>
          <w:b/>
          <w:bCs/>
          <w:color w:val="auto"/>
          <w:sz w:val="24"/>
          <w:highlight w:val="none"/>
        </w:rPr>
        <w:t>五、开启（首次响应文件开启时间）</w:t>
      </w:r>
    </w:p>
    <w:p w14:paraId="00105C8C">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cs="宋体"/>
          <w:bCs/>
          <w:color w:val="auto"/>
          <w:szCs w:val="21"/>
          <w:highlight w:val="none"/>
          <w:u w:val="single"/>
        </w:rPr>
      </w:pPr>
      <w:r>
        <w:rPr>
          <w:rFonts w:hint="eastAsia" w:ascii="宋体" w:hAnsi="宋体" w:cs="宋体"/>
          <w:color w:val="auto"/>
          <w:szCs w:val="21"/>
          <w:highlight w:val="none"/>
        </w:rPr>
        <w:t>1.时间</w:t>
      </w:r>
      <w:r>
        <w:rPr>
          <w:rFonts w:hint="eastAsia" w:ascii="宋体" w:hAnsi="宋体" w:cs="宋体"/>
          <w:bCs/>
          <w:color w:val="auto"/>
          <w:szCs w:val="21"/>
          <w:highlight w:val="none"/>
        </w:rPr>
        <w:t>（北京时间）</w:t>
      </w:r>
      <w:r>
        <w:rPr>
          <w:rFonts w:hint="eastAsia" w:ascii="宋体" w:hAnsi="宋体" w:cs="宋体"/>
          <w:color w:val="auto"/>
          <w:szCs w:val="21"/>
          <w:highlight w:val="none"/>
        </w:rPr>
        <w:t>：</w:t>
      </w:r>
      <w:r>
        <w:rPr>
          <w:rFonts w:hint="eastAsia" w:ascii="宋体" w:hAnsi="宋体" w:cs="宋体"/>
          <w:bCs/>
          <w:color w:val="auto"/>
          <w:szCs w:val="21"/>
          <w:highlight w:val="none"/>
          <w:u w:val="single"/>
          <w:lang w:eastAsia="zh-CN"/>
        </w:rPr>
        <w:t>202</w:t>
      </w:r>
      <w:r>
        <w:rPr>
          <w:rFonts w:hint="eastAsia" w:ascii="宋体" w:hAnsi="宋体" w:cs="宋体"/>
          <w:bCs/>
          <w:color w:val="auto"/>
          <w:szCs w:val="21"/>
          <w:highlight w:val="none"/>
          <w:u w:val="single"/>
          <w:lang w:val="en-US" w:eastAsia="zh-CN"/>
        </w:rPr>
        <w:t>5</w:t>
      </w:r>
      <w:r>
        <w:rPr>
          <w:rFonts w:hint="eastAsia" w:ascii="宋体" w:hAnsi="宋体" w:cs="宋体"/>
          <w:bCs/>
          <w:color w:val="auto"/>
          <w:szCs w:val="21"/>
          <w:highlight w:val="none"/>
          <w:u w:val="single"/>
          <w:lang w:eastAsia="zh-CN"/>
        </w:rPr>
        <w:t>年</w:t>
      </w:r>
      <w:r>
        <w:rPr>
          <w:rFonts w:hint="eastAsia" w:ascii="宋体" w:hAnsi="宋体" w:cs="宋体"/>
          <w:bCs/>
          <w:color w:val="auto"/>
          <w:szCs w:val="21"/>
          <w:highlight w:val="none"/>
          <w:u w:val="single"/>
          <w:lang w:val="en-US" w:eastAsia="zh-CN"/>
        </w:rPr>
        <w:t>05</w:t>
      </w:r>
      <w:r>
        <w:rPr>
          <w:rFonts w:hint="eastAsia" w:ascii="宋体" w:hAnsi="宋体" w:cs="宋体"/>
          <w:bCs/>
          <w:color w:val="auto"/>
          <w:szCs w:val="21"/>
          <w:highlight w:val="none"/>
          <w:u w:val="single"/>
          <w:lang w:eastAsia="zh-CN"/>
        </w:rPr>
        <w:t>月</w:t>
      </w:r>
      <w:r>
        <w:rPr>
          <w:rFonts w:hint="eastAsia" w:ascii="宋体" w:hAnsi="宋体" w:cs="宋体"/>
          <w:bCs/>
          <w:color w:val="auto"/>
          <w:szCs w:val="21"/>
          <w:highlight w:val="none"/>
          <w:u w:val="single"/>
          <w:lang w:val="en-US" w:eastAsia="zh-CN"/>
        </w:rPr>
        <w:t>12</w:t>
      </w:r>
      <w:r>
        <w:rPr>
          <w:rFonts w:hint="eastAsia" w:ascii="宋体" w:hAnsi="宋体" w:cs="宋体"/>
          <w:bCs/>
          <w:color w:val="auto"/>
          <w:szCs w:val="21"/>
          <w:highlight w:val="none"/>
          <w:u w:val="single"/>
          <w:lang w:eastAsia="zh-CN"/>
        </w:rPr>
        <w:t>日</w:t>
      </w:r>
      <w:r>
        <w:rPr>
          <w:rFonts w:hint="eastAsia" w:ascii="宋体" w:hAnsi="宋体" w:cs="宋体"/>
          <w:bCs/>
          <w:color w:val="auto"/>
          <w:szCs w:val="21"/>
          <w:highlight w:val="none"/>
          <w:u w:val="single"/>
          <w:lang w:val="en-US" w:eastAsia="zh-CN"/>
        </w:rPr>
        <w:t>15</w:t>
      </w:r>
      <w:r>
        <w:rPr>
          <w:rFonts w:hint="eastAsia" w:ascii="宋体" w:hAnsi="宋体" w:cs="宋体"/>
          <w:bCs/>
          <w:color w:val="auto"/>
          <w:szCs w:val="21"/>
          <w:highlight w:val="none"/>
          <w:u w:val="single"/>
          <w:lang w:eastAsia="zh-CN"/>
        </w:rPr>
        <w:t>时</w:t>
      </w:r>
      <w:r>
        <w:rPr>
          <w:rFonts w:hint="eastAsia" w:ascii="宋体" w:hAnsi="宋体" w:cs="宋体"/>
          <w:bCs/>
          <w:color w:val="auto"/>
          <w:szCs w:val="21"/>
          <w:highlight w:val="none"/>
          <w:u w:val="single"/>
          <w:lang w:val="en-US" w:eastAsia="zh-CN"/>
        </w:rPr>
        <w:t>00</w:t>
      </w:r>
      <w:r>
        <w:rPr>
          <w:rFonts w:hint="eastAsia" w:ascii="宋体" w:hAnsi="宋体" w:cs="宋体"/>
          <w:bCs/>
          <w:color w:val="auto"/>
          <w:szCs w:val="21"/>
          <w:highlight w:val="none"/>
          <w:u w:val="single"/>
          <w:lang w:eastAsia="zh-CN"/>
        </w:rPr>
        <w:t>分</w:t>
      </w:r>
      <w:r>
        <w:rPr>
          <w:rFonts w:hint="eastAsia" w:ascii="宋体" w:hAnsi="宋体" w:cs="宋体"/>
          <w:color w:val="auto"/>
          <w:szCs w:val="21"/>
          <w:highlight w:val="none"/>
        </w:rPr>
        <w:t>后</w:t>
      </w:r>
    </w:p>
    <w:p w14:paraId="62D94DAA">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cs="宋体"/>
          <w:bCs/>
          <w:color w:val="auto"/>
          <w:szCs w:val="21"/>
          <w:highlight w:val="none"/>
          <w:u w:val="single"/>
        </w:rPr>
      </w:pPr>
      <w:r>
        <w:rPr>
          <w:rFonts w:hint="eastAsia" w:ascii="宋体" w:hAnsi="宋体" w:cs="宋体"/>
          <w:color w:val="auto"/>
          <w:szCs w:val="21"/>
          <w:highlight w:val="none"/>
        </w:rPr>
        <w:t>2.地点：</w:t>
      </w:r>
      <w:r>
        <w:rPr>
          <w:rFonts w:hint="eastAsia" w:ascii="宋体" w:hAnsi="宋体" w:eastAsia="宋体" w:cs="Times New Roman"/>
          <w:color w:val="auto"/>
          <w:szCs w:val="21"/>
          <w:highlight w:val="none"/>
          <w:u w:val="single"/>
          <w:lang w:eastAsia="zh-CN"/>
        </w:rPr>
        <w:t>广西政</w:t>
      </w:r>
      <w:r>
        <w:rPr>
          <w:rFonts w:hint="eastAsia" w:ascii="宋体" w:hAnsi="宋体" w:eastAsia="宋体" w:cs="Times New Roman"/>
          <w:color w:val="auto"/>
          <w:szCs w:val="21"/>
          <w:highlight w:val="none"/>
          <w:u w:val="single"/>
        </w:rPr>
        <w:t>府采购云平台开标大厅</w:t>
      </w:r>
    </w:p>
    <w:p w14:paraId="62855837">
      <w:pPr>
        <w:keepNext w:val="0"/>
        <w:keepLines w:val="0"/>
        <w:pageBreakBefore w:val="0"/>
        <w:kinsoku/>
        <w:wordWrap/>
        <w:overflowPunct/>
        <w:topLinePunct w:val="0"/>
        <w:autoSpaceDE/>
        <w:autoSpaceDN/>
        <w:bidi w:val="0"/>
        <w:adjustRightInd/>
        <w:spacing w:line="400" w:lineRule="exact"/>
        <w:ind w:firstLine="482" w:firstLineChars="200"/>
        <w:textAlignment w:val="auto"/>
        <w:rPr>
          <w:rFonts w:hint="eastAsia" w:ascii="宋体" w:hAnsi="宋体" w:cs="宋体"/>
          <w:b/>
          <w:bCs/>
          <w:color w:val="auto"/>
          <w:sz w:val="24"/>
          <w:highlight w:val="none"/>
        </w:rPr>
      </w:pPr>
      <w:bookmarkStart w:id="21" w:name="_Toc35393794"/>
      <w:bookmarkStart w:id="22" w:name="_Toc35393625"/>
      <w:bookmarkStart w:id="23" w:name="_Toc28359084"/>
      <w:bookmarkStart w:id="24" w:name="_Toc28359007"/>
      <w:r>
        <w:rPr>
          <w:rFonts w:hint="eastAsia" w:ascii="宋体" w:hAnsi="宋体" w:cs="宋体"/>
          <w:b/>
          <w:bCs/>
          <w:color w:val="auto"/>
          <w:sz w:val="24"/>
          <w:highlight w:val="none"/>
        </w:rPr>
        <w:t>六、公告期限</w:t>
      </w:r>
      <w:bookmarkEnd w:id="21"/>
      <w:bookmarkEnd w:id="22"/>
      <w:bookmarkEnd w:id="23"/>
      <w:bookmarkEnd w:id="24"/>
    </w:p>
    <w:p w14:paraId="376B29E6">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自本公告发布之日起</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个工作日。</w:t>
      </w:r>
      <w:bookmarkStart w:id="1289" w:name="_GoBack"/>
      <w:bookmarkEnd w:id="1289"/>
    </w:p>
    <w:p w14:paraId="341F69A0">
      <w:pPr>
        <w:keepNext w:val="0"/>
        <w:keepLines w:val="0"/>
        <w:pageBreakBefore w:val="0"/>
        <w:kinsoku/>
        <w:wordWrap/>
        <w:overflowPunct/>
        <w:topLinePunct w:val="0"/>
        <w:autoSpaceDE/>
        <w:autoSpaceDN/>
        <w:bidi w:val="0"/>
        <w:adjustRightInd/>
        <w:spacing w:line="400" w:lineRule="exact"/>
        <w:ind w:firstLine="482" w:firstLineChars="200"/>
        <w:textAlignment w:val="auto"/>
        <w:rPr>
          <w:rFonts w:hint="eastAsia" w:ascii="宋体" w:hAnsi="宋体" w:cs="宋体"/>
          <w:b/>
          <w:bCs/>
          <w:color w:val="auto"/>
          <w:sz w:val="24"/>
          <w:highlight w:val="none"/>
        </w:rPr>
      </w:pPr>
      <w:bookmarkStart w:id="25" w:name="_Toc35393626"/>
      <w:bookmarkStart w:id="26" w:name="_Toc35393795"/>
      <w:r>
        <w:rPr>
          <w:rFonts w:hint="eastAsia" w:ascii="宋体" w:hAnsi="宋体" w:cs="宋体"/>
          <w:b/>
          <w:bCs/>
          <w:color w:val="auto"/>
          <w:sz w:val="24"/>
          <w:highlight w:val="none"/>
        </w:rPr>
        <w:t>七、其他补充事宜</w:t>
      </w:r>
      <w:bookmarkEnd w:id="25"/>
      <w:bookmarkEnd w:id="26"/>
    </w:p>
    <w:p w14:paraId="4E7944B3">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1.磋商保证金：本项目不收取磋商保证金</w:t>
      </w:r>
    </w:p>
    <w:p w14:paraId="677B7053">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2.采购意向公开链接：</w:t>
      </w:r>
    </w:p>
    <w:p w14:paraId="6FD99D16">
      <w:pPr>
        <w:keepNext w:val="0"/>
        <w:keepLines w:val="0"/>
        <w:pageBreakBefore w:val="0"/>
        <w:kinsoku/>
        <w:wordWrap/>
        <w:overflowPunct/>
        <w:topLinePunct w:val="0"/>
        <w:autoSpaceDE/>
        <w:autoSpaceDN/>
        <w:bidi w:val="0"/>
        <w:adjustRightInd/>
        <w:spacing w:line="400" w:lineRule="exact"/>
        <w:ind w:left="420" w:leftChars="200"/>
        <w:textAlignment w:val="auto"/>
        <w:rPr>
          <w:rFonts w:hint="eastAsia" w:ascii="宋体" w:hAnsi="宋体" w:cs="宋体"/>
          <w:color w:val="auto"/>
          <w:kern w:val="0"/>
          <w:szCs w:val="21"/>
          <w:highlight w:val="none"/>
        </w:rPr>
      </w:pPr>
      <w:bookmarkStart w:id="27" w:name="_Hlk37429585"/>
      <w:r>
        <w:rPr>
          <w:rFonts w:hint="eastAsia" w:ascii="宋体" w:hAnsi="宋体" w:cs="宋体"/>
          <w:color w:val="auto"/>
          <w:kern w:val="0"/>
          <w:szCs w:val="21"/>
          <w:highlight w:val="none"/>
        </w:rPr>
        <w:fldChar w:fldCharType="begin"/>
      </w:r>
      <w:r>
        <w:rPr>
          <w:rFonts w:hint="eastAsia" w:ascii="宋体" w:hAnsi="宋体" w:cs="宋体"/>
          <w:color w:val="auto"/>
          <w:kern w:val="0"/>
          <w:szCs w:val="21"/>
          <w:highlight w:val="none"/>
        </w:rPr>
        <w:instrText xml:space="preserve"> HYPERLINK "http://www.ccgp-guangxi.gov.cn/site/detail?categoryCode=reformColumn&amp;parentId=66601&amp;articleId=5jKHNyrDzpZ2XbAv8KSc6A==" </w:instrText>
      </w:r>
      <w:r>
        <w:rPr>
          <w:rFonts w:hint="eastAsia" w:ascii="宋体" w:hAnsi="宋体" w:cs="宋体"/>
          <w:color w:val="auto"/>
          <w:kern w:val="0"/>
          <w:szCs w:val="21"/>
          <w:highlight w:val="none"/>
        </w:rPr>
        <w:fldChar w:fldCharType="separate"/>
      </w:r>
      <w:r>
        <w:rPr>
          <w:rStyle w:val="25"/>
          <w:rFonts w:hint="eastAsia" w:ascii="宋体" w:hAnsi="宋体" w:cs="宋体"/>
          <w:color w:val="auto"/>
          <w:kern w:val="0"/>
          <w:szCs w:val="21"/>
          <w:highlight w:val="none"/>
        </w:rPr>
        <w:t>http://www.ccgp-guangxi.gov.cn/site/detail?categoryCode=reformColumn&amp;parentId=66601&amp;articleId=5jKHNyrDzpZ2XbAv8KSc6A==</w:t>
      </w:r>
      <w:r>
        <w:rPr>
          <w:rFonts w:hint="eastAsia" w:ascii="宋体" w:hAnsi="宋体" w:cs="宋体"/>
          <w:color w:val="auto"/>
          <w:kern w:val="0"/>
          <w:szCs w:val="21"/>
          <w:highlight w:val="none"/>
        </w:rPr>
        <w:fldChar w:fldCharType="end"/>
      </w:r>
    </w:p>
    <w:p w14:paraId="3EBD7FE1">
      <w:pPr>
        <w:keepNext w:val="0"/>
        <w:keepLines w:val="0"/>
        <w:pageBreakBefore w:val="0"/>
        <w:kinsoku/>
        <w:wordWrap/>
        <w:overflowPunct/>
        <w:topLinePunct w:val="0"/>
        <w:autoSpaceDE/>
        <w:autoSpaceDN/>
        <w:bidi w:val="0"/>
        <w:adjustRightInd/>
        <w:spacing w:line="400" w:lineRule="exact"/>
        <w:ind w:left="420" w:leftChars="200"/>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3.</w:t>
      </w:r>
      <w:bookmarkStart w:id="28" w:name="_Hlk37429595"/>
      <w:r>
        <w:rPr>
          <w:rFonts w:hint="eastAsia" w:ascii="宋体" w:hAnsi="宋体" w:cs="宋体"/>
          <w:color w:val="auto"/>
          <w:kern w:val="0"/>
          <w:szCs w:val="21"/>
          <w:highlight w:val="none"/>
        </w:rPr>
        <w:t>网上查询地址</w:t>
      </w:r>
    </w:p>
    <w:bookmarkEnd w:id="27"/>
    <w:bookmarkEnd w:id="28"/>
    <w:p w14:paraId="329C116D">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cs="宋体"/>
          <w:color w:val="auto"/>
          <w:kern w:val="0"/>
          <w:szCs w:val="21"/>
          <w:highlight w:val="none"/>
        </w:rPr>
      </w:pPr>
      <w:bookmarkStart w:id="29" w:name="_Hlk37429674"/>
      <w:r>
        <w:rPr>
          <w:rFonts w:hint="eastAsia" w:ascii="宋体" w:hAnsi="宋体" w:cs="宋体"/>
          <w:color w:val="auto"/>
          <w:kern w:val="0"/>
          <w:szCs w:val="21"/>
          <w:highlight w:val="none"/>
        </w:rPr>
        <w:t>http://www.ccgp.gov.cn/（中国政府采购网）、https://zfcg.gxzf.gov.cn/ (广西壮族自治区政府采购网)、http://ggzy.jgswj.gxzf.gov.cn/nnggzy/（全国公共资源交易平台·南宁）。</w:t>
      </w:r>
    </w:p>
    <w:p w14:paraId="2E59DE94">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4</w:t>
      </w:r>
      <w:r>
        <w:rPr>
          <w:rFonts w:hint="eastAsia" w:ascii="宋体" w:hAnsi="宋体" w:cs="宋体"/>
          <w:color w:val="auto"/>
          <w:szCs w:val="21"/>
          <w:highlight w:val="none"/>
        </w:rPr>
        <w:t xml:space="preserve">. </w:t>
      </w:r>
      <w:r>
        <w:rPr>
          <w:rFonts w:hint="eastAsia" w:ascii="宋体" w:hAnsi="宋体" w:cs="宋体"/>
          <w:color w:val="auto"/>
          <w:kern w:val="0"/>
          <w:szCs w:val="21"/>
          <w:highlight w:val="none"/>
        </w:rPr>
        <w:t>本项目需要落实的政府采购政策</w:t>
      </w:r>
    </w:p>
    <w:p w14:paraId="154D979E">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（1）政府采购促进中小企业发展。</w:t>
      </w:r>
    </w:p>
    <w:p w14:paraId="64150AE1">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（2）政府采购支持采用本国产品的政策。</w:t>
      </w:r>
    </w:p>
    <w:p w14:paraId="4A906ACA">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）政府采购促进残疾人就业政策。</w:t>
      </w:r>
    </w:p>
    <w:p w14:paraId="1879F847">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）政府采购支持监狱企业发展。</w:t>
      </w:r>
      <w:bookmarkEnd w:id="29"/>
    </w:p>
    <w:p w14:paraId="6DBCC9C1">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cs="宋体"/>
          <w:color w:val="auto"/>
          <w:kern w:val="0"/>
          <w:szCs w:val="21"/>
          <w:highlight w:val="none"/>
        </w:rPr>
      </w:pPr>
      <w:r>
        <w:rPr>
          <w:rFonts w:hint="eastAsia" w:ascii="宋体" w:hAnsi="宋体" w:cs="宋体"/>
          <w:color w:val="auto"/>
          <w:szCs w:val="21"/>
          <w:highlight w:val="none"/>
        </w:rPr>
        <w:t>5.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1F913CD4">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6</w:t>
      </w:r>
      <w:r>
        <w:rPr>
          <w:rFonts w:hint="eastAsia" w:ascii="宋体" w:hAnsi="宋体" w:cs="宋体"/>
          <w:color w:val="auto"/>
          <w:kern w:val="0"/>
          <w:szCs w:val="21"/>
          <w:highlight w:val="none"/>
        </w:rPr>
        <w:t>.供应商认为采购文件使自己的权益受到损害的，可以自获取采购文件之日或者采购文件公告期限届满之日（公告期限届满后获取采购文件的，以公告期限届满之日为准）起7个工作日内以书面形式一次性向采购人和采购代理机构提出同一环节的质疑。否则，逾期的质疑采购人及招标代理机构可不予接受。质疑供应商对采购人、采购代理机构的答复不满意或者采购人、采购代理机构未在规定的时间内作出答复的，可以在答复期满后十五个工作日内向同级政府采购监督管理部门投诉。</w:t>
      </w:r>
    </w:p>
    <w:p w14:paraId="68B2BD20">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7</w:t>
      </w:r>
      <w:r>
        <w:rPr>
          <w:rFonts w:hint="eastAsia" w:ascii="宋体" w:hAnsi="宋体" w:cs="宋体"/>
          <w:color w:val="auto"/>
          <w:kern w:val="0"/>
          <w:szCs w:val="21"/>
          <w:highlight w:val="none"/>
        </w:rPr>
        <w:t xml:space="preserve">. 若对项目采购电子交易系统操作有疑问，可登录“广西政府采购云平台”https://www.gcy.zfcg.gxzf.gov.cn），点击右侧咨询小采，获取采小蜜智能服务管家帮助，或拨打广西政府采购云平台服务热线95763获取热线服务帮助。 </w:t>
      </w:r>
    </w:p>
    <w:p w14:paraId="29E0F58C">
      <w:pPr>
        <w:keepNext w:val="0"/>
        <w:keepLines w:val="0"/>
        <w:pageBreakBefore w:val="0"/>
        <w:kinsoku/>
        <w:wordWrap/>
        <w:overflowPunct/>
        <w:topLinePunct w:val="0"/>
        <w:autoSpaceDE/>
        <w:autoSpaceDN/>
        <w:bidi w:val="0"/>
        <w:adjustRightInd/>
        <w:spacing w:line="400" w:lineRule="exact"/>
        <w:ind w:firstLine="482" w:firstLineChars="200"/>
        <w:textAlignment w:val="auto"/>
        <w:rPr>
          <w:rFonts w:hint="eastAsia" w:ascii="宋体" w:hAnsi="宋体" w:cs="宋体"/>
          <w:bCs/>
          <w:color w:val="auto"/>
          <w:sz w:val="24"/>
          <w:highlight w:val="none"/>
        </w:rPr>
      </w:pPr>
      <w:r>
        <w:rPr>
          <w:rFonts w:hint="eastAsia" w:ascii="宋体" w:hAnsi="宋体" w:cs="宋体"/>
          <w:b/>
          <w:color w:val="auto"/>
          <w:kern w:val="44"/>
          <w:sz w:val="24"/>
          <w:highlight w:val="none"/>
        </w:rPr>
        <w:t>八、凡对本次采购提出询问，请按以下方式联系</w:t>
      </w:r>
    </w:p>
    <w:p w14:paraId="54A5C628">
      <w:pPr>
        <w:keepNext w:val="0"/>
        <w:keepLines w:val="0"/>
        <w:pageBreakBefore w:val="0"/>
        <w:kinsoku/>
        <w:wordWrap/>
        <w:overflowPunct/>
        <w:topLinePunct w:val="0"/>
        <w:autoSpaceDE/>
        <w:autoSpaceDN/>
        <w:bidi w:val="0"/>
        <w:adjustRightInd/>
        <w:spacing w:line="400" w:lineRule="exact"/>
        <w:ind w:firstLine="420" w:firstLineChars="200"/>
        <w:jc w:val="left"/>
        <w:textAlignment w:val="auto"/>
        <w:rPr>
          <w:rFonts w:hint="eastAsia" w:ascii="宋体" w:hAnsi="宋体" w:cs="宋体"/>
          <w:color w:val="auto"/>
          <w:szCs w:val="21"/>
          <w:highlight w:val="none"/>
          <w:u w:val="none"/>
        </w:rPr>
      </w:pPr>
      <w:r>
        <w:rPr>
          <w:rFonts w:hint="eastAsia" w:ascii="宋体" w:hAnsi="宋体" w:cs="宋体"/>
          <w:color w:val="auto"/>
          <w:szCs w:val="21"/>
          <w:highlight w:val="none"/>
          <w:u w:val="none"/>
        </w:rPr>
        <w:t>1.采购人信息</w:t>
      </w:r>
    </w:p>
    <w:p w14:paraId="59E4B7DE">
      <w:pPr>
        <w:keepNext w:val="0"/>
        <w:keepLines w:val="0"/>
        <w:pageBreakBefore w:val="0"/>
        <w:kinsoku/>
        <w:wordWrap/>
        <w:overflowPunct/>
        <w:topLinePunct w:val="0"/>
        <w:autoSpaceDE/>
        <w:autoSpaceDN/>
        <w:bidi w:val="0"/>
        <w:adjustRightInd/>
        <w:spacing w:line="400" w:lineRule="exact"/>
        <w:ind w:firstLine="420" w:firstLineChars="200"/>
        <w:jc w:val="left"/>
        <w:textAlignment w:val="auto"/>
        <w:rPr>
          <w:rFonts w:hint="eastAsia" w:ascii="宋体" w:hAnsi="宋体" w:eastAsia="宋体" w:cs="宋体"/>
          <w:color w:val="auto"/>
          <w:szCs w:val="21"/>
          <w:highlight w:val="none"/>
          <w:u w:val="none"/>
          <w:lang w:eastAsia="zh-CN"/>
        </w:rPr>
      </w:pPr>
      <w:r>
        <w:rPr>
          <w:rFonts w:hint="eastAsia" w:ascii="宋体" w:hAnsi="宋体" w:cs="宋体"/>
          <w:color w:val="auto"/>
          <w:szCs w:val="21"/>
          <w:highlight w:val="none"/>
          <w:u w:val="none"/>
        </w:rPr>
        <w:t>名 称：</w:t>
      </w:r>
      <w:r>
        <w:rPr>
          <w:rFonts w:hint="eastAsia" w:ascii="宋体" w:hAnsi="宋体"/>
          <w:color w:val="auto"/>
          <w:szCs w:val="21"/>
          <w:highlight w:val="none"/>
          <w:lang w:eastAsia="zh-CN"/>
        </w:rPr>
        <w:t>横州市马岭镇人民政府</w:t>
      </w:r>
    </w:p>
    <w:p w14:paraId="594C601D">
      <w:pPr>
        <w:keepNext w:val="0"/>
        <w:keepLines w:val="0"/>
        <w:pageBreakBefore w:val="0"/>
        <w:kinsoku/>
        <w:wordWrap/>
        <w:overflowPunct/>
        <w:topLinePunct w:val="0"/>
        <w:autoSpaceDE/>
        <w:autoSpaceDN/>
        <w:bidi w:val="0"/>
        <w:adjustRightInd/>
        <w:spacing w:line="400" w:lineRule="exact"/>
        <w:ind w:firstLine="420" w:firstLineChars="200"/>
        <w:jc w:val="left"/>
        <w:textAlignment w:val="auto"/>
        <w:rPr>
          <w:rFonts w:hint="eastAsia" w:ascii="宋体" w:hAnsi="宋体" w:eastAsia="宋体" w:cs="宋体"/>
          <w:color w:val="auto"/>
          <w:szCs w:val="21"/>
          <w:highlight w:val="none"/>
          <w:u w:val="none"/>
          <w:lang w:eastAsia="zh-CN"/>
        </w:rPr>
      </w:pPr>
      <w:r>
        <w:rPr>
          <w:rFonts w:hint="eastAsia" w:ascii="宋体" w:hAnsi="宋体" w:cs="宋体"/>
          <w:color w:val="auto"/>
          <w:szCs w:val="21"/>
          <w:highlight w:val="none"/>
          <w:u w:val="none"/>
        </w:rPr>
        <w:t>地址：横州市马岭镇城西区251号</w:t>
      </w:r>
      <w:r>
        <w:rPr>
          <w:rFonts w:hint="eastAsia" w:ascii="宋体" w:hAnsi="宋体"/>
          <w:color w:val="auto"/>
          <w:szCs w:val="21"/>
          <w:highlight w:val="none"/>
        </w:rPr>
        <w:t xml:space="preserve"> </w:t>
      </w:r>
    </w:p>
    <w:p w14:paraId="4D551D19">
      <w:pPr>
        <w:keepNext w:val="0"/>
        <w:keepLines w:val="0"/>
        <w:pageBreakBefore w:val="0"/>
        <w:kinsoku/>
        <w:wordWrap/>
        <w:overflowPunct/>
        <w:topLinePunct w:val="0"/>
        <w:autoSpaceDE/>
        <w:autoSpaceDN/>
        <w:bidi w:val="0"/>
        <w:adjustRightInd/>
        <w:spacing w:line="400" w:lineRule="exact"/>
        <w:ind w:firstLine="420" w:firstLineChars="200"/>
        <w:jc w:val="left"/>
        <w:textAlignment w:val="auto"/>
        <w:rPr>
          <w:rFonts w:hint="eastAsia" w:ascii="宋体" w:hAnsi="宋体" w:eastAsia="宋体" w:cs="宋体"/>
          <w:color w:val="auto"/>
          <w:szCs w:val="21"/>
          <w:highlight w:val="none"/>
          <w:u w:val="none"/>
          <w:lang w:val="en-US" w:eastAsia="zh-CN"/>
        </w:rPr>
      </w:pPr>
      <w:r>
        <w:rPr>
          <w:rFonts w:hint="eastAsia" w:ascii="宋体" w:hAnsi="宋体" w:eastAsia="宋体" w:cs="宋体"/>
          <w:color w:val="auto"/>
          <w:szCs w:val="21"/>
          <w:highlight w:val="none"/>
          <w:u w:val="none"/>
          <w:lang w:val="en-US" w:eastAsia="zh-CN"/>
        </w:rPr>
        <w:t>项目联系人：</w:t>
      </w:r>
      <w:r>
        <w:rPr>
          <w:rFonts w:hint="eastAsia" w:ascii="宋体" w:hAnsi="宋体" w:cs="宋体"/>
          <w:color w:val="auto"/>
          <w:szCs w:val="21"/>
          <w:highlight w:val="none"/>
          <w:u w:val="none"/>
          <w:lang w:val="en-US" w:eastAsia="zh-CN"/>
        </w:rPr>
        <w:t>覃家治</w:t>
      </w:r>
      <w:r>
        <w:rPr>
          <w:rFonts w:hint="eastAsia" w:ascii="宋体" w:hAnsi="宋体" w:eastAsia="宋体" w:cs="宋体"/>
          <w:color w:val="auto"/>
          <w:szCs w:val="21"/>
          <w:highlight w:val="none"/>
          <w:u w:val="none"/>
          <w:lang w:val="en-US" w:eastAsia="zh-CN"/>
        </w:rPr>
        <w:t xml:space="preserve"> </w:t>
      </w:r>
    </w:p>
    <w:p w14:paraId="37687C7F">
      <w:pPr>
        <w:keepNext w:val="0"/>
        <w:keepLines w:val="0"/>
        <w:pageBreakBefore w:val="0"/>
        <w:kinsoku/>
        <w:wordWrap/>
        <w:overflowPunct/>
        <w:topLinePunct w:val="0"/>
        <w:autoSpaceDE/>
        <w:autoSpaceDN/>
        <w:bidi w:val="0"/>
        <w:adjustRightInd/>
        <w:spacing w:line="400" w:lineRule="exact"/>
        <w:ind w:firstLine="420" w:firstLineChars="200"/>
        <w:jc w:val="left"/>
        <w:textAlignment w:val="auto"/>
        <w:rPr>
          <w:rFonts w:hint="eastAsia" w:ascii="宋体" w:hAnsi="宋体" w:eastAsia="宋体" w:cs="宋体"/>
          <w:color w:val="auto"/>
          <w:szCs w:val="21"/>
          <w:highlight w:val="none"/>
          <w:u w:val="none"/>
          <w:lang w:val="en-US" w:eastAsia="zh-CN"/>
        </w:rPr>
      </w:pPr>
      <w:r>
        <w:rPr>
          <w:rFonts w:hint="eastAsia" w:ascii="宋体" w:hAnsi="宋体" w:eastAsia="宋体" w:cs="宋体"/>
          <w:color w:val="auto"/>
          <w:szCs w:val="21"/>
          <w:highlight w:val="none"/>
          <w:u w:val="none"/>
          <w:lang w:val="en-US" w:eastAsia="zh-CN"/>
        </w:rPr>
        <w:t>联系电话：0771-7421228</w:t>
      </w:r>
    </w:p>
    <w:p w14:paraId="5688843B">
      <w:pPr>
        <w:keepNext w:val="0"/>
        <w:keepLines w:val="0"/>
        <w:pageBreakBefore w:val="0"/>
        <w:kinsoku/>
        <w:wordWrap/>
        <w:overflowPunct/>
        <w:topLinePunct w:val="0"/>
        <w:autoSpaceDE/>
        <w:autoSpaceDN/>
        <w:bidi w:val="0"/>
        <w:adjustRightInd/>
        <w:spacing w:line="400" w:lineRule="exact"/>
        <w:ind w:firstLine="420" w:firstLineChars="200"/>
        <w:jc w:val="left"/>
        <w:textAlignment w:val="auto"/>
        <w:rPr>
          <w:rFonts w:hint="eastAsia" w:ascii="宋体" w:hAnsi="宋体" w:cs="宋体"/>
          <w:color w:val="auto"/>
          <w:szCs w:val="21"/>
          <w:highlight w:val="none"/>
          <w:u w:val="none"/>
        </w:rPr>
      </w:pPr>
      <w:r>
        <w:rPr>
          <w:rFonts w:hint="eastAsia" w:ascii="宋体" w:hAnsi="宋体" w:cs="宋体"/>
          <w:color w:val="auto"/>
          <w:szCs w:val="21"/>
          <w:highlight w:val="none"/>
          <w:u w:val="none"/>
        </w:rPr>
        <w:t>2.采购代理机构信息</w:t>
      </w:r>
    </w:p>
    <w:p w14:paraId="20B60872">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u w:val="none"/>
          <w:lang w:eastAsia="zh-CN"/>
        </w:rPr>
      </w:pPr>
      <w:r>
        <w:rPr>
          <w:rFonts w:hint="eastAsia" w:ascii="宋体" w:hAnsi="宋体" w:cs="宋体"/>
          <w:color w:val="auto"/>
          <w:szCs w:val="21"/>
          <w:highlight w:val="none"/>
          <w:u w:val="none"/>
        </w:rPr>
        <w:t>名 称：</w:t>
      </w:r>
      <w:r>
        <w:rPr>
          <w:rFonts w:hint="eastAsia" w:ascii="宋体" w:hAnsi="宋体" w:cs="宋体"/>
          <w:color w:val="auto"/>
          <w:szCs w:val="21"/>
          <w:highlight w:val="none"/>
          <w:u w:val="none"/>
          <w:lang w:eastAsia="zh-CN"/>
        </w:rPr>
        <w:t>广西同泽工程项目管理股份有限公司</w:t>
      </w:r>
    </w:p>
    <w:p w14:paraId="173014B9">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u w:val="none"/>
          <w:lang w:eastAsia="zh-CN"/>
        </w:rPr>
      </w:pPr>
      <w:r>
        <w:rPr>
          <w:rFonts w:hint="eastAsia" w:ascii="宋体" w:hAnsi="宋体" w:cs="宋体"/>
          <w:color w:val="auto"/>
          <w:szCs w:val="21"/>
          <w:highlight w:val="none"/>
          <w:u w:val="none"/>
        </w:rPr>
        <w:t>地　址：</w:t>
      </w:r>
      <w:r>
        <w:rPr>
          <w:rFonts w:hint="eastAsia" w:ascii="宋体" w:hAnsi="宋体" w:cs="宋体"/>
          <w:color w:val="auto"/>
          <w:szCs w:val="21"/>
          <w:highlight w:val="none"/>
        </w:rPr>
        <w:t>广西南宁市良庆区凯旋路16号广西裕达集团南宁五象总部基地广东大厦十八楼</w:t>
      </w:r>
    </w:p>
    <w:p w14:paraId="2BC083C2">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cs="宋体"/>
          <w:color w:val="auto"/>
          <w:szCs w:val="21"/>
          <w:highlight w:val="none"/>
          <w:u w:val="none"/>
        </w:rPr>
      </w:pPr>
      <w:r>
        <w:rPr>
          <w:rFonts w:hint="eastAsia" w:ascii="宋体" w:hAnsi="宋体" w:cs="宋体"/>
          <w:color w:val="auto"/>
          <w:szCs w:val="21"/>
          <w:highlight w:val="none"/>
          <w:u w:val="none"/>
        </w:rPr>
        <w:t>联系电话：0771-5590176</w:t>
      </w:r>
    </w:p>
    <w:p w14:paraId="5C597BDD">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cs="宋体"/>
          <w:color w:val="auto"/>
          <w:szCs w:val="21"/>
          <w:highlight w:val="none"/>
          <w:u w:val="none"/>
        </w:rPr>
      </w:pPr>
      <w:r>
        <w:rPr>
          <w:rFonts w:hint="eastAsia" w:ascii="宋体" w:hAnsi="宋体" w:cs="宋体"/>
          <w:color w:val="auto"/>
          <w:szCs w:val="21"/>
          <w:highlight w:val="none"/>
          <w:u w:val="none"/>
        </w:rPr>
        <w:t>3.项目联系方式</w:t>
      </w:r>
    </w:p>
    <w:p w14:paraId="64B591B8">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default" w:ascii="宋体" w:hAnsi="宋体" w:eastAsia="宋体" w:cs="宋体"/>
          <w:color w:val="auto"/>
          <w:szCs w:val="21"/>
          <w:highlight w:val="none"/>
          <w:u w:val="none"/>
          <w:lang w:val="en-US" w:eastAsia="zh-CN"/>
        </w:rPr>
      </w:pPr>
      <w:r>
        <w:rPr>
          <w:rFonts w:hint="eastAsia" w:ascii="宋体" w:hAnsi="宋体" w:cs="宋体"/>
          <w:color w:val="auto"/>
          <w:szCs w:val="21"/>
          <w:highlight w:val="none"/>
          <w:u w:val="none"/>
        </w:rPr>
        <w:t>项目联系人：</w:t>
      </w:r>
      <w:r>
        <w:rPr>
          <w:rFonts w:hint="eastAsia" w:ascii="宋体" w:hAnsi="宋体" w:cs="宋体"/>
          <w:color w:val="auto"/>
          <w:highlight w:val="none"/>
        </w:rPr>
        <w:t>陆珍花、农英民</w:t>
      </w:r>
      <w:r>
        <w:rPr>
          <w:rFonts w:hint="eastAsia" w:ascii="宋体" w:hAnsi="宋体" w:cs="宋体"/>
          <w:color w:val="auto"/>
          <w:highlight w:val="none"/>
          <w:lang w:eastAsia="zh-CN"/>
        </w:rPr>
        <w:t>、</w:t>
      </w:r>
      <w:r>
        <w:rPr>
          <w:rFonts w:hint="eastAsia" w:ascii="宋体" w:hAnsi="宋体" w:cs="宋体"/>
          <w:color w:val="auto"/>
          <w:highlight w:val="none"/>
        </w:rPr>
        <w:t>奉云、</w:t>
      </w:r>
      <w:r>
        <w:rPr>
          <w:rFonts w:hint="eastAsia" w:ascii="宋体" w:hAnsi="宋体" w:cs="宋体"/>
          <w:color w:val="auto"/>
          <w:kern w:val="0"/>
          <w:szCs w:val="21"/>
          <w:highlight w:val="none"/>
        </w:rPr>
        <w:t>龙晶晶</w:t>
      </w:r>
    </w:p>
    <w:p w14:paraId="5FAC8430">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u w:val="none"/>
          <w:lang w:eastAsia="zh-CN"/>
        </w:rPr>
      </w:pPr>
      <w:r>
        <w:rPr>
          <w:rFonts w:hint="eastAsia" w:ascii="宋体" w:hAnsi="宋体" w:cs="宋体"/>
          <w:color w:val="auto"/>
          <w:szCs w:val="21"/>
          <w:highlight w:val="none"/>
          <w:u w:val="none"/>
        </w:rPr>
        <w:t>电    话：</w:t>
      </w:r>
      <w:r>
        <w:rPr>
          <w:rFonts w:hint="eastAsia" w:ascii="宋体" w:hAnsi="宋体" w:cs="宋体"/>
          <w:color w:val="auto"/>
          <w:szCs w:val="21"/>
          <w:highlight w:val="none"/>
        </w:rPr>
        <w:t>0771-5590176</w:t>
      </w:r>
    </w:p>
    <w:p w14:paraId="1CB2369D">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cs="宋体"/>
          <w:color w:val="auto"/>
          <w:kern w:val="0"/>
          <w:szCs w:val="21"/>
          <w:highlight w:val="none"/>
        </w:rPr>
      </w:pPr>
    </w:p>
    <w:p w14:paraId="2A8654DB">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附件： </w:t>
      </w:r>
    </w:p>
    <w:p w14:paraId="6F24BB87">
      <w:pPr>
        <w:pStyle w:val="8"/>
        <w:spacing w:line="360" w:lineRule="auto"/>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highlight w:val="none"/>
        </w:rPr>
        <w:t>1.CA证书申请方式及操作指南下载地址（登陆</w:t>
      </w:r>
      <w:r>
        <w:rPr>
          <w:rFonts w:ascii="宋体" w:hAnsi="宋体" w:eastAsia="宋体" w:cs="Times New Roman"/>
          <w:color w:val="auto"/>
          <w:highlight w:val="none"/>
        </w:rPr>
        <w:fldChar w:fldCharType="begin"/>
      </w:r>
      <w:r>
        <w:rPr>
          <w:rFonts w:ascii="宋体" w:hAnsi="宋体" w:eastAsia="宋体" w:cs="Times New Roman"/>
          <w:color w:val="auto"/>
          <w:highlight w:val="none"/>
        </w:rPr>
        <w:instrText xml:space="preserve"> HYPERLINK "http://nncz.nanning.gov.cn/" </w:instrText>
      </w:r>
      <w:r>
        <w:rPr>
          <w:rFonts w:ascii="宋体" w:hAnsi="宋体" w:eastAsia="宋体" w:cs="Times New Roman"/>
          <w:color w:val="auto"/>
          <w:highlight w:val="none"/>
        </w:rPr>
        <w:fldChar w:fldCharType="separate"/>
      </w:r>
      <w:r>
        <w:rPr>
          <w:rStyle w:val="25"/>
          <w:rFonts w:ascii="宋体" w:hAnsi="宋体" w:eastAsia="宋体" w:cs="Times New Roman"/>
          <w:color w:val="auto"/>
          <w:highlight w:val="none"/>
        </w:rPr>
        <w:t>http://nncz.nanning.gov.cn/</w:t>
      </w:r>
      <w:r>
        <w:rPr>
          <w:rStyle w:val="25"/>
          <w:rFonts w:ascii="宋体" w:hAnsi="宋体" w:eastAsia="宋体" w:cs="Times New Roman"/>
          <w:color w:val="auto"/>
          <w:highlight w:val="none"/>
        </w:rPr>
        <w:fldChar w:fldCharType="end"/>
      </w:r>
      <w:r>
        <w:rPr>
          <w:rFonts w:hint="eastAsia" w:ascii="宋体" w:hAnsi="宋体" w:eastAsia="宋体" w:cs="Times New Roman"/>
          <w:color w:val="auto"/>
          <w:highlight w:val="none"/>
        </w:rPr>
        <w:t>（南宁市财政局官网）</w:t>
      </w:r>
      <w:r>
        <w:rPr>
          <w:rFonts w:ascii="宋体" w:hAnsi="宋体" w:eastAsia="宋体" w:cs="Times New Roman"/>
          <w:color w:val="auto"/>
          <w:highlight w:val="none"/>
        </w:rPr>
        <w:t>-</w:t>
      </w:r>
      <w:r>
        <w:rPr>
          <w:rFonts w:hint="eastAsia" w:ascii="宋体" w:hAnsi="宋体" w:eastAsia="宋体" w:cs="Times New Roman"/>
          <w:color w:val="auto"/>
          <w:highlight w:val="none"/>
        </w:rPr>
        <w:t>业务专题-政府采购监督管理-资料下载</w:t>
      </w:r>
      <w:r>
        <w:rPr>
          <w:rFonts w:ascii="宋体" w:hAnsi="宋体" w:eastAsia="宋体" w:cs="Times New Roman"/>
          <w:color w:val="auto"/>
          <w:highlight w:val="none"/>
        </w:rPr>
        <w:t>-</w:t>
      </w:r>
      <w:r>
        <w:rPr>
          <w:rFonts w:hint="eastAsia" w:ascii="宋体" w:hAnsi="宋体" w:eastAsia="宋体" w:cs="Times New Roman"/>
          <w:color w:val="auto"/>
          <w:highlight w:val="none"/>
        </w:rPr>
        <w:t>“广西政采云西部</w:t>
      </w:r>
      <w:r>
        <w:rPr>
          <w:rFonts w:ascii="宋体" w:hAnsi="宋体" w:eastAsia="宋体" w:cs="Times New Roman"/>
          <w:color w:val="auto"/>
          <w:highlight w:val="none"/>
        </w:rPr>
        <w:t>CA</w:t>
      </w:r>
      <w:r>
        <w:rPr>
          <w:rFonts w:hint="eastAsia" w:ascii="宋体" w:hAnsi="宋体" w:eastAsia="宋体" w:cs="Times New Roman"/>
          <w:color w:val="auto"/>
          <w:highlight w:val="none"/>
        </w:rPr>
        <w:t>办理方式”或“南宁市政采云</w:t>
      </w:r>
      <w:r>
        <w:rPr>
          <w:rFonts w:ascii="宋体" w:hAnsi="宋体" w:eastAsia="宋体" w:cs="Times New Roman"/>
          <w:color w:val="auto"/>
          <w:highlight w:val="none"/>
        </w:rPr>
        <w:t>CA</w:t>
      </w:r>
      <w:r>
        <w:rPr>
          <w:rFonts w:hint="eastAsia" w:ascii="宋体" w:hAnsi="宋体" w:eastAsia="宋体" w:cs="Times New Roman"/>
          <w:color w:val="auto"/>
          <w:highlight w:val="none"/>
        </w:rPr>
        <w:t>证书办理操作指南”）</w:t>
      </w:r>
    </w:p>
    <w:p w14:paraId="65698970">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cs="宋体"/>
          <w:color w:val="auto"/>
          <w:kern w:val="0"/>
          <w:szCs w:val="21"/>
          <w:highlight w:val="none"/>
        </w:rPr>
      </w:pPr>
      <w:r>
        <w:rPr>
          <w:rFonts w:hint="eastAsia" w:ascii="宋体" w:hAnsi="宋体" w:eastAsia="宋体" w:cs="Times New Roman"/>
          <w:color w:val="auto"/>
          <w:highlight w:val="none"/>
        </w:rPr>
        <w:t>2.电子投标文件制作与投送教程（在此网址下载：</w:t>
      </w:r>
      <w:r>
        <w:rPr>
          <w:rFonts w:ascii="宋体" w:hAnsi="宋体" w:eastAsia="宋体" w:cs="Times New Roman"/>
          <w:color w:val="auto"/>
          <w:highlight w:val="none"/>
        </w:rPr>
        <w:fldChar w:fldCharType="begin"/>
      </w:r>
      <w:r>
        <w:rPr>
          <w:rFonts w:ascii="宋体" w:hAnsi="宋体" w:eastAsia="宋体" w:cs="Times New Roman"/>
          <w:color w:val="auto"/>
          <w:highlight w:val="none"/>
        </w:rPr>
        <w:instrText xml:space="preserve"> HYPERLINK "http://nncz.nanning.gov.cn/" </w:instrText>
      </w:r>
      <w:r>
        <w:rPr>
          <w:rFonts w:ascii="宋体" w:hAnsi="宋体" w:eastAsia="宋体" w:cs="Times New Roman"/>
          <w:color w:val="auto"/>
          <w:highlight w:val="none"/>
        </w:rPr>
        <w:fldChar w:fldCharType="separate"/>
      </w:r>
      <w:r>
        <w:rPr>
          <w:rFonts w:hint="default" w:ascii="宋体" w:hAnsi="宋体" w:eastAsia="宋体" w:cs="Times New Roman"/>
          <w:color w:val="auto"/>
          <w:highlight w:val="none"/>
          <w:u w:val="single"/>
        </w:rPr>
        <w:t>http://nncz.nanning.gov.cn/</w:t>
      </w:r>
      <w:r>
        <w:rPr>
          <w:rFonts w:hint="default" w:ascii="宋体" w:hAnsi="宋体" w:eastAsia="宋体" w:cs="Times New Roman"/>
          <w:color w:val="auto"/>
          <w:highlight w:val="none"/>
          <w:u w:val="single"/>
        </w:rPr>
        <w:fldChar w:fldCharType="end"/>
      </w:r>
      <w:r>
        <w:rPr>
          <w:rFonts w:hint="eastAsia" w:ascii="宋体" w:hAnsi="宋体" w:eastAsia="宋体" w:cs="Times New Roman"/>
          <w:color w:val="auto"/>
          <w:highlight w:val="none"/>
        </w:rPr>
        <w:t>（南宁市财政局官网）</w:t>
      </w:r>
      <w:r>
        <w:rPr>
          <w:rFonts w:ascii="宋体" w:hAnsi="宋体" w:eastAsia="宋体" w:cs="Times New Roman"/>
          <w:color w:val="auto"/>
          <w:highlight w:val="none"/>
        </w:rPr>
        <w:t>-</w:t>
      </w:r>
      <w:r>
        <w:rPr>
          <w:rFonts w:hint="eastAsia" w:ascii="宋体" w:hAnsi="宋体" w:eastAsia="宋体" w:cs="Times New Roman"/>
          <w:color w:val="auto"/>
          <w:highlight w:val="none"/>
        </w:rPr>
        <w:t>业务专题-政府采购监督管理-资料下载-南宁市政府采购项目全流程电子化交易操作指南）</w:t>
      </w:r>
    </w:p>
    <w:p w14:paraId="10EBC83C">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cs="宋体"/>
          <w:color w:val="auto"/>
          <w:szCs w:val="21"/>
          <w:highlight w:val="none"/>
          <w:u w:val="single"/>
        </w:rPr>
      </w:pPr>
    </w:p>
    <w:p w14:paraId="25C38CEE">
      <w:pPr>
        <w:keepNext w:val="0"/>
        <w:keepLines w:val="0"/>
        <w:pageBreakBefore w:val="0"/>
        <w:kinsoku/>
        <w:wordWrap/>
        <w:overflowPunct/>
        <w:topLinePunct w:val="0"/>
        <w:autoSpaceDE/>
        <w:autoSpaceDN/>
        <w:bidi w:val="0"/>
        <w:adjustRightInd/>
        <w:spacing w:line="400" w:lineRule="exact"/>
        <w:ind w:firstLine="735" w:firstLineChars="350"/>
        <w:textAlignment w:val="auto"/>
        <w:rPr>
          <w:rFonts w:hint="eastAsia" w:ascii="宋体" w:hAnsi="宋体" w:cs="宋体"/>
          <w:color w:val="auto"/>
          <w:szCs w:val="21"/>
          <w:highlight w:val="none"/>
          <w:u w:val="single"/>
        </w:rPr>
      </w:pPr>
    </w:p>
    <w:p w14:paraId="512C05D5">
      <w:pPr>
        <w:keepNext w:val="0"/>
        <w:keepLines w:val="0"/>
        <w:pageBreakBefore w:val="0"/>
        <w:kinsoku/>
        <w:wordWrap/>
        <w:overflowPunct/>
        <w:topLinePunct w:val="0"/>
        <w:autoSpaceDE/>
        <w:autoSpaceDN/>
        <w:bidi w:val="0"/>
        <w:adjustRightInd/>
        <w:spacing w:line="400" w:lineRule="exact"/>
        <w:ind w:firstLine="420" w:firstLineChars="200"/>
        <w:jc w:val="right"/>
        <w:textAlignment w:val="auto"/>
        <w:rPr>
          <w:rFonts w:hint="eastAsia" w:ascii="宋体" w:hAnsi="宋体" w:cs="宋体"/>
          <w:color w:val="auto"/>
          <w:szCs w:val="21"/>
          <w:highlight w:val="none"/>
        </w:rPr>
      </w:pPr>
      <w:r>
        <w:rPr>
          <w:rFonts w:hint="eastAsia" w:ascii="宋体" w:hAnsi="宋体" w:cs="宋体"/>
          <w:color w:val="auto"/>
          <w:szCs w:val="21"/>
          <w:highlight w:val="none"/>
          <w:lang w:eastAsia="zh-CN"/>
        </w:rPr>
        <w:t>广西同泽工程项目管理股份有限公司</w:t>
      </w:r>
      <w:r>
        <w:rPr>
          <w:rFonts w:hint="eastAsia" w:ascii="宋体" w:hAnsi="宋体" w:cs="宋体"/>
          <w:color w:val="auto"/>
          <w:szCs w:val="21"/>
          <w:highlight w:val="none"/>
        </w:rPr>
        <w:t xml:space="preserve"> </w:t>
      </w:r>
    </w:p>
    <w:p w14:paraId="24CFE3FF">
      <w:pPr>
        <w:keepNext w:val="0"/>
        <w:keepLines w:val="0"/>
        <w:pageBreakBefore w:val="0"/>
        <w:kinsoku/>
        <w:wordWrap/>
        <w:overflowPunct/>
        <w:topLinePunct w:val="0"/>
        <w:autoSpaceDE/>
        <w:autoSpaceDN/>
        <w:bidi w:val="0"/>
        <w:adjustRightInd/>
        <w:spacing w:line="400" w:lineRule="exact"/>
        <w:ind w:firstLine="420" w:firstLineChars="200"/>
        <w:jc w:val="right"/>
        <w:textAlignment w:val="auto"/>
        <w:rPr>
          <w:rFonts w:hint="eastAsia" w:ascii="宋体" w:hAnsi="宋体" w:cs="宋体"/>
          <w:color w:val="auto"/>
          <w:szCs w:val="21"/>
          <w:highlight w:val="none"/>
        </w:rPr>
      </w:pPr>
      <w:r>
        <w:rPr>
          <w:rFonts w:hint="eastAsia" w:ascii="宋体" w:hAnsi="宋体" w:cs="宋体"/>
          <w:color w:val="auto"/>
          <w:szCs w:val="21"/>
          <w:highlight w:val="none"/>
        </w:rPr>
        <w:t>202</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30</w:t>
      </w:r>
      <w:r>
        <w:rPr>
          <w:rFonts w:hint="eastAsia" w:ascii="宋体" w:hAnsi="宋体" w:cs="宋体"/>
          <w:color w:val="auto"/>
          <w:szCs w:val="21"/>
          <w:highlight w:val="none"/>
        </w:rPr>
        <w:t>日</w:t>
      </w:r>
    </w:p>
    <w:p w14:paraId="31015C91">
      <w:pPr>
        <w:pStyle w:val="2"/>
        <w:spacing w:before="0" w:after="0" w:line="360" w:lineRule="auto"/>
        <w:jc w:val="center"/>
        <w:rPr>
          <w:rFonts w:hint="eastAsia" w:ascii="宋体" w:hAnsi="宋体" w:cs="宋体"/>
          <w:color w:val="auto"/>
          <w:highlight w:val="none"/>
        </w:rPr>
      </w:pPr>
      <w:r>
        <w:rPr>
          <w:rFonts w:hint="eastAsia" w:ascii="宋体" w:hAnsi="宋体" w:cs="宋体"/>
          <w:color w:val="auto"/>
          <w:sz w:val="32"/>
          <w:szCs w:val="32"/>
          <w:highlight w:val="none"/>
        </w:rPr>
        <w:br w:type="page"/>
      </w:r>
      <w:bookmarkStart w:id="30" w:name="_Toc19911"/>
      <w:bookmarkStart w:id="31" w:name="_Toc25846"/>
      <w:bookmarkStart w:id="32" w:name="_Toc2452"/>
      <w:r>
        <w:rPr>
          <w:rFonts w:hint="eastAsia" w:ascii="宋体" w:hAnsi="宋体" w:cs="宋体"/>
          <w:bCs w:val="0"/>
          <w:color w:val="auto"/>
          <w:highlight w:val="none"/>
        </w:rPr>
        <w:t>第二章 采购需求</w:t>
      </w:r>
      <w:bookmarkEnd w:id="30"/>
      <w:bookmarkEnd w:id="31"/>
      <w:bookmarkEnd w:id="32"/>
    </w:p>
    <w:p w14:paraId="077BB2E2">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说明：</w:t>
      </w:r>
    </w:p>
    <w:p w14:paraId="5F3A7172">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1.为落实政府采购政策需满足的要求</w:t>
      </w:r>
    </w:p>
    <w:p w14:paraId="4A7583AA">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（1）本竞争性磋商文件所称中小企业必须符合《政府采购促进中小企业发展管理办法》（财库〔2020〕46号）的规定。</w:t>
      </w:r>
    </w:p>
    <w:p w14:paraId="2F5F5A24">
      <w:pPr>
        <w:spacing w:line="360" w:lineRule="auto"/>
        <w:ind w:firstLine="411" w:firstLineChars="196"/>
        <w:rPr>
          <w:rFonts w:hint="eastAsia" w:ascii="宋体" w:hAnsi="宋体" w:cs="宋体"/>
          <w:color w:val="auto"/>
          <w:szCs w:val="21"/>
          <w:highlight w:val="none"/>
        </w:rPr>
      </w:pPr>
      <w:r>
        <w:rPr>
          <w:rFonts w:hint="eastAsia" w:ascii="宋体" w:hAnsi="宋体" w:cs="宋体"/>
          <w:color w:val="auto"/>
          <w:szCs w:val="21"/>
          <w:highlight w:val="none"/>
        </w:rPr>
        <w:t>2.“实质性要求”是指采购需求中带“▲”的条款或者不能负偏离的条款或者已经指明不满足按响应文件作无效处理的条款。</w:t>
      </w:r>
    </w:p>
    <w:p w14:paraId="1EE57636">
      <w:pPr>
        <w:pStyle w:val="8"/>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w:t>
      </w:r>
      <w:r>
        <w:rPr>
          <w:rFonts w:hint="eastAsia" w:ascii="宋体" w:hAnsi="宋体" w:cs="宋体"/>
          <w:color w:val="auto"/>
          <w:highlight w:val="none"/>
        </w:rPr>
        <w:t>供应商必须自行为其磋商产品侵犯他人的知识产权或者专利成果的行为承担相应法律责任。</w:t>
      </w:r>
    </w:p>
    <w:tbl>
      <w:tblPr>
        <w:tblStyle w:val="23"/>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426"/>
        <w:gridCol w:w="321"/>
        <w:gridCol w:w="1091"/>
        <w:gridCol w:w="426"/>
        <w:gridCol w:w="497"/>
        <w:gridCol w:w="4252"/>
        <w:gridCol w:w="1161"/>
        <w:gridCol w:w="999"/>
      </w:tblGrid>
      <w:tr w14:paraId="221B950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5000" w:type="pct"/>
            <w:gridSpan w:val="8"/>
            <w:tcBorders>
              <w:top w:val="single" w:color="auto" w:sz="4" w:space="0"/>
              <w:left w:val="single" w:color="auto" w:sz="4" w:space="0"/>
              <w:right w:val="single" w:color="auto" w:sz="4" w:space="0"/>
            </w:tcBorders>
            <w:noWrap w:val="0"/>
            <w:vAlign w:val="center"/>
          </w:tcPr>
          <w:p w14:paraId="32D8A218">
            <w:pPr>
              <w:spacing w:line="360" w:lineRule="exact"/>
              <w:jc w:val="center"/>
              <w:rPr>
                <w:rFonts w:hint="eastAsia" w:ascii="宋体" w:hAnsi="宋体" w:eastAsia="宋体" w:cs="宋体"/>
                <w:b/>
                <w:color w:val="auto"/>
                <w:sz w:val="24"/>
                <w:highlight w:val="none"/>
              </w:rPr>
            </w:pPr>
            <w:r>
              <w:rPr>
                <w:rFonts w:hint="eastAsia" w:ascii="宋体" w:hAnsi="宋体" w:eastAsia="宋体" w:cs="宋体"/>
                <w:b/>
                <w:color w:val="auto"/>
                <w:sz w:val="28"/>
                <w:szCs w:val="28"/>
                <w:highlight w:val="none"/>
              </w:rPr>
              <w:t>采购需求一览表</w:t>
            </w:r>
          </w:p>
        </w:tc>
      </w:tr>
      <w:tr w14:paraId="608253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268" w:type="pct"/>
            <w:vMerge w:val="restart"/>
            <w:tcBorders>
              <w:top w:val="single" w:color="auto" w:sz="4" w:space="0"/>
              <w:left w:val="single" w:color="auto" w:sz="4" w:space="0"/>
              <w:right w:val="single" w:color="auto" w:sz="4" w:space="0"/>
            </w:tcBorders>
            <w:noWrap w:val="0"/>
            <w:vAlign w:val="center"/>
          </w:tcPr>
          <w:p w14:paraId="60379C03">
            <w:pPr>
              <w:keepNext w:val="0"/>
              <w:keepLines w:val="0"/>
              <w:pageBreakBefore w:val="0"/>
              <w:kinsoku/>
              <w:wordWrap/>
              <w:overflowPunct/>
              <w:topLinePunct w:val="0"/>
              <w:autoSpaceDE/>
              <w:autoSpaceDN/>
              <w:bidi w:val="0"/>
              <w:adjustRightInd/>
              <w:spacing w:line="360" w:lineRule="exact"/>
              <w:jc w:val="center"/>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采购清单及服务参数</w:t>
            </w:r>
          </w:p>
        </w:tc>
        <w:tc>
          <w:tcPr>
            <w:tcW w:w="207" w:type="pct"/>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63557C5D">
            <w:pPr>
              <w:keepNext w:val="0"/>
              <w:keepLines w:val="0"/>
              <w:pageBreakBefore w:val="0"/>
              <w:kinsoku/>
              <w:wordWrap/>
              <w:overflowPunct/>
              <w:topLinePunct w:val="0"/>
              <w:autoSpaceDE/>
              <w:autoSpaceDN/>
              <w:bidi w:val="0"/>
              <w:adjustRightInd/>
              <w:spacing w:line="360" w:lineRule="exact"/>
              <w:jc w:val="center"/>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标项</w:t>
            </w:r>
          </w:p>
        </w:tc>
        <w:tc>
          <w:tcPr>
            <w:tcW w:w="665" w:type="pct"/>
            <w:tcBorders>
              <w:top w:val="single" w:color="auto" w:sz="4" w:space="0"/>
              <w:left w:val="single" w:color="auto" w:sz="4" w:space="0"/>
              <w:bottom w:val="single" w:color="auto" w:sz="4" w:space="0"/>
              <w:right w:val="single" w:color="auto" w:sz="4" w:space="0"/>
            </w:tcBorders>
            <w:noWrap w:val="0"/>
            <w:vAlign w:val="center"/>
          </w:tcPr>
          <w:p w14:paraId="05FAA9DD">
            <w:pPr>
              <w:keepNext w:val="0"/>
              <w:keepLines w:val="0"/>
              <w:pageBreakBefore w:val="0"/>
              <w:kinsoku/>
              <w:wordWrap/>
              <w:overflowPunct/>
              <w:topLinePunct w:val="0"/>
              <w:autoSpaceDE/>
              <w:autoSpaceDN/>
              <w:bidi w:val="0"/>
              <w:adjustRightInd/>
              <w:spacing w:line="360" w:lineRule="exact"/>
              <w:jc w:val="center"/>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标的名称</w:t>
            </w:r>
          </w:p>
        </w:tc>
        <w:tc>
          <w:tcPr>
            <w:tcW w:w="228" w:type="pct"/>
            <w:tcBorders>
              <w:top w:val="single" w:color="auto" w:sz="4" w:space="0"/>
              <w:left w:val="single" w:color="auto" w:sz="4" w:space="0"/>
              <w:bottom w:val="single" w:color="auto" w:sz="4" w:space="0"/>
              <w:right w:val="single" w:color="auto" w:sz="4" w:space="0"/>
            </w:tcBorders>
            <w:noWrap w:val="0"/>
            <w:vAlign w:val="center"/>
          </w:tcPr>
          <w:p w14:paraId="68D2755E">
            <w:pPr>
              <w:keepNext w:val="0"/>
              <w:keepLines w:val="0"/>
              <w:pageBreakBefore w:val="0"/>
              <w:kinsoku/>
              <w:wordWrap/>
              <w:overflowPunct/>
              <w:topLinePunct w:val="0"/>
              <w:autoSpaceDE/>
              <w:autoSpaceDN/>
              <w:bidi w:val="0"/>
              <w:adjustRightInd/>
              <w:spacing w:line="360" w:lineRule="exact"/>
              <w:jc w:val="center"/>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w:t>
            </w:r>
          </w:p>
        </w:tc>
        <w:tc>
          <w:tcPr>
            <w:tcW w:w="316" w:type="pct"/>
            <w:tcBorders>
              <w:top w:val="single" w:color="auto" w:sz="4" w:space="0"/>
              <w:left w:val="single" w:color="auto" w:sz="4" w:space="0"/>
              <w:bottom w:val="single" w:color="auto" w:sz="4" w:space="0"/>
              <w:right w:val="single" w:color="auto" w:sz="4" w:space="0"/>
            </w:tcBorders>
            <w:noWrap w:val="0"/>
            <w:vAlign w:val="center"/>
          </w:tcPr>
          <w:p w14:paraId="0BCA810F">
            <w:pPr>
              <w:keepNext w:val="0"/>
              <w:keepLines w:val="0"/>
              <w:pageBreakBefore w:val="0"/>
              <w:kinsoku/>
              <w:wordWrap/>
              <w:overflowPunct/>
              <w:topLinePunct w:val="0"/>
              <w:autoSpaceDE/>
              <w:autoSpaceDN/>
              <w:bidi w:val="0"/>
              <w:adjustRightInd/>
              <w:spacing w:line="360" w:lineRule="exact"/>
              <w:jc w:val="center"/>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数量</w:t>
            </w:r>
          </w:p>
        </w:tc>
        <w:tc>
          <w:tcPr>
            <w:tcW w:w="2364" w:type="pct"/>
            <w:tcBorders>
              <w:top w:val="single" w:color="auto" w:sz="4" w:space="0"/>
              <w:left w:val="single" w:color="auto" w:sz="4" w:space="0"/>
              <w:bottom w:val="single" w:color="auto" w:sz="4" w:space="0"/>
              <w:right w:val="single" w:color="auto" w:sz="4" w:space="0"/>
            </w:tcBorders>
            <w:noWrap w:val="0"/>
            <w:vAlign w:val="center"/>
          </w:tcPr>
          <w:p w14:paraId="40629300">
            <w:pPr>
              <w:keepNext w:val="0"/>
              <w:keepLines w:val="0"/>
              <w:pageBreakBefore w:val="0"/>
              <w:kinsoku/>
              <w:wordWrap/>
              <w:overflowPunct/>
              <w:topLinePunct w:val="0"/>
              <w:autoSpaceDE/>
              <w:autoSpaceDN/>
              <w:bidi w:val="0"/>
              <w:adjustRightInd/>
              <w:spacing w:line="360" w:lineRule="exact"/>
              <w:jc w:val="center"/>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技术需求</w:t>
            </w:r>
          </w:p>
        </w:tc>
        <w:tc>
          <w:tcPr>
            <w:tcW w:w="358" w:type="pct"/>
            <w:tcBorders>
              <w:top w:val="single" w:color="auto" w:sz="4" w:space="0"/>
              <w:left w:val="single" w:color="auto" w:sz="4" w:space="0"/>
              <w:bottom w:val="single" w:color="auto" w:sz="4" w:space="0"/>
              <w:right w:val="single" w:color="auto" w:sz="4" w:space="0"/>
            </w:tcBorders>
            <w:noWrap w:val="0"/>
            <w:vAlign w:val="center"/>
          </w:tcPr>
          <w:p w14:paraId="635FCBD2">
            <w:pPr>
              <w:keepNext w:val="0"/>
              <w:keepLines w:val="0"/>
              <w:pageBreakBefore w:val="0"/>
              <w:kinsoku/>
              <w:wordWrap/>
              <w:overflowPunct/>
              <w:topLinePunct w:val="0"/>
              <w:autoSpaceDE/>
              <w:autoSpaceDN/>
              <w:bidi w:val="0"/>
              <w:adjustRightInd/>
              <w:spacing w:line="360" w:lineRule="exact"/>
              <w:jc w:val="center"/>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分项预算合计（元）</w:t>
            </w:r>
          </w:p>
        </w:tc>
        <w:tc>
          <w:tcPr>
            <w:tcW w:w="589" w:type="pct"/>
            <w:tcBorders>
              <w:top w:val="single" w:color="auto" w:sz="4" w:space="0"/>
              <w:left w:val="single" w:color="auto" w:sz="4" w:space="0"/>
              <w:bottom w:val="single" w:color="auto" w:sz="4" w:space="0"/>
              <w:right w:val="single" w:color="auto" w:sz="4" w:space="0"/>
            </w:tcBorders>
            <w:noWrap w:val="0"/>
            <w:vAlign w:val="center"/>
          </w:tcPr>
          <w:p w14:paraId="48276412">
            <w:pPr>
              <w:keepNext w:val="0"/>
              <w:keepLines w:val="0"/>
              <w:pageBreakBefore w:val="0"/>
              <w:kinsoku/>
              <w:wordWrap/>
              <w:overflowPunct/>
              <w:topLinePunct w:val="0"/>
              <w:autoSpaceDE/>
              <w:autoSpaceDN/>
              <w:bidi w:val="0"/>
              <w:adjustRightInd/>
              <w:spacing w:line="360" w:lineRule="exact"/>
              <w:jc w:val="center"/>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中小企业划分标准所属行业名称（行业名称及划分见本章附件2）</w:t>
            </w:r>
          </w:p>
        </w:tc>
      </w:tr>
      <w:tr w14:paraId="62E128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trPr>
        <w:tc>
          <w:tcPr>
            <w:tcW w:w="268" w:type="pct"/>
            <w:vMerge w:val="continue"/>
            <w:tcBorders>
              <w:left w:val="single" w:color="auto" w:sz="4" w:space="0"/>
              <w:bottom w:val="single" w:color="auto" w:sz="4" w:space="0"/>
              <w:right w:val="single" w:color="auto" w:sz="4" w:space="0"/>
            </w:tcBorders>
            <w:noWrap w:val="0"/>
            <w:vAlign w:val="top"/>
          </w:tcPr>
          <w:p w14:paraId="7F9A22AB">
            <w:pPr>
              <w:keepNext w:val="0"/>
              <w:keepLines w:val="0"/>
              <w:pageBreakBefore w:val="0"/>
              <w:kinsoku/>
              <w:wordWrap/>
              <w:overflowPunct/>
              <w:topLinePunct w:val="0"/>
              <w:autoSpaceDE/>
              <w:autoSpaceDN/>
              <w:bidi w:val="0"/>
              <w:adjustRightInd/>
              <w:spacing w:line="360" w:lineRule="exact"/>
              <w:jc w:val="center"/>
              <w:textAlignment w:val="auto"/>
              <w:outlineLvl w:val="9"/>
              <w:rPr>
                <w:rFonts w:hint="eastAsia" w:ascii="宋体" w:hAnsi="宋体" w:eastAsia="宋体" w:cs="宋体"/>
                <w:b/>
                <w:bCs/>
                <w:color w:val="auto"/>
                <w:highlight w:val="none"/>
              </w:rPr>
            </w:pPr>
          </w:p>
        </w:tc>
        <w:tc>
          <w:tcPr>
            <w:tcW w:w="207" w:type="pct"/>
            <w:tcBorders>
              <w:top w:val="single" w:color="auto" w:sz="4" w:space="0"/>
              <w:left w:val="single" w:color="auto" w:sz="4" w:space="0"/>
              <w:bottom w:val="single" w:color="auto" w:sz="4" w:space="0"/>
              <w:right w:val="single" w:color="auto" w:sz="4" w:space="0"/>
            </w:tcBorders>
            <w:noWrap w:val="0"/>
            <w:vAlign w:val="center"/>
          </w:tcPr>
          <w:p w14:paraId="5B37ADC0">
            <w:pPr>
              <w:keepNext w:val="0"/>
              <w:keepLines w:val="0"/>
              <w:pageBreakBefore w:val="0"/>
              <w:kinsoku/>
              <w:wordWrap/>
              <w:overflowPunct/>
              <w:topLinePunct w:val="0"/>
              <w:autoSpaceDE/>
              <w:autoSpaceDN/>
              <w:bidi w:val="0"/>
              <w:adjustRightInd/>
              <w:spacing w:line="360" w:lineRule="exact"/>
              <w:jc w:val="center"/>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665" w:type="pct"/>
            <w:tcBorders>
              <w:top w:val="single" w:color="auto" w:sz="4" w:space="0"/>
              <w:left w:val="single" w:color="auto" w:sz="4" w:space="0"/>
              <w:right w:val="single" w:color="auto" w:sz="4" w:space="0"/>
            </w:tcBorders>
            <w:noWrap w:val="0"/>
            <w:vAlign w:val="center"/>
          </w:tcPr>
          <w:p w14:paraId="705FA963">
            <w:pPr>
              <w:keepNext w:val="0"/>
              <w:keepLines w:val="0"/>
              <w:pageBreakBefore w:val="0"/>
              <w:kinsoku/>
              <w:wordWrap/>
              <w:overflowPunct/>
              <w:topLinePunct w:val="0"/>
              <w:autoSpaceDE/>
              <w:autoSpaceDN/>
              <w:bidi w:val="0"/>
              <w:adjustRightInd/>
              <w:snapToGrid w:val="0"/>
              <w:spacing w:line="360" w:lineRule="exact"/>
              <w:jc w:val="center"/>
              <w:textAlignment w:val="auto"/>
              <w:outlineLvl w:val="9"/>
              <w:rPr>
                <w:rFonts w:hint="eastAsia" w:ascii="宋体" w:hAnsi="宋体" w:eastAsia="宋体" w:cs="宋体"/>
                <w:color w:val="auto"/>
                <w:szCs w:val="21"/>
                <w:highlight w:val="none"/>
                <w:lang w:eastAsia="zh-CN"/>
              </w:rPr>
            </w:pPr>
            <w:r>
              <w:rPr>
                <w:rFonts w:hint="eastAsia" w:ascii="宋体" w:hAnsi="宋体" w:eastAsia="宋体" w:cs="宋体"/>
                <w:b w:val="0"/>
                <w:bCs w:val="0"/>
                <w:color w:val="auto"/>
                <w:szCs w:val="21"/>
                <w:highlight w:val="none"/>
                <w:lang w:val="en-US" w:eastAsia="zh-CN"/>
              </w:rPr>
              <w:t>马岭镇良和村委留塘路口至校椅镇壬水村路口路段太阳能公共照明项目（一期）工程</w:t>
            </w:r>
          </w:p>
        </w:tc>
        <w:tc>
          <w:tcPr>
            <w:tcW w:w="228" w:type="pct"/>
            <w:tcBorders>
              <w:top w:val="single" w:color="auto" w:sz="4" w:space="0"/>
              <w:left w:val="single" w:color="auto" w:sz="4" w:space="0"/>
              <w:right w:val="single" w:color="auto" w:sz="4" w:space="0"/>
            </w:tcBorders>
            <w:noWrap w:val="0"/>
            <w:vAlign w:val="center"/>
          </w:tcPr>
          <w:p w14:paraId="30497C1B">
            <w:pPr>
              <w:keepNext w:val="0"/>
              <w:keepLines w:val="0"/>
              <w:pageBreakBefore w:val="0"/>
              <w:kinsoku/>
              <w:wordWrap/>
              <w:overflowPunct/>
              <w:topLinePunct w:val="0"/>
              <w:autoSpaceDE/>
              <w:autoSpaceDN/>
              <w:bidi w:val="0"/>
              <w:adjustRightInd/>
              <w:snapToGrid w:val="0"/>
              <w:spacing w:line="360" w:lineRule="exact"/>
              <w:jc w:val="center"/>
              <w:textAlignment w:val="auto"/>
              <w:outlineLvl w:val="9"/>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项</w:t>
            </w:r>
          </w:p>
        </w:tc>
        <w:tc>
          <w:tcPr>
            <w:tcW w:w="316" w:type="pct"/>
            <w:tcBorders>
              <w:top w:val="single" w:color="auto" w:sz="4" w:space="0"/>
              <w:left w:val="single" w:color="auto" w:sz="4" w:space="0"/>
              <w:right w:val="single" w:color="auto" w:sz="4" w:space="0"/>
            </w:tcBorders>
            <w:noWrap w:val="0"/>
            <w:vAlign w:val="center"/>
          </w:tcPr>
          <w:p w14:paraId="16250833">
            <w:pPr>
              <w:keepNext w:val="0"/>
              <w:keepLines w:val="0"/>
              <w:pageBreakBefore w:val="0"/>
              <w:kinsoku/>
              <w:wordWrap/>
              <w:overflowPunct/>
              <w:topLinePunct w:val="0"/>
              <w:autoSpaceDE/>
              <w:autoSpaceDN/>
              <w:bidi w:val="0"/>
              <w:adjustRightInd/>
              <w:snapToGrid w:val="0"/>
              <w:spacing w:line="360" w:lineRule="exact"/>
              <w:jc w:val="center"/>
              <w:textAlignment w:val="auto"/>
              <w:outlineLvl w:val="9"/>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1</w:t>
            </w:r>
          </w:p>
        </w:tc>
        <w:tc>
          <w:tcPr>
            <w:tcW w:w="2364" w:type="pct"/>
            <w:tcBorders>
              <w:top w:val="single" w:color="auto" w:sz="4" w:space="0"/>
              <w:left w:val="single" w:color="auto" w:sz="4" w:space="0"/>
              <w:right w:val="single" w:color="auto" w:sz="4" w:space="0"/>
            </w:tcBorders>
            <w:noWrap w:val="0"/>
            <w:vAlign w:val="center"/>
          </w:tcPr>
          <w:p w14:paraId="4496ED77">
            <w:pPr>
              <w:shd w:val="clear" w:color="auto" w:fill="auto"/>
              <w:spacing w:line="400" w:lineRule="exact"/>
              <w:jc w:val="both"/>
              <w:outlineLvl w:val="9"/>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一、项目基本情况：</w:t>
            </w:r>
          </w:p>
          <w:p w14:paraId="19899EF2">
            <w:pPr>
              <w:shd w:val="clear" w:color="auto" w:fill="auto"/>
              <w:spacing w:line="400" w:lineRule="exact"/>
              <w:ind w:firstLine="420" w:firstLineChars="200"/>
              <w:jc w:val="both"/>
              <w:outlineLvl w:val="9"/>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1.项目名称：</w:t>
            </w:r>
            <w:r>
              <w:rPr>
                <w:rFonts w:hint="eastAsia" w:ascii="宋体" w:hAnsi="宋体" w:cs="宋体"/>
                <w:b w:val="0"/>
                <w:bCs w:val="0"/>
                <w:color w:val="auto"/>
                <w:szCs w:val="21"/>
                <w:highlight w:val="none"/>
                <w:lang w:val="en-US" w:eastAsia="zh-CN"/>
              </w:rPr>
              <w:t>马岭镇良和村委留塘路口至校椅镇壬水村路口路段太阳能公共照明项目（一期）</w:t>
            </w:r>
          </w:p>
          <w:p w14:paraId="089B4BC3">
            <w:pPr>
              <w:shd w:val="clear" w:color="auto" w:fill="auto"/>
              <w:spacing w:line="400" w:lineRule="exact"/>
              <w:ind w:firstLine="420" w:firstLineChars="200"/>
              <w:jc w:val="both"/>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范围：</w:t>
            </w:r>
            <w:r>
              <w:rPr>
                <w:rFonts w:hint="eastAsia" w:ascii="宋体" w:hAnsi="宋体" w:eastAsia="宋体" w:cs="宋体"/>
                <w:color w:val="auto"/>
                <w:szCs w:val="21"/>
                <w:highlight w:val="none"/>
                <w:lang w:val="en-US" w:eastAsia="zh-CN"/>
              </w:rPr>
              <w:t>本项目位于横州市马岭镇，马岭镇辖区内可分为2个路段：从马岭镇良和村委留塘村路口（接209国道处）至社区中国石化加油站为第一路段，设计长度2620.877米，设计范围K7+620~K10+240.877;从飞马村委一组路况至龙坪村松木岭路口（马岭镇与校椅镇辖区分界处）为第二路段，设计长度6100米，设计范围K0+000~K6+120。具体内容详见图纸及招标控制价文件。</w:t>
            </w:r>
            <w:r>
              <w:rPr>
                <w:rFonts w:hint="eastAsia" w:ascii="宋体" w:hAnsi="宋体" w:eastAsia="宋体" w:cs="宋体"/>
                <w:color w:val="auto"/>
                <w:szCs w:val="21"/>
                <w:highlight w:val="none"/>
              </w:rPr>
              <w:t xml:space="preserve"> </w:t>
            </w:r>
          </w:p>
          <w:p w14:paraId="65360263">
            <w:pPr>
              <w:shd w:val="clear" w:color="auto" w:fill="auto"/>
              <w:spacing w:line="400" w:lineRule="exact"/>
              <w:ind w:firstLine="420" w:firstLineChars="200"/>
              <w:jc w:val="both"/>
              <w:outlineLvl w:val="9"/>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3.工程建设地点：横州市马岭镇。</w:t>
            </w:r>
          </w:p>
          <w:p w14:paraId="2E6B31F4">
            <w:pPr>
              <w:shd w:val="clear" w:color="auto" w:fill="auto"/>
              <w:spacing w:line="400" w:lineRule="exact"/>
              <w:jc w:val="both"/>
              <w:outlineLvl w:val="9"/>
              <w:rPr>
                <w:rFonts w:hint="eastAsia" w:ascii="宋体" w:hAnsi="宋体" w:eastAsia="宋体" w:cs="宋体"/>
                <w:color w:val="auto"/>
                <w:szCs w:val="21"/>
                <w:highlight w:val="none"/>
              </w:rPr>
            </w:pPr>
            <w:r>
              <w:rPr>
                <w:rFonts w:hint="eastAsia" w:ascii="宋体" w:hAnsi="宋体" w:eastAsia="宋体" w:cs="宋体"/>
                <w:b/>
                <w:bCs w:val="0"/>
                <w:color w:val="auto"/>
                <w:kern w:val="2"/>
                <w:sz w:val="21"/>
                <w:szCs w:val="24"/>
                <w:highlight w:val="none"/>
                <w:lang w:val="en-US" w:eastAsia="zh-CN" w:bidi="ar-SA"/>
              </w:rPr>
              <w:t>二、发包方式：</w:t>
            </w:r>
            <w:r>
              <w:rPr>
                <w:rFonts w:hint="eastAsia" w:ascii="宋体" w:hAnsi="宋体" w:eastAsia="宋体" w:cs="宋体"/>
                <w:color w:val="auto"/>
                <w:szCs w:val="21"/>
                <w:highlight w:val="none"/>
                <w:lang w:val="en-US" w:eastAsia="zh-CN"/>
              </w:rPr>
              <w:t>包工包料（固定单价合同）。</w:t>
            </w:r>
          </w:p>
          <w:p w14:paraId="32E8777D">
            <w:pPr>
              <w:shd w:val="clear" w:color="auto" w:fill="auto"/>
              <w:spacing w:line="400" w:lineRule="exact"/>
              <w:jc w:val="both"/>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b/>
                <w:bCs w:val="0"/>
                <w:color w:val="auto"/>
                <w:kern w:val="2"/>
                <w:sz w:val="21"/>
                <w:szCs w:val="24"/>
                <w:highlight w:val="none"/>
                <w:lang w:val="en-US" w:eastAsia="zh-CN" w:bidi="ar-SA"/>
              </w:rPr>
              <w:t>三、质量要求：</w:t>
            </w:r>
            <w:r>
              <w:rPr>
                <w:rFonts w:hint="eastAsia" w:ascii="宋体" w:hAnsi="宋体" w:eastAsia="宋体" w:cs="宋体"/>
                <w:color w:val="auto"/>
                <w:szCs w:val="21"/>
                <w:highlight w:val="none"/>
              </w:rPr>
              <w:t>合格标准。（符合国家施工验收规范合格标准）</w:t>
            </w:r>
          </w:p>
          <w:p w14:paraId="1D30B342">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outlineLvl w:val="9"/>
              <w:rPr>
                <w:rFonts w:hint="eastAsia" w:ascii="宋体" w:hAnsi="宋体" w:eastAsia="宋体" w:cs="宋体"/>
                <w:b w:val="0"/>
                <w:bCs w:val="0"/>
                <w:color w:val="auto"/>
                <w:szCs w:val="21"/>
                <w:highlight w:val="none"/>
                <w:lang w:eastAsia="zh-CN"/>
              </w:rPr>
            </w:pPr>
            <w:r>
              <w:rPr>
                <w:rFonts w:hint="eastAsia" w:ascii="宋体" w:hAnsi="宋体" w:eastAsia="宋体" w:cs="宋体"/>
                <w:color w:val="auto"/>
                <w:szCs w:val="21"/>
                <w:highlight w:val="none"/>
              </w:rPr>
              <w:t>▲</w:t>
            </w:r>
            <w:r>
              <w:rPr>
                <w:rFonts w:hint="eastAsia" w:ascii="宋体" w:hAnsi="宋体" w:eastAsia="宋体" w:cs="宋体"/>
                <w:b/>
                <w:bCs w:val="0"/>
                <w:color w:val="auto"/>
                <w:kern w:val="2"/>
                <w:sz w:val="21"/>
                <w:szCs w:val="24"/>
                <w:highlight w:val="none"/>
                <w:lang w:val="en-US" w:eastAsia="zh-CN" w:bidi="ar-SA"/>
              </w:rPr>
              <w:t>四、拟投入人员要求：</w:t>
            </w:r>
            <w:r>
              <w:rPr>
                <w:rFonts w:hint="eastAsia" w:ascii="宋体" w:hAnsi="宋体" w:eastAsia="宋体" w:cs="宋体"/>
                <w:b w:val="0"/>
                <w:bCs w:val="0"/>
                <w:color w:val="auto"/>
                <w:szCs w:val="21"/>
                <w:highlight w:val="none"/>
              </w:rPr>
              <w:t>拟投入本项目的项目经理必须</w:t>
            </w:r>
            <w:r>
              <w:rPr>
                <w:rFonts w:hint="eastAsia" w:ascii="宋体" w:hAnsi="宋体" w:eastAsia="宋体" w:cs="宋体"/>
                <w:color w:val="auto"/>
                <w:szCs w:val="21"/>
                <w:highlight w:val="none"/>
                <w:lang w:val="en-US" w:eastAsia="zh-CN"/>
              </w:rPr>
              <w:t>具备</w:t>
            </w:r>
            <w:r>
              <w:rPr>
                <w:rFonts w:hint="eastAsia" w:ascii="宋体" w:hAnsi="宋体" w:eastAsia="宋体" w:cs="宋体"/>
                <w:color w:val="auto"/>
                <w:szCs w:val="21"/>
                <w:highlight w:val="none"/>
              </w:rPr>
              <w:t>市政公用工程专业二级以上（含二级）</w:t>
            </w:r>
            <w:r>
              <w:rPr>
                <w:rFonts w:hint="eastAsia" w:ascii="宋体" w:hAnsi="宋体" w:eastAsia="宋体" w:cs="宋体"/>
                <w:b w:val="0"/>
                <w:bCs w:val="0"/>
                <w:color w:val="auto"/>
                <w:szCs w:val="21"/>
                <w:highlight w:val="none"/>
              </w:rPr>
              <w:t>注册建造师资格</w:t>
            </w:r>
            <w:r>
              <w:rPr>
                <w:rFonts w:hint="eastAsia" w:ascii="宋体" w:hAnsi="宋体" w:eastAsia="宋体" w:cs="宋体"/>
                <w:color w:val="auto"/>
                <w:highlight w:val="none"/>
                <w:lang w:val="en-US" w:eastAsia="zh-CN"/>
              </w:rPr>
              <w:t>并</w:t>
            </w:r>
            <w:r>
              <w:rPr>
                <w:rFonts w:hint="eastAsia" w:ascii="宋体" w:hAnsi="宋体" w:eastAsia="宋体" w:cs="宋体"/>
                <w:color w:val="auto"/>
                <w:highlight w:val="none"/>
              </w:rPr>
              <w:t>具备有效的安全生产考核合格证书（B类）</w:t>
            </w:r>
            <w:r>
              <w:rPr>
                <w:rFonts w:hint="eastAsia" w:ascii="宋体" w:hAnsi="宋体" w:eastAsia="宋体" w:cs="宋体"/>
                <w:b w:val="0"/>
                <w:bCs w:val="0"/>
                <w:color w:val="auto"/>
                <w:szCs w:val="21"/>
                <w:highlight w:val="none"/>
              </w:rPr>
              <w:t>，并为本单位员工；本项目不接受有在建、已中标未开工或已列为其他项目中标候选人第一名的建造师作为项目经理</w:t>
            </w:r>
            <w:r>
              <w:rPr>
                <w:rFonts w:hint="eastAsia" w:ascii="宋体" w:hAnsi="宋体" w:eastAsia="宋体" w:cs="宋体"/>
                <w:b w:val="0"/>
                <w:bCs w:val="0"/>
                <w:color w:val="auto"/>
                <w:szCs w:val="21"/>
                <w:highlight w:val="none"/>
                <w:lang w:eastAsia="zh-CN"/>
              </w:rPr>
              <w:t>；</w:t>
            </w:r>
          </w:p>
          <w:p w14:paraId="1DA5D626">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outlineLvl w:val="9"/>
              <w:rPr>
                <w:rFonts w:hint="eastAsia" w:ascii="宋体" w:hAnsi="宋体" w:eastAsia="宋体" w:cs="宋体"/>
                <w:b w:val="0"/>
                <w:bCs w:val="0"/>
                <w:color w:val="auto"/>
                <w:szCs w:val="21"/>
                <w:highlight w:val="none"/>
                <w:lang w:eastAsia="zh-CN"/>
              </w:rPr>
            </w:pPr>
            <w:r>
              <w:rPr>
                <w:rFonts w:hint="eastAsia" w:ascii="宋体" w:hAnsi="宋体" w:eastAsia="宋体" w:cs="宋体"/>
                <w:b w:val="0"/>
                <w:bCs w:val="0"/>
                <w:color w:val="auto"/>
                <w:szCs w:val="21"/>
                <w:highlight w:val="none"/>
              </w:rPr>
              <w:t>拟投入专职安全生产管理人员具备有效的安全生产考核合格证</w:t>
            </w:r>
            <w:r>
              <w:rPr>
                <w:rFonts w:hint="eastAsia" w:ascii="宋体" w:hAnsi="宋体" w:eastAsia="宋体" w:cs="宋体"/>
                <w:b w:val="0"/>
                <w:bCs w:val="0"/>
                <w:color w:val="auto"/>
                <w:szCs w:val="21"/>
                <w:highlight w:val="none"/>
                <w:lang w:val="en-US" w:eastAsia="zh-CN"/>
              </w:rPr>
              <w:t>C证，</w:t>
            </w:r>
            <w:r>
              <w:rPr>
                <w:rFonts w:hint="eastAsia" w:ascii="宋体" w:hAnsi="宋体" w:eastAsia="宋体" w:cs="宋体"/>
                <w:b w:val="0"/>
                <w:bCs w:val="0"/>
                <w:color w:val="auto"/>
                <w:szCs w:val="21"/>
                <w:highlight w:val="none"/>
              </w:rPr>
              <w:t>人数符合住房和城乡建设部《建筑施工企业安全生产管理机构设置及专职安全生产管理人员配备办法》（建质〔2008〕91号）的规定不少于1人</w:t>
            </w:r>
            <w:r>
              <w:rPr>
                <w:rFonts w:hint="eastAsia" w:ascii="宋体" w:hAnsi="宋体" w:eastAsia="宋体" w:cs="宋体"/>
                <w:b w:val="0"/>
                <w:bCs w:val="0"/>
                <w:color w:val="auto"/>
                <w:szCs w:val="21"/>
                <w:highlight w:val="none"/>
                <w:lang w:eastAsia="zh-CN"/>
              </w:rPr>
              <w:t>；施工员、质量员、材料员备注齐全，</w:t>
            </w:r>
            <w:r>
              <w:rPr>
                <w:rFonts w:hint="eastAsia" w:ascii="宋体" w:hAnsi="宋体" w:eastAsia="宋体" w:cs="宋体"/>
                <w:b w:val="0"/>
                <w:bCs w:val="0"/>
                <w:color w:val="auto"/>
                <w:szCs w:val="21"/>
                <w:highlight w:val="none"/>
              </w:rPr>
              <w:t>具备有效的执业证或上岗证</w:t>
            </w:r>
            <w:r>
              <w:rPr>
                <w:rFonts w:hint="eastAsia" w:ascii="宋体" w:hAnsi="宋体" w:eastAsia="宋体" w:cs="宋体"/>
                <w:b w:val="0"/>
                <w:bCs w:val="0"/>
                <w:color w:val="auto"/>
                <w:szCs w:val="21"/>
                <w:highlight w:val="none"/>
                <w:lang w:eastAsia="zh-CN"/>
              </w:rPr>
              <w:t>。</w:t>
            </w:r>
          </w:p>
          <w:p w14:paraId="112638C8">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outlineLvl w:val="9"/>
              <w:rPr>
                <w:rFonts w:hint="eastAsia" w:ascii="宋体" w:hAnsi="宋体" w:eastAsia="宋体" w:cs="宋体"/>
                <w:color w:val="auto"/>
                <w:highlight w:val="none"/>
              </w:rPr>
            </w:pPr>
            <w:r>
              <w:rPr>
                <w:rFonts w:hint="eastAsia" w:ascii="宋体" w:hAnsi="宋体" w:eastAsia="宋体" w:cs="宋体"/>
                <w:b/>
                <w:bCs w:val="0"/>
                <w:color w:val="auto"/>
                <w:highlight w:val="none"/>
                <w:lang w:val="en-US" w:eastAsia="zh-CN"/>
              </w:rPr>
              <w:t>五、其他要求：</w:t>
            </w:r>
            <w:r>
              <w:rPr>
                <w:rFonts w:hint="eastAsia" w:ascii="宋体" w:hAnsi="宋体" w:eastAsia="宋体" w:cs="宋体"/>
                <w:b/>
                <w:bCs w:val="0"/>
                <w:color w:val="auto"/>
                <w:highlight w:val="none"/>
              </w:rPr>
              <w:t>具体详见</w:t>
            </w:r>
            <w:r>
              <w:rPr>
                <w:rFonts w:hint="eastAsia" w:ascii="宋体" w:hAnsi="宋体" w:eastAsia="宋体" w:cs="宋体"/>
                <w:b/>
                <w:bCs w:val="0"/>
                <w:color w:val="auto"/>
                <w:highlight w:val="none"/>
                <w:lang w:val="en-US" w:eastAsia="zh-CN"/>
              </w:rPr>
              <w:t>招标控制价文件</w:t>
            </w:r>
            <w:r>
              <w:rPr>
                <w:rFonts w:hint="eastAsia" w:ascii="宋体" w:hAnsi="宋体" w:eastAsia="宋体" w:cs="宋体"/>
                <w:b/>
                <w:bCs w:val="0"/>
                <w:color w:val="auto"/>
                <w:highlight w:val="none"/>
              </w:rPr>
              <w:t>及图纸（另册提供）。</w:t>
            </w:r>
          </w:p>
        </w:tc>
        <w:tc>
          <w:tcPr>
            <w:tcW w:w="358" w:type="pct"/>
            <w:tcBorders>
              <w:top w:val="single" w:color="auto" w:sz="4" w:space="0"/>
              <w:left w:val="single" w:color="auto" w:sz="4" w:space="0"/>
              <w:right w:val="single" w:color="auto" w:sz="4" w:space="0"/>
            </w:tcBorders>
            <w:noWrap w:val="0"/>
            <w:vAlign w:val="center"/>
          </w:tcPr>
          <w:p w14:paraId="3DCB0F36">
            <w:pPr>
              <w:keepNext w:val="0"/>
              <w:keepLines w:val="0"/>
              <w:pageBreakBefore w:val="0"/>
              <w:kinsoku/>
              <w:wordWrap/>
              <w:overflowPunct/>
              <w:topLinePunct w:val="0"/>
              <w:autoSpaceDE/>
              <w:autoSpaceDN/>
              <w:bidi w:val="0"/>
              <w:adjustRightInd/>
              <w:spacing w:line="360" w:lineRule="exact"/>
              <w:jc w:val="center"/>
              <w:textAlignment w:val="auto"/>
              <w:outlineLvl w:val="9"/>
              <w:rPr>
                <w:rFonts w:hint="eastAsia" w:ascii="宋体" w:hAnsi="宋体" w:eastAsia="宋体" w:cs="宋体"/>
                <w:color w:val="auto"/>
                <w:szCs w:val="21"/>
                <w:highlight w:val="none"/>
                <w:lang w:val="en-US" w:eastAsia="zh-CN"/>
              </w:rPr>
            </w:pPr>
            <w:r>
              <w:rPr>
                <w:rFonts w:hint="eastAsia" w:ascii="宋体" w:hAnsi="宋体" w:eastAsia="宋体" w:cs="宋体"/>
                <w:b w:val="0"/>
                <w:bCs w:val="0"/>
                <w:color w:val="auto"/>
                <w:szCs w:val="21"/>
                <w:highlight w:val="none"/>
                <w:lang w:val="en-US" w:eastAsia="zh-CN"/>
              </w:rPr>
              <w:t>996591.65</w:t>
            </w:r>
          </w:p>
        </w:tc>
        <w:tc>
          <w:tcPr>
            <w:tcW w:w="589" w:type="pct"/>
            <w:tcBorders>
              <w:top w:val="single" w:color="auto" w:sz="4" w:space="0"/>
              <w:left w:val="single" w:color="auto" w:sz="4" w:space="0"/>
              <w:right w:val="single" w:color="auto" w:sz="4" w:space="0"/>
            </w:tcBorders>
            <w:noWrap w:val="0"/>
            <w:vAlign w:val="center"/>
          </w:tcPr>
          <w:p w14:paraId="63AEA587">
            <w:pPr>
              <w:keepNext w:val="0"/>
              <w:keepLines w:val="0"/>
              <w:pageBreakBefore w:val="0"/>
              <w:kinsoku/>
              <w:wordWrap/>
              <w:overflowPunct/>
              <w:topLinePunct w:val="0"/>
              <w:autoSpaceDE/>
              <w:autoSpaceDN/>
              <w:bidi w:val="0"/>
              <w:adjustRightInd/>
              <w:spacing w:line="360" w:lineRule="exact"/>
              <w:jc w:val="center"/>
              <w:textAlignment w:val="auto"/>
              <w:outlineLvl w:val="9"/>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建筑业</w:t>
            </w:r>
          </w:p>
        </w:tc>
      </w:tr>
      <w:tr w14:paraId="1F1533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trPr>
        <w:tc>
          <w:tcPr>
            <w:tcW w:w="1687" w:type="pct"/>
            <w:gridSpan w:val="5"/>
            <w:tcBorders>
              <w:top w:val="single" w:color="auto" w:sz="4" w:space="0"/>
              <w:left w:val="single" w:color="auto" w:sz="4" w:space="0"/>
              <w:bottom w:val="single" w:color="auto" w:sz="4" w:space="0"/>
              <w:right w:val="single" w:color="auto" w:sz="4" w:space="0"/>
            </w:tcBorders>
            <w:noWrap w:val="0"/>
            <w:vAlign w:val="center"/>
          </w:tcPr>
          <w:p w14:paraId="6969394F">
            <w:pPr>
              <w:keepNext w:val="0"/>
              <w:keepLines w:val="0"/>
              <w:pageBreakBefore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分项最高限价合计（元）</w:t>
            </w:r>
          </w:p>
        </w:tc>
        <w:tc>
          <w:tcPr>
            <w:tcW w:w="3312" w:type="pct"/>
            <w:gridSpan w:val="3"/>
            <w:tcBorders>
              <w:top w:val="single" w:color="auto" w:sz="4" w:space="0"/>
              <w:left w:val="single" w:color="auto" w:sz="4" w:space="0"/>
              <w:right w:val="single" w:color="auto" w:sz="4" w:space="0"/>
            </w:tcBorders>
            <w:noWrap w:val="0"/>
            <w:vAlign w:val="center"/>
          </w:tcPr>
          <w:p w14:paraId="688C76F4">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eastAsia="宋体" w:cs="宋体"/>
                <w:color w:val="auto"/>
                <w:szCs w:val="21"/>
                <w:highlight w:val="none"/>
                <w:lang w:val="en-US" w:eastAsia="zh-CN"/>
              </w:rPr>
            </w:pPr>
            <w:r>
              <w:rPr>
                <w:rFonts w:hint="eastAsia" w:ascii="宋体" w:hAnsi="宋体" w:eastAsia="宋体" w:cs="宋体"/>
                <w:b w:val="0"/>
                <w:bCs w:val="0"/>
                <w:color w:val="auto"/>
                <w:szCs w:val="21"/>
                <w:highlight w:val="none"/>
                <w:lang w:val="en-US" w:eastAsia="zh-CN"/>
              </w:rPr>
              <w:t>996591.65</w:t>
            </w:r>
          </w:p>
        </w:tc>
      </w:tr>
      <w:tr w14:paraId="3B0981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1141" w:type="pct"/>
            <w:gridSpan w:val="3"/>
            <w:tcBorders>
              <w:top w:val="single" w:color="auto" w:sz="4" w:space="0"/>
              <w:left w:val="single" w:color="auto" w:sz="4" w:space="0"/>
              <w:bottom w:val="single" w:color="auto" w:sz="4" w:space="0"/>
              <w:right w:val="single" w:color="auto" w:sz="4" w:space="0"/>
            </w:tcBorders>
            <w:shd w:val="clear" w:color="auto" w:fill="auto"/>
            <w:noWrap w:val="0"/>
            <w:vAlign w:val="top"/>
          </w:tcPr>
          <w:p w14:paraId="144C0B52">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eastAsia="宋体" w:cs="宋体"/>
                <w:color w:val="auto"/>
                <w:highlight w:val="none"/>
              </w:rPr>
            </w:pPr>
          </w:p>
          <w:p w14:paraId="472F04F7">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eastAsia="宋体" w:cs="宋体"/>
                <w:color w:val="auto"/>
                <w:highlight w:val="none"/>
              </w:rPr>
            </w:pPr>
          </w:p>
          <w:p w14:paraId="04B734B4">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商务条款</w:t>
            </w:r>
          </w:p>
        </w:tc>
        <w:tc>
          <w:tcPr>
            <w:tcW w:w="7335" w:type="dxa"/>
            <w:gridSpan w:val="5"/>
            <w:tcBorders>
              <w:top w:val="single" w:color="auto" w:sz="4" w:space="0"/>
              <w:left w:val="single" w:color="auto" w:sz="4" w:space="0"/>
              <w:bottom w:val="single" w:color="auto" w:sz="4" w:space="0"/>
              <w:right w:val="single" w:color="auto" w:sz="4" w:space="0"/>
            </w:tcBorders>
            <w:shd w:val="clear" w:color="auto" w:fill="auto"/>
            <w:noWrap w:val="0"/>
            <w:vAlign w:val="center"/>
          </w:tcPr>
          <w:p w14:paraId="0DE2D450">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▲一、</w:t>
            </w:r>
            <w:r>
              <w:rPr>
                <w:rFonts w:hint="eastAsia" w:ascii="宋体" w:hAnsi="宋体" w:eastAsia="宋体" w:cs="宋体"/>
                <w:color w:val="auto"/>
                <w:sz w:val="21"/>
                <w:szCs w:val="21"/>
                <w:highlight w:val="none"/>
              </w:rPr>
              <w:t>合同签订期：自成交通知书发出之日起</w:t>
            </w:r>
            <w:r>
              <w:rPr>
                <w:rFonts w:hint="eastAsia" w:ascii="宋体" w:hAnsi="宋体" w:eastAsia="宋体" w:cs="宋体"/>
                <w:color w:val="auto"/>
                <w:sz w:val="21"/>
                <w:szCs w:val="21"/>
                <w:highlight w:val="none"/>
                <w:lang w:val="en-US" w:eastAsia="zh-CN"/>
              </w:rPr>
              <w:t>25</w:t>
            </w:r>
            <w:r>
              <w:rPr>
                <w:rFonts w:hint="eastAsia" w:ascii="宋体" w:hAnsi="宋体" w:eastAsia="宋体" w:cs="宋体"/>
                <w:color w:val="auto"/>
                <w:sz w:val="21"/>
                <w:szCs w:val="21"/>
                <w:highlight w:val="none"/>
              </w:rPr>
              <w:t>日内</w:t>
            </w:r>
            <w:r>
              <w:rPr>
                <w:rFonts w:hint="eastAsia" w:ascii="宋体" w:hAnsi="宋体" w:eastAsia="宋体" w:cs="宋体"/>
                <w:color w:val="auto"/>
                <w:sz w:val="21"/>
                <w:szCs w:val="21"/>
                <w:highlight w:val="none"/>
                <w:lang w:eastAsia="zh-CN"/>
              </w:rPr>
              <w:t>。</w:t>
            </w:r>
          </w:p>
          <w:p w14:paraId="23B6CF19">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left"/>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▲二、</w:t>
            </w:r>
            <w:r>
              <w:rPr>
                <w:rFonts w:hint="eastAsia" w:ascii="宋体" w:hAnsi="宋体" w:eastAsia="宋体" w:cs="宋体"/>
                <w:color w:val="auto"/>
                <w:sz w:val="21"/>
                <w:szCs w:val="21"/>
                <w:highlight w:val="none"/>
                <w:lang w:val="en-US" w:eastAsia="zh-CN"/>
              </w:rPr>
              <w:t>工期</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60个日历天</w:t>
            </w:r>
          </w:p>
          <w:p w14:paraId="15A349F1">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三</w:t>
            </w:r>
            <w:r>
              <w:rPr>
                <w:rFonts w:hint="eastAsia" w:ascii="宋体" w:hAnsi="宋体" w:eastAsia="宋体" w:cs="宋体"/>
                <w:color w:val="auto"/>
                <w:sz w:val="21"/>
                <w:szCs w:val="21"/>
                <w:highlight w:val="none"/>
              </w:rPr>
              <w:t>、验收标准、规范：</w:t>
            </w:r>
          </w:p>
          <w:p w14:paraId="6E038C09">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根据采购单位的要求和国家现行的有关的工程建设标准、技术规范及强制性标准条文等有关规范标准。</w:t>
            </w:r>
          </w:p>
          <w:p w14:paraId="43E370F1">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验收过程中所产生的一切费用均由成交人承担。报价时应考虑相关费用。</w:t>
            </w:r>
          </w:p>
          <w:p w14:paraId="25CC8686">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四</w:t>
            </w:r>
            <w:r>
              <w:rPr>
                <w:rFonts w:hint="eastAsia" w:ascii="宋体" w:hAnsi="宋体" w:eastAsia="宋体" w:cs="宋体"/>
                <w:color w:val="auto"/>
                <w:sz w:val="21"/>
                <w:szCs w:val="21"/>
                <w:highlight w:val="none"/>
              </w:rPr>
              <w:t>、售后服务要求</w:t>
            </w:r>
            <w:r>
              <w:rPr>
                <w:rFonts w:hint="eastAsia" w:ascii="宋体" w:hAnsi="宋体" w:eastAsia="宋体" w:cs="宋体"/>
                <w:color w:val="auto"/>
                <w:sz w:val="21"/>
                <w:szCs w:val="21"/>
                <w:highlight w:val="none"/>
                <w:lang w:eastAsia="zh-CN"/>
              </w:rPr>
              <w:t>：</w:t>
            </w:r>
          </w:p>
          <w:p w14:paraId="3F06D164">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工程质量保修要求：质量保修期从工程实际竣工验收通过之日算起。</w:t>
            </w:r>
          </w:p>
          <w:p w14:paraId="2833DFAE">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（1）</w:t>
            </w:r>
            <w:r>
              <w:rPr>
                <w:rFonts w:hint="eastAsia" w:ascii="宋体" w:hAnsi="宋体" w:eastAsia="宋体" w:cs="宋体"/>
                <w:color w:val="auto"/>
                <w:sz w:val="21"/>
                <w:szCs w:val="21"/>
                <w:highlight w:val="none"/>
              </w:rPr>
              <w:t>双方根据国家有关规定，</w:t>
            </w:r>
            <w:r>
              <w:rPr>
                <w:rFonts w:hint="eastAsia" w:ascii="宋体" w:hAnsi="宋体" w:eastAsia="宋体" w:cs="宋体"/>
                <w:color w:val="auto"/>
                <w:sz w:val="21"/>
                <w:szCs w:val="21"/>
                <w:highlight w:val="none"/>
                <w:lang w:val="en-US" w:eastAsia="zh-CN"/>
              </w:rPr>
              <w:t>按法律、行政法规或国家关于工程质量保修的有关规定，对交付发包人使用的工程质量保修期为</w:t>
            </w:r>
            <w:r>
              <w:rPr>
                <w:rFonts w:hint="eastAsia" w:ascii="宋体" w:hAnsi="宋体" w:eastAsia="宋体" w:cs="宋体"/>
                <w:color w:val="auto"/>
                <w:sz w:val="21"/>
                <w:szCs w:val="21"/>
                <w:highlight w:val="none"/>
              </w:rPr>
              <w:t>工程实际竣工验收通过之日起</w:t>
            </w:r>
            <w:r>
              <w:rPr>
                <w:rFonts w:hint="eastAsia" w:ascii="宋体" w:hAnsi="宋体" w:eastAsia="宋体" w:cs="宋体"/>
                <w:color w:val="auto"/>
                <w:sz w:val="21"/>
                <w:szCs w:val="21"/>
                <w:highlight w:val="none"/>
                <w:lang w:val="en-US" w:eastAsia="zh-CN"/>
              </w:rPr>
              <w:t>1年，应承担质量保修责任。</w:t>
            </w:r>
          </w:p>
          <w:p w14:paraId="03F7F4D3">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color w:val="auto"/>
                <w:sz w:val="21"/>
                <w:szCs w:val="21"/>
                <w:highlight w:val="none"/>
              </w:rPr>
              <w:t>在没有明文规定下，参照建设工程质量保修条例，双方协商为设计文件规定的该工程的合理使用年限内保修</w:t>
            </w:r>
            <w:r>
              <w:rPr>
                <w:rFonts w:hint="eastAsia" w:ascii="宋体" w:hAnsi="宋体" w:eastAsia="宋体" w:cs="宋体"/>
                <w:color w:val="auto"/>
                <w:sz w:val="21"/>
                <w:szCs w:val="21"/>
                <w:highlight w:val="none"/>
                <w:lang w:eastAsia="zh-CN"/>
              </w:rPr>
              <w:t>。</w:t>
            </w:r>
          </w:p>
          <w:p w14:paraId="709BCEA1">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涉及货物部分成交产品必须是全新、未使用过的产品。产品包装必须是未经使用的全新的合格产品，并按照原厂标准包装规格供货，不接受散装或拆包装件。</w:t>
            </w:r>
          </w:p>
          <w:p w14:paraId="17059278">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其余部分按合同相关条款执行。</w:t>
            </w:r>
          </w:p>
          <w:p w14:paraId="78130168">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五</w:t>
            </w:r>
            <w:r>
              <w:rPr>
                <w:rFonts w:hint="eastAsia" w:ascii="宋体" w:hAnsi="宋体" w:eastAsia="宋体" w:cs="宋体"/>
                <w:b/>
                <w:bCs/>
                <w:color w:val="auto"/>
                <w:sz w:val="21"/>
                <w:szCs w:val="21"/>
                <w:highlight w:val="none"/>
              </w:rPr>
              <w:t>、付款方式</w:t>
            </w:r>
            <w:r>
              <w:rPr>
                <w:rFonts w:hint="eastAsia" w:ascii="宋体" w:hAnsi="宋体" w:eastAsia="宋体" w:cs="宋体"/>
                <w:b/>
                <w:bCs/>
                <w:color w:val="auto"/>
                <w:sz w:val="21"/>
                <w:szCs w:val="21"/>
                <w:highlight w:val="none"/>
                <w:lang w:eastAsia="zh-CN"/>
              </w:rPr>
              <w:t>：</w:t>
            </w:r>
            <w:r>
              <w:rPr>
                <w:rFonts w:hint="eastAsia" w:ascii="宋体" w:hAnsi="宋体" w:eastAsia="宋体" w:cs="宋体"/>
                <w:b w:val="0"/>
                <w:bCs w:val="0"/>
                <w:color w:val="auto"/>
                <w:sz w:val="21"/>
                <w:szCs w:val="21"/>
                <w:highlight w:val="none"/>
                <w:lang w:eastAsia="zh-CN"/>
              </w:rPr>
              <w:t>详见专用合同条款</w:t>
            </w:r>
            <w:r>
              <w:rPr>
                <w:rFonts w:hint="eastAsia" w:ascii="宋体" w:hAnsi="宋体" w:eastAsia="宋体" w:cs="宋体"/>
                <w:b w:val="0"/>
                <w:bCs w:val="0"/>
                <w:color w:val="auto"/>
                <w:sz w:val="21"/>
                <w:szCs w:val="21"/>
                <w:highlight w:val="none"/>
              </w:rPr>
              <w:t>。</w:t>
            </w:r>
          </w:p>
          <w:p w14:paraId="648DB090">
            <w:pPr>
              <w:keepNext w:val="0"/>
              <w:keepLines w:val="0"/>
              <w:pageBreakBefore w:val="0"/>
              <w:numPr>
                <w:ilvl w:val="0"/>
                <w:numId w:val="0"/>
              </w:numPr>
              <w:kinsoku/>
              <w:wordWrap/>
              <w:overflowPunct/>
              <w:topLinePunct w:val="0"/>
              <w:autoSpaceDE/>
              <w:autoSpaceDN/>
              <w:bidi w:val="0"/>
              <w:adjustRightInd/>
              <w:snapToGrid/>
              <w:spacing w:line="440" w:lineRule="exact"/>
              <w:ind w:left="0" w:leftChars="0" w:right="34" w:rightChars="16" w:firstLine="0" w:firstLineChars="0"/>
              <w:jc w:val="left"/>
              <w:textAlignment w:val="auto"/>
              <w:rPr>
                <w:rFonts w:hint="eastAsia" w:ascii="宋体" w:hAnsi="宋体" w:eastAsia="宋体" w:cs="宋体"/>
                <w:color w:val="auto"/>
                <w:highlight w:val="none"/>
              </w:rPr>
            </w:pPr>
            <w:r>
              <w:rPr>
                <w:rFonts w:hint="eastAsia" w:ascii="宋体" w:hAnsi="宋体" w:eastAsia="宋体" w:cs="宋体"/>
                <w:b/>
                <w:bCs/>
                <w:color w:val="auto"/>
                <w:sz w:val="21"/>
                <w:szCs w:val="21"/>
                <w:highlight w:val="none"/>
                <w:lang w:val="en-US" w:eastAsia="zh-CN"/>
              </w:rPr>
              <w:t>六、</w:t>
            </w:r>
            <w:r>
              <w:rPr>
                <w:rFonts w:hint="eastAsia" w:ascii="宋体" w:hAnsi="宋体" w:eastAsia="宋体" w:cs="宋体"/>
                <w:b/>
                <w:bCs/>
                <w:color w:val="auto"/>
                <w:sz w:val="21"/>
                <w:szCs w:val="21"/>
                <w:highlight w:val="none"/>
              </w:rPr>
              <w:t>报价方式：</w:t>
            </w:r>
            <w:r>
              <w:rPr>
                <w:rFonts w:hint="eastAsia" w:ascii="宋体" w:hAnsi="宋体" w:eastAsia="宋体" w:cs="宋体"/>
                <w:b w:val="0"/>
                <w:bCs w:val="0"/>
                <w:color w:val="auto"/>
                <w:sz w:val="21"/>
                <w:szCs w:val="21"/>
                <w:highlight w:val="none"/>
              </w:rPr>
              <w:t>采用工程量清单报价方式，供应商已标价工程量清单</w:t>
            </w:r>
            <w:r>
              <w:rPr>
                <w:rFonts w:hint="eastAsia" w:ascii="宋体" w:hAnsi="宋体" w:eastAsia="宋体" w:cs="宋体"/>
                <w:b w:val="0"/>
                <w:bCs w:val="0"/>
                <w:color w:val="auto"/>
                <w:sz w:val="21"/>
                <w:szCs w:val="21"/>
                <w:highlight w:val="none"/>
                <w:lang w:eastAsia="zh-CN"/>
              </w:rPr>
              <w:t>（包含首次报价、最后报价）</w:t>
            </w:r>
            <w:r>
              <w:rPr>
                <w:rFonts w:hint="eastAsia" w:ascii="宋体" w:hAnsi="宋体" w:eastAsia="宋体" w:cs="宋体"/>
                <w:b w:val="0"/>
                <w:bCs w:val="0"/>
                <w:color w:val="auto"/>
                <w:sz w:val="21"/>
                <w:szCs w:val="21"/>
                <w:highlight w:val="none"/>
              </w:rPr>
              <w:t>的项目编码、项目名称及项目特征描述、计量单位、工程量须与招标工程量清单一致的，否则竞标无效；</w:t>
            </w:r>
            <w:r>
              <w:rPr>
                <w:rFonts w:hint="eastAsia" w:ascii="宋体" w:hAnsi="宋体" w:eastAsia="宋体" w:cs="宋体"/>
                <w:b w:val="0"/>
                <w:bCs w:val="0"/>
                <w:color w:val="auto"/>
                <w:sz w:val="21"/>
                <w:szCs w:val="21"/>
                <w:highlight w:val="none"/>
                <w:lang w:eastAsia="zh-CN"/>
              </w:rPr>
              <w:t>竞标</w:t>
            </w:r>
            <w:r>
              <w:rPr>
                <w:rFonts w:hint="eastAsia" w:ascii="宋体" w:hAnsi="宋体" w:eastAsia="宋体" w:cs="宋体"/>
                <w:b w:val="0"/>
                <w:bCs w:val="0"/>
                <w:color w:val="auto"/>
                <w:sz w:val="21"/>
                <w:szCs w:val="21"/>
                <w:highlight w:val="none"/>
              </w:rPr>
              <w:t>报价不得高于最高限价。本项目采用二次报价方式，竞标人的最终报价如有变动，则必须以工程量清单报价表的格式编制提交，竞标人须提前做好相关准备并按时递交最终报价文件，否则报价无效。</w:t>
            </w:r>
          </w:p>
        </w:tc>
      </w:tr>
      <w:tr w14:paraId="746000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1141" w:type="pct"/>
            <w:gridSpan w:val="3"/>
            <w:tcBorders>
              <w:top w:val="single" w:color="auto" w:sz="4" w:space="0"/>
              <w:left w:val="single" w:color="auto" w:sz="4" w:space="0"/>
              <w:bottom w:val="single" w:color="auto" w:sz="4" w:space="0"/>
              <w:right w:val="single" w:color="auto" w:sz="4" w:space="0"/>
            </w:tcBorders>
            <w:noWrap w:val="0"/>
            <w:vAlign w:val="center"/>
          </w:tcPr>
          <w:p w14:paraId="5DF007F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其他说明</w:t>
            </w:r>
          </w:p>
        </w:tc>
        <w:tc>
          <w:tcPr>
            <w:tcW w:w="7335" w:type="dxa"/>
            <w:gridSpan w:val="5"/>
            <w:tcBorders>
              <w:top w:val="single" w:color="auto" w:sz="4" w:space="0"/>
              <w:left w:val="single" w:color="auto" w:sz="4" w:space="0"/>
              <w:bottom w:val="single" w:color="auto" w:sz="4" w:space="0"/>
              <w:right w:val="single" w:color="auto" w:sz="4" w:space="0"/>
            </w:tcBorders>
            <w:noWrap w:val="0"/>
            <w:vAlign w:val="center"/>
          </w:tcPr>
          <w:p w14:paraId="67AA1C5F">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一、进口产品说明</w:t>
            </w:r>
            <w:r>
              <w:rPr>
                <w:rFonts w:hint="eastAsia" w:ascii="宋体" w:hAnsi="宋体" w:eastAsia="宋体" w:cs="宋体"/>
                <w:b/>
                <w:bCs/>
                <w:color w:val="auto"/>
                <w:sz w:val="21"/>
                <w:szCs w:val="21"/>
                <w:highlight w:val="none"/>
                <w:lang w:eastAsia="zh-CN"/>
              </w:rPr>
              <w:t>：</w:t>
            </w:r>
            <w:r>
              <w:rPr>
                <w:rFonts w:hint="eastAsia" w:ascii="宋体" w:hAnsi="宋体" w:eastAsia="宋体" w:cs="宋体"/>
                <w:b w:val="0"/>
                <w:bCs w:val="0"/>
                <w:color w:val="auto"/>
                <w:sz w:val="21"/>
                <w:szCs w:val="21"/>
                <w:highlight w:val="none"/>
                <w:lang w:eastAsia="zh-CN"/>
              </w:rPr>
              <w:t>本项目</w:t>
            </w:r>
            <w:r>
              <w:rPr>
                <w:rFonts w:hint="eastAsia" w:ascii="宋体" w:hAnsi="宋体" w:eastAsia="宋体" w:cs="宋体"/>
                <w:b w:val="0"/>
                <w:bCs w:val="0"/>
                <w:color w:val="auto"/>
                <w:sz w:val="21"/>
                <w:szCs w:val="21"/>
                <w:highlight w:val="none"/>
              </w:rPr>
              <w:t>不涉及进口产品。</w:t>
            </w:r>
          </w:p>
          <w:p w14:paraId="17F558E1">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二</w:t>
            </w:r>
            <w:r>
              <w:rPr>
                <w:rFonts w:hint="eastAsia" w:ascii="宋体" w:hAnsi="宋体" w:eastAsia="宋体" w:cs="宋体"/>
                <w:b/>
                <w:bCs/>
                <w:color w:val="auto"/>
                <w:sz w:val="21"/>
                <w:szCs w:val="21"/>
                <w:highlight w:val="none"/>
              </w:rPr>
              <w:t>、与本</w:t>
            </w:r>
            <w:r>
              <w:rPr>
                <w:rFonts w:hint="eastAsia" w:ascii="宋体" w:hAnsi="宋体" w:eastAsia="宋体" w:cs="宋体"/>
                <w:b/>
                <w:bCs/>
                <w:color w:val="auto"/>
                <w:sz w:val="21"/>
                <w:szCs w:val="21"/>
                <w:highlight w:val="none"/>
                <w:lang w:eastAsia="zh-CN"/>
              </w:rPr>
              <w:t>项目</w:t>
            </w:r>
            <w:r>
              <w:rPr>
                <w:rFonts w:hint="eastAsia" w:ascii="宋体" w:hAnsi="宋体" w:eastAsia="宋体" w:cs="宋体"/>
                <w:b/>
                <w:bCs/>
                <w:color w:val="auto"/>
                <w:sz w:val="21"/>
                <w:szCs w:val="21"/>
                <w:highlight w:val="none"/>
              </w:rPr>
              <w:t>有关的图纸、工程量清单及其获取方式</w:t>
            </w:r>
            <w:r>
              <w:rPr>
                <w:rFonts w:hint="eastAsia" w:ascii="宋体" w:hAnsi="宋体" w:eastAsia="宋体" w:cs="宋体"/>
                <w:b/>
                <w:bCs/>
                <w:color w:val="auto"/>
                <w:sz w:val="21"/>
                <w:szCs w:val="21"/>
                <w:highlight w:val="none"/>
                <w:lang w:eastAsia="zh-CN"/>
              </w:rPr>
              <w:t>：</w:t>
            </w:r>
          </w:p>
          <w:p w14:paraId="5FFA314B">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资料名称：1、工程量清单</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2、图纸</w:t>
            </w:r>
            <w:r>
              <w:rPr>
                <w:rFonts w:hint="eastAsia" w:ascii="宋体" w:hAnsi="宋体" w:eastAsia="宋体" w:cs="宋体"/>
                <w:b w:val="0"/>
                <w:bCs w:val="0"/>
                <w:color w:val="auto"/>
                <w:sz w:val="21"/>
                <w:szCs w:val="21"/>
                <w:highlight w:val="none"/>
                <w:lang w:eastAsia="zh-CN"/>
              </w:rPr>
              <w:t>。</w:t>
            </w:r>
          </w:p>
          <w:p w14:paraId="3F961E56">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highlight w:val="none"/>
                <w:lang w:val="en-US" w:eastAsia="zh-CN"/>
              </w:rPr>
            </w:pPr>
            <w:r>
              <w:rPr>
                <w:rFonts w:hint="eastAsia" w:ascii="宋体" w:hAnsi="宋体" w:eastAsia="宋体" w:cs="宋体"/>
                <w:b w:val="0"/>
                <w:bCs w:val="0"/>
                <w:color w:val="auto"/>
                <w:sz w:val="21"/>
                <w:szCs w:val="21"/>
                <w:highlight w:val="none"/>
              </w:rPr>
              <w:t>获取方式：网上下载。供应商可自行在“广西政府采购云”平台（https://www.gcy.zfcg.gxzf.gov.cn）下载</w:t>
            </w:r>
            <w:r>
              <w:rPr>
                <w:rFonts w:hint="eastAsia" w:ascii="宋体" w:hAnsi="宋体" w:eastAsia="宋体" w:cs="宋体"/>
                <w:b w:val="0"/>
                <w:bCs w:val="0"/>
                <w:color w:val="auto"/>
                <w:sz w:val="21"/>
                <w:szCs w:val="21"/>
                <w:highlight w:val="none"/>
                <w:lang w:eastAsia="zh-CN"/>
              </w:rPr>
              <w:t>相关资料</w:t>
            </w:r>
            <w:r>
              <w:rPr>
                <w:rFonts w:hint="eastAsia" w:ascii="宋体" w:hAnsi="宋体" w:eastAsia="宋体" w:cs="宋体"/>
                <w:b w:val="0"/>
                <w:bCs w:val="0"/>
                <w:color w:val="auto"/>
                <w:sz w:val="21"/>
                <w:szCs w:val="21"/>
                <w:highlight w:val="none"/>
              </w:rPr>
              <w:t>。</w:t>
            </w:r>
          </w:p>
        </w:tc>
      </w:tr>
    </w:tbl>
    <w:p w14:paraId="73BEE6F4">
      <w:pPr>
        <w:pStyle w:val="26"/>
        <w:rPr>
          <w:rFonts w:hint="eastAsia" w:ascii="宋体" w:hAnsi="宋体" w:cs="宋体"/>
          <w:b/>
          <w:bCs/>
          <w:color w:val="auto"/>
          <w:highlight w:val="none"/>
        </w:rPr>
      </w:pPr>
    </w:p>
    <w:p w14:paraId="6CD00245">
      <w:pPr>
        <w:pStyle w:val="26"/>
        <w:rPr>
          <w:rFonts w:hint="eastAsia" w:ascii="宋体" w:hAnsi="宋体" w:cs="宋体"/>
          <w:b/>
          <w:bCs/>
          <w:color w:val="auto"/>
          <w:highlight w:val="none"/>
        </w:rPr>
      </w:pPr>
    </w:p>
    <w:p w14:paraId="0E065266">
      <w:pPr>
        <w:pStyle w:val="26"/>
        <w:rPr>
          <w:rFonts w:hint="eastAsia" w:ascii="宋体" w:hAnsi="宋体" w:cs="宋体"/>
          <w:b/>
          <w:bCs/>
          <w:color w:val="auto"/>
          <w:highlight w:val="none"/>
        </w:rPr>
      </w:pPr>
    </w:p>
    <w:p w14:paraId="43A774EE">
      <w:pPr>
        <w:pStyle w:val="26"/>
        <w:rPr>
          <w:rFonts w:hint="eastAsia" w:ascii="宋体" w:hAnsi="宋体" w:cs="宋体"/>
          <w:b/>
          <w:bCs/>
          <w:color w:val="auto"/>
          <w:highlight w:val="none"/>
        </w:rPr>
      </w:pPr>
    </w:p>
    <w:p w14:paraId="21672839">
      <w:pPr>
        <w:tabs>
          <w:tab w:val="left" w:pos="180"/>
          <w:tab w:val="left" w:pos="1620"/>
        </w:tabs>
        <w:spacing w:line="360" w:lineRule="auto"/>
        <w:rPr>
          <w:rFonts w:hint="eastAsia" w:ascii="宋体" w:hAnsi="宋体" w:cs="宋体"/>
          <w:b/>
          <w:bCs/>
          <w:color w:val="auto"/>
          <w:sz w:val="18"/>
          <w:szCs w:val="18"/>
          <w:highlight w:val="none"/>
        </w:rPr>
      </w:pPr>
    </w:p>
    <w:p w14:paraId="4D011458">
      <w:pPr>
        <w:tabs>
          <w:tab w:val="left" w:pos="180"/>
          <w:tab w:val="left" w:pos="1620"/>
        </w:tabs>
        <w:spacing w:line="360" w:lineRule="auto"/>
        <w:rPr>
          <w:rFonts w:hint="eastAsia" w:ascii="宋体" w:hAnsi="宋体" w:cs="宋体"/>
          <w:b/>
          <w:bCs/>
          <w:color w:val="auto"/>
          <w:sz w:val="18"/>
          <w:szCs w:val="18"/>
          <w:highlight w:val="none"/>
        </w:rPr>
      </w:pPr>
    </w:p>
    <w:p w14:paraId="1B570AC2">
      <w:pPr>
        <w:tabs>
          <w:tab w:val="left" w:pos="180"/>
          <w:tab w:val="left" w:pos="1620"/>
        </w:tabs>
        <w:spacing w:line="360" w:lineRule="auto"/>
        <w:rPr>
          <w:rFonts w:hint="eastAsia" w:ascii="宋体" w:hAnsi="宋体" w:cs="宋体"/>
          <w:b/>
          <w:bCs/>
          <w:color w:val="auto"/>
          <w:sz w:val="18"/>
          <w:szCs w:val="18"/>
          <w:highlight w:val="none"/>
        </w:rPr>
      </w:pPr>
    </w:p>
    <w:p w14:paraId="0D006013">
      <w:pPr>
        <w:tabs>
          <w:tab w:val="left" w:pos="180"/>
          <w:tab w:val="left" w:pos="1620"/>
        </w:tabs>
        <w:spacing w:line="360" w:lineRule="auto"/>
        <w:rPr>
          <w:rFonts w:hint="eastAsia" w:ascii="宋体" w:hAnsi="宋体" w:cs="宋体"/>
          <w:b/>
          <w:bCs/>
          <w:color w:val="auto"/>
          <w:sz w:val="18"/>
          <w:szCs w:val="18"/>
          <w:highlight w:val="none"/>
        </w:rPr>
      </w:pPr>
    </w:p>
    <w:p w14:paraId="58E93803">
      <w:pPr>
        <w:tabs>
          <w:tab w:val="left" w:pos="180"/>
          <w:tab w:val="left" w:pos="1620"/>
        </w:tabs>
        <w:spacing w:line="360" w:lineRule="auto"/>
        <w:rPr>
          <w:rFonts w:hint="eastAsia" w:ascii="宋体" w:hAnsi="宋体" w:cs="宋体"/>
          <w:b/>
          <w:bCs/>
          <w:color w:val="auto"/>
          <w:sz w:val="18"/>
          <w:szCs w:val="18"/>
          <w:highlight w:val="none"/>
        </w:rPr>
        <w:sectPr>
          <w:footerReference r:id="rId5" w:type="default"/>
          <w:pgSz w:w="11905" w:h="16838"/>
          <w:pgMar w:top="1134" w:right="1474" w:bottom="1134" w:left="1474" w:header="720" w:footer="720" w:gutter="0"/>
          <w:pgBorders>
            <w:top w:val="none" w:sz="0" w:space="0"/>
            <w:left w:val="none" w:sz="0" w:space="0"/>
            <w:bottom w:val="none" w:sz="0" w:space="0"/>
            <w:right w:val="none" w:sz="0" w:space="0"/>
          </w:pgBorders>
          <w:pgNumType w:start="1"/>
          <w:cols w:space="720" w:num="1"/>
          <w:docGrid w:type="lines" w:linePitch="331" w:charSpace="0"/>
        </w:sectPr>
      </w:pPr>
    </w:p>
    <w:p w14:paraId="0F71195E">
      <w:pPr>
        <w:spacing w:line="428" w:lineRule="exact"/>
        <w:ind w:left="119"/>
        <w:rPr>
          <w:rFonts w:ascii="宋体" w:hAnsi="宋体" w:cs="宋体"/>
          <w:color w:val="auto"/>
          <w:sz w:val="32"/>
          <w:szCs w:val="32"/>
          <w:highlight w:val="none"/>
        </w:rPr>
      </w:pPr>
      <w:r>
        <w:rPr>
          <w:rFonts w:hint="eastAsia" w:ascii="宋体" w:hAnsi="宋体" w:cs="宋体"/>
          <w:color w:val="auto"/>
          <w:sz w:val="32"/>
          <w:szCs w:val="32"/>
          <w:highlight w:val="none"/>
        </w:rPr>
        <w:t>附件1：</w:t>
      </w:r>
    </w:p>
    <w:p w14:paraId="482E654C">
      <w:pPr>
        <w:spacing w:before="7"/>
        <w:rPr>
          <w:rFonts w:hint="eastAsia" w:ascii="宋体" w:hAnsi="宋体" w:cs="宋体"/>
          <w:color w:val="auto"/>
          <w:sz w:val="17"/>
          <w:szCs w:val="17"/>
          <w:highlight w:val="none"/>
        </w:rPr>
      </w:pPr>
    </w:p>
    <w:p w14:paraId="4EE60DB5">
      <w:pPr>
        <w:spacing w:line="528" w:lineRule="exact"/>
        <w:ind w:left="1868" w:hanging="1868" w:hangingChars="467"/>
        <w:jc w:val="center"/>
        <w:rPr>
          <w:rFonts w:hint="eastAsia" w:ascii="宋体" w:hAnsi="宋体" w:cs="宋体"/>
          <w:color w:val="auto"/>
          <w:sz w:val="40"/>
          <w:szCs w:val="40"/>
          <w:highlight w:val="none"/>
        </w:rPr>
      </w:pPr>
      <w:r>
        <w:rPr>
          <w:rFonts w:hint="eastAsia" w:ascii="宋体" w:hAnsi="宋体" w:cs="宋体"/>
          <w:color w:val="auto"/>
          <w:sz w:val="40"/>
          <w:szCs w:val="40"/>
          <w:highlight w:val="none"/>
        </w:rPr>
        <w:t>节能产品政府采购品目清单</w:t>
      </w:r>
    </w:p>
    <w:tbl>
      <w:tblPr>
        <w:tblStyle w:val="23"/>
        <w:tblW w:w="9220" w:type="dxa"/>
        <w:tblInd w:w="93" w:type="dxa"/>
        <w:tblLayout w:type="autofit"/>
        <w:tblCellMar>
          <w:top w:w="0" w:type="dxa"/>
          <w:left w:w="108" w:type="dxa"/>
          <w:bottom w:w="0" w:type="dxa"/>
          <w:right w:w="108" w:type="dxa"/>
        </w:tblCellMar>
      </w:tblPr>
      <w:tblGrid>
        <w:gridCol w:w="641"/>
        <w:gridCol w:w="1116"/>
        <w:gridCol w:w="1516"/>
        <w:gridCol w:w="1612"/>
        <w:gridCol w:w="4335"/>
      </w:tblGrid>
      <w:tr w14:paraId="6CA196E3">
        <w:tblPrEx>
          <w:tblCellMar>
            <w:top w:w="0" w:type="dxa"/>
            <w:left w:w="108" w:type="dxa"/>
            <w:bottom w:w="0" w:type="dxa"/>
            <w:right w:w="108" w:type="dxa"/>
          </w:tblCellMar>
        </w:tblPrEx>
        <w:trPr>
          <w:trHeight w:val="555" w:hRule="atLeast"/>
        </w:trPr>
        <w:tc>
          <w:tcPr>
            <w:tcW w:w="660" w:type="dxa"/>
            <w:tcBorders>
              <w:top w:val="single" w:color="000000" w:sz="8" w:space="0"/>
              <w:left w:val="single" w:color="000000" w:sz="8" w:space="0"/>
              <w:bottom w:val="single" w:color="000000" w:sz="8" w:space="0"/>
              <w:right w:val="single" w:color="000000" w:sz="8" w:space="0"/>
            </w:tcBorders>
            <w:noWrap w:val="0"/>
            <w:vAlign w:val="top"/>
          </w:tcPr>
          <w:p w14:paraId="22277A68">
            <w:pPr>
              <w:widowControl/>
              <w:jc w:val="center"/>
              <w:rPr>
                <w:rFonts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品目序号</w:t>
            </w:r>
          </w:p>
        </w:tc>
        <w:tc>
          <w:tcPr>
            <w:tcW w:w="4020" w:type="dxa"/>
            <w:gridSpan w:val="3"/>
            <w:tcBorders>
              <w:top w:val="single" w:color="000000" w:sz="8" w:space="0"/>
              <w:left w:val="nil"/>
              <w:bottom w:val="single" w:color="000000" w:sz="8" w:space="0"/>
              <w:right w:val="single" w:color="000000" w:sz="8" w:space="0"/>
            </w:tcBorders>
            <w:noWrap w:val="0"/>
            <w:vAlign w:val="center"/>
          </w:tcPr>
          <w:p w14:paraId="4FB8EF78">
            <w:pPr>
              <w:widowControl/>
              <w:jc w:val="center"/>
              <w:rPr>
                <w:rFonts w:hint="eastAsia"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名称</w:t>
            </w:r>
          </w:p>
        </w:tc>
        <w:tc>
          <w:tcPr>
            <w:tcW w:w="4540" w:type="dxa"/>
            <w:tcBorders>
              <w:top w:val="single" w:color="000000" w:sz="8" w:space="0"/>
              <w:left w:val="nil"/>
              <w:bottom w:val="single" w:color="000000" w:sz="8" w:space="0"/>
              <w:right w:val="single" w:color="000000" w:sz="8" w:space="0"/>
            </w:tcBorders>
            <w:noWrap w:val="0"/>
            <w:vAlign w:val="center"/>
          </w:tcPr>
          <w:p w14:paraId="0B13C5A2">
            <w:pPr>
              <w:widowControl/>
              <w:jc w:val="center"/>
              <w:rPr>
                <w:rFonts w:hint="eastAsia"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依据的标准</w:t>
            </w:r>
          </w:p>
        </w:tc>
      </w:tr>
      <w:tr w14:paraId="0FE9D8B6">
        <w:tblPrEx>
          <w:tblCellMar>
            <w:top w:w="0" w:type="dxa"/>
            <w:left w:w="108" w:type="dxa"/>
            <w:bottom w:w="0" w:type="dxa"/>
            <w:right w:w="108" w:type="dxa"/>
          </w:tblCellMar>
        </w:tblPrEx>
        <w:trPr>
          <w:trHeight w:val="495" w:hRule="atLeast"/>
        </w:trPr>
        <w:tc>
          <w:tcPr>
            <w:tcW w:w="660" w:type="dxa"/>
            <w:vMerge w:val="restart"/>
            <w:tcBorders>
              <w:top w:val="nil"/>
              <w:left w:val="single" w:color="000000" w:sz="8" w:space="0"/>
              <w:bottom w:val="single" w:color="000000" w:sz="8" w:space="0"/>
              <w:right w:val="single" w:color="000000" w:sz="8" w:space="0"/>
            </w:tcBorders>
            <w:noWrap w:val="0"/>
            <w:vAlign w:val="center"/>
          </w:tcPr>
          <w:p w14:paraId="1645154D">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w:t>
            </w:r>
          </w:p>
        </w:tc>
        <w:tc>
          <w:tcPr>
            <w:tcW w:w="1080" w:type="dxa"/>
            <w:vMerge w:val="restart"/>
            <w:tcBorders>
              <w:top w:val="nil"/>
              <w:left w:val="single" w:color="000000" w:sz="8" w:space="0"/>
              <w:bottom w:val="single" w:color="000000" w:sz="8" w:space="0"/>
              <w:right w:val="single" w:color="000000" w:sz="8" w:space="0"/>
            </w:tcBorders>
            <w:noWrap w:val="0"/>
            <w:vAlign w:val="center"/>
          </w:tcPr>
          <w:p w14:paraId="2256ABFA">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A020101计算机设备</w:t>
            </w:r>
          </w:p>
        </w:tc>
        <w:tc>
          <w:tcPr>
            <w:tcW w:w="1320" w:type="dxa"/>
            <w:tcBorders>
              <w:top w:val="nil"/>
              <w:left w:val="nil"/>
              <w:bottom w:val="single" w:color="000000" w:sz="8" w:space="0"/>
              <w:right w:val="single" w:color="000000" w:sz="8" w:space="0"/>
            </w:tcBorders>
            <w:noWrap w:val="0"/>
            <w:vAlign w:val="center"/>
          </w:tcPr>
          <w:p w14:paraId="2EBACE59">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★A02010104台式计算机</w:t>
            </w:r>
          </w:p>
        </w:tc>
        <w:tc>
          <w:tcPr>
            <w:tcW w:w="1620" w:type="dxa"/>
            <w:tcBorders>
              <w:top w:val="nil"/>
              <w:left w:val="nil"/>
              <w:bottom w:val="single" w:color="000000" w:sz="8" w:space="0"/>
              <w:right w:val="single" w:color="000000" w:sz="8" w:space="0"/>
            </w:tcBorders>
            <w:noWrap w:val="0"/>
            <w:vAlign w:val="center"/>
          </w:tcPr>
          <w:p w14:paraId="364AEE3C">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0"/>
            <w:vAlign w:val="center"/>
          </w:tcPr>
          <w:p w14:paraId="0717A46D">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《微型计算机能效限定值及能效等级》（GB28380）</w:t>
            </w:r>
          </w:p>
        </w:tc>
      </w:tr>
      <w:tr w14:paraId="7DF8D7D3">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4E90DA1A">
            <w:pPr>
              <w:widowControl/>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2234BEC6">
            <w:pPr>
              <w:widowControl/>
              <w:jc w:val="left"/>
              <w:rPr>
                <w:rFonts w:ascii="宋体" w:hAnsi="宋体" w:cs="宋体"/>
                <w:color w:val="auto"/>
                <w:kern w:val="0"/>
                <w:sz w:val="20"/>
                <w:szCs w:val="20"/>
                <w:highlight w:val="none"/>
              </w:rPr>
            </w:pPr>
          </w:p>
        </w:tc>
        <w:tc>
          <w:tcPr>
            <w:tcW w:w="1320" w:type="dxa"/>
            <w:tcBorders>
              <w:top w:val="nil"/>
              <w:left w:val="nil"/>
              <w:bottom w:val="single" w:color="000000" w:sz="8" w:space="0"/>
              <w:right w:val="single" w:color="000000" w:sz="8" w:space="0"/>
            </w:tcBorders>
            <w:noWrap w:val="0"/>
            <w:vAlign w:val="center"/>
          </w:tcPr>
          <w:p w14:paraId="693334E6">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★A02010105便携式计算机</w:t>
            </w:r>
          </w:p>
        </w:tc>
        <w:tc>
          <w:tcPr>
            <w:tcW w:w="1620" w:type="dxa"/>
            <w:tcBorders>
              <w:top w:val="nil"/>
              <w:left w:val="nil"/>
              <w:bottom w:val="single" w:color="000000" w:sz="8" w:space="0"/>
              <w:right w:val="single" w:color="000000" w:sz="8" w:space="0"/>
            </w:tcBorders>
            <w:noWrap w:val="0"/>
            <w:vAlign w:val="center"/>
          </w:tcPr>
          <w:p w14:paraId="60670A58">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0"/>
            <w:vAlign w:val="center"/>
          </w:tcPr>
          <w:p w14:paraId="65717240">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《微型计算机能效限定值及能效等级》（GB28380）</w:t>
            </w:r>
          </w:p>
        </w:tc>
      </w:tr>
      <w:tr w14:paraId="4DB5D8E7">
        <w:tblPrEx>
          <w:tblCellMar>
            <w:top w:w="0" w:type="dxa"/>
            <w:left w:w="108" w:type="dxa"/>
            <w:bottom w:w="0" w:type="dxa"/>
            <w:right w:w="108" w:type="dxa"/>
          </w:tblCellMar>
        </w:tblPrEx>
        <w:trPr>
          <w:trHeight w:val="73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2ABA39B8">
            <w:pPr>
              <w:widowControl/>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612224DA">
            <w:pPr>
              <w:widowControl/>
              <w:jc w:val="left"/>
              <w:rPr>
                <w:rFonts w:ascii="宋体" w:hAnsi="宋体" w:cs="宋体"/>
                <w:color w:val="auto"/>
                <w:kern w:val="0"/>
                <w:sz w:val="20"/>
                <w:szCs w:val="20"/>
                <w:highlight w:val="none"/>
              </w:rPr>
            </w:pPr>
          </w:p>
        </w:tc>
        <w:tc>
          <w:tcPr>
            <w:tcW w:w="1320" w:type="dxa"/>
            <w:tcBorders>
              <w:top w:val="nil"/>
              <w:left w:val="nil"/>
              <w:bottom w:val="single" w:color="000000" w:sz="8" w:space="0"/>
              <w:right w:val="single" w:color="000000" w:sz="8" w:space="0"/>
            </w:tcBorders>
            <w:noWrap w:val="0"/>
            <w:vAlign w:val="center"/>
          </w:tcPr>
          <w:p w14:paraId="62FD6C06">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★A02010107平板式微型计算机</w:t>
            </w:r>
          </w:p>
        </w:tc>
        <w:tc>
          <w:tcPr>
            <w:tcW w:w="1620" w:type="dxa"/>
            <w:tcBorders>
              <w:top w:val="nil"/>
              <w:left w:val="nil"/>
              <w:bottom w:val="single" w:color="000000" w:sz="8" w:space="0"/>
              <w:right w:val="single" w:color="000000" w:sz="8" w:space="0"/>
            </w:tcBorders>
            <w:noWrap w:val="0"/>
            <w:vAlign w:val="center"/>
          </w:tcPr>
          <w:p w14:paraId="1A8EEBF3">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0"/>
            <w:vAlign w:val="center"/>
          </w:tcPr>
          <w:p w14:paraId="37932360">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《微型计算机能效限定值及能效等级》（GB28380）</w:t>
            </w:r>
          </w:p>
        </w:tc>
      </w:tr>
      <w:tr w14:paraId="7AB7B96E">
        <w:tblPrEx>
          <w:tblCellMar>
            <w:top w:w="0" w:type="dxa"/>
            <w:left w:w="108" w:type="dxa"/>
            <w:bottom w:w="0" w:type="dxa"/>
            <w:right w:w="108" w:type="dxa"/>
          </w:tblCellMar>
        </w:tblPrEx>
        <w:trPr>
          <w:trHeight w:val="495" w:hRule="atLeast"/>
        </w:trPr>
        <w:tc>
          <w:tcPr>
            <w:tcW w:w="660" w:type="dxa"/>
            <w:vMerge w:val="restart"/>
            <w:tcBorders>
              <w:top w:val="nil"/>
              <w:left w:val="single" w:color="000000" w:sz="8" w:space="0"/>
              <w:bottom w:val="single" w:color="000000" w:sz="8" w:space="0"/>
              <w:right w:val="single" w:color="000000" w:sz="8" w:space="0"/>
            </w:tcBorders>
            <w:noWrap w:val="0"/>
            <w:vAlign w:val="center"/>
          </w:tcPr>
          <w:p w14:paraId="6E7A52A4">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2</w:t>
            </w:r>
          </w:p>
        </w:tc>
        <w:tc>
          <w:tcPr>
            <w:tcW w:w="1080" w:type="dxa"/>
            <w:vMerge w:val="restart"/>
            <w:tcBorders>
              <w:top w:val="nil"/>
              <w:left w:val="single" w:color="000000" w:sz="8" w:space="0"/>
              <w:bottom w:val="single" w:color="000000" w:sz="8" w:space="0"/>
              <w:right w:val="single" w:color="000000" w:sz="8" w:space="0"/>
            </w:tcBorders>
            <w:noWrap w:val="0"/>
            <w:vAlign w:val="center"/>
          </w:tcPr>
          <w:p w14:paraId="08A1B762">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A020106输入输出设备</w:t>
            </w:r>
          </w:p>
        </w:tc>
        <w:tc>
          <w:tcPr>
            <w:tcW w:w="1320" w:type="dxa"/>
            <w:vMerge w:val="restart"/>
            <w:tcBorders>
              <w:top w:val="nil"/>
              <w:left w:val="single" w:color="000000" w:sz="8" w:space="0"/>
              <w:bottom w:val="single" w:color="000000" w:sz="8" w:space="0"/>
              <w:right w:val="single" w:color="000000" w:sz="8" w:space="0"/>
            </w:tcBorders>
            <w:noWrap w:val="0"/>
            <w:vAlign w:val="center"/>
          </w:tcPr>
          <w:p w14:paraId="10366C71">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A02010601打印设备</w:t>
            </w:r>
          </w:p>
        </w:tc>
        <w:tc>
          <w:tcPr>
            <w:tcW w:w="1620" w:type="dxa"/>
            <w:tcBorders>
              <w:top w:val="nil"/>
              <w:left w:val="nil"/>
              <w:bottom w:val="single" w:color="000000" w:sz="8" w:space="0"/>
              <w:right w:val="single" w:color="000000" w:sz="8" w:space="0"/>
            </w:tcBorders>
            <w:noWrap w:val="0"/>
            <w:vAlign w:val="center"/>
          </w:tcPr>
          <w:p w14:paraId="04A5C7EB">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A0201060101喷墨打印机</w:t>
            </w:r>
          </w:p>
        </w:tc>
        <w:tc>
          <w:tcPr>
            <w:tcW w:w="4540" w:type="dxa"/>
            <w:tcBorders>
              <w:top w:val="nil"/>
              <w:left w:val="nil"/>
              <w:bottom w:val="single" w:color="000000" w:sz="8" w:space="0"/>
              <w:right w:val="single" w:color="000000" w:sz="8" w:space="0"/>
            </w:tcBorders>
            <w:noWrap w:val="0"/>
            <w:vAlign w:val="center"/>
          </w:tcPr>
          <w:p w14:paraId="5468243C">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《复印机、打印机和传真机能效限定值及能效等级》（GB21521）</w:t>
            </w:r>
          </w:p>
        </w:tc>
      </w:tr>
      <w:tr w14:paraId="25D32615">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5BA4914F">
            <w:pPr>
              <w:widowControl/>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68D01CFB">
            <w:pPr>
              <w:widowControl/>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7506BFD9">
            <w:pPr>
              <w:widowControl/>
              <w:jc w:val="left"/>
              <w:rPr>
                <w:rFonts w:ascii="宋体" w:hAnsi="宋体" w:cs="宋体"/>
                <w:color w:val="auto"/>
                <w:kern w:val="0"/>
                <w:sz w:val="20"/>
                <w:szCs w:val="20"/>
                <w:highlight w:val="none"/>
              </w:rPr>
            </w:pPr>
          </w:p>
        </w:tc>
        <w:tc>
          <w:tcPr>
            <w:tcW w:w="1620" w:type="dxa"/>
            <w:tcBorders>
              <w:top w:val="nil"/>
              <w:left w:val="nil"/>
              <w:bottom w:val="single" w:color="000000" w:sz="8" w:space="0"/>
              <w:right w:val="single" w:color="000000" w:sz="8" w:space="0"/>
            </w:tcBorders>
            <w:noWrap w:val="0"/>
            <w:vAlign w:val="center"/>
          </w:tcPr>
          <w:p w14:paraId="62A60F4F">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★A0201060102激光打印机</w:t>
            </w:r>
          </w:p>
        </w:tc>
        <w:tc>
          <w:tcPr>
            <w:tcW w:w="4540" w:type="dxa"/>
            <w:tcBorders>
              <w:top w:val="nil"/>
              <w:left w:val="nil"/>
              <w:bottom w:val="single" w:color="000000" w:sz="8" w:space="0"/>
              <w:right w:val="single" w:color="000000" w:sz="8" w:space="0"/>
            </w:tcBorders>
            <w:noWrap w:val="0"/>
            <w:vAlign w:val="center"/>
          </w:tcPr>
          <w:p w14:paraId="5BBA3611">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《复印机、打印机和传真机能效限定值及能效等级》（GB21521）</w:t>
            </w:r>
          </w:p>
        </w:tc>
      </w:tr>
      <w:tr w14:paraId="149D2457">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5926E50C">
            <w:pPr>
              <w:widowControl/>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1B95D0E7">
            <w:pPr>
              <w:widowControl/>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14D9FEF2">
            <w:pPr>
              <w:widowControl/>
              <w:jc w:val="left"/>
              <w:rPr>
                <w:rFonts w:ascii="宋体" w:hAnsi="宋体" w:cs="宋体"/>
                <w:color w:val="auto"/>
                <w:kern w:val="0"/>
                <w:sz w:val="20"/>
                <w:szCs w:val="20"/>
                <w:highlight w:val="none"/>
              </w:rPr>
            </w:pPr>
          </w:p>
        </w:tc>
        <w:tc>
          <w:tcPr>
            <w:tcW w:w="1620" w:type="dxa"/>
            <w:tcBorders>
              <w:top w:val="nil"/>
              <w:left w:val="nil"/>
              <w:bottom w:val="single" w:color="000000" w:sz="8" w:space="0"/>
              <w:right w:val="single" w:color="000000" w:sz="8" w:space="0"/>
            </w:tcBorders>
            <w:noWrap w:val="0"/>
            <w:vAlign w:val="center"/>
          </w:tcPr>
          <w:p w14:paraId="43CD1C23">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★A0201060104针式打印机</w:t>
            </w:r>
          </w:p>
        </w:tc>
        <w:tc>
          <w:tcPr>
            <w:tcW w:w="4540" w:type="dxa"/>
            <w:tcBorders>
              <w:top w:val="nil"/>
              <w:left w:val="nil"/>
              <w:bottom w:val="single" w:color="000000" w:sz="8" w:space="0"/>
              <w:right w:val="single" w:color="000000" w:sz="8" w:space="0"/>
            </w:tcBorders>
            <w:noWrap w:val="0"/>
            <w:vAlign w:val="center"/>
          </w:tcPr>
          <w:p w14:paraId="3E33F622">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《复印机、打印机和传真机能效限定值及能效等级》（GB21521）</w:t>
            </w:r>
          </w:p>
        </w:tc>
      </w:tr>
      <w:tr w14:paraId="175ED049">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09EB93FA">
            <w:pPr>
              <w:widowControl/>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545CB14E">
            <w:pPr>
              <w:widowControl/>
              <w:jc w:val="left"/>
              <w:rPr>
                <w:rFonts w:ascii="宋体" w:hAnsi="宋体" w:cs="宋体"/>
                <w:color w:val="auto"/>
                <w:kern w:val="0"/>
                <w:sz w:val="20"/>
                <w:szCs w:val="20"/>
                <w:highlight w:val="none"/>
              </w:rPr>
            </w:pPr>
          </w:p>
        </w:tc>
        <w:tc>
          <w:tcPr>
            <w:tcW w:w="1320" w:type="dxa"/>
            <w:tcBorders>
              <w:top w:val="nil"/>
              <w:left w:val="nil"/>
              <w:bottom w:val="single" w:color="000000" w:sz="8" w:space="0"/>
              <w:right w:val="single" w:color="000000" w:sz="8" w:space="0"/>
            </w:tcBorders>
            <w:noWrap w:val="0"/>
            <w:vAlign w:val="center"/>
          </w:tcPr>
          <w:p w14:paraId="6AD6D70C">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A02010604显示设备</w:t>
            </w:r>
          </w:p>
        </w:tc>
        <w:tc>
          <w:tcPr>
            <w:tcW w:w="1620" w:type="dxa"/>
            <w:tcBorders>
              <w:top w:val="nil"/>
              <w:left w:val="nil"/>
              <w:bottom w:val="single" w:color="000000" w:sz="8" w:space="0"/>
              <w:right w:val="single" w:color="000000" w:sz="8" w:space="0"/>
            </w:tcBorders>
            <w:noWrap w:val="0"/>
            <w:vAlign w:val="center"/>
          </w:tcPr>
          <w:p w14:paraId="3FC77C9F">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★A0201060401液晶显示器</w:t>
            </w:r>
          </w:p>
        </w:tc>
        <w:tc>
          <w:tcPr>
            <w:tcW w:w="4540" w:type="dxa"/>
            <w:tcBorders>
              <w:top w:val="nil"/>
              <w:left w:val="nil"/>
              <w:bottom w:val="single" w:color="000000" w:sz="8" w:space="0"/>
              <w:right w:val="single" w:color="000000" w:sz="8" w:space="0"/>
            </w:tcBorders>
            <w:noWrap w:val="0"/>
            <w:vAlign w:val="center"/>
          </w:tcPr>
          <w:p w14:paraId="47D8371E">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《计算机显示器能效限定值及能效等级》（GB21520）</w:t>
            </w:r>
          </w:p>
        </w:tc>
      </w:tr>
      <w:tr w14:paraId="071B5CF4">
        <w:tblPrEx>
          <w:tblCellMar>
            <w:top w:w="0" w:type="dxa"/>
            <w:left w:w="108" w:type="dxa"/>
            <w:bottom w:w="0" w:type="dxa"/>
            <w:right w:w="108" w:type="dxa"/>
          </w:tblCellMar>
        </w:tblPrEx>
        <w:trPr>
          <w:trHeight w:val="97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492924BC">
            <w:pPr>
              <w:widowControl/>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18B0452C">
            <w:pPr>
              <w:widowControl/>
              <w:jc w:val="left"/>
              <w:rPr>
                <w:rFonts w:ascii="宋体" w:hAnsi="宋体" w:cs="宋体"/>
                <w:color w:val="auto"/>
                <w:kern w:val="0"/>
                <w:sz w:val="20"/>
                <w:szCs w:val="20"/>
                <w:highlight w:val="none"/>
              </w:rPr>
            </w:pPr>
          </w:p>
        </w:tc>
        <w:tc>
          <w:tcPr>
            <w:tcW w:w="1320" w:type="dxa"/>
            <w:tcBorders>
              <w:top w:val="nil"/>
              <w:left w:val="nil"/>
              <w:bottom w:val="single" w:color="000000" w:sz="8" w:space="0"/>
              <w:right w:val="single" w:color="000000" w:sz="8" w:space="0"/>
            </w:tcBorders>
            <w:noWrap w:val="0"/>
            <w:vAlign w:val="center"/>
          </w:tcPr>
          <w:p w14:paraId="58228504">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A02010609图形图像输入设备</w:t>
            </w:r>
          </w:p>
        </w:tc>
        <w:tc>
          <w:tcPr>
            <w:tcW w:w="1620" w:type="dxa"/>
            <w:tcBorders>
              <w:top w:val="nil"/>
              <w:left w:val="nil"/>
              <w:bottom w:val="single" w:color="000000" w:sz="8" w:space="0"/>
              <w:right w:val="single" w:color="000000" w:sz="8" w:space="0"/>
            </w:tcBorders>
            <w:noWrap w:val="0"/>
            <w:vAlign w:val="center"/>
          </w:tcPr>
          <w:p w14:paraId="436872EA">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A0201060901扫描仪</w:t>
            </w:r>
          </w:p>
        </w:tc>
        <w:tc>
          <w:tcPr>
            <w:tcW w:w="4540" w:type="dxa"/>
            <w:tcBorders>
              <w:top w:val="nil"/>
              <w:left w:val="nil"/>
              <w:bottom w:val="single" w:color="000000" w:sz="8" w:space="0"/>
              <w:right w:val="single" w:color="000000" w:sz="8" w:space="0"/>
            </w:tcBorders>
            <w:noWrap w:val="0"/>
            <w:vAlign w:val="center"/>
          </w:tcPr>
          <w:p w14:paraId="05759E9E">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参照《复印机、打印机和传真机能效限定值及能效等级》（GB21521中打印速度为15页/分的针式打印机相关要求中打印速度为15页/分的针式打印机相关要求</w:t>
            </w:r>
          </w:p>
        </w:tc>
      </w:tr>
      <w:tr w14:paraId="2ADF0E3D">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0"/>
            <w:vAlign w:val="center"/>
          </w:tcPr>
          <w:p w14:paraId="5BF3F1CE">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3</w:t>
            </w:r>
          </w:p>
        </w:tc>
        <w:tc>
          <w:tcPr>
            <w:tcW w:w="1080" w:type="dxa"/>
            <w:tcBorders>
              <w:top w:val="nil"/>
              <w:left w:val="nil"/>
              <w:bottom w:val="single" w:color="000000" w:sz="8" w:space="0"/>
              <w:right w:val="single" w:color="000000" w:sz="8" w:space="0"/>
            </w:tcBorders>
            <w:noWrap w:val="0"/>
            <w:vAlign w:val="center"/>
          </w:tcPr>
          <w:p w14:paraId="36A5974E">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A020202投影仪</w:t>
            </w:r>
          </w:p>
        </w:tc>
        <w:tc>
          <w:tcPr>
            <w:tcW w:w="1320" w:type="dxa"/>
            <w:tcBorders>
              <w:top w:val="nil"/>
              <w:left w:val="nil"/>
              <w:bottom w:val="single" w:color="000000" w:sz="8" w:space="0"/>
              <w:right w:val="single" w:color="000000" w:sz="8" w:space="0"/>
            </w:tcBorders>
            <w:noWrap w:val="0"/>
            <w:vAlign w:val="center"/>
          </w:tcPr>
          <w:p w14:paraId="486D6B34">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1620" w:type="dxa"/>
            <w:tcBorders>
              <w:top w:val="nil"/>
              <w:left w:val="nil"/>
              <w:bottom w:val="single" w:color="000000" w:sz="8" w:space="0"/>
              <w:right w:val="single" w:color="000000" w:sz="8" w:space="0"/>
            </w:tcBorders>
            <w:noWrap w:val="0"/>
            <w:vAlign w:val="center"/>
          </w:tcPr>
          <w:p w14:paraId="16A7F675">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0"/>
            <w:vAlign w:val="center"/>
          </w:tcPr>
          <w:p w14:paraId="71D1AC0B">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《投影机能效限定值及能效等级》（GB32028）</w:t>
            </w:r>
          </w:p>
        </w:tc>
      </w:tr>
      <w:tr w14:paraId="66255A5E">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0"/>
            <w:vAlign w:val="center"/>
          </w:tcPr>
          <w:p w14:paraId="61000949">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4</w:t>
            </w:r>
          </w:p>
        </w:tc>
        <w:tc>
          <w:tcPr>
            <w:tcW w:w="1080" w:type="dxa"/>
            <w:tcBorders>
              <w:top w:val="nil"/>
              <w:left w:val="nil"/>
              <w:bottom w:val="single" w:color="000000" w:sz="8" w:space="0"/>
              <w:right w:val="single" w:color="000000" w:sz="8" w:space="0"/>
            </w:tcBorders>
            <w:noWrap w:val="0"/>
            <w:vAlign w:val="center"/>
          </w:tcPr>
          <w:p w14:paraId="4E930E0A">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A020204多功能一体机</w:t>
            </w:r>
          </w:p>
        </w:tc>
        <w:tc>
          <w:tcPr>
            <w:tcW w:w="1320" w:type="dxa"/>
            <w:tcBorders>
              <w:top w:val="nil"/>
              <w:left w:val="nil"/>
              <w:bottom w:val="single" w:color="000000" w:sz="8" w:space="0"/>
              <w:right w:val="single" w:color="000000" w:sz="8" w:space="0"/>
            </w:tcBorders>
            <w:noWrap w:val="0"/>
            <w:vAlign w:val="center"/>
          </w:tcPr>
          <w:p w14:paraId="333A3390">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1620" w:type="dxa"/>
            <w:tcBorders>
              <w:top w:val="nil"/>
              <w:left w:val="nil"/>
              <w:bottom w:val="single" w:color="000000" w:sz="8" w:space="0"/>
              <w:right w:val="single" w:color="000000" w:sz="8" w:space="0"/>
            </w:tcBorders>
            <w:noWrap w:val="0"/>
            <w:vAlign w:val="center"/>
          </w:tcPr>
          <w:p w14:paraId="60347CCD">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0"/>
            <w:vAlign w:val="center"/>
          </w:tcPr>
          <w:p w14:paraId="2FC8C129">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《复印机、打印机和传真机能效限定值及能效等级》（GB21521）</w:t>
            </w:r>
          </w:p>
        </w:tc>
      </w:tr>
      <w:tr w14:paraId="5FEA51FD">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0"/>
            <w:vAlign w:val="center"/>
          </w:tcPr>
          <w:p w14:paraId="126F4B97">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5</w:t>
            </w:r>
          </w:p>
        </w:tc>
        <w:tc>
          <w:tcPr>
            <w:tcW w:w="1080" w:type="dxa"/>
            <w:tcBorders>
              <w:top w:val="nil"/>
              <w:left w:val="nil"/>
              <w:bottom w:val="single" w:color="000000" w:sz="8" w:space="0"/>
              <w:right w:val="single" w:color="000000" w:sz="8" w:space="0"/>
            </w:tcBorders>
            <w:noWrap w:val="0"/>
            <w:vAlign w:val="center"/>
          </w:tcPr>
          <w:p w14:paraId="06722520">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A020519泵</w:t>
            </w:r>
          </w:p>
        </w:tc>
        <w:tc>
          <w:tcPr>
            <w:tcW w:w="1320" w:type="dxa"/>
            <w:tcBorders>
              <w:top w:val="nil"/>
              <w:left w:val="nil"/>
              <w:bottom w:val="single" w:color="000000" w:sz="8" w:space="0"/>
              <w:right w:val="single" w:color="000000" w:sz="8" w:space="0"/>
            </w:tcBorders>
            <w:noWrap w:val="0"/>
            <w:vAlign w:val="center"/>
          </w:tcPr>
          <w:p w14:paraId="28A32A8B">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A02051901离心泵</w:t>
            </w:r>
          </w:p>
        </w:tc>
        <w:tc>
          <w:tcPr>
            <w:tcW w:w="1620" w:type="dxa"/>
            <w:tcBorders>
              <w:top w:val="nil"/>
              <w:left w:val="nil"/>
              <w:bottom w:val="single" w:color="000000" w:sz="8" w:space="0"/>
              <w:right w:val="single" w:color="000000" w:sz="8" w:space="0"/>
            </w:tcBorders>
            <w:noWrap w:val="0"/>
            <w:vAlign w:val="center"/>
          </w:tcPr>
          <w:p w14:paraId="71F420A8">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0"/>
            <w:vAlign w:val="center"/>
          </w:tcPr>
          <w:p w14:paraId="3910E5E2">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《清水离心泵能效限定值及节能评价值》（GB19762）</w:t>
            </w:r>
          </w:p>
        </w:tc>
      </w:tr>
      <w:tr w14:paraId="41686E77">
        <w:tblPrEx>
          <w:tblCellMar>
            <w:top w:w="0" w:type="dxa"/>
            <w:left w:w="108" w:type="dxa"/>
            <w:bottom w:w="0" w:type="dxa"/>
            <w:right w:w="108" w:type="dxa"/>
          </w:tblCellMar>
        </w:tblPrEx>
        <w:trPr>
          <w:trHeight w:val="735" w:hRule="atLeast"/>
        </w:trPr>
        <w:tc>
          <w:tcPr>
            <w:tcW w:w="660" w:type="dxa"/>
            <w:vMerge w:val="restart"/>
            <w:tcBorders>
              <w:top w:val="nil"/>
              <w:left w:val="single" w:color="000000" w:sz="8" w:space="0"/>
              <w:bottom w:val="single" w:color="000000" w:sz="8" w:space="0"/>
              <w:right w:val="single" w:color="000000" w:sz="8" w:space="0"/>
            </w:tcBorders>
            <w:noWrap w:val="0"/>
            <w:vAlign w:val="center"/>
          </w:tcPr>
          <w:p w14:paraId="5039C940">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6</w:t>
            </w:r>
          </w:p>
        </w:tc>
        <w:tc>
          <w:tcPr>
            <w:tcW w:w="1080" w:type="dxa"/>
            <w:vMerge w:val="restart"/>
            <w:tcBorders>
              <w:top w:val="nil"/>
              <w:left w:val="single" w:color="000000" w:sz="8" w:space="0"/>
              <w:bottom w:val="single" w:color="000000" w:sz="8" w:space="0"/>
              <w:right w:val="single" w:color="000000" w:sz="8" w:space="0"/>
            </w:tcBorders>
            <w:noWrap w:val="0"/>
            <w:vAlign w:val="center"/>
          </w:tcPr>
          <w:p w14:paraId="442BF0E2">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A020523制冷空调设备</w:t>
            </w:r>
          </w:p>
        </w:tc>
        <w:tc>
          <w:tcPr>
            <w:tcW w:w="1320" w:type="dxa"/>
            <w:vMerge w:val="restart"/>
            <w:tcBorders>
              <w:top w:val="nil"/>
              <w:left w:val="single" w:color="000000" w:sz="8" w:space="0"/>
              <w:bottom w:val="single" w:color="000000" w:sz="8" w:space="0"/>
              <w:right w:val="single" w:color="000000" w:sz="8" w:space="0"/>
            </w:tcBorders>
            <w:noWrap w:val="0"/>
            <w:vAlign w:val="center"/>
          </w:tcPr>
          <w:p w14:paraId="12EC6CF6">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★A02052301制冷压缩机</w:t>
            </w:r>
          </w:p>
        </w:tc>
        <w:tc>
          <w:tcPr>
            <w:tcW w:w="1620" w:type="dxa"/>
            <w:tcBorders>
              <w:top w:val="nil"/>
              <w:left w:val="nil"/>
              <w:bottom w:val="single" w:color="000000" w:sz="8" w:space="0"/>
              <w:right w:val="single" w:color="000000" w:sz="8" w:space="0"/>
            </w:tcBorders>
            <w:noWrap w:val="0"/>
            <w:vAlign w:val="center"/>
          </w:tcPr>
          <w:p w14:paraId="08018A9F">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冷水机组</w:t>
            </w:r>
          </w:p>
        </w:tc>
        <w:tc>
          <w:tcPr>
            <w:tcW w:w="4540" w:type="dxa"/>
            <w:tcBorders>
              <w:top w:val="nil"/>
              <w:left w:val="nil"/>
              <w:bottom w:val="single" w:color="000000" w:sz="8" w:space="0"/>
              <w:right w:val="single" w:color="000000" w:sz="8" w:space="0"/>
            </w:tcBorders>
            <w:noWrap w:val="0"/>
            <w:vAlign w:val="center"/>
          </w:tcPr>
          <w:p w14:paraId="5D5599AB">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《冷水机组能效限定值及能效等级》（GB19577），《低环境温度空气源热泵（冷水）机组能效限定值及能效等级》（GB37480）</w:t>
            </w:r>
          </w:p>
        </w:tc>
      </w:tr>
      <w:tr w14:paraId="02BEF58A">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61746BCA">
            <w:pPr>
              <w:widowControl/>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7707AE09">
            <w:pPr>
              <w:widowControl/>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364C6E00">
            <w:pPr>
              <w:widowControl/>
              <w:jc w:val="left"/>
              <w:rPr>
                <w:rFonts w:ascii="宋体" w:hAnsi="宋体" w:cs="宋体"/>
                <w:color w:val="auto"/>
                <w:kern w:val="0"/>
                <w:sz w:val="20"/>
                <w:szCs w:val="20"/>
                <w:highlight w:val="none"/>
              </w:rPr>
            </w:pPr>
          </w:p>
        </w:tc>
        <w:tc>
          <w:tcPr>
            <w:tcW w:w="1620" w:type="dxa"/>
            <w:tcBorders>
              <w:top w:val="nil"/>
              <w:left w:val="nil"/>
              <w:bottom w:val="single" w:color="000000" w:sz="8" w:space="0"/>
              <w:right w:val="single" w:color="000000" w:sz="8" w:space="0"/>
            </w:tcBorders>
            <w:noWrap w:val="0"/>
            <w:vAlign w:val="center"/>
          </w:tcPr>
          <w:p w14:paraId="2FF07FBB">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水源热泵机组</w:t>
            </w:r>
          </w:p>
        </w:tc>
        <w:tc>
          <w:tcPr>
            <w:tcW w:w="4540" w:type="dxa"/>
            <w:tcBorders>
              <w:top w:val="nil"/>
              <w:left w:val="nil"/>
              <w:bottom w:val="single" w:color="000000" w:sz="8" w:space="0"/>
              <w:right w:val="single" w:color="000000" w:sz="8" w:space="0"/>
            </w:tcBorders>
            <w:noWrap w:val="0"/>
            <w:vAlign w:val="center"/>
          </w:tcPr>
          <w:p w14:paraId="5CEE4CDB">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《水（地）源热泵机组能效限定值及能效等级》（GB30721）</w:t>
            </w:r>
          </w:p>
        </w:tc>
      </w:tr>
      <w:tr w14:paraId="6253B278">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56968596">
            <w:pPr>
              <w:widowControl/>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322D3C21">
            <w:pPr>
              <w:widowControl/>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32F9C1EC">
            <w:pPr>
              <w:widowControl/>
              <w:jc w:val="left"/>
              <w:rPr>
                <w:rFonts w:ascii="宋体" w:hAnsi="宋体" w:cs="宋体"/>
                <w:color w:val="auto"/>
                <w:kern w:val="0"/>
                <w:sz w:val="20"/>
                <w:szCs w:val="20"/>
                <w:highlight w:val="none"/>
              </w:rPr>
            </w:pPr>
          </w:p>
        </w:tc>
        <w:tc>
          <w:tcPr>
            <w:tcW w:w="1620" w:type="dxa"/>
            <w:tcBorders>
              <w:top w:val="nil"/>
              <w:left w:val="nil"/>
              <w:bottom w:val="single" w:color="000000" w:sz="8" w:space="0"/>
              <w:right w:val="single" w:color="000000" w:sz="8" w:space="0"/>
            </w:tcBorders>
            <w:noWrap w:val="0"/>
            <w:vAlign w:val="center"/>
          </w:tcPr>
          <w:p w14:paraId="1DF9689E">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溴化锂吸收式冷水机组</w:t>
            </w:r>
          </w:p>
        </w:tc>
        <w:tc>
          <w:tcPr>
            <w:tcW w:w="4540" w:type="dxa"/>
            <w:tcBorders>
              <w:top w:val="nil"/>
              <w:left w:val="nil"/>
              <w:bottom w:val="single" w:color="000000" w:sz="8" w:space="0"/>
              <w:right w:val="single" w:color="000000" w:sz="8" w:space="0"/>
            </w:tcBorders>
            <w:noWrap w:val="0"/>
            <w:vAlign w:val="center"/>
          </w:tcPr>
          <w:p w14:paraId="181F4349">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《溴化锂吸收式冷水机组能效限定值及能效等级》（GB29540）</w:t>
            </w:r>
          </w:p>
        </w:tc>
      </w:tr>
      <w:tr w14:paraId="4436BA28">
        <w:tblPrEx>
          <w:tblCellMar>
            <w:top w:w="0" w:type="dxa"/>
            <w:left w:w="108" w:type="dxa"/>
            <w:bottom w:w="0" w:type="dxa"/>
            <w:right w:w="108" w:type="dxa"/>
          </w:tblCellMar>
        </w:tblPrEx>
        <w:trPr>
          <w:trHeight w:val="73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50C8CE17">
            <w:pPr>
              <w:widowControl/>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6C4B7DCB">
            <w:pPr>
              <w:widowControl/>
              <w:jc w:val="left"/>
              <w:rPr>
                <w:rFonts w:ascii="宋体" w:hAnsi="宋体" w:cs="宋体"/>
                <w:color w:val="auto"/>
                <w:kern w:val="0"/>
                <w:sz w:val="20"/>
                <w:szCs w:val="20"/>
                <w:highlight w:val="none"/>
              </w:rPr>
            </w:pPr>
          </w:p>
        </w:tc>
        <w:tc>
          <w:tcPr>
            <w:tcW w:w="1320" w:type="dxa"/>
            <w:vMerge w:val="restart"/>
            <w:tcBorders>
              <w:top w:val="nil"/>
              <w:left w:val="single" w:color="000000" w:sz="8" w:space="0"/>
              <w:bottom w:val="single" w:color="000000" w:sz="8" w:space="0"/>
              <w:right w:val="single" w:color="000000" w:sz="8" w:space="0"/>
            </w:tcBorders>
            <w:noWrap w:val="0"/>
            <w:vAlign w:val="center"/>
          </w:tcPr>
          <w:p w14:paraId="137F3B3F">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★A02052305空调机组</w:t>
            </w:r>
          </w:p>
        </w:tc>
        <w:tc>
          <w:tcPr>
            <w:tcW w:w="1620" w:type="dxa"/>
            <w:tcBorders>
              <w:top w:val="nil"/>
              <w:left w:val="nil"/>
              <w:bottom w:val="single" w:color="000000" w:sz="8" w:space="0"/>
              <w:right w:val="single" w:color="000000" w:sz="8" w:space="0"/>
            </w:tcBorders>
            <w:noWrap w:val="0"/>
            <w:vAlign w:val="center"/>
          </w:tcPr>
          <w:p w14:paraId="369572B8">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多联式空调（热泵）机组(制冷量&gt;14000W)</w:t>
            </w:r>
          </w:p>
        </w:tc>
        <w:tc>
          <w:tcPr>
            <w:tcW w:w="4540" w:type="dxa"/>
            <w:tcBorders>
              <w:top w:val="nil"/>
              <w:left w:val="nil"/>
              <w:bottom w:val="single" w:color="000000" w:sz="8" w:space="0"/>
              <w:right w:val="single" w:color="000000" w:sz="8" w:space="0"/>
            </w:tcBorders>
            <w:noWrap w:val="0"/>
            <w:vAlign w:val="center"/>
          </w:tcPr>
          <w:p w14:paraId="1A72EEA9">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《多联式空调（热泵）机组能效限定值及能源效率等级》（GB21454）</w:t>
            </w:r>
          </w:p>
        </w:tc>
      </w:tr>
      <w:tr w14:paraId="594ED836">
        <w:tblPrEx>
          <w:tblCellMar>
            <w:top w:w="0" w:type="dxa"/>
            <w:left w:w="108" w:type="dxa"/>
            <w:bottom w:w="0" w:type="dxa"/>
            <w:right w:w="108" w:type="dxa"/>
          </w:tblCellMar>
        </w:tblPrEx>
        <w:trPr>
          <w:trHeight w:val="73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3DB828A5">
            <w:pPr>
              <w:widowControl/>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0067715A">
            <w:pPr>
              <w:widowControl/>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2CFC0E04">
            <w:pPr>
              <w:widowControl/>
              <w:jc w:val="left"/>
              <w:rPr>
                <w:rFonts w:ascii="宋体" w:hAnsi="宋体" w:cs="宋体"/>
                <w:color w:val="auto"/>
                <w:kern w:val="0"/>
                <w:sz w:val="20"/>
                <w:szCs w:val="20"/>
                <w:highlight w:val="none"/>
              </w:rPr>
            </w:pPr>
          </w:p>
        </w:tc>
        <w:tc>
          <w:tcPr>
            <w:tcW w:w="1620" w:type="dxa"/>
            <w:tcBorders>
              <w:top w:val="nil"/>
              <w:left w:val="nil"/>
              <w:bottom w:val="single" w:color="000000" w:sz="8" w:space="0"/>
              <w:right w:val="single" w:color="000000" w:sz="8" w:space="0"/>
            </w:tcBorders>
            <w:noWrap w:val="0"/>
            <w:vAlign w:val="center"/>
          </w:tcPr>
          <w:p w14:paraId="66F6F07D">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单元式空气调节机(制冷量&gt;14000W</w:t>
            </w:r>
          </w:p>
        </w:tc>
        <w:tc>
          <w:tcPr>
            <w:tcW w:w="4540" w:type="dxa"/>
            <w:tcBorders>
              <w:top w:val="nil"/>
              <w:left w:val="nil"/>
              <w:bottom w:val="single" w:color="000000" w:sz="8" w:space="0"/>
              <w:right w:val="single" w:color="000000" w:sz="8" w:space="0"/>
            </w:tcBorders>
            <w:noWrap w:val="0"/>
            <w:vAlign w:val="center"/>
          </w:tcPr>
          <w:p w14:paraId="0508BEC3">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《单元式空气调节机能效限定值及能效等级》（GB19576）《风管送风式空调机组能效限定值及能效等级》（GB37479）</w:t>
            </w:r>
          </w:p>
        </w:tc>
      </w:tr>
      <w:tr w14:paraId="3A6DB5C4">
        <w:tblPrEx>
          <w:tblCellMar>
            <w:top w:w="0" w:type="dxa"/>
            <w:left w:w="108" w:type="dxa"/>
            <w:bottom w:w="0" w:type="dxa"/>
            <w:right w:w="108" w:type="dxa"/>
          </w:tblCellMar>
        </w:tblPrEx>
        <w:trPr>
          <w:trHeight w:val="73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2F6E17DB">
            <w:pPr>
              <w:widowControl/>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2AC5990C">
            <w:pPr>
              <w:widowControl/>
              <w:jc w:val="left"/>
              <w:rPr>
                <w:rFonts w:ascii="宋体" w:hAnsi="宋体" w:cs="宋体"/>
                <w:color w:val="auto"/>
                <w:kern w:val="0"/>
                <w:sz w:val="20"/>
                <w:szCs w:val="20"/>
                <w:highlight w:val="none"/>
              </w:rPr>
            </w:pPr>
          </w:p>
        </w:tc>
        <w:tc>
          <w:tcPr>
            <w:tcW w:w="1320" w:type="dxa"/>
            <w:tcBorders>
              <w:top w:val="nil"/>
              <w:left w:val="nil"/>
              <w:bottom w:val="single" w:color="000000" w:sz="8" w:space="0"/>
              <w:right w:val="single" w:color="000000" w:sz="8" w:space="0"/>
            </w:tcBorders>
            <w:noWrap w:val="0"/>
            <w:vAlign w:val="center"/>
          </w:tcPr>
          <w:p w14:paraId="478B4FCC">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★A02052309专用制冷、空调设备</w:t>
            </w:r>
          </w:p>
        </w:tc>
        <w:tc>
          <w:tcPr>
            <w:tcW w:w="1620" w:type="dxa"/>
            <w:tcBorders>
              <w:top w:val="nil"/>
              <w:left w:val="nil"/>
              <w:bottom w:val="single" w:color="000000" w:sz="8" w:space="0"/>
              <w:right w:val="single" w:color="000000" w:sz="8" w:space="0"/>
            </w:tcBorders>
            <w:noWrap w:val="0"/>
            <w:vAlign w:val="center"/>
          </w:tcPr>
          <w:p w14:paraId="344AAB8F">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机房空调</w:t>
            </w:r>
          </w:p>
        </w:tc>
        <w:tc>
          <w:tcPr>
            <w:tcW w:w="4540" w:type="dxa"/>
            <w:tcBorders>
              <w:top w:val="nil"/>
              <w:left w:val="nil"/>
              <w:bottom w:val="single" w:color="000000" w:sz="8" w:space="0"/>
              <w:right w:val="single" w:color="000000" w:sz="8" w:space="0"/>
            </w:tcBorders>
            <w:noWrap w:val="0"/>
            <w:vAlign w:val="center"/>
          </w:tcPr>
          <w:p w14:paraId="4048C629">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《单元式空气调节机能效限定值及能效等级》（GB19576）</w:t>
            </w:r>
          </w:p>
        </w:tc>
      </w:tr>
      <w:tr w14:paraId="188A5400">
        <w:tblPrEx>
          <w:tblCellMar>
            <w:top w:w="0" w:type="dxa"/>
            <w:left w:w="108" w:type="dxa"/>
            <w:bottom w:w="0" w:type="dxa"/>
            <w:right w:w="108" w:type="dxa"/>
          </w:tblCellMar>
        </w:tblPrEx>
        <w:trPr>
          <w:trHeight w:val="73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3A05C6EE">
            <w:pPr>
              <w:widowControl/>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7D36A266">
            <w:pPr>
              <w:widowControl/>
              <w:jc w:val="left"/>
              <w:rPr>
                <w:rFonts w:ascii="宋体" w:hAnsi="宋体" w:cs="宋体"/>
                <w:color w:val="auto"/>
                <w:kern w:val="0"/>
                <w:sz w:val="20"/>
                <w:szCs w:val="20"/>
                <w:highlight w:val="none"/>
              </w:rPr>
            </w:pPr>
          </w:p>
        </w:tc>
        <w:tc>
          <w:tcPr>
            <w:tcW w:w="1320" w:type="dxa"/>
            <w:tcBorders>
              <w:top w:val="nil"/>
              <w:left w:val="nil"/>
              <w:bottom w:val="single" w:color="000000" w:sz="8" w:space="0"/>
              <w:right w:val="single" w:color="000000" w:sz="8" w:space="0"/>
            </w:tcBorders>
            <w:noWrap w:val="0"/>
            <w:vAlign w:val="center"/>
          </w:tcPr>
          <w:p w14:paraId="33AF305B">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A02052399其他制冷空调设备</w:t>
            </w:r>
          </w:p>
        </w:tc>
        <w:tc>
          <w:tcPr>
            <w:tcW w:w="1620" w:type="dxa"/>
            <w:tcBorders>
              <w:top w:val="nil"/>
              <w:left w:val="nil"/>
              <w:bottom w:val="single" w:color="000000" w:sz="8" w:space="0"/>
              <w:right w:val="single" w:color="000000" w:sz="8" w:space="0"/>
            </w:tcBorders>
            <w:noWrap w:val="0"/>
            <w:vAlign w:val="center"/>
          </w:tcPr>
          <w:p w14:paraId="5F7309AC">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冷却塔</w:t>
            </w:r>
          </w:p>
        </w:tc>
        <w:tc>
          <w:tcPr>
            <w:tcW w:w="4540" w:type="dxa"/>
            <w:tcBorders>
              <w:top w:val="nil"/>
              <w:left w:val="nil"/>
              <w:bottom w:val="single" w:color="000000" w:sz="8" w:space="0"/>
              <w:right w:val="single" w:color="000000" w:sz="8" w:space="0"/>
            </w:tcBorders>
            <w:noWrap w:val="0"/>
            <w:vAlign w:val="center"/>
          </w:tcPr>
          <w:p w14:paraId="0D8A0021">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《机械通风冷却塔第1部分：中小型开式冷却塔》（GB/T7190.1）；《机械通风冷却塔第2部分：大型开式冷却塔》（GB/T7190.2）</w:t>
            </w:r>
          </w:p>
        </w:tc>
      </w:tr>
      <w:tr w14:paraId="471F1BB8">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0"/>
            <w:vAlign w:val="center"/>
          </w:tcPr>
          <w:p w14:paraId="08BD371A">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7</w:t>
            </w:r>
          </w:p>
        </w:tc>
        <w:tc>
          <w:tcPr>
            <w:tcW w:w="1080" w:type="dxa"/>
            <w:tcBorders>
              <w:top w:val="nil"/>
              <w:left w:val="nil"/>
              <w:bottom w:val="single" w:color="000000" w:sz="8" w:space="0"/>
              <w:right w:val="single" w:color="000000" w:sz="8" w:space="0"/>
            </w:tcBorders>
            <w:noWrap w:val="0"/>
            <w:vAlign w:val="center"/>
          </w:tcPr>
          <w:p w14:paraId="12478308">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A020601电机</w:t>
            </w:r>
          </w:p>
        </w:tc>
        <w:tc>
          <w:tcPr>
            <w:tcW w:w="1320" w:type="dxa"/>
            <w:tcBorders>
              <w:top w:val="nil"/>
              <w:left w:val="nil"/>
              <w:bottom w:val="single" w:color="000000" w:sz="8" w:space="0"/>
              <w:right w:val="single" w:color="000000" w:sz="8" w:space="0"/>
            </w:tcBorders>
            <w:noWrap w:val="0"/>
            <w:vAlign w:val="center"/>
          </w:tcPr>
          <w:p w14:paraId="2035B0FD">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1620" w:type="dxa"/>
            <w:tcBorders>
              <w:top w:val="nil"/>
              <w:left w:val="nil"/>
              <w:bottom w:val="single" w:color="000000" w:sz="8" w:space="0"/>
              <w:right w:val="single" w:color="000000" w:sz="8" w:space="0"/>
            </w:tcBorders>
            <w:noWrap w:val="0"/>
            <w:vAlign w:val="center"/>
          </w:tcPr>
          <w:p w14:paraId="5D9692AB">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0"/>
            <w:vAlign w:val="center"/>
          </w:tcPr>
          <w:p w14:paraId="758A9BE8">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《中小型三相异步电动机能效限定值及能效等级》（GB18613）</w:t>
            </w:r>
          </w:p>
        </w:tc>
      </w:tr>
      <w:tr w14:paraId="3B198E4A">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0"/>
            <w:vAlign w:val="center"/>
          </w:tcPr>
          <w:p w14:paraId="6EDABFBE">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8</w:t>
            </w:r>
          </w:p>
        </w:tc>
        <w:tc>
          <w:tcPr>
            <w:tcW w:w="1080" w:type="dxa"/>
            <w:tcBorders>
              <w:top w:val="nil"/>
              <w:left w:val="nil"/>
              <w:bottom w:val="single" w:color="000000" w:sz="8" w:space="0"/>
              <w:right w:val="single" w:color="000000" w:sz="8" w:space="0"/>
            </w:tcBorders>
            <w:noWrap w:val="0"/>
            <w:vAlign w:val="center"/>
          </w:tcPr>
          <w:p w14:paraId="2C42D34A">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A020602变压器</w:t>
            </w:r>
          </w:p>
        </w:tc>
        <w:tc>
          <w:tcPr>
            <w:tcW w:w="1320" w:type="dxa"/>
            <w:tcBorders>
              <w:top w:val="nil"/>
              <w:left w:val="nil"/>
              <w:bottom w:val="single" w:color="000000" w:sz="8" w:space="0"/>
              <w:right w:val="single" w:color="000000" w:sz="8" w:space="0"/>
            </w:tcBorders>
            <w:noWrap w:val="0"/>
            <w:vAlign w:val="center"/>
          </w:tcPr>
          <w:p w14:paraId="5117B84D">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配电变压器</w:t>
            </w:r>
          </w:p>
        </w:tc>
        <w:tc>
          <w:tcPr>
            <w:tcW w:w="1620" w:type="dxa"/>
            <w:tcBorders>
              <w:top w:val="nil"/>
              <w:left w:val="nil"/>
              <w:bottom w:val="single" w:color="000000" w:sz="8" w:space="0"/>
              <w:right w:val="single" w:color="000000" w:sz="8" w:space="0"/>
            </w:tcBorders>
            <w:noWrap w:val="0"/>
            <w:vAlign w:val="center"/>
          </w:tcPr>
          <w:p w14:paraId="7098A633">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0"/>
            <w:vAlign w:val="center"/>
          </w:tcPr>
          <w:p w14:paraId="0B404800">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《三相配电变压器能效限定值及能效等级》（GB20052）</w:t>
            </w:r>
          </w:p>
        </w:tc>
      </w:tr>
      <w:tr w14:paraId="69A2BF8C">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0"/>
            <w:vAlign w:val="center"/>
          </w:tcPr>
          <w:p w14:paraId="7DF59807">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9</w:t>
            </w:r>
          </w:p>
        </w:tc>
        <w:tc>
          <w:tcPr>
            <w:tcW w:w="1080" w:type="dxa"/>
            <w:tcBorders>
              <w:top w:val="nil"/>
              <w:left w:val="nil"/>
              <w:bottom w:val="single" w:color="000000" w:sz="8" w:space="0"/>
              <w:right w:val="single" w:color="000000" w:sz="8" w:space="0"/>
            </w:tcBorders>
            <w:noWrap w:val="0"/>
            <w:vAlign w:val="center"/>
          </w:tcPr>
          <w:p w14:paraId="52FA151F">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★A020609镇流器</w:t>
            </w:r>
          </w:p>
        </w:tc>
        <w:tc>
          <w:tcPr>
            <w:tcW w:w="1320" w:type="dxa"/>
            <w:tcBorders>
              <w:top w:val="nil"/>
              <w:left w:val="nil"/>
              <w:bottom w:val="single" w:color="000000" w:sz="8" w:space="0"/>
              <w:right w:val="single" w:color="000000" w:sz="8" w:space="0"/>
            </w:tcBorders>
            <w:noWrap w:val="0"/>
            <w:vAlign w:val="center"/>
          </w:tcPr>
          <w:p w14:paraId="2C127E21">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管型荧光灯镇流器</w:t>
            </w:r>
          </w:p>
        </w:tc>
        <w:tc>
          <w:tcPr>
            <w:tcW w:w="1620" w:type="dxa"/>
            <w:tcBorders>
              <w:top w:val="nil"/>
              <w:left w:val="nil"/>
              <w:bottom w:val="single" w:color="000000" w:sz="8" w:space="0"/>
              <w:right w:val="single" w:color="000000" w:sz="8" w:space="0"/>
            </w:tcBorders>
            <w:noWrap w:val="0"/>
            <w:vAlign w:val="center"/>
          </w:tcPr>
          <w:p w14:paraId="14B5E8DE">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0"/>
            <w:vAlign w:val="center"/>
          </w:tcPr>
          <w:p w14:paraId="23588FF4">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《管形荧光灯镇流器能效限定值及能效等级》（GB17896）</w:t>
            </w:r>
          </w:p>
        </w:tc>
      </w:tr>
      <w:tr w14:paraId="6B0F8A35">
        <w:tblPrEx>
          <w:tblCellMar>
            <w:top w:w="0" w:type="dxa"/>
            <w:left w:w="108" w:type="dxa"/>
            <w:bottom w:w="0" w:type="dxa"/>
            <w:right w:w="108" w:type="dxa"/>
          </w:tblCellMar>
        </w:tblPrEx>
        <w:trPr>
          <w:trHeight w:val="495" w:hRule="atLeast"/>
        </w:trPr>
        <w:tc>
          <w:tcPr>
            <w:tcW w:w="660" w:type="dxa"/>
            <w:vMerge w:val="restart"/>
            <w:tcBorders>
              <w:top w:val="nil"/>
              <w:left w:val="single" w:color="000000" w:sz="8" w:space="0"/>
              <w:bottom w:val="single" w:color="000000" w:sz="8" w:space="0"/>
              <w:right w:val="single" w:color="000000" w:sz="8" w:space="0"/>
            </w:tcBorders>
            <w:noWrap w:val="0"/>
            <w:vAlign w:val="center"/>
          </w:tcPr>
          <w:p w14:paraId="2B629727">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10</w:t>
            </w:r>
          </w:p>
        </w:tc>
        <w:tc>
          <w:tcPr>
            <w:tcW w:w="1080" w:type="dxa"/>
            <w:vMerge w:val="restart"/>
            <w:tcBorders>
              <w:top w:val="nil"/>
              <w:left w:val="single" w:color="000000" w:sz="8" w:space="0"/>
              <w:bottom w:val="single" w:color="000000" w:sz="8" w:space="0"/>
              <w:right w:val="single" w:color="000000" w:sz="8" w:space="0"/>
            </w:tcBorders>
            <w:noWrap w:val="0"/>
            <w:vAlign w:val="center"/>
          </w:tcPr>
          <w:p w14:paraId="5F71ADD4">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A020618生活用电器</w:t>
            </w:r>
          </w:p>
        </w:tc>
        <w:tc>
          <w:tcPr>
            <w:tcW w:w="1320" w:type="dxa"/>
            <w:tcBorders>
              <w:top w:val="nil"/>
              <w:left w:val="nil"/>
              <w:bottom w:val="single" w:color="000000" w:sz="8" w:space="0"/>
              <w:right w:val="single" w:color="000000" w:sz="8" w:space="0"/>
            </w:tcBorders>
            <w:noWrap w:val="0"/>
            <w:vAlign w:val="center"/>
          </w:tcPr>
          <w:p w14:paraId="5EEAD247">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A0206180101电冰箱</w:t>
            </w:r>
          </w:p>
        </w:tc>
        <w:tc>
          <w:tcPr>
            <w:tcW w:w="1620" w:type="dxa"/>
            <w:tcBorders>
              <w:top w:val="nil"/>
              <w:left w:val="nil"/>
              <w:bottom w:val="single" w:color="000000" w:sz="8" w:space="0"/>
              <w:right w:val="single" w:color="000000" w:sz="8" w:space="0"/>
            </w:tcBorders>
            <w:noWrap w:val="0"/>
            <w:vAlign w:val="center"/>
          </w:tcPr>
          <w:p w14:paraId="30E60F89">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0"/>
            <w:vAlign w:val="center"/>
          </w:tcPr>
          <w:p w14:paraId="7F18C2D3">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《家用电冰箱耗电量限定值及能效等级》（GB 12021.2）</w:t>
            </w:r>
          </w:p>
        </w:tc>
      </w:tr>
      <w:tr w14:paraId="36389837">
        <w:tblPrEx>
          <w:tblCellMar>
            <w:top w:w="0" w:type="dxa"/>
            <w:left w:w="108" w:type="dxa"/>
            <w:bottom w:w="0" w:type="dxa"/>
            <w:right w:w="108" w:type="dxa"/>
          </w:tblCellMar>
        </w:tblPrEx>
        <w:trPr>
          <w:trHeight w:val="97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3F3EDD51">
            <w:pPr>
              <w:widowControl/>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47F3C189">
            <w:pPr>
              <w:widowControl/>
              <w:jc w:val="left"/>
              <w:rPr>
                <w:rFonts w:ascii="宋体" w:hAnsi="宋体" w:cs="宋体"/>
                <w:color w:val="auto"/>
                <w:kern w:val="0"/>
                <w:sz w:val="20"/>
                <w:szCs w:val="20"/>
                <w:highlight w:val="none"/>
              </w:rPr>
            </w:pPr>
          </w:p>
        </w:tc>
        <w:tc>
          <w:tcPr>
            <w:tcW w:w="1320" w:type="dxa"/>
            <w:vMerge w:val="restart"/>
            <w:tcBorders>
              <w:top w:val="nil"/>
              <w:left w:val="single" w:color="000000" w:sz="8" w:space="0"/>
              <w:bottom w:val="single" w:color="000000" w:sz="8" w:space="0"/>
              <w:right w:val="single" w:color="000000" w:sz="8" w:space="0"/>
            </w:tcBorders>
            <w:noWrap w:val="0"/>
            <w:vAlign w:val="center"/>
          </w:tcPr>
          <w:p w14:paraId="4D6007C3">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★A0206180203空调机</w:t>
            </w:r>
          </w:p>
        </w:tc>
        <w:tc>
          <w:tcPr>
            <w:tcW w:w="1620" w:type="dxa"/>
            <w:tcBorders>
              <w:top w:val="nil"/>
              <w:left w:val="nil"/>
              <w:bottom w:val="single" w:color="000000" w:sz="8" w:space="0"/>
              <w:right w:val="single" w:color="000000" w:sz="8" w:space="0"/>
            </w:tcBorders>
            <w:noWrap w:val="0"/>
            <w:vAlign w:val="center"/>
          </w:tcPr>
          <w:p w14:paraId="1E5BC10D">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房间空气调节器</w:t>
            </w:r>
          </w:p>
        </w:tc>
        <w:tc>
          <w:tcPr>
            <w:tcW w:w="4540" w:type="dxa"/>
            <w:tcBorders>
              <w:top w:val="nil"/>
              <w:left w:val="nil"/>
              <w:bottom w:val="single" w:color="000000" w:sz="8" w:space="0"/>
              <w:right w:val="single" w:color="000000" w:sz="8" w:space="0"/>
            </w:tcBorders>
            <w:noWrap w:val="0"/>
            <w:vAlign w:val="center"/>
          </w:tcPr>
          <w:p w14:paraId="089A2A1D">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《转速可控型房间空气调节器能效限定值及能效等级》（GB21455-2013），待2019年修订发布后，按《房间空气调节器能效限定值及能效等级》（GB21455-2019实施。</w:t>
            </w:r>
          </w:p>
        </w:tc>
      </w:tr>
      <w:tr w14:paraId="190AC5A9">
        <w:tblPrEx>
          <w:tblCellMar>
            <w:top w:w="0" w:type="dxa"/>
            <w:left w:w="108" w:type="dxa"/>
            <w:bottom w:w="0" w:type="dxa"/>
            <w:right w:w="108" w:type="dxa"/>
          </w:tblCellMar>
        </w:tblPrEx>
        <w:trPr>
          <w:trHeight w:val="73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296B60C1">
            <w:pPr>
              <w:widowControl/>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17B73A3C">
            <w:pPr>
              <w:widowControl/>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7CE25F47">
            <w:pPr>
              <w:widowControl/>
              <w:jc w:val="left"/>
              <w:rPr>
                <w:rFonts w:ascii="宋体" w:hAnsi="宋体" w:cs="宋体"/>
                <w:color w:val="auto"/>
                <w:kern w:val="0"/>
                <w:sz w:val="20"/>
                <w:szCs w:val="20"/>
                <w:highlight w:val="none"/>
              </w:rPr>
            </w:pPr>
          </w:p>
        </w:tc>
        <w:tc>
          <w:tcPr>
            <w:tcW w:w="1620" w:type="dxa"/>
            <w:tcBorders>
              <w:top w:val="nil"/>
              <w:left w:val="nil"/>
              <w:bottom w:val="single" w:color="000000" w:sz="8" w:space="0"/>
              <w:right w:val="single" w:color="000000" w:sz="8" w:space="0"/>
            </w:tcBorders>
            <w:noWrap w:val="0"/>
            <w:vAlign w:val="center"/>
          </w:tcPr>
          <w:p w14:paraId="33F46BDC">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多联式空调（热泵）机组（制冷量≤ 14000W）</w:t>
            </w:r>
          </w:p>
        </w:tc>
        <w:tc>
          <w:tcPr>
            <w:tcW w:w="4540" w:type="dxa"/>
            <w:tcBorders>
              <w:top w:val="nil"/>
              <w:left w:val="nil"/>
              <w:bottom w:val="single" w:color="000000" w:sz="8" w:space="0"/>
              <w:right w:val="single" w:color="000000" w:sz="8" w:space="0"/>
            </w:tcBorders>
            <w:noWrap w:val="0"/>
            <w:vAlign w:val="center"/>
          </w:tcPr>
          <w:p w14:paraId="58EF7D07">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《多联式空调（热泵）机组能效限定值及能源效率等级》（GB21454）</w:t>
            </w:r>
          </w:p>
        </w:tc>
      </w:tr>
      <w:tr w14:paraId="7ADA8B4A">
        <w:tblPrEx>
          <w:tblCellMar>
            <w:top w:w="0" w:type="dxa"/>
            <w:left w:w="108" w:type="dxa"/>
            <w:bottom w:w="0" w:type="dxa"/>
            <w:right w:w="108" w:type="dxa"/>
          </w:tblCellMar>
        </w:tblPrEx>
        <w:trPr>
          <w:trHeight w:val="73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6079FEAC">
            <w:pPr>
              <w:widowControl/>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318A91F1">
            <w:pPr>
              <w:widowControl/>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0CE6D5F4">
            <w:pPr>
              <w:widowControl/>
              <w:jc w:val="left"/>
              <w:rPr>
                <w:rFonts w:ascii="宋体" w:hAnsi="宋体" w:cs="宋体"/>
                <w:color w:val="auto"/>
                <w:kern w:val="0"/>
                <w:sz w:val="20"/>
                <w:szCs w:val="20"/>
                <w:highlight w:val="none"/>
              </w:rPr>
            </w:pPr>
          </w:p>
        </w:tc>
        <w:tc>
          <w:tcPr>
            <w:tcW w:w="1620" w:type="dxa"/>
            <w:tcBorders>
              <w:top w:val="nil"/>
              <w:left w:val="nil"/>
              <w:bottom w:val="single" w:color="000000" w:sz="8" w:space="0"/>
              <w:right w:val="single" w:color="000000" w:sz="8" w:space="0"/>
            </w:tcBorders>
            <w:noWrap w:val="0"/>
            <w:vAlign w:val="center"/>
          </w:tcPr>
          <w:p w14:paraId="79566ED9">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单元式空气调节机(制冷量≤14000W)</w:t>
            </w:r>
          </w:p>
        </w:tc>
        <w:tc>
          <w:tcPr>
            <w:tcW w:w="4540" w:type="dxa"/>
            <w:tcBorders>
              <w:top w:val="nil"/>
              <w:left w:val="nil"/>
              <w:bottom w:val="single" w:color="000000" w:sz="8" w:space="0"/>
              <w:right w:val="single" w:color="000000" w:sz="8" w:space="0"/>
            </w:tcBorders>
            <w:noWrap w:val="0"/>
            <w:vAlign w:val="center"/>
          </w:tcPr>
          <w:p w14:paraId="092A58C6">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《单元式空气调节机能效限定值及能源效率等级》（GB19576）《风管送风式空调机组能效限定值及能效等级》（GB37479）</w:t>
            </w:r>
          </w:p>
        </w:tc>
      </w:tr>
      <w:tr w14:paraId="724B74DC">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04A66921">
            <w:pPr>
              <w:widowControl/>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5AAD8B80">
            <w:pPr>
              <w:widowControl/>
              <w:jc w:val="left"/>
              <w:rPr>
                <w:rFonts w:ascii="宋体" w:hAnsi="宋体" w:cs="宋体"/>
                <w:color w:val="auto"/>
                <w:kern w:val="0"/>
                <w:sz w:val="20"/>
                <w:szCs w:val="20"/>
                <w:highlight w:val="none"/>
              </w:rPr>
            </w:pPr>
          </w:p>
        </w:tc>
        <w:tc>
          <w:tcPr>
            <w:tcW w:w="1320" w:type="dxa"/>
            <w:tcBorders>
              <w:top w:val="nil"/>
              <w:left w:val="nil"/>
              <w:bottom w:val="single" w:color="000000" w:sz="8" w:space="0"/>
              <w:right w:val="single" w:color="000000" w:sz="8" w:space="0"/>
            </w:tcBorders>
            <w:noWrap w:val="0"/>
            <w:vAlign w:val="center"/>
          </w:tcPr>
          <w:p w14:paraId="192D5009">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A0206180301洗衣机</w:t>
            </w:r>
          </w:p>
        </w:tc>
        <w:tc>
          <w:tcPr>
            <w:tcW w:w="1620" w:type="dxa"/>
            <w:tcBorders>
              <w:top w:val="nil"/>
              <w:left w:val="nil"/>
              <w:bottom w:val="single" w:color="000000" w:sz="8" w:space="0"/>
              <w:right w:val="single" w:color="000000" w:sz="8" w:space="0"/>
            </w:tcBorders>
            <w:noWrap w:val="0"/>
            <w:vAlign w:val="center"/>
          </w:tcPr>
          <w:p w14:paraId="69CE565C">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0"/>
            <w:vAlign w:val="center"/>
          </w:tcPr>
          <w:p w14:paraId="0D55D969">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《电动洗衣机能效水效限定值及等级》（GB12021.4）</w:t>
            </w:r>
          </w:p>
        </w:tc>
      </w:tr>
      <w:tr w14:paraId="5424797B">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1C2B2112">
            <w:pPr>
              <w:widowControl/>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26E236F3">
            <w:pPr>
              <w:widowControl/>
              <w:jc w:val="left"/>
              <w:rPr>
                <w:rFonts w:ascii="宋体" w:hAnsi="宋体" w:cs="宋体"/>
                <w:color w:val="auto"/>
                <w:kern w:val="0"/>
                <w:sz w:val="20"/>
                <w:szCs w:val="20"/>
                <w:highlight w:val="none"/>
              </w:rPr>
            </w:pPr>
          </w:p>
        </w:tc>
        <w:tc>
          <w:tcPr>
            <w:tcW w:w="1320" w:type="dxa"/>
            <w:vMerge w:val="restart"/>
            <w:tcBorders>
              <w:top w:val="nil"/>
              <w:left w:val="single" w:color="000000" w:sz="8" w:space="0"/>
              <w:bottom w:val="single" w:color="000000" w:sz="8" w:space="0"/>
              <w:right w:val="single" w:color="000000" w:sz="8" w:space="0"/>
            </w:tcBorders>
            <w:noWrap w:val="0"/>
            <w:vAlign w:val="center"/>
          </w:tcPr>
          <w:p w14:paraId="5EE71959">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A02061808热水器</w:t>
            </w:r>
          </w:p>
        </w:tc>
        <w:tc>
          <w:tcPr>
            <w:tcW w:w="1620" w:type="dxa"/>
            <w:tcBorders>
              <w:top w:val="nil"/>
              <w:left w:val="nil"/>
              <w:bottom w:val="single" w:color="000000" w:sz="8" w:space="0"/>
              <w:right w:val="single" w:color="000000" w:sz="8" w:space="0"/>
            </w:tcBorders>
            <w:noWrap w:val="0"/>
            <w:vAlign w:val="center"/>
          </w:tcPr>
          <w:p w14:paraId="45E602D1">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★电热水器</w:t>
            </w:r>
          </w:p>
        </w:tc>
        <w:tc>
          <w:tcPr>
            <w:tcW w:w="4540" w:type="dxa"/>
            <w:tcBorders>
              <w:top w:val="nil"/>
              <w:left w:val="nil"/>
              <w:bottom w:val="single" w:color="000000" w:sz="8" w:space="0"/>
              <w:right w:val="single" w:color="000000" w:sz="8" w:space="0"/>
            </w:tcBorders>
            <w:noWrap w:val="0"/>
            <w:vAlign w:val="center"/>
          </w:tcPr>
          <w:p w14:paraId="39B22A47">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《储水式电热水器能效限定值及能效等级》（GB21519）</w:t>
            </w:r>
          </w:p>
        </w:tc>
      </w:tr>
      <w:tr w14:paraId="4E844D85">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238BC1F6">
            <w:pPr>
              <w:widowControl/>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34081931">
            <w:pPr>
              <w:widowControl/>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0C4534D3">
            <w:pPr>
              <w:widowControl/>
              <w:jc w:val="left"/>
              <w:rPr>
                <w:rFonts w:ascii="宋体" w:hAnsi="宋体" w:cs="宋体"/>
                <w:color w:val="auto"/>
                <w:kern w:val="0"/>
                <w:sz w:val="20"/>
                <w:szCs w:val="20"/>
                <w:highlight w:val="none"/>
              </w:rPr>
            </w:pPr>
          </w:p>
        </w:tc>
        <w:tc>
          <w:tcPr>
            <w:tcW w:w="1620" w:type="dxa"/>
            <w:tcBorders>
              <w:top w:val="nil"/>
              <w:left w:val="nil"/>
              <w:bottom w:val="single" w:color="000000" w:sz="8" w:space="0"/>
              <w:right w:val="single" w:color="000000" w:sz="8" w:space="0"/>
            </w:tcBorders>
            <w:noWrap w:val="0"/>
            <w:vAlign w:val="center"/>
          </w:tcPr>
          <w:p w14:paraId="1B1A6756">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燃气热水器</w:t>
            </w:r>
          </w:p>
        </w:tc>
        <w:tc>
          <w:tcPr>
            <w:tcW w:w="4540" w:type="dxa"/>
            <w:tcBorders>
              <w:top w:val="nil"/>
              <w:left w:val="nil"/>
              <w:bottom w:val="single" w:color="000000" w:sz="8" w:space="0"/>
              <w:right w:val="single" w:color="000000" w:sz="8" w:space="0"/>
            </w:tcBorders>
            <w:noWrap w:val="0"/>
            <w:vAlign w:val="center"/>
          </w:tcPr>
          <w:p w14:paraId="4CCABB01">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《家用燃气快速热水器和燃气采暖热水炉能效限定值及能效等级》（GB20665）</w:t>
            </w:r>
          </w:p>
        </w:tc>
      </w:tr>
      <w:tr w14:paraId="629F084A">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1E503D21">
            <w:pPr>
              <w:widowControl/>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1A63E3FF">
            <w:pPr>
              <w:widowControl/>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1345F0D8">
            <w:pPr>
              <w:widowControl/>
              <w:jc w:val="left"/>
              <w:rPr>
                <w:rFonts w:ascii="宋体" w:hAnsi="宋体" w:cs="宋体"/>
                <w:color w:val="auto"/>
                <w:kern w:val="0"/>
                <w:sz w:val="20"/>
                <w:szCs w:val="20"/>
                <w:highlight w:val="none"/>
              </w:rPr>
            </w:pPr>
          </w:p>
        </w:tc>
        <w:tc>
          <w:tcPr>
            <w:tcW w:w="1620" w:type="dxa"/>
            <w:tcBorders>
              <w:top w:val="nil"/>
              <w:left w:val="nil"/>
              <w:bottom w:val="single" w:color="000000" w:sz="8" w:space="0"/>
              <w:right w:val="single" w:color="000000" w:sz="8" w:space="0"/>
            </w:tcBorders>
            <w:noWrap w:val="0"/>
            <w:vAlign w:val="center"/>
          </w:tcPr>
          <w:p w14:paraId="452D0AB3">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热泵热水器</w:t>
            </w:r>
          </w:p>
        </w:tc>
        <w:tc>
          <w:tcPr>
            <w:tcW w:w="4540" w:type="dxa"/>
            <w:tcBorders>
              <w:top w:val="nil"/>
              <w:left w:val="nil"/>
              <w:bottom w:val="single" w:color="000000" w:sz="8" w:space="0"/>
              <w:right w:val="single" w:color="000000" w:sz="8" w:space="0"/>
            </w:tcBorders>
            <w:noWrap w:val="0"/>
            <w:vAlign w:val="center"/>
          </w:tcPr>
          <w:p w14:paraId="34A34EE0">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《热泵热水机（器）能效限定值及能效等级》（GB29541）</w:t>
            </w:r>
          </w:p>
        </w:tc>
      </w:tr>
      <w:tr w14:paraId="7319D611">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7D8EE10D">
            <w:pPr>
              <w:widowControl/>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0B66502A">
            <w:pPr>
              <w:widowControl/>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25F60351">
            <w:pPr>
              <w:widowControl/>
              <w:jc w:val="left"/>
              <w:rPr>
                <w:rFonts w:ascii="宋体" w:hAnsi="宋体" w:cs="宋体"/>
                <w:color w:val="auto"/>
                <w:kern w:val="0"/>
                <w:sz w:val="20"/>
                <w:szCs w:val="20"/>
                <w:highlight w:val="none"/>
              </w:rPr>
            </w:pPr>
          </w:p>
        </w:tc>
        <w:tc>
          <w:tcPr>
            <w:tcW w:w="1620" w:type="dxa"/>
            <w:tcBorders>
              <w:top w:val="nil"/>
              <w:left w:val="nil"/>
              <w:bottom w:val="single" w:color="000000" w:sz="8" w:space="0"/>
              <w:right w:val="single" w:color="000000" w:sz="8" w:space="0"/>
            </w:tcBorders>
            <w:noWrap w:val="0"/>
            <w:vAlign w:val="center"/>
          </w:tcPr>
          <w:p w14:paraId="1B1D3976">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太阳能热水系统</w:t>
            </w:r>
          </w:p>
        </w:tc>
        <w:tc>
          <w:tcPr>
            <w:tcW w:w="4540" w:type="dxa"/>
            <w:tcBorders>
              <w:top w:val="nil"/>
              <w:left w:val="nil"/>
              <w:bottom w:val="single" w:color="000000" w:sz="8" w:space="0"/>
              <w:right w:val="single" w:color="000000" w:sz="8" w:space="0"/>
            </w:tcBorders>
            <w:noWrap w:val="0"/>
            <w:vAlign w:val="center"/>
          </w:tcPr>
          <w:p w14:paraId="0D143B60">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《家用太阳能热水系统能效限定值及能效等级》（GB26969）</w:t>
            </w:r>
          </w:p>
        </w:tc>
      </w:tr>
      <w:tr w14:paraId="4033D4B6">
        <w:tblPrEx>
          <w:tblCellMar>
            <w:top w:w="0" w:type="dxa"/>
            <w:left w:w="108" w:type="dxa"/>
            <w:bottom w:w="0" w:type="dxa"/>
            <w:right w:w="108" w:type="dxa"/>
          </w:tblCellMar>
        </w:tblPrEx>
        <w:trPr>
          <w:trHeight w:val="495" w:hRule="atLeast"/>
        </w:trPr>
        <w:tc>
          <w:tcPr>
            <w:tcW w:w="660" w:type="dxa"/>
            <w:vMerge w:val="restart"/>
            <w:tcBorders>
              <w:top w:val="nil"/>
              <w:left w:val="single" w:color="000000" w:sz="8" w:space="0"/>
              <w:bottom w:val="single" w:color="000000" w:sz="8" w:space="0"/>
              <w:right w:val="single" w:color="000000" w:sz="8" w:space="0"/>
            </w:tcBorders>
            <w:noWrap w:val="0"/>
            <w:vAlign w:val="center"/>
          </w:tcPr>
          <w:p w14:paraId="6FE87F75">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11</w:t>
            </w:r>
          </w:p>
        </w:tc>
        <w:tc>
          <w:tcPr>
            <w:tcW w:w="1080" w:type="dxa"/>
            <w:vMerge w:val="restart"/>
            <w:tcBorders>
              <w:top w:val="nil"/>
              <w:left w:val="single" w:color="000000" w:sz="8" w:space="0"/>
              <w:bottom w:val="single" w:color="000000" w:sz="8" w:space="0"/>
              <w:right w:val="single" w:color="000000" w:sz="8" w:space="0"/>
            </w:tcBorders>
            <w:noWrap w:val="0"/>
            <w:vAlign w:val="center"/>
          </w:tcPr>
          <w:p w14:paraId="61DE8732">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A020619照明设备</w:t>
            </w:r>
          </w:p>
        </w:tc>
        <w:tc>
          <w:tcPr>
            <w:tcW w:w="1320" w:type="dxa"/>
            <w:tcBorders>
              <w:top w:val="nil"/>
              <w:left w:val="nil"/>
              <w:bottom w:val="single" w:color="000000" w:sz="8" w:space="0"/>
              <w:right w:val="single" w:color="000000" w:sz="8" w:space="0"/>
            </w:tcBorders>
            <w:noWrap w:val="0"/>
            <w:vAlign w:val="center"/>
          </w:tcPr>
          <w:p w14:paraId="1AA3E3B9">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★普通照明用双端荧光灯</w:t>
            </w:r>
          </w:p>
        </w:tc>
        <w:tc>
          <w:tcPr>
            <w:tcW w:w="1620" w:type="dxa"/>
            <w:tcBorders>
              <w:top w:val="nil"/>
              <w:left w:val="nil"/>
              <w:bottom w:val="single" w:color="000000" w:sz="8" w:space="0"/>
              <w:right w:val="single" w:color="000000" w:sz="8" w:space="0"/>
            </w:tcBorders>
            <w:noWrap w:val="0"/>
            <w:vAlign w:val="center"/>
          </w:tcPr>
          <w:p w14:paraId="78734518">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0"/>
            <w:vAlign w:val="center"/>
          </w:tcPr>
          <w:p w14:paraId="42E93F5D">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《普通照明用双端荧光灯能效限定值及能效等级》（GB19043）</w:t>
            </w:r>
          </w:p>
        </w:tc>
      </w:tr>
      <w:tr w14:paraId="2C69E327">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5FDBBADC">
            <w:pPr>
              <w:widowControl/>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4A810BE6">
            <w:pPr>
              <w:widowControl/>
              <w:jc w:val="left"/>
              <w:rPr>
                <w:rFonts w:ascii="宋体" w:hAnsi="宋体" w:cs="宋体"/>
                <w:color w:val="auto"/>
                <w:kern w:val="0"/>
                <w:sz w:val="20"/>
                <w:szCs w:val="20"/>
                <w:highlight w:val="none"/>
              </w:rPr>
            </w:pPr>
          </w:p>
        </w:tc>
        <w:tc>
          <w:tcPr>
            <w:tcW w:w="1320" w:type="dxa"/>
            <w:tcBorders>
              <w:top w:val="nil"/>
              <w:left w:val="nil"/>
              <w:bottom w:val="single" w:color="000000" w:sz="8" w:space="0"/>
              <w:right w:val="single" w:color="000000" w:sz="8" w:space="0"/>
            </w:tcBorders>
            <w:noWrap w:val="0"/>
            <w:vAlign w:val="center"/>
          </w:tcPr>
          <w:p w14:paraId="58651C1B">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LED道路/隧道照明产品</w:t>
            </w:r>
          </w:p>
        </w:tc>
        <w:tc>
          <w:tcPr>
            <w:tcW w:w="1620" w:type="dxa"/>
            <w:tcBorders>
              <w:top w:val="nil"/>
              <w:left w:val="nil"/>
              <w:bottom w:val="single" w:color="000000" w:sz="8" w:space="0"/>
              <w:right w:val="single" w:color="000000" w:sz="8" w:space="0"/>
            </w:tcBorders>
            <w:noWrap w:val="0"/>
            <w:vAlign w:val="center"/>
          </w:tcPr>
          <w:p w14:paraId="092BFB0C">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0"/>
            <w:vAlign w:val="center"/>
          </w:tcPr>
          <w:p w14:paraId="131100CF">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《道路和隧道照明用LED灯具能效限定值及能效等级》（GB37478）</w:t>
            </w:r>
          </w:p>
        </w:tc>
      </w:tr>
      <w:tr w14:paraId="2415FCE3">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01B732DF">
            <w:pPr>
              <w:widowControl/>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180D9D34">
            <w:pPr>
              <w:widowControl/>
              <w:jc w:val="left"/>
              <w:rPr>
                <w:rFonts w:ascii="宋体" w:hAnsi="宋体" w:cs="宋体"/>
                <w:color w:val="auto"/>
                <w:kern w:val="0"/>
                <w:sz w:val="20"/>
                <w:szCs w:val="20"/>
                <w:highlight w:val="none"/>
              </w:rPr>
            </w:pPr>
          </w:p>
        </w:tc>
        <w:tc>
          <w:tcPr>
            <w:tcW w:w="1320" w:type="dxa"/>
            <w:tcBorders>
              <w:top w:val="nil"/>
              <w:left w:val="nil"/>
              <w:bottom w:val="single" w:color="000000" w:sz="8" w:space="0"/>
              <w:right w:val="single" w:color="000000" w:sz="8" w:space="0"/>
            </w:tcBorders>
            <w:noWrap w:val="0"/>
            <w:vAlign w:val="center"/>
          </w:tcPr>
          <w:p w14:paraId="1CB13EEF">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LED筒灯</w:t>
            </w:r>
          </w:p>
        </w:tc>
        <w:tc>
          <w:tcPr>
            <w:tcW w:w="1620" w:type="dxa"/>
            <w:tcBorders>
              <w:top w:val="nil"/>
              <w:left w:val="nil"/>
              <w:bottom w:val="single" w:color="000000" w:sz="8" w:space="0"/>
              <w:right w:val="single" w:color="000000" w:sz="8" w:space="0"/>
            </w:tcBorders>
            <w:noWrap w:val="0"/>
            <w:vAlign w:val="center"/>
          </w:tcPr>
          <w:p w14:paraId="1D096946">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0"/>
            <w:vAlign w:val="center"/>
          </w:tcPr>
          <w:p w14:paraId="0A79D85A">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《室内照明用LED产品能效限定值及能效等级》（GB30255）</w:t>
            </w:r>
          </w:p>
        </w:tc>
      </w:tr>
      <w:tr w14:paraId="540EAD25">
        <w:tblPrEx>
          <w:tblCellMar>
            <w:top w:w="0" w:type="dxa"/>
            <w:left w:w="108" w:type="dxa"/>
            <w:bottom w:w="0" w:type="dxa"/>
            <w:right w:w="108" w:type="dxa"/>
          </w:tblCellMar>
        </w:tblPrEx>
        <w:trPr>
          <w:trHeight w:val="73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0EEE50AA">
            <w:pPr>
              <w:widowControl/>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5382CB00">
            <w:pPr>
              <w:widowControl/>
              <w:jc w:val="left"/>
              <w:rPr>
                <w:rFonts w:ascii="宋体" w:hAnsi="宋体" w:cs="宋体"/>
                <w:color w:val="auto"/>
                <w:kern w:val="0"/>
                <w:sz w:val="20"/>
                <w:szCs w:val="20"/>
                <w:highlight w:val="none"/>
              </w:rPr>
            </w:pPr>
          </w:p>
        </w:tc>
        <w:tc>
          <w:tcPr>
            <w:tcW w:w="1320" w:type="dxa"/>
            <w:tcBorders>
              <w:top w:val="nil"/>
              <w:left w:val="nil"/>
              <w:bottom w:val="single" w:color="000000" w:sz="8" w:space="0"/>
              <w:right w:val="single" w:color="000000" w:sz="8" w:space="0"/>
            </w:tcBorders>
            <w:noWrap w:val="0"/>
            <w:vAlign w:val="center"/>
          </w:tcPr>
          <w:p w14:paraId="098C8B31">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普通照明用非定向自镇流LED灯</w:t>
            </w:r>
          </w:p>
        </w:tc>
        <w:tc>
          <w:tcPr>
            <w:tcW w:w="1620" w:type="dxa"/>
            <w:tcBorders>
              <w:top w:val="nil"/>
              <w:left w:val="nil"/>
              <w:bottom w:val="single" w:color="000000" w:sz="8" w:space="0"/>
              <w:right w:val="single" w:color="000000" w:sz="8" w:space="0"/>
            </w:tcBorders>
            <w:noWrap w:val="0"/>
            <w:vAlign w:val="center"/>
          </w:tcPr>
          <w:p w14:paraId="334846F4">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0"/>
            <w:vAlign w:val="center"/>
          </w:tcPr>
          <w:p w14:paraId="31AEC2EE">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《室内照明用LED产品能效限定值及能效等级》（GB30255）</w:t>
            </w:r>
          </w:p>
        </w:tc>
      </w:tr>
      <w:tr w14:paraId="08DBD7B0">
        <w:tblPrEx>
          <w:tblCellMar>
            <w:top w:w="0" w:type="dxa"/>
            <w:left w:w="108" w:type="dxa"/>
            <w:bottom w:w="0" w:type="dxa"/>
            <w:right w:w="108" w:type="dxa"/>
          </w:tblCellMar>
        </w:tblPrEx>
        <w:trPr>
          <w:trHeight w:val="735" w:hRule="atLeast"/>
        </w:trPr>
        <w:tc>
          <w:tcPr>
            <w:tcW w:w="660" w:type="dxa"/>
            <w:tcBorders>
              <w:top w:val="nil"/>
              <w:left w:val="single" w:color="000000" w:sz="8" w:space="0"/>
              <w:bottom w:val="single" w:color="000000" w:sz="8" w:space="0"/>
              <w:right w:val="single" w:color="000000" w:sz="8" w:space="0"/>
            </w:tcBorders>
            <w:noWrap w:val="0"/>
            <w:vAlign w:val="center"/>
          </w:tcPr>
          <w:p w14:paraId="06EE7EFB">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12</w:t>
            </w:r>
          </w:p>
        </w:tc>
        <w:tc>
          <w:tcPr>
            <w:tcW w:w="1080" w:type="dxa"/>
            <w:tcBorders>
              <w:top w:val="nil"/>
              <w:left w:val="nil"/>
              <w:bottom w:val="single" w:color="000000" w:sz="8" w:space="0"/>
              <w:right w:val="single" w:color="000000" w:sz="8" w:space="0"/>
            </w:tcBorders>
            <w:noWrap w:val="0"/>
            <w:vAlign w:val="center"/>
          </w:tcPr>
          <w:p w14:paraId="414431E1">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★A020910电视设备</w:t>
            </w:r>
          </w:p>
        </w:tc>
        <w:tc>
          <w:tcPr>
            <w:tcW w:w="1320" w:type="dxa"/>
            <w:tcBorders>
              <w:top w:val="nil"/>
              <w:left w:val="nil"/>
              <w:bottom w:val="single" w:color="000000" w:sz="8" w:space="0"/>
              <w:right w:val="single" w:color="000000" w:sz="8" w:space="0"/>
            </w:tcBorders>
            <w:noWrap w:val="0"/>
            <w:vAlign w:val="center"/>
          </w:tcPr>
          <w:p w14:paraId="401DC245">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A02091001普通电视设备（电视机）</w:t>
            </w:r>
          </w:p>
        </w:tc>
        <w:tc>
          <w:tcPr>
            <w:tcW w:w="1620" w:type="dxa"/>
            <w:tcBorders>
              <w:top w:val="nil"/>
              <w:left w:val="nil"/>
              <w:bottom w:val="single" w:color="000000" w:sz="8" w:space="0"/>
              <w:right w:val="single" w:color="000000" w:sz="8" w:space="0"/>
            </w:tcBorders>
            <w:noWrap w:val="0"/>
            <w:vAlign w:val="center"/>
          </w:tcPr>
          <w:p w14:paraId="5CA52B41">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0"/>
            <w:vAlign w:val="center"/>
          </w:tcPr>
          <w:p w14:paraId="72E5422B">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《平板电视能效限定值及能效等级》（GB24850）</w:t>
            </w:r>
          </w:p>
        </w:tc>
      </w:tr>
      <w:tr w14:paraId="36AC5578">
        <w:tblPrEx>
          <w:tblCellMar>
            <w:top w:w="0" w:type="dxa"/>
            <w:left w:w="108" w:type="dxa"/>
            <w:bottom w:w="0" w:type="dxa"/>
            <w:right w:w="108" w:type="dxa"/>
          </w:tblCellMar>
        </w:tblPrEx>
        <w:trPr>
          <w:trHeight w:val="975" w:hRule="atLeast"/>
        </w:trPr>
        <w:tc>
          <w:tcPr>
            <w:tcW w:w="660" w:type="dxa"/>
            <w:tcBorders>
              <w:top w:val="nil"/>
              <w:left w:val="single" w:color="000000" w:sz="8" w:space="0"/>
              <w:bottom w:val="single" w:color="000000" w:sz="8" w:space="0"/>
              <w:right w:val="single" w:color="000000" w:sz="8" w:space="0"/>
            </w:tcBorders>
            <w:noWrap w:val="0"/>
            <w:vAlign w:val="center"/>
          </w:tcPr>
          <w:p w14:paraId="6BF21A29">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13</w:t>
            </w:r>
          </w:p>
        </w:tc>
        <w:tc>
          <w:tcPr>
            <w:tcW w:w="1080" w:type="dxa"/>
            <w:tcBorders>
              <w:top w:val="nil"/>
              <w:left w:val="nil"/>
              <w:bottom w:val="single" w:color="000000" w:sz="8" w:space="0"/>
              <w:right w:val="single" w:color="000000" w:sz="8" w:space="0"/>
            </w:tcBorders>
            <w:noWrap w:val="0"/>
            <w:vAlign w:val="center"/>
          </w:tcPr>
          <w:p w14:paraId="2987841D">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★A020911视频设备</w:t>
            </w:r>
          </w:p>
        </w:tc>
        <w:tc>
          <w:tcPr>
            <w:tcW w:w="1320" w:type="dxa"/>
            <w:tcBorders>
              <w:top w:val="nil"/>
              <w:left w:val="nil"/>
              <w:bottom w:val="single" w:color="000000" w:sz="8" w:space="0"/>
              <w:right w:val="single" w:color="000000" w:sz="8" w:space="0"/>
            </w:tcBorders>
            <w:noWrap w:val="0"/>
            <w:vAlign w:val="center"/>
          </w:tcPr>
          <w:p w14:paraId="63C4DC6E">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A02091107视频监控设备</w:t>
            </w:r>
          </w:p>
        </w:tc>
        <w:tc>
          <w:tcPr>
            <w:tcW w:w="1620" w:type="dxa"/>
            <w:tcBorders>
              <w:top w:val="nil"/>
              <w:left w:val="nil"/>
              <w:bottom w:val="single" w:color="000000" w:sz="8" w:space="0"/>
              <w:right w:val="single" w:color="000000" w:sz="8" w:space="0"/>
            </w:tcBorders>
            <w:noWrap w:val="0"/>
            <w:vAlign w:val="center"/>
          </w:tcPr>
          <w:p w14:paraId="75012410">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监视器</w:t>
            </w:r>
          </w:p>
        </w:tc>
        <w:tc>
          <w:tcPr>
            <w:tcW w:w="4540" w:type="dxa"/>
            <w:tcBorders>
              <w:top w:val="nil"/>
              <w:left w:val="nil"/>
              <w:bottom w:val="single" w:color="000000" w:sz="8" w:space="0"/>
              <w:right w:val="single" w:color="000000" w:sz="8" w:space="0"/>
            </w:tcBorders>
            <w:noWrap w:val="0"/>
            <w:vAlign w:val="center"/>
          </w:tcPr>
          <w:p w14:paraId="66A0C6D8">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以射频信号为主要信号输入的监视器应符合《平板电视能效限定值及能效等级》（GB24850），以数字信号为主要信号输入的监视器应符合《计算机显示器能效限定值及能效等级》（GB21520）</w:t>
            </w:r>
          </w:p>
        </w:tc>
      </w:tr>
      <w:tr w14:paraId="3FD34CDE">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0"/>
            <w:vAlign w:val="center"/>
          </w:tcPr>
          <w:p w14:paraId="67851EDA">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14</w:t>
            </w:r>
          </w:p>
        </w:tc>
        <w:tc>
          <w:tcPr>
            <w:tcW w:w="1080" w:type="dxa"/>
            <w:tcBorders>
              <w:top w:val="nil"/>
              <w:left w:val="nil"/>
              <w:bottom w:val="single" w:color="000000" w:sz="8" w:space="0"/>
              <w:right w:val="single" w:color="000000" w:sz="8" w:space="0"/>
            </w:tcBorders>
            <w:noWrap w:val="0"/>
            <w:vAlign w:val="center"/>
          </w:tcPr>
          <w:p w14:paraId="593C7F37">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A031210饮食炊事机械</w:t>
            </w:r>
          </w:p>
        </w:tc>
        <w:tc>
          <w:tcPr>
            <w:tcW w:w="1320" w:type="dxa"/>
            <w:tcBorders>
              <w:top w:val="nil"/>
              <w:left w:val="nil"/>
              <w:bottom w:val="single" w:color="000000" w:sz="8" w:space="0"/>
              <w:right w:val="single" w:color="000000" w:sz="8" w:space="0"/>
            </w:tcBorders>
            <w:noWrap w:val="0"/>
            <w:vAlign w:val="center"/>
          </w:tcPr>
          <w:p w14:paraId="32EB8B65">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商用燃气灶具</w:t>
            </w:r>
          </w:p>
        </w:tc>
        <w:tc>
          <w:tcPr>
            <w:tcW w:w="1620" w:type="dxa"/>
            <w:tcBorders>
              <w:top w:val="nil"/>
              <w:left w:val="nil"/>
              <w:bottom w:val="single" w:color="000000" w:sz="8" w:space="0"/>
              <w:right w:val="single" w:color="000000" w:sz="8" w:space="0"/>
            </w:tcBorders>
            <w:noWrap w:val="0"/>
            <w:vAlign w:val="center"/>
          </w:tcPr>
          <w:p w14:paraId="276EC027">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0"/>
            <w:vAlign w:val="center"/>
          </w:tcPr>
          <w:p w14:paraId="410BD2DA">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《商用燃气灶具能效限定值及能效等级》（GB30531）</w:t>
            </w:r>
          </w:p>
        </w:tc>
      </w:tr>
      <w:tr w14:paraId="7532CA30">
        <w:tblPrEx>
          <w:tblCellMar>
            <w:top w:w="0" w:type="dxa"/>
            <w:left w:w="108" w:type="dxa"/>
            <w:bottom w:w="0" w:type="dxa"/>
            <w:right w:w="108" w:type="dxa"/>
          </w:tblCellMar>
        </w:tblPrEx>
        <w:trPr>
          <w:trHeight w:val="285" w:hRule="atLeast"/>
        </w:trPr>
        <w:tc>
          <w:tcPr>
            <w:tcW w:w="660" w:type="dxa"/>
            <w:vMerge w:val="restart"/>
            <w:tcBorders>
              <w:top w:val="nil"/>
              <w:left w:val="single" w:color="000000" w:sz="8" w:space="0"/>
              <w:bottom w:val="single" w:color="000000" w:sz="8" w:space="0"/>
              <w:right w:val="single" w:color="000000" w:sz="8" w:space="0"/>
            </w:tcBorders>
            <w:noWrap w:val="0"/>
            <w:vAlign w:val="center"/>
          </w:tcPr>
          <w:p w14:paraId="5AEB06E4">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15</w:t>
            </w:r>
          </w:p>
        </w:tc>
        <w:tc>
          <w:tcPr>
            <w:tcW w:w="1080" w:type="dxa"/>
            <w:vMerge w:val="restart"/>
            <w:tcBorders>
              <w:top w:val="nil"/>
              <w:left w:val="single" w:color="000000" w:sz="8" w:space="0"/>
              <w:bottom w:val="single" w:color="000000" w:sz="8" w:space="0"/>
              <w:right w:val="single" w:color="000000" w:sz="8" w:space="0"/>
            </w:tcBorders>
            <w:noWrap w:val="0"/>
            <w:vAlign w:val="center"/>
          </w:tcPr>
          <w:p w14:paraId="45A38C7B">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★A060805便器</w:t>
            </w:r>
          </w:p>
        </w:tc>
        <w:tc>
          <w:tcPr>
            <w:tcW w:w="1320" w:type="dxa"/>
            <w:tcBorders>
              <w:top w:val="nil"/>
              <w:left w:val="nil"/>
              <w:bottom w:val="single" w:color="000000" w:sz="8" w:space="0"/>
              <w:right w:val="single" w:color="000000" w:sz="8" w:space="0"/>
            </w:tcBorders>
            <w:noWrap w:val="0"/>
            <w:vAlign w:val="center"/>
          </w:tcPr>
          <w:p w14:paraId="5198B228">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坐便器</w:t>
            </w:r>
          </w:p>
        </w:tc>
        <w:tc>
          <w:tcPr>
            <w:tcW w:w="1620" w:type="dxa"/>
            <w:tcBorders>
              <w:top w:val="nil"/>
              <w:left w:val="nil"/>
              <w:bottom w:val="single" w:color="000000" w:sz="8" w:space="0"/>
              <w:right w:val="single" w:color="000000" w:sz="8" w:space="0"/>
            </w:tcBorders>
            <w:noWrap w:val="0"/>
            <w:vAlign w:val="center"/>
          </w:tcPr>
          <w:p w14:paraId="729F021F">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0"/>
            <w:vAlign w:val="center"/>
          </w:tcPr>
          <w:p w14:paraId="13331083">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《坐便器水效限定值及水效等级》（GB25502）</w:t>
            </w:r>
          </w:p>
        </w:tc>
      </w:tr>
      <w:tr w14:paraId="40C807E2">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2DC72CEA">
            <w:pPr>
              <w:widowControl/>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03C7A085">
            <w:pPr>
              <w:widowControl/>
              <w:jc w:val="left"/>
              <w:rPr>
                <w:rFonts w:ascii="宋体" w:hAnsi="宋体" w:cs="宋体"/>
                <w:color w:val="auto"/>
                <w:kern w:val="0"/>
                <w:sz w:val="20"/>
                <w:szCs w:val="20"/>
                <w:highlight w:val="none"/>
              </w:rPr>
            </w:pPr>
          </w:p>
        </w:tc>
        <w:tc>
          <w:tcPr>
            <w:tcW w:w="1320" w:type="dxa"/>
            <w:tcBorders>
              <w:top w:val="nil"/>
              <w:left w:val="nil"/>
              <w:bottom w:val="single" w:color="000000" w:sz="8" w:space="0"/>
              <w:right w:val="single" w:color="000000" w:sz="8" w:space="0"/>
            </w:tcBorders>
            <w:noWrap w:val="0"/>
            <w:vAlign w:val="center"/>
          </w:tcPr>
          <w:p w14:paraId="38C14C26">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蹲便器</w:t>
            </w:r>
          </w:p>
        </w:tc>
        <w:tc>
          <w:tcPr>
            <w:tcW w:w="1620" w:type="dxa"/>
            <w:tcBorders>
              <w:top w:val="nil"/>
              <w:left w:val="nil"/>
              <w:bottom w:val="single" w:color="000000" w:sz="8" w:space="0"/>
              <w:right w:val="single" w:color="000000" w:sz="8" w:space="0"/>
            </w:tcBorders>
            <w:noWrap w:val="0"/>
            <w:vAlign w:val="center"/>
          </w:tcPr>
          <w:p w14:paraId="36241E54">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0"/>
            <w:vAlign w:val="center"/>
          </w:tcPr>
          <w:p w14:paraId="082040D2">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《蹲便器用水效率限定值及用水效率等级》（GB30717）</w:t>
            </w:r>
          </w:p>
        </w:tc>
      </w:tr>
      <w:tr w14:paraId="474E4872">
        <w:tblPrEx>
          <w:tblCellMar>
            <w:top w:w="0" w:type="dxa"/>
            <w:left w:w="108" w:type="dxa"/>
            <w:bottom w:w="0" w:type="dxa"/>
            <w:right w:w="108" w:type="dxa"/>
          </w:tblCellMar>
        </w:tblPrEx>
        <w:trPr>
          <w:trHeight w:val="9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08DECC52">
            <w:pPr>
              <w:widowControl/>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468CE799">
            <w:pPr>
              <w:widowControl/>
              <w:jc w:val="left"/>
              <w:rPr>
                <w:rFonts w:ascii="宋体" w:hAnsi="宋体" w:cs="宋体"/>
                <w:color w:val="auto"/>
                <w:kern w:val="0"/>
                <w:sz w:val="20"/>
                <w:szCs w:val="20"/>
                <w:highlight w:val="none"/>
              </w:rPr>
            </w:pPr>
          </w:p>
        </w:tc>
        <w:tc>
          <w:tcPr>
            <w:tcW w:w="1320" w:type="dxa"/>
            <w:tcBorders>
              <w:top w:val="nil"/>
              <w:left w:val="nil"/>
              <w:bottom w:val="single" w:color="000000" w:sz="8" w:space="0"/>
              <w:right w:val="single" w:color="000000" w:sz="8" w:space="0"/>
            </w:tcBorders>
            <w:noWrap w:val="0"/>
            <w:vAlign w:val="center"/>
          </w:tcPr>
          <w:p w14:paraId="348B1A62">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小便器</w:t>
            </w:r>
          </w:p>
        </w:tc>
        <w:tc>
          <w:tcPr>
            <w:tcW w:w="1620" w:type="dxa"/>
            <w:tcBorders>
              <w:top w:val="nil"/>
              <w:left w:val="nil"/>
              <w:bottom w:val="single" w:color="000000" w:sz="8" w:space="0"/>
              <w:right w:val="single" w:color="000000" w:sz="8" w:space="0"/>
            </w:tcBorders>
            <w:noWrap w:val="0"/>
            <w:vAlign w:val="center"/>
          </w:tcPr>
          <w:p w14:paraId="590E06C9">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0"/>
            <w:vAlign w:val="center"/>
          </w:tcPr>
          <w:p w14:paraId="4B6EA1FC">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《小便器用水效率限定值及用水效率等级》（GB28377）</w:t>
            </w:r>
          </w:p>
        </w:tc>
      </w:tr>
      <w:tr w14:paraId="67ADBC5D">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0"/>
            <w:vAlign w:val="center"/>
          </w:tcPr>
          <w:p w14:paraId="750ADE7A">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16</w:t>
            </w:r>
          </w:p>
        </w:tc>
        <w:tc>
          <w:tcPr>
            <w:tcW w:w="1080" w:type="dxa"/>
            <w:tcBorders>
              <w:top w:val="nil"/>
              <w:left w:val="nil"/>
              <w:bottom w:val="single" w:color="000000" w:sz="8" w:space="0"/>
              <w:right w:val="single" w:color="000000" w:sz="8" w:space="0"/>
            </w:tcBorders>
            <w:noWrap w:val="0"/>
            <w:vAlign w:val="center"/>
          </w:tcPr>
          <w:p w14:paraId="293E4E34">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★A060806水嘴</w:t>
            </w:r>
          </w:p>
        </w:tc>
        <w:tc>
          <w:tcPr>
            <w:tcW w:w="1320" w:type="dxa"/>
            <w:tcBorders>
              <w:top w:val="nil"/>
              <w:left w:val="nil"/>
              <w:bottom w:val="single" w:color="000000" w:sz="8" w:space="0"/>
              <w:right w:val="single" w:color="000000" w:sz="8" w:space="0"/>
            </w:tcBorders>
            <w:noWrap w:val="0"/>
            <w:vAlign w:val="center"/>
          </w:tcPr>
          <w:p w14:paraId="343DA0CF">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1620" w:type="dxa"/>
            <w:tcBorders>
              <w:top w:val="nil"/>
              <w:left w:val="nil"/>
              <w:bottom w:val="single" w:color="000000" w:sz="8" w:space="0"/>
              <w:right w:val="single" w:color="000000" w:sz="8" w:space="0"/>
            </w:tcBorders>
            <w:noWrap w:val="0"/>
            <w:vAlign w:val="center"/>
          </w:tcPr>
          <w:p w14:paraId="67A3180E">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0"/>
            <w:vAlign w:val="center"/>
          </w:tcPr>
          <w:p w14:paraId="294A4A80">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《水嘴用水效率限定值及用水效率等级》（GB 25501）</w:t>
            </w:r>
          </w:p>
        </w:tc>
      </w:tr>
      <w:tr w14:paraId="42175A02">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0"/>
            <w:vAlign w:val="center"/>
          </w:tcPr>
          <w:p w14:paraId="7620621B">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17</w:t>
            </w:r>
          </w:p>
        </w:tc>
        <w:tc>
          <w:tcPr>
            <w:tcW w:w="1080" w:type="dxa"/>
            <w:tcBorders>
              <w:top w:val="nil"/>
              <w:left w:val="nil"/>
              <w:bottom w:val="single" w:color="000000" w:sz="8" w:space="0"/>
              <w:right w:val="single" w:color="000000" w:sz="8" w:space="0"/>
            </w:tcBorders>
            <w:noWrap w:val="0"/>
            <w:vAlign w:val="center"/>
          </w:tcPr>
          <w:p w14:paraId="7A502049">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A060807便器冲洗阀</w:t>
            </w:r>
          </w:p>
        </w:tc>
        <w:tc>
          <w:tcPr>
            <w:tcW w:w="1320" w:type="dxa"/>
            <w:tcBorders>
              <w:top w:val="nil"/>
              <w:left w:val="nil"/>
              <w:bottom w:val="single" w:color="000000" w:sz="8" w:space="0"/>
              <w:right w:val="single" w:color="000000" w:sz="8" w:space="0"/>
            </w:tcBorders>
            <w:noWrap w:val="0"/>
            <w:vAlign w:val="center"/>
          </w:tcPr>
          <w:p w14:paraId="758DE791">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1620" w:type="dxa"/>
            <w:tcBorders>
              <w:top w:val="nil"/>
              <w:left w:val="nil"/>
              <w:bottom w:val="single" w:color="000000" w:sz="8" w:space="0"/>
              <w:right w:val="single" w:color="000000" w:sz="8" w:space="0"/>
            </w:tcBorders>
            <w:noWrap w:val="0"/>
            <w:vAlign w:val="center"/>
          </w:tcPr>
          <w:p w14:paraId="6A664DCF">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0"/>
            <w:vAlign w:val="center"/>
          </w:tcPr>
          <w:p w14:paraId="48183497">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《便器冲洗阀用水效率限定值及用水效率等级》（GB28379）</w:t>
            </w:r>
          </w:p>
        </w:tc>
      </w:tr>
      <w:tr w14:paraId="2A653AFE">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0"/>
            <w:vAlign w:val="center"/>
          </w:tcPr>
          <w:p w14:paraId="4B005D43">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18</w:t>
            </w:r>
          </w:p>
        </w:tc>
        <w:tc>
          <w:tcPr>
            <w:tcW w:w="1080" w:type="dxa"/>
            <w:tcBorders>
              <w:top w:val="nil"/>
              <w:left w:val="nil"/>
              <w:bottom w:val="single" w:color="000000" w:sz="8" w:space="0"/>
              <w:right w:val="single" w:color="000000" w:sz="8" w:space="0"/>
            </w:tcBorders>
            <w:noWrap w:val="0"/>
            <w:vAlign w:val="center"/>
          </w:tcPr>
          <w:p w14:paraId="2B0E28BD">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A060810淋浴器</w:t>
            </w:r>
          </w:p>
        </w:tc>
        <w:tc>
          <w:tcPr>
            <w:tcW w:w="1320" w:type="dxa"/>
            <w:tcBorders>
              <w:top w:val="nil"/>
              <w:left w:val="nil"/>
              <w:bottom w:val="single" w:color="000000" w:sz="8" w:space="0"/>
              <w:right w:val="single" w:color="000000" w:sz="8" w:space="0"/>
            </w:tcBorders>
            <w:noWrap w:val="0"/>
            <w:vAlign w:val="center"/>
          </w:tcPr>
          <w:p w14:paraId="43F41829">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1620" w:type="dxa"/>
            <w:tcBorders>
              <w:top w:val="nil"/>
              <w:left w:val="nil"/>
              <w:bottom w:val="single" w:color="000000" w:sz="8" w:space="0"/>
              <w:right w:val="single" w:color="000000" w:sz="8" w:space="0"/>
            </w:tcBorders>
            <w:noWrap w:val="0"/>
            <w:vAlign w:val="center"/>
          </w:tcPr>
          <w:p w14:paraId="2D73A536">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0"/>
            <w:vAlign w:val="center"/>
          </w:tcPr>
          <w:p w14:paraId="2B12350C">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《淋浴器用水效率限定值及用水效率等级》（GB28378）</w:t>
            </w:r>
          </w:p>
        </w:tc>
      </w:tr>
    </w:tbl>
    <w:p w14:paraId="278B5F35">
      <w:pPr>
        <w:pStyle w:val="10"/>
        <w:spacing w:line="360" w:lineRule="auto"/>
        <w:rPr>
          <w:rFonts w:hint="eastAsia" w:ascii="宋体" w:hAnsi="宋体" w:cs="宋体"/>
          <w:color w:val="auto"/>
          <w:szCs w:val="21"/>
          <w:highlight w:val="none"/>
        </w:rPr>
      </w:pPr>
      <w:r>
        <w:rPr>
          <w:rFonts w:hint="eastAsia" w:ascii="宋体" w:hAnsi="宋体" w:cs="宋体"/>
          <w:color w:val="auto"/>
          <w:spacing w:val="-3"/>
          <w:szCs w:val="21"/>
          <w:highlight w:val="none"/>
        </w:rPr>
        <w:t>注：</w:t>
      </w:r>
      <w:r>
        <w:rPr>
          <w:rFonts w:hint="eastAsia" w:ascii="宋体" w:hAnsi="宋体" w:cs="宋体"/>
          <w:color w:val="auto"/>
          <w:szCs w:val="21"/>
          <w:highlight w:val="none"/>
        </w:rPr>
        <w:t>1.节能产品认证应依据相关国家标准的最新版本，依据国家标准中二级能效（水效）指标。</w:t>
      </w:r>
    </w:p>
    <w:p w14:paraId="7AB29D2D">
      <w:pPr>
        <w:pStyle w:val="21"/>
        <w:jc w:val="left"/>
        <w:rPr>
          <w:rFonts w:hAnsi="宋体" w:cs="宋体"/>
          <w:color w:val="auto"/>
          <w:sz w:val="32"/>
          <w:szCs w:val="32"/>
          <w:highlight w:val="none"/>
        </w:rPr>
      </w:pPr>
      <w:r>
        <w:rPr>
          <w:rFonts w:hint="eastAsia" w:ascii="宋体" w:hAnsi="宋体" w:cs="宋体"/>
          <w:color w:val="auto"/>
          <w:sz w:val="21"/>
          <w:szCs w:val="21"/>
          <w:highlight w:val="none"/>
        </w:rPr>
        <w:t xml:space="preserve">    2.以“★”标注的为政府强制采购产品。</w:t>
      </w:r>
      <w:r>
        <w:rPr>
          <w:rFonts w:hint="eastAsia"/>
          <w:color w:val="auto"/>
          <w:highlight w:val="none"/>
        </w:rPr>
        <w:br w:type="page"/>
      </w:r>
      <w:r>
        <w:rPr>
          <w:rFonts w:hint="eastAsia" w:ascii="宋体" w:hAnsi="宋体" w:cs="宋体"/>
          <w:color w:val="auto"/>
          <w:sz w:val="32"/>
          <w:szCs w:val="32"/>
          <w:highlight w:val="none"/>
        </w:rPr>
        <w:t>附件2：</w:t>
      </w:r>
    </w:p>
    <w:p w14:paraId="3B7BA81D">
      <w:pPr>
        <w:spacing w:line="528" w:lineRule="exact"/>
        <w:ind w:left="1868" w:hanging="1868" w:hangingChars="467"/>
        <w:jc w:val="center"/>
        <w:rPr>
          <w:rFonts w:ascii="宋体" w:hAnsi="宋体" w:cs="宋体"/>
          <w:color w:val="auto"/>
          <w:sz w:val="40"/>
          <w:szCs w:val="40"/>
          <w:highlight w:val="none"/>
        </w:rPr>
      </w:pPr>
      <w:r>
        <w:rPr>
          <w:rFonts w:hint="eastAsia" w:ascii="宋体" w:hAnsi="宋体" w:cs="宋体"/>
          <w:color w:val="auto"/>
          <w:sz w:val="40"/>
          <w:szCs w:val="40"/>
          <w:highlight w:val="none"/>
        </w:rPr>
        <w:t>中小微企业划型标准</w:t>
      </w:r>
    </w:p>
    <w:tbl>
      <w:tblPr>
        <w:tblStyle w:val="23"/>
        <w:tblW w:w="0" w:type="auto"/>
        <w:jc w:val="center"/>
        <w:tblLayout w:type="fixed"/>
        <w:tblCellMar>
          <w:top w:w="0" w:type="dxa"/>
          <w:left w:w="108" w:type="dxa"/>
          <w:bottom w:w="0" w:type="dxa"/>
          <w:right w:w="108" w:type="dxa"/>
        </w:tblCellMar>
      </w:tblPr>
      <w:tblGrid>
        <w:gridCol w:w="1702"/>
        <w:gridCol w:w="1384"/>
        <w:gridCol w:w="913"/>
        <w:gridCol w:w="1620"/>
        <w:gridCol w:w="1440"/>
        <w:gridCol w:w="1231"/>
      </w:tblGrid>
      <w:tr w14:paraId="30FBE5C8">
        <w:tblPrEx>
          <w:tblCellMar>
            <w:top w:w="0" w:type="dxa"/>
            <w:left w:w="108" w:type="dxa"/>
            <w:bottom w:w="0" w:type="dxa"/>
            <w:right w:w="108" w:type="dxa"/>
          </w:tblCellMar>
        </w:tblPrEx>
        <w:trPr>
          <w:trHeight w:val="285" w:hRule="atLeast"/>
          <w:jc w:val="center"/>
        </w:trPr>
        <w:tc>
          <w:tcPr>
            <w:tcW w:w="1702" w:type="dxa"/>
            <w:tcBorders>
              <w:top w:val="single" w:color="auto" w:sz="4" w:space="0"/>
              <w:left w:val="single" w:color="auto" w:sz="4" w:space="0"/>
              <w:bottom w:val="single" w:color="auto" w:sz="4" w:space="0"/>
              <w:right w:val="single" w:color="auto" w:sz="4" w:space="0"/>
            </w:tcBorders>
            <w:noWrap w:val="0"/>
            <w:vAlign w:val="center"/>
          </w:tcPr>
          <w:p w14:paraId="66B19FB1">
            <w:pPr>
              <w:widowControl/>
              <w:jc w:val="center"/>
              <w:rPr>
                <w:rFonts w:ascii="宋体" w:hAnsi="宋体" w:cs="宋体"/>
                <w:b/>
                <w:color w:val="auto"/>
                <w:kern w:val="0"/>
                <w:sz w:val="24"/>
                <w:highlight w:val="none"/>
              </w:rPr>
            </w:pPr>
            <w:r>
              <w:rPr>
                <w:rFonts w:hint="eastAsia" w:ascii="宋体" w:hAnsi="宋体" w:cs="宋体"/>
                <w:b/>
                <w:color w:val="auto"/>
                <w:kern w:val="0"/>
                <w:sz w:val="24"/>
                <w:highlight w:val="none"/>
              </w:rPr>
              <w:t>行业名称</w:t>
            </w:r>
          </w:p>
        </w:tc>
        <w:tc>
          <w:tcPr>
            <w:tcW w:w="1384" w:type="dxa"/>
            <w:tcBorders>
              <w:top w:val="single" w:color="auto" w:sz="4" w:space="0"/>
              <w:left w:val="nil"/>
              <w:bottom w:val="single" w:color="auto" w:sz="4" w:space="0"/>
              <w:right w:val="single" w:color="auto" w:sz="4" w:space="0"/>
            </w:tcBorders>
            <w:noWrap w:val="0"/>
            <w:vAlign w:val="center"/>
          </w:tcPr>
          <w:p w14:paraId="09B4021E">
            <w:pPr>
              <w:widowControl/>
              <w:jc w:val="center"/>
              <w:rPr>
                <w:rFonts w:ascii="宋体" w:hAnsi="宋体" w:cs="宋体"/>
                <w:b/>
                <w:color w:val="auto"/>
                <w:kern w:val="0"/>
                <w:sz w:val="24"/>
                <w:highlight w:val="none"/>
              </w:rPr>
            </w:pPr>
            <w:r>
              <w:rPr>
                <w:rFonts w:hint="eastAsia" w:ascii="宋体" w:hAnsi="宋体" w:cs="宋体"/>
                <w:b/>
                <w:color w:val="auto"/>
                <w:kern w:val="0"/>
                <w:sz w:val="24"/>
                <w:highlight w:val="none"/>
              </w:rPr>
              <w:t>指标名称</w:t>
            </w:r>
          </w:p>
        </w:tc>
        <w:tc>
          <w:tcPr>
            <w:tcW w:w="913" w:type="dxa"/>
            <w:tcBorders>
              <w:top w:val="single" w:color="auto" w:sz="4" w:space="0"/>
              <w:left w:val="nil"/>
              <w:bottom w:val="single" w:color="auto" w:sz="4" w:space="0"/>
              <w:right w:val="single" w:color="auto" w:sz="4" w:space="0"/>
            </w:tcBorders>
            <w:noWrap w:val="0"/>
            <w:vAlign w:val="center"/>
          </w:tcPr>
          <w:p w14:paraId="4B7DF96A">
            <w:pPr>
              <w:widowControl/>
              <w:jc w:val="center"/>
              <w:rPr>
                <w:rFonts w:ascii="宋体" w:hAnsi="宋体" w:cs="宋体"/>
                <w:b/>
                <w:color w:val="auto"/>
                <w:kern w:val="0"/>
                <w:sz w:val="24"/>
                <w:highlight w:val="none"/>
              </w:rPr>
            </w:pPr>
            <w:r>
              <w:rPr>
                <w:rFonts w:hint="eastAsia" w:ascii="宋体" w:hAnsi="宋体" w:cs="宋体"/>
                <w:b/>
                <w:color w:val="auto"/>
                <w:kern w:val="0"/>
                <w:sz w:val="24"/>
                <w:highlight w:val="none"/>
              </w:rPr>
              <w:t>计量单位</w:t>
            </w:r>
          </w:p>
        </w:tc>
        <w:tc>
          <w:tcPr>
            <w:tcW w:w="1620" w:type="dxa"/>
            <w:tcBorders>
              <w:top w:val="single" w:color="auto" w:sz="4" w:space="0"/>
              <w:left w:val="nil"/>
              <w:bottom w:val="single" w:color="auto" w:sz="4" w:space="0"/>
              <w:right w:val="single" w:color="auto" w:sz="4" w:space="0"/>
            </w:tcBorders>
            <w:noWrap w:val="0"/>
            <w:vAlign w:val="center"/>
          </w:tcPr>
          <w:p w14:paraId="7117998D">
            <w:pPr>
              <w:widowControl/>
              <w:jc w:val="center"/>
              <w:rPr>
                <w:rFonts w:ascii="宋体" w:hAnsi="宋体" w:cs="宋体"/>
                <w:b/>
                <w:color w:val="auto"/>
                <w:kern w:val="0"/>
                <w:sz w:val="24"/>
                <w:highlight w:val="none"/>
              </w:rPr>
            </w:pPr>
            <w:r>
              <w:rPr>
                <w:rFonts w:hint="eastAsia" w:ascii="宋体" w:hAnsi="宋体" w:cs="宋体"/>
                <w:b/>
                <w:color w:val="auto"/>
                <w:kern w:val="0"/>
                <w:sz w:val="24"/>
                <w:highlight w:val="none"/>
              </w:rPr>
              <w:t>中型</w:t>
            </w:r>
          </w:p>
        </w:tc>
        <w:tc>
          <w:tcPr>
            <w:tcW w:w="1440" w:type="dxa"/>
            <w:tcBorders>
              <w:top w:val="single" w:color="auto" w:sz="4" w:space="0"/>
              <w:left w:val="nil"/>
              <w:bottom w:val="single" w:color="auto" w:sz="4" w:space="0"/>
              <w:right w:val="single" w:color="auto" w:sz="4" w:space="0"/>
            </w:tcBorders>
            <w:noWrap w:val="0"/>
            <w:vAlign w:val="center"/>
          </w:tcPr>
          <w:p w14:paraId="69CCCDD0">
            <w:pPr>
              <w:widowControl/>
              <w:jc w:val="center"/>
              <w:rPr>
                <w:rFonts w:ascii="宋体" w:hAnsi="宋体" w:cs="宋体"/>
                <w:b/>
                <w:color w:val="auto"/>
                <w:kern w:val="0"/>
                <w:sz w:val="24"/>
                <w:highlight w:val="none"/>
              </w:rPr>
            </w:pPr>
            <w:r>
              <w:rPr>
                <w:rFonts w:hint="eastAsia" w:ascii="宋体" w:hAnsi="宋体" w:cs="宋体"/>
                <w:b/>
                <w:color w:val="auto"/>
                <w:kern w:val="0"/>
                <w:sz w:val="24"/>
                <w:highlight w:val="none"/>
              </w:rPr>
              <w:t>小型</w:t>
            </w:r>
          </w:p>
        </w:tc>
        <w:tc>
          <w:tcPr>
            <w:tcW w:w="1231" w:type="dxa"/>
            <w:tcBorders>
              <w:top w:val="single" w:color="auto" w:sz="4" w:space="0"/>
              <w:left w:val="nil"/>
              <w:bottom w:val="single" w:color="auto" w:sz="4" w:space="0"/>
              <w:right w:val="single" w:color="auto" w:sz="4" w:space="0"/>
            </w:tcBorders>
            <w:noWrap w:val="0"/>
            <w:vAlign w:val="center"/>
          </w:tcPr>
          <w:p w14:paraId="6285EF1F">
            <w:pPr>
              <w:widowControl/>
              <w:jc w:val="center"/>
              <w:rPr>
                <w:rFonts w:ascii="宋体" w:hAnsi="宋体" w:cs="宋体"/>
                <w:b/>
                <w:color w:val="auto"/>
                <w:kern w:val="0"/>
                <w:sz w:val="24"/>
                <w:highlight w:val="none"/>
              </w:rPr>
            </w:pPr>
            <w:r>
              <w:rPr>
                <w:rFonts w:hint="eastAsia" w:ascii="宋体" w:hAnsi="宋体" w:cs="宋体"/>
                <w:b/>
                <w:color w:val="auto"/>
                <w:kern w:val="0"/>
                <w:sz w:val="24"/>
                <w:highlight w:val="none"/>
              </w:rPr>
              <w:t>微型</w:t>
            </w:r>
          </w:p>
        </w:tc>
      </w:tr>
      <w:tr w14:paraId="46380B65">
        <w:tblPrEx>
          <w:tblCellMar>
            <w:top w:w="0" w:type="dxa"/>
            <w:left w:w="108" w:type="dxa"/>
            <w:bottom w:w="0" w:type="dxa"/>
            <w:right w:w="108" w:type="dxa"/>
          </w:tblCellMar>
        </w:tblPrEx>
        <w:trPr>
          <w:trHeight w:val="225" w:hRule="atLeast"/>
          <w:jc w:val="center"/>
        </w:trPr>
        <w:tc>
          <w:tcPr>
            <w:tcW w:w="1702" w:type="dxa"/>
            <w:tcBorders>
              <w:top w:val="nil"/>
              <w:left w:val="single" w:color="auto" w:sz="4" w:space="0"/>
              <w:bottom w:val="single" w:color="auto" w:sz="4" w:space="0"/>
              <w:right w:val="single" w:color="auto" w:sz="4" w:space="0"/>
            </w:tcBorders>
            <w:noWrap w:val="0"/>
            <w:vAlign w:val="bottom"/>
          </w:tcPr>
          <w:p w14:paraId="2CC60873">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农、林、牧、渔</w:t>
            </w:r>
          </w:p>
        </w:tc>
        <w:tc>
          <w:tcPr>
            <w:tcW w:w="1384" w:type="dxa"/>
            <w:tcBorders>
              <w:top w:val="nil"/>
              <w:left w:val="nil"/>
              <w:bottom w:val="single" w:color="auto" w:sz="4" w:space="0"/>
              <w:right w:val="single" w:color="auto" w:sz="4" w:space="0"/>
            </w:tcBorders>
            <w:noWrap w:val="0"/>
            <w:vAlign w:val="center"/>
          </w:tcPr>
          <w:p w14:paraId="34D9BC36">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0"/>
            <w:vAlign w:val="center"/>
          </w:tcPr>
          <w:p w14:paraId="23545A23">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620" w:type="dxa"/>
            <w:tcBorders>
              <w:top w:val="nil"/>
              <w:left w:val="nil"/>
              <w:bottom w:val="single" w:color="auto" w:sz="4" w:space="0"/>
              <w:right w:val="single" w:color="auto" w:sz="4" w:space="0"/>
            </w:tcBorders>
            <w:noWrap w:val="0"/>
            <w:vAlign w:val="center"/>
          </w:tcPr>
          <w:p w14:paraId="7AE554C9">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500≤Y＜20000</w:t>
            </w:r>
          </w:p>
        </w:tc>
        <w:tc>
          <w:tcPr>
            <w:tcW w:w="1440" w:type="dxa"/>
            <w:tcBorders>
              <w:top w:val="nil"/>
              <w:left w:val="nil"/>
              <w:bottom w:val="single" w:color="auto" w:sz="4" w:space="0"/>
              <w:right w:val="single" w:color="auto" w:sz="4" w:space="0"/>
            </w:tcBorders>
            <w:noWrap w:val="0"/>
            <w:vAlign w:val="center"/>
          </w:tcPr>
          <w:p w14:paraId="02B0C0B8">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50≤Y＜500</w:t>
            </w:r>
          </w:p>
        </w:tc>
        <w:tc>
          <w:tcPr>
            <w:tcW w:w="1231" w:type="dxa"/>
            <w:tcBorders>
              <w:top w:val="nil"/>
              <w:left w:val="nil"/>
              <w:bottom w:val="single" w:color="auto" w:sz="4" w:space="0"/>
              <w:right w:val="single" w:color="auto" w:sz="4" w:space="0"/>
            </w:tcBorders>
            <w:noWrap w:val="0"/>
            <w:vAlign w:val="center"/>
          </w:tcPr>
          <w:p w14:paraId="39B91125">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Y＜50</w:t>
            </w:r>
          </w:p>
        </w:tc>
      </w:tr>
      <w:tr w14:paraId="3D731AA6">
        <w:tblPrEx>
          <w:tblCellMar>
            <w:top w:w="0" w:type="dxa"/>
            <w:left w:w="108" w:type="dxa"/>
            <w:bottom w:w="0" w:type="dxa"/>
            <w:right w:w="108" w:type="dxa"/>
          </w:tblCellMar>
        </w:tblPrEx>
        <w:trPr>
          <w:trHeight w:val="225" w:hRule="atLeast"/>
          <w:jc w:val="center"/>
        </w:trPr>
        <w:tc>
          <w:tcPr>
            <w:tcW w:w="1702" w:type="dxa"/>
            <w:vMerge w:val="restart"/>
            <w:tcBorders>
              <w:top w:val="nil"/>
              <w:left w:val="single" w:color="auto" w:sz="4" w:space="0"/>
              <w:bottom w:val="single" w:color="auto" w:sz="4" w:space="0"/>
              <w:right w:val="single" w:color="auto" w:sz="4" w:space="0"/>
            </w:tcBorders>
            <w:noWrap w:val="0"/>
            <w:vAlign w:val="center"/>
          </w:tcPr>
          <w:p w14:paraId="3124016F">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工业</w:t>
            </w:r>
          </w:p>
        </w:tc>
        <w:tc>
          <w:tcPr>
            <w:tcW w:w="1384" w:type="dxa"/>
            <w:tcBorders>
              <w:top w:val="nil"/>
              <w:left w:val="nil"/>
              <w:bottom w:val="single" w:color="auto" w:sz="4" w:space="0"/>
              <w:right w:val="single" w:color="auto" w:sz="4" w:space="0"/>
            </w:tcBorders>
            <w:noWrap w:val="0"/>
            <w:vAlign w:val="center"/>
          </w:tcPr>
          <w:p w14:paraId="4B06497E">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0"/>
            <w:vAlign w:val="center"/>
          </w:tcPr>
          <w:p w14:paraId="21CACEA6">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620" w:type="dxa"/>
            <w:tcBorders>
              <w:top w:val="nil"/>
              <w:left w:val="nil"/>
              <w:bottom w:val="single" w:color="auto" w:sz="4" w:space="0"/>
              <w:right w:val="single" w:color="auto" w:sz="4" w:space="0"/>
            </w:tcBorders>
            <w:noWrap w:val="0"/>
            <w:vAlign w:val="center"/>
          </w:tcPr>
          <w:p w14:paraId="72049F62">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440" w:type="dxa"/>
            <w:tcBorders>
              <w:top w:val="nil"/>
              <w:left w:val="nil"/>
              <w:bottom w:val="single" w:color="auto" w:sz="4" w:space="0"/>
              <w:right w:val="single" w:color="auto" w:sz="4" w:space="0"/>
            </w:tcBorders>
            <w:noWrap w:val="0"/>
            <w:vAlign w:val="center"/>
          </w:tcPr>
          <w:p w14:paraId="1732B1B9">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1231" w:type="dxa"/>
            <w:tcBorders>
              <w:top w:val="nil"/>
              <w:left w:val="nil"/>
              <w:bottom w:val="single" w:color="auto" w:sz="4" w:space="0"/>
              <w:right w:val="single" w:color="auto" w:sz="4" w:space="0"/>
            </w:tcBorders>
            <w:noWrap w:val="0"/>
            <w:vAlign w:val="center"/>
          </w:tcPr>
          <w:p w14:paraId="2436EE3A">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6EFBBE36">
        <w:tblPrEx>
          <w:tblCellMar>
            <w:top w:w="0" w:type="dxa"/>
            <w:left w:w="108" w:type="dxa"/>
            <w:bottom w:w="0" w:type="dxa"/>
            <w:right w:w="108" w:type="dxa"/>
          </w:tblCellMar>
        </w:tblPrEx>
        <w:trPr>
          <w:trHeight w:val="225" w:hRule="atLeast"/>
          <w:jc w:val="center"/>
        </w:trPr>
        <w:tc>
          <w:tcPr>
            <w:tcW w:w="1702" w:type="dxa"/>
            <w:vMerge w:val="continue"/>
            <w:tcBorders>
              <w:top w:val="nil"/>
              <w:left w:val="single" w:color="auto" w:sz="4" w:space="0"/>
              <w:bottom w:val="single" w:color="auto" w:sz="4" w:space="0"/>
              <w:right w:val="single" w:color="auto" w:sz="4" w:space="0"/>
            </w:tcBorders>
            <w:noWrap w:val="0"/>
            <w:vAlign w:val="center"/>
          </w:tcPr>
          <w:p w14:paraId="7AF8A193">
            <w:pPr>
              <w:jc w:val="center"/>
              <w:rPr>
                <w:color w:val="auto"/>
                <w:sz w:val="20"/>
                <w:szCs w:val="20"/>
                <w:highlight w:val="none"/>
              </w:rPr>
            </w:pPr>
          </w:p>
        </w:tc>
        <w:tc>
          <w:tcPr>
            <w:tcW w:w="1384" w:type="dxa"/>
            <w:tcBorders>
              <w:top w:val="nil"/>
              <w:left w:val="nil"/>
              <w:bottom w:val="single" w:color="auto" w:sz="4" w:space="0"/>
              <w:right w:val="single" w:color="auto" w:sz="4" w:space="0"/>
            </w:tcBorders>
            <w:noWrap w:val="0"/>
            <w:vAlign w:val="center"/>
          </w:tcPr>
          <w:p w14:paraId="719D23F0">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0"/>
            <w:vAlign w:val="center"/>
          </w:tcPr>
          <w:p w14:paraId="198F8028">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620" w:type="dxa"/>
            <w:tcBorders>
              <w:top w:val="nil"/>
              <w:left w:val="nil"/>
              <w:bottom w:val="single" w:color="auto" w:sz="4" w:space="0"/>
              <w:right w:val="single" w:color="auto" w:sz="4" w:space="0"/>
            </w:tcBorders>
            <w:noWrap w:val="0"/>
            <w:vAlign w:val="center"/>
          </w:tcPr>
          <w:p w14:paraId="77EB7BCC">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2000≤Y＜40000</w:t>
            </w:r>
          </w:p>
        </w:tc>
        <w:tc>
          <w:tcPr>
            <w:tcW w:w="1440" w:type="dxa"/>
            <w:tcBorders>
              <w:top w:val="nil"/>
              <w:left w:val="nil"/>
              <w:bottom w:val="single" w:color="auto" w:sz="4" w:space="0"/>
              <w:right w:val="single" w:color="auto" w:sz="4" w:space="0"/>
            </w:tcBorders>
            <w:noWrap w:val="0"/>
            <w:vAlign w:val="center"/>
          </w:tcPr>
          <w:p w14:paraId="2DB6391A">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300≤Y＜2000</w:t>
            </w:r>
          </w:p>
        </w:tc>
        <w:tc>
          <w:tcPr>
            <w:tcW w:w="1231" w:type="dxa"/>
            <w:tcBorders>
              <w:top w:val="nil"/>
              <w:left w:val="nil"/>
              <w:bottom w:val="single" w:color="auto" w:sz="4" w:space="0"/>
              <w:right w:val="single" w:color="auto" w:sz="4" w:space="0"/>
            </w:tcBorders>
            <w:noWrap w:val="0"/>
            <w:vAlign w:val="center"/>
          </w:tcPr>
          <w:p w14:paraId="39A2F3AC">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Y＜300</w:t>
            </w:r>
          </w:p>
        </w:tc>
      </w:tr>
      <w:tr w14:paraId="080E2A7E">
        <w:tblPrEx>
          <w:tblCellMar>
            <w:top w:w="0" w:type="dxa"/>
            <w:left w:w="108" w:type="dxa"/>
            <w:bottom w:w="0" w:type="dxa"/>
            <w:right w:w="108" w:type="dxa"/>
          </w:tblCellMar>
        </w:tblPrEx>
        <w:trPr>
          <w:trHeight w:val="225" w:hRule="atLeast"/>
          <w:jc w:val="center"/>
        </w:trPr>
        <w:tc>
          <w:tcPr>
            <w:tcW w:w="1702" w:type="dxa"/>
            <w:vMerge w:val="restart"/>
            <w:tcBorders>
              <w:top w:val="nil"/>
              <w:left w:val="single" w:color="auto" w:sz="4" w:space="0"/>
              <w:bottom w:val="single" w:color="auto" w:sz="4" w:space="0"/>
              <w:right w:val="single" w:color="auto" w:sz="4" w:space="0"/>
            </w:tcBorders>
            <w:noWrap w:val="0"/>
            <w:vAlign w:val="center"/>
          </w:tcPr>
          <w:p w14:paraId="10B54195">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建筑业</w:t>
            </w:r>
          </w:p>
        </w:tc>
        <w:tc>
          <w:tcPr>
            <w:tcW w:w="1384" w:type="dxa"/>
            <w:tcBorders>
              <w:top w:val="nil"/>
              <w:left w:val="nil"/>
              <w:bottom w:val="single" w:color="auto" w:sz="4" w:space="0"/>
              <w:right w:val="single" w:color="auto" w:sz="4" w:space="0"/>
            </w:tcBorders>
            <w:noWrap w:val="0"/>
            <w:vAlign w:val="center"/>
          </w:tcPr>
          <w:p w14:paraId="426FE548">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0"/>
            <w:vAlign w:val="center"/>
          </w:tcPr>
          <w:p w14:paraId="699A86DA">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620" w:type="dxa"/>
            <w:tcBorders>
              <w:top w:val="nil"/>
              <w:left w:val="nil"/>
              <w:bottom w:val="single" w:color="auto" w:sz="4" w:space="0"/>
              <w:right w:val="single" w:color="auto" w:sz="4" w:space="0"/>
            </w:tcBorders>
            <w:noWrap w:val="0"/>
            <w:vAlign w:val="center"/>
          </w:tcPr>
          <w:p w14:paraId="296F6FC8">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6000≤Y＜80000</w:t>
            </w:r>
          </w:p>
        </w:tc>
        <w:tc>
          <w:tcPr>
            <w:tcW w:w="1440" w:type="dxa"/>
            <w:tcBorders>
              <w:top w:val="nil"/>
              <w:left w:val="nil"/>
              <w:bottom w:val="single" w:color="auto" w:sz="4" w:space="0"/>
              <w:right w:val="single" w:color="auto" w:sz="4" w:space="0"/>
            </w:tcBorders>
            <w:noWrap w:val="0"/>
            <w:vAlign w:val="center"/>
          </w:tcPr>
          <w:p w14:paraId="5DA04114">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300≤Y＜6000</w:t>
            </w:r>
          </w:p>
        </w:tc>
        <w:tc>
          <w:tcPr>
            <w:tcW w:w="1231" w:type="dxa"/>
            <w:tcBorders>
              <w:top w:val="nil"/>
              <w:left w:val="nil"/>
              <w:bottom w:val="single" w:color="auto" w:sz="4" w:space="0"/>
              <w:right w:val="single" w:color="auto" w:sz="4" w:space="0"/>
            </w:tcBorders>
            <w:noWrap w:val="0"/>
            <w:vAlign w:val="center"/>
          </w:tcPr>
          <w:p w14:paraId="1E5B10EB">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Y＜300</w:t>
            </w:r>
          </w:p>
        </w:tc>
      </w:tr>
      <w:tr w14:paraId="0F4C5376">
        <w:tblPrEx>
          <w:tblCellMar>
            <w:top w:w="0" w:type="dxa"/>
            <w:left w:w="108" w:type="dxa"/>
            <w:bottom w:w="0" w:type="dxa"/>
            <w:right w:w="108" w:type="dxa"/>
          </w:tblCellMar>
        </w:tblPrEx>
        <w:trPr>
          <w:trHeight w:val="225" w:hRule="atLeast"/>
          <w:jc w:val="center"/>
        </w:trPr>
        <w:tc>
          <w:tcPr>
            <w:tcW w:w="1702" w:type="dxa"/>
            <w:vMerge w:val="continue"/>
            <w:tcBorders>
              <w:top w:val="nil"/>
              <w:left w:val="single" w:color="auto" w:sz="4" w:space="0"/>
              <w:bottom w:val="single" w:color="auto" w:sz="4" w:space="0"/>
              <w:right w:val="single" w:color="auto" w:sz="4" w:space="0"/>
            </w:tcBorders>
            <w:noWrap w:val="0"/>
            <w:vAlign w:val="center"/>
          </w:tcPr>
          <w:p w14:paraId="14C31A90">
            <w:pPr>
              <w:jc w:val="center"/>
              <w:rPr>
                <w:color w:val="auto"/>
                <w:sz w:val="20"/>
                <w:szCs w:val="20"/>
                <w:highlight w:val="none"/>
              </w:rPr>
            </w:pPr>
          </w:p>
        </w:tc>
        <w:tc>
          <w:tcPr>
            <w:tcW w:w="1384" w:type="dxa"/>
            <w:tcBorders>
              <w:top w:val="nil"/>
              <w:left w:val="nil"/>
              <w:bottom w:val="single" w:color="auto" w:sz="4" w:space="0"/>
              <w:right w:val="single" w:color="auto" w:sz="4" w:space="0"/>
            </w:tcBorders>
            <w:noWrap w:val="0"/>
            <w:vAlign w:val="center"/>
          </w:tcPr>
          <w:p w14:paraId="4B69A5F8">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913" w:type="dxa"/>
            <w:tcBorders>
              <w:top w:val="nil"/>
              <w:left w:val="nil"/>
              <w:bottom w:val="single" w:color="auto" w:sz="4" w:space="0"/>
              <w:right w:val="single" w:color="auto" w:sz="4" w:space="0"/>
            </w:tcBorders>
            <w:noWrap w:val="0"/>
            <w:vAlign w:val="center"/>
          </w:tcPr>
          <w:p w14:paraId="76560A66">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620" w:type="dxa"/>
            <w:tcBorders>
              <w:top w:val="nil"/>
              <w:left w:val="nil"/>
              <w:bottom w:val="single" w:color="auto" w:sz="4" w:space="0"/>
              <w:right w:val="single" w:color="auto" w:sz="4" w:space="0"/>
            </w:tcBorders>
            <w:noWrap w:val="0"/>
            <w:vAlign w:val="center"/>
          </w:tcPr>
          <w:p w14:paraId="6FEB2878">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5000≤Z＜80000</w:t>
            </w:r>
          </w:p>
        </w:tc>
        <w:tc>
          <w:tcPr>
            <w:tcW w:w="1440" w:type="dxa"/>
            <w:tcBorders>
              <w:top w:val="nil"/>
              <w:left w:val="nil"/>
              <w:bottom w:val="single" w:color="auto" w:sz="4" w:space="0"/>
              <w:right w:val="single" w:color="auto" w:sz="4" w:space="0"/>
            </w:tcBorders>
            <w:noWrap w:val="0"/>
            <w:vAlign w:val="center"/>
          </w:tcPr>
          <w:p w14:paraId="3ABC0044">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300≤Z＜5000</w:t>
            </w:r>
          </w:p>
        </w:tc>
        <w:tc>
          <w:tcPr>
            <w:tcW w:w="1231" w:type="dxa"/>
            <w:tcBorders>
              <w:top w:val="nil"/>
              <w:left w:val="nil"/>
              <w:bottom w:val="single" w:color="auto" w:sz="4" w:space="0"/>
              <w:right w:val="single" w:color="auto" w:sz="4" w:space="0"/>
            </w:tcBorders>
            <w:noWrap w:val="0"/>
            <w:vAlign w:val="center"/>
          </w:tcPr>
          <w:p w14:paraId="110655E8">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Z＜300</w:t>
            </w:r>
          </w:p>
        </w:tc>
      </w:tr>
      <w:tr w14:paraId="19BBED41">
        <w:tblPrEx>
          <w:tblCellMar>
            <w:top w:w="0" w:type="dxa"/>
            <w:left w:w="108" w:type="dxa"/>
            <w:bottom w:w="0" w:type="dxa"/>
            <w:right w:w="108" w:type="dxa"/>
          </w:tblCellMar>
        </w:tblPrEx>
        <w:trPr>
          <w:trHeight w:val="225" w:hRule="atLeast"/>
          <w:jc w:val="center"/>
        </w:trPr>
        <w:tc>
          <w:tcPr>
            <w:tcW w:w="1702" w:type="dxa"/>
            <w:vMerge w:val="restart"/>
            <w:tcBorders>
              <w:top w:val="nil"/>
              <w:left w:val="single" w:color="auto" w:sz="4" w:space="0"/>
              <w:bottom w:val="single" w:color="auto" w:sz="4" w:space="0"/>
              <w:right w:val="single" w:color="auto" w:sz="4" w:space="0"/>
            </w:tcBorders>
            <w:noWrap w:val="0"/>
            <w:vAlign w:val="center"/>
          </w:tcPr>
          <w:p w14:paraId="09A93A72">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批发业</w:t>
            </w:r>
          </w:p>
        </w:tc>
        <w:tc>
          <w:tcPr>
            <w:tcW w:w="1384" w:type="dxa"/>
            <w:tcBorders>
              <w:top w:val="nil"/>
              <w:left w:val="nil"/>
              <w:bottom w:val="single" w:color="auto" w:sz="4" w:space="0"/>
              <w:right w:val="single" w:color="auto" w:sz="4" w:space="0"/>
            </w:tcBorders>
            <w:noWrap w:val="0"/>
            <w:vAlign w:val="center"/>
          </w:tcPr>
          <w:p w14:paraId="245C7616">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0"/>
            <w:vAlign w:val="center"/>
          </w:tcPr>
          <w:p w14:paraId="31AE262D">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620" w:type="dxa"/>
            <w:tcBorders>
              <w:top w:val="nil"/>
              <w:left w:val="nil"/>
              <w:bottom w:val="single" w:color="auto" w:sz="4" w:space="0"/>
              <w:right w:val="single" w:color="auto" w:sz="4" w:space="0"/>
            </w:tcBorders>
            <w:noWrap w:val="0"/>
            <w:vAlign w:val="center"/>
          </w:tcPr>
          <w:p w14:paraId="42B2AC7F">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20≤X＜200</w:t>
            </w:r>
          </w:p>
        </w:tc>
        <w:tc>
          <w:tcPr>
            <w:tcW w:w="1440" w:type="dxa"/>
            <w:tcBorders>
              <w:top w:val="nil"/>
              <w:left w:val="nil"/>
              <w:bottom w:val="single" w:color="auto" w:sz="4" w:space="0"/>
              <w:right w:val="single" w:color="auto" w:sz="4" w:space="0"/>
            </w:tcBorders>
            <w:noWrap w:val="0"/>
            <w:vAlign w:val="center"/>
          </w:tcPr>
          <w:p w14:paraId="747C11D5">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5≤X＜20</w:t>
            </w:r>
          </w:p>
        </w:tc>
        <w:tc>
          <w:tcPr>
            <w:tcW w:w="1231" w:type="dxa"/>
            <w:tcBorders>
              <w:top w:val="nil"/>
              <w:left w:val="nil"/>
              <w:bottom w:val="single" w:color="auto" w:sz="4" w:space="0"/>
              <w:right w:val="single" w:color="auto" w:sz="4" w:space="0"/>
            </w:tcBorders>
            <w:noWrap w:val="0"/>
            <w:vAlign w:val="center"/>
          </w:tcPr>
          <w:p w14:paraId="1769A6B3">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X＜5</w:t>
            </w:r>
          </w:p>
        </w:tc>
      </w:tr>
      <w:tr w14:paraId="5BDDD655">
        <w:tblPrEx>
          <w:tblCellMar>
            <w:top w:w="0" w:type="dxa"/>
            <w:left w:w="108" w:type="dxa"/>
            <w:bottom w:w="0" w:type="dxa"/>
            <w:right w:w="108" w:type="dxa"/>
          </w:tblCellMar>
        </w:tblPrEx>
        <w:trPr>
          <w:trHeight w:val="225" w:hRule="atLeast"/>
          <w:jc w:val="center"/>
        </w:trPr>
        <w:tc>
          <w:tcPr>
            <w:tcW w:w="1702" w:type="dxa"/>
            <w:vMerge w:val="continue"/>
            <w:tcBorders>
              <w:top w:val="nil"/>
              <w:left w:val="single" w:color="auto" w:sz="4" w:space="0"/>
              <w:bottom w:val="single" w:color="auto" w:sz="4" w:space="0"/>
              <w:right w:val="single" w:color="auto" w:sz="4" w:space="0"/>
            </w:tcBorders>
            <w:noWrap w:val="0"/>
            <w:vAlign w:val="center"/>
          </w:tcPr>
          <w:p w14:paraId="443F8814">
            <w:pPr>
              <w:jc w:val="center"/>
              <w:rPr>
                <w:color w:val="auto"/>
                <w:sz w:val="20"/>
                <w:szCs w:val="20"/>
                <w:highlight w:val="none"/>
              </w:rPr>
            </w:pPr>
          </w:p>
        </w:tc>
        <w:tc>
          <w:tcPr>
            <w:tcW w:w="1384" w:type="dxa"/>
            <w:tcBorders>
              <w:top w:val="nil"/>
              <w:left w:val="nil"/>
              <w:bottom w:val="single" w:color="auto" w:sz="4" w:space="0"/>
              <w:right w:val="single" w:color="auto" w:sz="4" w:space="0"/>
            </w:tcBorders>
            <w:noWrap w:val="0"/>
            <w:vAlign w:val="center"/>
          </w:tcPr>
          <w:p w14:paraId="58A0F9E7">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0"/>
            <w:vAlign w:val="center"/>
          </w:tcPr>
          <w:p w14:paraId="1DDE8DC2">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620" w:type="dxa"/>
            <w:tcBorders>
              <w:top w:val="nil"/>
              <w:left w:val="nil"/>
              <w:bottom w:val="single" w:color="auto" w:sz="4" w:space="0"/>
              <w:right w:val="single" w:color="auto" w:sz="4" w:space="0"/>
            </w:tcBorders>
            <w:noWrap w:val="0"/>
            <w:vAlign w:val="center"/>
          </w:tcPr>
          <w:p w14:paraId="2AB329BC">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5000≤Y＜40000</w:t>
            </w:r>
          </w:p>
        </w:tc>
        <w:tc>
          <w:tcPr>
            <w:tcW w:w="1440" w:type="dxa"/>
            <w:tcBorders>
              <w:top w:val="nil"/>
              <w:left w:val="nil"/>
              <w:bottom w:val="single" w:color="auto" w:sz="4" w:space="0"/>
              <w:right w:val="single" w:color="auto" w:sz="4" w:space="0"/>
            </w:tcBorders>
            <w:noWrap w:val="0"/>
            <w:vAlign w:val="center"/>
          </w:tcPr>
          <w:p w14:paraId="66D8155D">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1000≤Y＜5000</w:t>
            </w:r>
          </w:p>
        </w:tc>
        <w:tc>
          <w:tcPr>
            <w:tcW w:w="1231" w:type="dxa"/>
            <w:tcBorders>
              <w:top w:val="nil"/>
              <w:left w:val="nil"/>
              <w:bottom w:val="single" w:color="auto" w:sz="4" w:space="0"/>
              <w:right w:val="single" w:color="auto" w:sz="4" w:space="0"/>
            </w:tcBorders>
            <w:noWrap w:val="0"/>
            <w:vAlign w:val="center"/>
          </w:tcPr>
          <w:p w14:paraId="69505D2A">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Y＜1000</w:t>
            </w:r>
          </w:p>
        </w:tc>
      </w:tr>
      <w:tr w14:paraId="7929B069">
        <w:tblPrEx>
          <w:tblCellMar>
            <w:top w:w="0" w:type="dxa"/>
            <w:left w:w="108" w:type="dxa"/>
            <w:bottom w:w="0" w:type="dxa"/>
            <w:right w:w="108" w:type="dxa"/>
          </w:tblCellMar>
        </w:tblPrEx>
        <w:trPr>
          <w:trHeight w:val="225" w:hRule="atLeast"/>
          <w:jc w:val="center"/>
        </w:trPr>
        <w:tc>
          <w:tcPr>
            <w:tcW w:w="1702" w:type="dxa"/>
            <w:vMerge w:val="restart"/>
            <w:tcBorders>
              <w:top w:val="nil"/>
              <w:left w:val="single" w:color="auto" w:sz="4" w:space="0"/>
              <w:bottom w:val="single" w:color="auto" w:sz="4" w:space="0"/>
              <w:right w:val="single" w:color="auto" w:sz="4" w:space="0"/>
            </w:tcBorders>
            <w:noWrap w:val="0"/>
            <w:vAlign w:val="center"/>
          </w:tcPr>
          <w:p w14:paraId="542B8748">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零售业</w:t>
            </w:r>
          </w:p>
        </w:tc>
        <w:tc>
          <w:tcPr>
            <w:tcW w:w="1384" w:type="dxa"/>
            <w:tcBorders>
              <w:top w:val="nil"/>
              <w:left w:val="nil"/>
              <w:bottom w:val="single" w:color="auto" w:sz="4" w:space="0"/>
              <w:right w:val="single" w:color="auto" w:sz="4" w:space="0"/>
            </w:tcBorders>
            <w:noWrap w:val="0"/>
            <w:vAlign w:val="center"/>
          </w:tcPr>
          <w:p w14:paraId="51D2B85C">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0"/>
            <w:vAlign w:val="center"/>
          </w:tcPr>
          <w:p w14:paraId="1D9F387B">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620" w:type="dxa"/>
            <w:tcBorders>
              <w:top w:val="nil"/>
              <w:left w:val="nil"/>
              <w:bottom w:val="single" w:color="auto" w:sz="4" w:space="0"/>
              <w:right w:val="single" w:color="auto" w:sz="4" w:space="0"/>
            </w:tcBorders>
            <w:noWrap w:val="0"/>
            <w:vAlign w:val="center"/>
          </w:tcPr>
          <w:p w14:paraId="1BF131E1">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50≤X＜300</w:t>
            </w:r>
          </w:p>
        </w:tc>
        <w:tc>
          <w:tcPr>
            <w:tcW w:w="1440" w:type="dxa"/>
            <w:tcBorders>
              <w:top w:val="nil"/>
              <w:left w:val="nil"/>
              <w:bottom w:val="single" w:color="auto" w:sz="4" w:space="0"/>
              <w:right w:val="single" w:color="auto" w:sz="4" w:space="0"/>
            </w:tcBorders>
            <w:noWrap w:val="0"/>
            <w:vAlign w:val="center"/>
          </w:tcPr>
          <w:p w14:paraId="7E2B84DC">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10≤X＜50</w:t>
            </w:r>
          </w:p>
        </w:tc>
        <w:tc>
          <w:tcPr>
            <w:tcW w:w="1231" w:type="dxa"/>
            <w:tcBorders>
              <w:top w:val="nil"/>
              <w:left w:val="nil"/>
              <w:bottom w:val="single" w:color="auto" w:sz="4" w:space="0"/>
              <w:right w:val="single" w:color="auto" w:sz="4" w:space="0"/>
            </w:tcBorders>
            <w:noWrap w:val="0"/>
            <w:vAlign w:val="center"/>
          </w:tcPr>
          <w:p w14:paraId="3BA447CC">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33547D6B">
        <w:tblPrEx>
          <w:tblCellMar>
            <w:top w:w="0" w:type="dxa"/>
            <w:left w:w="108" w:type="dxa"/>
            <w:bottom w:w="0" w:type="dxa"/>
            <w:right w:w="108" w:type="dxa"/>
          </w:tblCellMar>
        </w:tblPrEx>
        <w:trPr>
          <w:trHeight w:val="225" w:hRule="atLeast"/>
          <w:jc w:val="center"/>
        </w:trPr>
        <w:tc>
          <w:tcPr>
            <w:tcW w:w="1702" w:type="dxa"/>
            <w:vMerge w:val="continue"/>
            <w:tcBorders>
              <w:top w:val="nil"/>
              <w:left w:val="single" w:color="auto" w:sz="4" w:space="0"/>
              <w:bottom w:val="single" w:color="auto" w:sz="4" w:space="0"/>
              <w:right w:val="single" w:color="auto" w:sz="4" w:space="0"/>
            </w:tcBorders>
            <w:noWrap w:val="0"/>
            <w:vAlign w:val="center"/>
          </w:tcPr>
          <w:p w14:paraId="64DC5FE8">
            <w:pPr>
              <w:jc w:val="center"/>
              <w:rPr>
                <w:color w:val="auto"/>
                <w:sz w:val="20"/>
                <w:szCs w:val="20"/>
                <w:highlight w:val="none"/>
              </w:rPr>
            </w:pPr>
          </w:p>
        </w:tc>
        <w:tc>
          <w:tcPr>
            <w:tcW w:w="1384" w:type="dxa"/>
            <w:tcBorders>
              <w:top w:val="nil"/>
              <w:left w:val="nil"/>
              <w:bottom w:val="single" w:color="auto" w:sz="4" w:space="0"/>
              <w:right w:val="single" w:color="auto" w:sz="4" w:space="0"/>
            </w:tcBorders>
            <w:noWrap w:val="0"/>
            <w:vAlign w:val="center"/>
          </w:tcPr>
          <w:p w14:paraId="56950785">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0"/>
            <w:vAlign w:val="center"/>
          </w:tcPr>
          <w:p w14:paraId="1CD11A37">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620" w:type="dxa"/>
            <w:tcBorders>
              <w:top w:val="nil"/>
              <w:left w:val="nil"/>
              <w:bottom w:val="single" w:color="auto" w:sz="4" w:space="0"/>
              <w:right w:val="single" w:color="auto" w:sz="4" w:space="0"/>
            </w:tcBorders>
            <w:noWrap w:val="0"/>
            <w:vAlign w:val="center"/>
          </w:tcPr>
          <w:p w14:paraId="2E56AB1D">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500≤Y＜20000</w:t>
            </w:r>
          </w:p>
        </w:tc>
        <w:tc>
          <w:tcPr>
            <w:tcW w:w="1440" w:type="dxa"/>
            <w:tcBorders>
              <w:top w:val="nil"/>
              <w:left w:val="nil"/>
              <w:bottom w:val="single" w:color="auto" w:sz="4" w:space="0"/>
              <w:right w:val="single" w:color="auto" w:sz="4" w:space="0"/>
            </w:tcBorders>
            <w:noWrap w:val="0"/>
            <w:vAlign w:val="center"/>
          </w:tcPr>
          <w:p w14:paraId="51464C3D">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100≤Y＜500</w:t>
            </w:r>
          </w:p>
        </w:tc>
        <w:tc>
          <w:tcPr>
            <w:tcW w:w="1231" w:type="dxa"/>
            <w:tcBorders>
              <w:top w:val="nil"/>
              <w:left w:val="nil"/>
              <w:bottom w:val="single" w:color="auto" w:sz="4" w:space="0"/>
              <w:right w:val="single" w:color="auto" w:sz="4" w:space="0"/>
            </w:tcBorders>
            <w:noWrap w:val="0"/>
            <w:vAlign w:val="center"/>
          </w:tcPr>
          <w:p w14:paraId="7ABE79F9">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49FB9790">
        <w:tblPrEx>
          <w:tblCellMar>
            <w:top w:w="0" w:type="dxa"/>
            <w:left w:w="108" w:type="dxa"/>
            <w:bottom w:w="0" w:type="dxa"/>
            <w:right w:w="108" w:type="dxa"/>
          </w:tblCellMar>
        </w:tblPrEx>
        <w:trPr>
          <w:trHeight w:val="225" w:hRule="atLeast"/>
          <w:jc w:val="center"/>
        </w:trPr>
        <w:tc>
          <w:tcPr>
            <w:tcW w:w="1702" w:type="dxa"/>
            <w:vMerge w:val="restart"/>
            <w:tcBorders>
              <w:top w:val="nil"/>
              <w:left w:val="single" w:color="auto" w:sz="4" w:space="0"/>
              <w:bottom w:val="single" w:color="auto" w:sz="4" w:space="0"/>
              <w:right w:val="single" w:color="auto" w:sz="4" w:space="0"/>
            </w:tcBorders>
            <w:noWrap w:val="0"/>
            <w:vAlign w:val="center"/>
          </w:tcPr>
          <w:p w14:paraId="4A1875B8">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交通运输业</w:t>
            </w:r>
          </w:p>
        </w:tc>
        <w:tc>
          <w:tcPr>
            <w:tcW w:w="1384" w:type="dxa"/>
            <w:tcBorders>
              <w:top w:val="nil"/>
              <w:left w:val="nil"/>
              <w:bottom w:val="single" w:color="auto" w:sz="4" w:space="0"/>
              <w:right w:val="single" w:color="auto" w:sz="4" w:space="0"/>
            </w:tcBorders>
            <w:noWrap w:val="0"/>
            <w:vAlign w:val="center"/>
          </w:tcPr>
          <w:p w14:paraId="784A2A44">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0"/>
            <w:vAlign w:val="center"/>
          </w:tcPr>
          <w:p w14:paraId="3551AA80">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620" w:type="dxa"/>
            <w:tcBorders>
              <w:top w:val="nil"/>
              <w:left w:val="nil"/>
              <w:bottom w:val="single" w:color="auto" w:sz="4" w:space="0"/>
              <w:right w:val="single" w:color="auto" w:sz="4" w:space="0"/>
            </w:tcBorders>
            <w:noWrap w:val="0"/>
            <w:vAlign w:val="center"/>
          </w:tcPr>
          <w:p w14:paraId="1B168B90">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440" w:type="dxa"/>
            <w:tcBorders>
              <w:top w:val="nil"/>
              <w:left w:val="nil"/>
              <w:bottom w:val="single" w:color="auto" w:sz="4" w:space="0"/>
              <w:right w:val="single" w:color="auto" w:sz="4" w:space="0"/>
            </w:tcBorders>
            <w:noWrap w:val="0"/>
            <w:vAlign w:val="center"/>
          </w:tcPr>
          <w:p w14:paraId="631BE814">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1231" w:type="dxa"/>
            <w:tcBorders>
              <w:top w:val="nil"/>
              <w:left w:val="nil"/>
              <w:bottom w:val="single" w:color="auto" w:sz="4" w:space="0"/>
              <w:right w:val="single" w:color="auto" w:sz="4" w:space="0"/>
            </w:tcBorders>
            <w:noWrap w:val="0"/>
            <w:vAlign w:val="center"/>
          </w:tcPr>
          <w:p w14:paraId="02DC5DCA">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5988AF09">
        <w:tblPrEx>
          <w:tblCellMar>
            <w:top w:w="0" w:type="dxa"/>
            <w:left w:w="108" w:type="dxa"/>
            <w:bottom w:w="0" w:type="dxa"/>
            <w:right w:w="108" w:type="dxa"/>
          </w:tblCellMar>
        </w:tblPrEx>
        <w:trPr>
          <w:trHeight w:val="225" w:hRule="atLeast"/>
          <w:jc w:val="center"/>
        </w:trPr>
        <w:tc>
          <w:tcPr>
            <w:tcW w:w="1702" w:type="dxa"/>
            <w:vMerge w:val="continue"/>
            <w:tcBorders>
              <w:top w:val="nil"/>
              <w:left w:val="single" w:color="auto" w:sz="4" w:space="0"/>
              <w:bottom w:val="single" w:color="auto" w:sz="4" w:space="0"/>
              <w:right w:val="single" w:color="auto" w:sz="4" w:space="0"/>
            </w:tcBorders>
            <w:noWrap w:val="0"/>
            <w:vAlign w:val="center"/>
          </w:tcPr>
          <w:p w14:paraId="137DA600">
            <w:pPr>
              <w:jc w:val="center"/>
              <w:rPr>
                <w:color w:val="auto"/>
                <w:sz w:val="20"/>
                <w:szCs w:val="20"/>
                <w:highlight w:val="none"/>
              </w:rPr>
            </w:pPr>
          </w:p>
        </w:tc>
        <w:tc>
          <w:tcPr>
            <w:tcW w:w="1384" w:type="dxa"/>
            <w:tcBorders>
              <w:top w:val="nil"/>
              <w:left w:val="nil"/>
              <w:bottom w:val="single" w:color="auto" w:sz="4" w:space="0"/>
              <w:right w:val="single" w:color="auto" w:sz="4" w:space="0"/>
            </w:tcBorders>
            <w:noWrap w:val="0"/>
            <w:vAlign w:val="center"/>
          </w:tcPr>
          <w:p w14:paraId="62F70837">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0"/>
            <w:vAlign w:val="center"/>
          </w:tcPr>
          <w:p w14:paraId="06300D77">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620" w:type="dxa"/>
            <w:tcBorders>
              <w:top w:val="nil"/>
              <w:left w:val="nil"/>
              <w:bottom w:val="single" w:color="auto" w:sz="4" w:space="0"/>
              <w:right w:val="single" w:color="auto" w:sz="4" w:space="0"/>
            </w:tcBorders>
            <w:noWrap w:val="0"/>
            <w:vAlign w:val="center"/>
          </w:tcPr>
          <w:p w14:paraId="6607BE06">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3000≤Y＜30000</w:t>
            </w:r>
          </w:p>
        </w:tc>
        <w:tc>
          <w:tcPr>
            <w:tcW w:w="1440" w:type="dxa"/>
            <w:tcBorders>
              <w:top w:val="nil"/>
              <w:left w:val="nil"/>
              <w:bottom w:val="single" w:color="auto" w:sz="4" w:space="0"/>
              <w:right w:val="single" w:color="auto" w:sz="4" w:space="0"/>
            </w:tcBorders>
            <w:noWrap w:val="0"/>
            <w:vAlign w:val="center"/>
          </w:tcPr>
          <w:p w14:paraId="199F984D">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200≤Y＜3000</w:t>
            </w:r>
          </w:p>
        </w:tc>
        <w:tc>
          <w:tcPr>
            <w:tcW w:w="1231" w:type="dxa"/>
            <w:tcBorders>
              <w:top w:val="nil"/>
              <w:left w:val="nil"/>
              <w:bottom w:val="single" w:color="auto" w:sz="4" w:space="0"/>
              <w:right w:val="single" w:color="auto" w:sz="4" w:space="0"/>
            </w:tcBorders>
            <w:noWrap w:val="0"/>
            <w:vAlign w:val="center"/>
          </w:tcPr>
          <w:p w14:paraId="066A6130">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Y＜200</w:t>
            </w:r>
          </w:p>
        </w:tc>
      </w:tr>
      <w:tr w14:paraId="0A69111F">
        <w:tblPrEx>
          <w:tblCellMar>
            <w:top w:w="0" w:type="dxa"/>
            <w:left w:w="108" w:type="dxa"/>
            <w:bottom w:w="0" w:type="dxa"/>
            <w:right w:w="108" w:type="dxa"/>
          </w:tblCellMar>
        </w:tblPrEx>
        <w:trPr>
          <w:trHeight w:val="225" w:hRule="atLeast"/>
          <w:jc w:val="center"/>
        </w:trPr>
        <w:tc>
          <w:tcPr>
            <w:tcW w:w="1702" w:type="dxa"/>
            <w:vMerge w:val="restart"/>
            <w:tcBorders>
              <w:top w:val="nil"/>
              <w:left w:val="single" w:color="auto" w:sz="4" w:space="0"/>
              <w:bottom w:val="single" w:color="auto" w:sz="4" w:space="0"/>
              <w:right w:val="single" w:color="auto" w:sz="4" w:space="0"/>
            </w:tcBorders>
            <w:noWrap w:val="0"/>
            <w:vAlign w:val="center"/>
          </w:tcPr>
          <w:p w14:paraId="77CC27C6">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仓储业</w:t>
            </w:r>
          </w:p>
        </w:tc>
        <w:tc>
          <w:tcPr>
            <w:tcW w:w="1384" w:type="dxa"/>
            <w:tcBorders>
              <w:top w:val="nil"/>
              <w:left w:val="nil"/>
              <w:bottom w:val="single" w:color="auto" w:sz="4" w:space="0"/>
              <w:right w:val="single" w:color="auto" w:sz="4" w:space="0"/>
            </w:tcBorders>
            <w:noWrap w:val="0"/>
            <w:vAlign w:val="center"/>
          </w:tcPr>
          <w:p w14:paraId="2DC4FBAA">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0"/>
            <w:vAlign w:val="center"/>
          </w:tcPr>
          <w:p w14:paraId="087E29C1">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620" w:type="dxa"/>
            <w:tcBorders>
              <w:top w:val="nil"/>
              <w:left w:val="nil"/>
              <w:bottom w:val="single" w:color="auto" w:sz="4" w:space="0"/>
              <w:right w:val="single" w:color="auto" w:sz="4" w:space="0"/>
            </w:tcBorders>
            <w:noWrap w:val="0"/>
            <w:vAlign w:val="center"/>
          </w:tcPr>
          <w:p w14:paraId="1C9C252F">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100≤X＜200</w:t>
            </w:r>
          </w:p>
        </w:tc>
        <w:tc>
          <w:tcPr>
            <w:tcW w:w="1440" w:type="dxa"/>
            <w:tcBorders>
              <w:top w:val="nil"/>
              <w:left w:val="nil"/>
              <w:bottom w:val="single" w:color="auto" w:sz="4" w:space="0"/>
              <w:right w:val="single" w:color="auto" w:sz="4" w:space="0"/>
            </w:tcBorders>
            <w:noWrap w:val="0"/>
            <w:vAlign w:val="center"/>
          </w:tcPr>
          <w:p w14:paraId="0FC70F94">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20≤X＜100</w:t>
            </w:r>
          </w:p>
        </w:tc>
        <w:tc>
          <w:tcPr>
            <w:tcW w:w="1231" w:type="dxa"/>
            <w:tcBorders>
              <w:top w:val="nil"/>
              <w:left w:val="nil"/>
              <w:bottom w:val="single" w:color="auto" w:sz="4" w:space="0"/>
              <w:right w:val="single" w:color="auto" w:sz="4" w:space="0"/>
            </w:tcBorders>
            <w:noWrap w:val="0"/>
            <w:vAlign w:val="center"/>
          </w:tcPr>
          <w:p w14:paraId="336ABEF6">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56FAE803">
        <w:tblPrEx>
          <w:tblCellMar>
            <w:top w:w="0" w:type="dxa"/>
            <w:left w:w="108" w:type="dxa"/>
            <w:bottom w:w="0" w:type="dxa"/>
            <w:right w:w="108" w:type="dxa"/>
          </w:tblCellMar>
        </w:tblPrEx>
        <w:trPr>
          <w:trHeight w:val="225" w:hRule="atLeast"/>
          <w:jc w:val="center"/>
        </w:trPr>
        <w:tc>
          <w:tcPr>
            <w:tcW w:w="1702" w:type="dxa"/>
            <w:vMerge w:val="continue"/>
            <w:tcBorders>
              <w:top w:val="nil"/>
              <w:left w:val="single" w:color="auto" w:sz="4" w:space="0"/>
              <w:bottom w:val="single" w:color="auto" w:sz="4" w:space="0"/>
              <w:right w:val="single" w:color="auto" w:sz="4" w:space="0"/>
            </w:tcBorders>
            <w:noWrap w:val="0"/>
            <w:vAlign w:val="center"/>
          </w:tcPr>
          <w:p w14:paraId="5BF5CB7D">
            <w:pPr>
              <w:jc w:val="center"/>
              <w:rPr>
                <w:color w:val="auto"/>
                <w:sz w:val="20"/>
                <w:szCs w:val="20"/>
                <w:highlight w:val="none"/>
              </w:rPr>
            </w:pPr>
          </w:p>
        </w:tc>
        <w:tc>
          <w:tcPr>
            <w:tcW w:w="1384" w:type="dxa"/>
            <w:tcBorders>
              <w:top w:val="nil"/>
              <w:left w:val="nil"/>
              <w:bottom w:val="single" w:color="auto" w:sz="4" w:space="0"/>
              <w:right w:val="single" w:color="auto" w:sz="4" w:space="0"/>
            </w:tcBorders>
            <w:noWrap w:val="0"/>
            <w:vAlign w:val="center"/>
          </w:tcPr>
          <w:p w14:paraId="6CD49007">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0"/>
            <w:vAlign w:val="center"/>
          </w:tcPr>
          <w:p w14:paraId="706976BD">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620" w:type="dxa"/>
            <w:tcBorders>
              <w:top w:val="nil"/>
              <w:left w:val="nil"/>
              <w:bottom w:val="single" w:color="auto" w:sz="4" w:space="0"/>
              <w:right w:val="single" w:color="auto" w:sz="4" w:space="0"/>
            </w:tcBorders>
            <w:noWrap w:val="0"/>
            <w:vAlign w:val="center"/>
          </w:tcPr>
          <w:p w14:paraId="7595E371">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1000≤Y＜30000</w:t>
            </w:r>
          </w:p>
        </w:tc>
        <w:tc>
          <w:tcPr>
            <w:tcW w:w="1440" w:type="dxa"/>
            <w:tcBorders>
              <w:top w:val="nil"/>
              <w:left w:val="nil"/>
              <w:bottom w:val="single" w:color="auto" w:sz="4" w:space="0"/>
              <w:right w:val="single" w:color="auto" w:sz="4" w:space="0"/>
            </w:tcBorders>
            <w:noWrap w:val="0"/>
            <w:vAlign w:val="center"/>
          </w:tcPr>
          <w:p w14:paraId="5963E451">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100≤Y＜1000</w:t>
            </w:r>
          </w:p>
        </w:tc>
        <w:tc>
          <w:tcPr>
            <w:tcW w:w="1231" w:type="dxa"/>
            <w:tcBorders>
              <w:top w:val="nil"/>
              <w:left w:val="nil"/>
              <w:bottom w:val="single" w:color="auto" w:sz="4" w:space="0"/>
              <w:right w:val="single" w:color="auto" w:sz="4" w:space="0"/>
            </w:tcBorders>
            <w:noWrap w:val="0"/>
            <w:vAlign w:val="center"/>
          </w:tcPr>
          <w:p w14:paraId="2AB0A6D4">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46C3F376">
        <w:tblPrEx>
          <w:tblCellMar>
            <w:top w:w="0" w:type="dxa"/>
            <w:left w:w="108" w:type="dxa"/>
            <w:bottom w:w="0" w:type="dxa"/>
            <w:right w:w="108" w:type="dxa"/>
          </w:tblCellMar>
        </w:tblPrEx>
        <w:trPr>
          <w:trHeight w:val="225" w:hRule="atLeast"/>
          <w:jc w:val="center"/>
        </w:trPr>
        <w:tc>
          <w:tcPr>
            <w:tcW w:w="1702" w:type="dxa"/>
            <w:vMerge w:val="restart"/>
            <w:tcBorders>
              <w:top w:val="nil"/>
              <w:left w:val="single" w:color="auto" w:sz="4" w:space="0"/>
              <w:bottom w:val="single" w:color="auto" w:sz="4" w:space="0"/>
              <w:right w:val="single" w:color="auto" w:sz="4" w:space="0"/>
            </w:tcBorders>
            <w:noWrap w:val="0"/>
            <w:vAlign w:val="center"/>
          </w:tcPr>
          <w:p w14:paraId="3E5E1948">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邮政业</w:t>
            </w:r>
          </w:p>
        </w:tc>
        <w:tc>
          <w:tcPr>
            <w:tcW w:w="1384" w:type="dxa"/>
            <w:tcBorders>
              <w:top w:val="nil"/>
              <w:left w:val="nil"/>
              <w:bottom w:val="single" w:color="auto" w:sz="4" w:space="0"/>
              <w:right w:val="single" w:color="auto" w:sz="4" w:space="0"/>
            </w:tcBorders>
            <w:noWrap w:val="0"/>
            <w:vAlign w:val="center"/>
          </w:tcPr>
          <w:p w14:paraId="1E12776E">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0"/>
            <w:vAlign w:val="center"/>
          </w:tcPr>
          <w:p w14:paraId="03B0CBE6">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620" w:type="dxa"/>
            <w:tcBorders>
              <w:top w:val="nil"/>
              <w:left w:val="nil"/>
              <w:bottom w:val="single" w:color="auto" w:sz="4" w:space="0"/>
              <w:right w:val="single" w:color="auto" w:sz="4" w:space="0"/>
            </w:tcBorders>
            <w:noWrap w:val="0"/>
            <w:vAlign w:val="center"/>
          </w:tcPr>
          <w:p w14:paraId="2582DAE6">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440" w:type="dxa"/>
            <w:tcBorders>
              <w:top w:val="nil"/>
              <w:left w:val="nil"/>
              <w:bottom w:val="single" w:color="auto" w:sz="4" w:space="0"/>
              <w:right w:val="single" w:color="auto" w:sz="4" w:space="0"/>
            </w:tcBorders>
            <w:noWrap w:val="0"/>
            <w:vAlign w:val="center"/>
          </w:tcPr>
          <w:p w14:paraId="0E660CFD">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1231" w:type="dxa"/>
            <w:tcBorders>
              <w:top w:val="nil"/>
              <w:left w:val="nil"/>
              <w:bottom w:val="single" w:color="auto" w:sz="4" w:space="0"/>
              <w:right w:val="single" w:color="auto" w:sz="4" w:space="0"/>
            </w:tcBorders>
            <w:noWrap w:val="0"/>
            <w:vAlign w:val="center"/>
          </w:tcPr>
          <w:p w14:paraId="65E8413D">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12397A75">
        <w:tblPrEx>
          <w:tblCellMar>
            <w:top w:w="0" w:type="dxa"/>
            <w:left w:w="108" w:type="dxa"/>
            <w:bottom w:w="0" w:type="dxa"/>
            <w:right w:w="108" w:type="dxa"/>
          </w:tblCellMar>
        </w:tblPrEx>
        <w:trPr>
          <w:trHeight w:val="225" w:hRule="atLeast"/>
          <w:jc w:val="center"/>
        </w:trPr>
        <w:tc>
          <w:tcPr>
            <w:tcW w:w="1702" w:type="dxa"/>
            <w:vMerge w:val="continue"/>
            <w:tcBorders>
              <w:top w:val="nil"/>
              <w:left w:val="single" w:color="auto" w:sz="4" w:space="0"/>
              <w:bottom w:val="single" w:color="auto" w:sz="4" w:space="0"/>
              <w:right w:val="single" w:color="auto" w:sz="4" w:space="0"/>
            </w:tcBorders>
            <w:noWrap w:val="0"/>
            <w:vAlign w:val="center"/>
          </w:tcPr>
          <w:p w14:paraId="3E58C7AF">
            <w:pPr>
              <w:jc w:val="center"/>
              <w:rPr>
                <w:color w:val="auto"/>
                <w:sz w:val="20"/>
                <w:szCs w:val="20"/>
                <w:highlight w:val="none"/>
              </w:rPr>
            </w:pPr>
          </w:p>
        </w:tc>
        <w:tc>
          <w:tcPr>
            <w:tcW w:w="1384" w:type="dxa"/>
            <w:tcBorders>
              <w:top w:val="nil"/>
              <w:left w:val="nil"/>
              <w:bottom w:val="single" w:color="auto" w:sz="4" w:space="0"/>
              <w:right w:val="single" w:color="auto" w:sz="4" w:space="0"/>
            </w:tcBorders>
            <w:noWrap w:val="0"/>
            <w:vAlign w:val="center"/>
          </w:tcPr>
          <w:p w14:paraId="71C3138C">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0"/>
            <w:vAlign w:val="center"/>
          </w:tcPr>
          <w:p w14:paraId="18E91753">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620" w:type="dxa"/>
            <w:tcBorders>
              <w:top w:val="nil"/>
              <w:left w:val="nil"/>
              <w:bottom w:val="single" w:color="auto" w:sz="4" w:space="0"/>
              <w:right w:val="single" w:color="auto" w:sz="4" w:space="0"/>
            </w:tcBorders>
            <w:noWrap w:val="0"/>
            <w:vAlign w:val="center"/>
          </w:tcPr>
          <w:p w14:paraId="2E64BB7D">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2000≤Y＜30000</w:t>
            </w:r>
          </w:p>
        </w:tc>
        <w:tc>
          <w:tcPr>
            <w:tcW w:w="1440" w:type="dxa"/>
            <w:tcBorders>
              <w:top w:val="nil"/>
              <w:left w:val="nil"/>
              <w:bottom w:val="single" w:color="auto" w:sz="4" w:space="0"/>
              <w:right w:val="single" w:color="auto" w:sz="4" w:space="0"/>
            </w:tcBorders>
            <w:noWrap w:val="0"/>
            <w:vAlign w:val="center"/>
          </w:tcPr>
          <w:p w14:paraId="3B3DA6CB">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1231" w:type="dxa"/>
            <w:tcBorders>
              <w:top w:val="nil"/>
              <w:left w:val="nil"/>
              <w:bottom w:val="single" w:color="auto" w:sz="4" w:space="0"/>
              <w:right w:val="single" w:color="auto" w:sz="4" w:space="0"/>
            </w:tcBorders>
            <w:noWrap w:val="0"/>
            <w:vAlign w:val="center"/>
          </w:tcPr>
          <w:p w14:paraId="79029C7D">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798D8C4C">
        <w:tblPrEx>
          <w:tblCellMar>
            <w:top w:w="0" w:type="dxa"/>
            <w:left w:w="108" w:type="dxa"/>
            <w:bottom w:w="0" w:type="dxa"/>
            <w:right w:w="108" w:type="dxa"/>
          </w:tblCellMar>
        </w:tblPrEx>
        <w:trPr>
          <w:trHeight w:val="225" w:hRule="atLeast"/>
          <w:jc w:val="center"/>
        </w:trPr>
        <w:tc>
          <w:tcPr>
            <w:tcW w:w="1702" w:type="dxa"/>
            <w:vMerge w:val="restart"/>
            <w:tcBorders>
              <w:top w:val="nil"/>
              <w:left w:val="single" w:color="auto" w:sz="4" w:space="0"/>
              <w:bottom w:val="single" w:color="auto" w:sz="4" w:space="0"/>
              <w:right w:val="single" w:color="auto" w:sz="4" w:space="0"/>
            </w:tcBorders>
            <w:noWrap w:val="0"/>
            <w:vAlign w:val="center"/>
          </w:tcPr>
          <w:p w14:paraId="08E6AC6D">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住宿业</w:t>
            </w:r>
          </w:p>
        </w:tc>
        <w:tc>
          <w:tcPr>
            <w:tcW w:w="1384" w:type="dxa"/>
            <w:tcBorders>
              <w:top w:val="nil"/>
              <w:left w:val="nil"/>
              <w:bottom w:val="single" w:color="auto" w:sz="4" w:space="0"/>
              <w:right w:val="single" w:color="auto" w:sz="4" w:space="0"/>
            </w:tcBorders>
            <w:noWrap w:val="0"/>
            <w:vAlign w:val="center"/>
          </w:tcPr>
          <w:p w14:paraId="416A995C">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0"/>
            <w:vAlign w:val="center"/>
          </w:tcPr>
          <w:p w14:paraId="3EE3C573">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620" w:type="dxa"/>
            <w:tcBorders>
              <w:top w:val="nil"/>
              <w:left w:val="nil"/>
              <w:bottom w:val="single" w:color="auto" w:sz="4" w:space="0"/>
              <w:right w:val="single" w:color="auto" w:sz="4" w:space="0"/>
            </w:tcBorders>
            <w:noWrap w:val="0"/>
            <w:vAlign w:val="center"/>
          </w:tcPr>
          <w:p w14:paraId="08D3F370">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440" w:type="dxa"/>
            <w:tcBorders>
              <w:top w:val="nil"/>
              <w:left w:val="nil"/>
              <w:bottom w:val="single" w:color="auto" w:sz="4" w:space="0"/>
              <w:right w:val="single" w:color="auto" w:sz="4" w:space="0"/>
            </w:tcBorders>
            <w:noWrap w:val="0"/>
            <w:vAlign w:val="center"/>
          </w:tcPr>
          <w:p w14:paraId="75634D1B">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231" w:type="dxa"/>
            <w:tcBorders>
              <w:top w:val="nil"/>
              <w:left w:val="nil"/>
              <w:bottom w:val="single" w:color="auto" w:sz="4" w:space="0"/>
              <w:right w:val="single" w:color="auto" w:sz="4" w:space="0"/>
            </w:tcBorders>
            <w:noWrap w:val="0"/>
            <w:vAlign w:val="center"/>
          </w:tcPr>
          <w:p w14:paraId="5E5271CA">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09F100A0">
        <w:tblPrEx>
          <w:tblCellMar>
            <w:top w:w="0" w:type="dxa"/>
            <w:left w:w="108" w:type="dxa"/>
            <w:bottom w:w="0" w:type="dxa"/>
            <w:right w:w="108" w:type="dxa"/>
          </w:tblCellMar>
        </w:tblPrEx>
        <w:trPr>
          <w:trHeight w:val="225" w:hRule="atLeast"/>
          <w:jc w:val="center"/>
        </w:trPr>
        <w:tc>
          <w:tcPr>
            <w:tcW w:w="1702" w:type="dxa"/>
            <w:vMerge w:val="continue"/>
            <w:tcBorders>
              <w:top w:val="nil"/>
              <w:left w:val="single" w:color="auto" w:sz="4" w:space="0"/>
              <w:bottom w:val="single" w:color="auto" w:sz="4" w:space="0"/>
              <w:right w:val="single" w:color="auto" w:sz="4" w:space="0"/>
            </w:tcBorders>
            <w:noWrap w:val="0"/>
            <w:vAlign w:val="center"/>
          </w:tcPr>
          <w:p w14:paraId="291E480D">
            <w:pPr>
              <w:jc w:val="center"/>
              <w:rPr>
                <w:color w:val="auto"/>
                <w:sz w:val="20"/>
                <w:szCs w:val="20"/>
                <w:highlight w:val="none"/>
              </w:rPr>
            </w:pPr>
          </w:p>
        </w:tc>
        <w:tc>
          <w:tcPr>
            <w:tcW w:w="1384" w:type="dxa"/>
            <w:tcBorders>
              <w:top w:val="nil"/>
              <w:left w:val="nil"/>
              <w:bottom w:val="single" w:color="auto" w:sz="4" w:space="0"/>
              <w:right w:val="single" w:color="auto" w:sz="4" w:space="0"/>
            </w:tcBorders>
            <w:noWrap w:val="0"/>
            <w:vAlign w:val="center"/>
          </w:tcPr>
          <w:p w14:paraId="6EDD6121">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0"/>
            <w:vAlign w:val="center"/>
          </w:tcPr>
          <w:p w14:paraId="6BFF575F">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620" w:type="dxa"/>
            <w:tcBorders>
              <w:top w:val="nil"/>
              <w:left w:val="nil"/>
              <w:bottom w:val="single" w:color="auto" w:sz="4" w:space="0"/>
              <w:right w:val="single" w:color="auto" w:sz="4" w:space="0"/>
            </w:tcBorders>
            <w:noWrap w:val="0"/>
            <w:vAlign w:val="center"/>
          </w:tcPr>
          <w:p w14:paraId="7F96B2C9">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2000≤Y＜10000</w:t>
            </w:r>
          </w:p>
        </w:tc>
        <w:tc>
          <w:tcPr>
            <w:tcW w:w="1440" w:type="dxa"/>
            <w:tcBorders>
              <w:top w:val="nil"/>
              <w:left w:val="nil"/>
              <w:bottom w:val="single" w:color="auto" w:sz="4" w:space="0"/>
              <w:right w:val="single" w:color="auto" w:sz="4" w:space="0"/>
            </w:tcBorders>
            <w:noWrap w:val="0"/>
            <w:vAlign w:val="center"/>
          </w:tcPr>
          <w:p w14:paraId="5C851D5D">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1231" w:type="dxa"/>
            <w:tcBorders>
              <w:top w:val="nil"/>
              <w:left w:val="nil"/>
              <w:bottom w:val="single" w:color="auto" w:sz="4" w:space="0"/>
              <w:right w:val="single" w:color="auto" w:sz="4" w:space="0"/>
            </w:tcBorders>
            <w:noWrap w:val="0"/>
            <w:vAlign w:val="center"/>
          </w:tcPr>
          <w:p w14:paraId="625B8974">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232B29CA">
        <w:tblPrEx>
          <w:tblCellMar>
            <w:top w:w="0" w:type="dxa"/>
            <w:left w:w="108" w:type="dxa"/>
            <w:bottom w:w="0" w:type="dxa"/>
            <w:right w:w="108" w:type="dxa"/>
          </w:tblCellMar>
        </w:tblPrEx>
        <w:trPr>
          <w:trHeight w:val="225" w:hRule="atLeast"/>
          <w:jc w:val="center"/>
        </w:trPr>
        <w:tc>
          <w:tcPr>
            <w:tcW w:w="1702" w:type="dxa"/>
            <w:vMerge w:val="restart"/>
            <w:tcBorders>
              <w:top w:val="nil"/>
              <w:left w:val="single" w:color="auto" w:sz="4" w:space="0"/>
              <w:bottom w:val="single" w:color="auto" w:sz="4" w:space="0"/>
              <w:right w:val="single" w:color="auto" w:sz="4" w:space="0"/>
            </w:tcBorders>
            <w:noWrap w:val="0"/>
            <w:vAlign w:val="center"/>
          </w:tcPr>
          <w:p w14:paraId="7FF4264D">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餐饮业</w:t>
            </w:r>
          </w:p>
        </w:tc>
        <w:tc>
          <w:tcPr>
            <w:tcW w:w="1384" w:type="dxa"/>
            <w:tcBorders>
              <w:top w:val="nil"/>
              <w:left w:val="nil"/>
              <w:bottom w:val="single" w:color="auto" w:sz="4" w:space="0"/>
              <w:right w:val="single" w:color="auto" w:sz="4" w:space="0"/>
            </w:tcBorders>
            <w:noWrap w:val="0"/>
            <w:vAlign w:val="center"/>
          </w:tcPr>
          <w:p w14:paraId="7DD53188">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0"/>
            <w:vAlign w:val="center"/>
          </w:tcPr>
          <w:p w14:paraId="6BC662B2">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620" w:type="dxa"/>
            <w:tcBorders>
              <w:top w:val="nil"/>
              <w:left w:val="nil"/>
              <w:bottom w:val="single" w:color="auto" w:sz="4" w:space="0"/>
              <w:right w:val="single" w:color="auto" w:sz="4" w:space="0"/>
            </w:tcBorders>
            <w:noWrap w:val="0"/>
            <w:vAlign w:val="center"/>
          </w:tcPr>
          <w:p w14:paraId="0BEBABCC">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440" w:type="dxa"/>
            <w:tcBorders>
              <w:top w:val="nil"/>
              <w:left w:val="nil"/>
              <w:bottom w:val="single" w:color="auto" w:sz="4" w:space="0"/>
              <w:right w:val="single" w:color="auto" w:sz="4" w:space="0"/>
            </w:tcBorders>
            <w:noWrap w:val="0"/>
            <w:vAlign w:val="center"/>
          </w:tcPr>
          <w:p w14:paraId="6DC89124">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231" w:type="dxa"/>
            <w:tcBorders>
              <w:top w:val="nil"/>
              <w:left w:val="nil"/>
              <w:bottom w:val="single" w:color="auto" w:sz="4" w:space="0"/>
              <w:right w:val="single" w:color="auto" w:sz="4" w:space="0"/>
            </w:tcBorders>
            <w:noWrap w:val="0"/>
            <w:vAlign w:val="center"/>
          </w:tcPr>
          <w:p w14:paraId="093B8055">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1572AC70">
        <w:tblPrEx>
          <w:tblCellMar>
            <w:top w:w="0" w:type="dxa"/>
            <w:left w:w="108" w:type="dxa"/>
            <w:bottom w:w="0" w:type="dxa"/>
            <w:right w:w="108" w:type="dxa"/>
          </w:tblCellMar>
        </w:tblPrEx>
        <w:trPr>
          <w:trHeight w:val="225" w:hRule="atLeast"/>
          <w:jc w:val="center"/>
        </w:trPr>
        <w:tc>
          <w:tcPr>
            <w:tcW w:w="1702" w:type="dxa"/>
            <w:vMerge w:val="continue"/>
            <w:tcBorders>
              <w:top w:val="nil"/>
              <w:left w:val="single" w:color="auto" w:sz="4" w:space="0"/>
              <w:bottom w:val="single" w:color="auto" w:sz="4" w:space="0"/>
              <w:right w:val="single" w:color="auto" w:sz="4" w:space="0"/>
            </w:tcBorders>
            <w:noWrap w:val="0"/>
            <w:vAlign w:val="center"/>
          </w:tcPr>
          <w:p w14:paraId="079FEB7E">
            <w:pPr>
              <w:jc w:val="center"/>
              <w:rPr>
                <w:color w:val="auto"/>
                <w:sz w:val="20"/>
                <w:szCs w:val="20"/>
                <w:highlight w:val="none"/>
              </w:rPr>
            </w:pPr>
          </w:p>
        </w:tc>
        <w:tc>
          <w:tcPr>
            <w:tcW w:w="1384" w:type="dxa"/>
            <w:tcBorders>
              <w:top w:val="nil"/>
              <w:left w:val="nil"/>
              <w:bottom w:val="single" w:color="auto" w:sz="4" w:space="0"/>
              <w:right w:val="single" w:color="auto" w:sz="4" w:space="0"/>
            </w:tcBorders>
            <w:noWrap w:val="0"/>
            <w:vAlign w:val="center"/>
          </w:tcPr>
          <w:p w14:paraId="5BE18597">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0"/>
            <w:vAlign w:val="center"/>
          </w:tcPr>
          <w:p w14:paraId="37F2DC4C">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620" w:type="dxa"/>
            <w:tcBorders>
              <w:top w:val="nil"/>
              <w:left w:val="nil"/>
              <w:bottom w:val="single" w:color="auto" w:sz="4" w:space="0"/>
              <w:right w:val="single" w:color="auto" w:sz="4" w:space="0"/>
            </w:tcBorders>
            <w:noWrap w:val="0"/>
            <w:vAlign w:val="center"/>
          </w:tcPr>
          <w:p w14:paraId="3B2EE88B">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2000≤Y＜10000</w:t>
            </w:r>
          </w:p>
        </w:tc>
        <w:tc>
          <w:tcPr>
            <w:tcW w:w="1440" w:type="dxa"/>
            <w:tcBorders>
              <w:top w:val="nil"/>
              <w:left w:val="nil"/>
              <w:bottom w:val="single" w:color="auto" w:sz="4" w:space="0"/>
              <w:right w:val="single" w:color="auto" w:sz="4" w:space="0"/>
            </w:tcBorders>
            <w:noWrap w:val="0"/>
            <w:vAlign w:val="center"/>
          </w:tcPr>
          <w:p w14:paraId="35BA589C">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1231" w:type="dxa"/>
            <w:tcBorders>
              <w:top w:val="nil"/>
              <w:left w:val="nil"/>
              <w:bottom w:val="single" w:color="auto" w:sz="4" w:space="0"/>
              <w:right w:val="single" w:color="auto" w:sz="4" w:space="0"/>
            </w:tcBorders>
            <w:noWrap w:val="0"/>
            <w:vAlign w:val="center"/>
          </w:tcPr>
          <w:p w14:paraId="5A9A893B">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1823FE9D">
        <w:tblPrEx>
          <w:tblCellMar>
            <w:top w:w="0" w:type="dxa"/>
            <w:left w:w="108" w:type="dxa"/>
            <w:bottom w:w="0" w:type="dxa"/>
            <w:right w:w="108" w:type="dxa"/>
          </w:tblCellMar>
        </w:tblPrEx>
        <w:trPr>
          <w:trHeight w:val="225" w:hRule="atLeast"/>
          <w:jc w:val="center"/>
        </w:trPr>
        <w:tc>
          <w:tcPr>
            <w:tcW w:w="1702" w:type="dxa"/>
            <w:vMerge w:val="restart"/>
            <w:tcBorders>
              <w:top w:val="nil"/>
              <w:left w:val="single" w:color="auto" w:sz="4" w:space="0"/>
              <w:bottom w:val="single" w:color="auto" w:sz="4" w:space="0"/>
              <w:right w:val="single" w:color="auto" w:sz="4" w:space="0"/>
            </w:tcBorders>
            <w:noWrap w:val="0"/>
            <w:vAlign w:val="center"/>
          </w:tcPr>
          <w:p w14:paraId="2EA0A3A2">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信息传输业</w:t>
            </w:r>
          </w:p>
        </w:tc>
        <w:tc>
          <w:tcPr>
            <w:tcW w:w="1384" w:type="dxa"/>
            <w:tcBorders>
              <w:top w:val="nil"/>
              <w:left w:val="nil"/>
              <w:bottom w:val="single" w:color="auto" w:sz="4" w:space="0"/>
              <w:right w:val="single" w:color="auto" w:sz="4" w:space="0"/>
            </w:tcBorders>
            <w:noWrap w:val="0"/>
            <w:vAlign w:val="center"/>
          </w:tcPr>
          <w:p w14:paraId="1619C34B">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0"/>
            <w:vAlign w:val="center"/>
          </w:tcPr>
          <w:p w14:paraId="4F77B55F">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620" w:type="dxa"/>
            <w:tcBorders>
              <w:top w:val="nil"/>
              <w:left w:val="nil"/>
              <w:bottom w:val="single" w:color="auto" w:sz="4" w:space="0"/>
              <w:right w:val="single" w:color="auto" w:sz="4" w:space="0"/>
            </w:tcBorders>
            <w:noWrap w:val="0"/>
            <w:vAlign w:val="center"/>
          </w:tcPr>
          <w:p w14:paraId="63384780">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100≤X＜2000</w:t>
            </w:r>
          </w:p>
        </w:tc>
        <w:tc>
          <w:tcPr>
            <w:tcW w:w="1440" w:type="dxa"/>
            <w:tcBorders>
              <w:top w:val="nil"/>
              <w:left w:val="nil"/>
              <w:bottom w:val="single" w:color="auto" w:sz="4" w:space="0"/>
              <w:right w:val="single" w:color="auto" w:sz="4" w:space="0"/>
            </w:tcBorders>
            <w:noWrap w:val="0"/>
            <w:vAlign w:val="center"/>
          </w:tcPr>
          <w:p w14:paraId="33FA0FA4">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231" w:type="dxa"/>
            <w:tcBorders>
              <w:top w:val="nil"/>
              <w:left w:val="nil"/>
              <w:bottom w:val="single" w:color="auto" w:sz="4" w:space="0"/>
              <w:right w:val="single" w:color="auto" w:sz="4" w:space="0"/>
            </w:tcBorders>
            <w:noWrap w:val="0"/>
            <w:vAlign w:val="center"/>
          </w:tcPr>
          <w:p w14:paraId="2AE45C9E">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18975BAB">
        <w:tblPrEx>
          <w:tblCellMar>
            <w:top w:w="0" w:type="dxa"/>
            <w:left w:w="108" w:type="dxa"/>
            <w:bottom w:w="0" w:type="dxa"/>
            <w:right w:w="108" w:type="dxa"/>
          </w:tblCellMar>
        </w:tblPrEx>
        <w:trPr>
          <w:trHeight w:val="225" w:hRule="atLeast"/>
          <w:jc w:val="center"/>
        </w:trPr>
        <w:tc>
          <w:tcPr>
            <w:tcW w:w="1702" w:type="dxa"/>
            <w:vMerge w:val="continue"/>
            <w:tcBorders>
              <w:top w:val="nil"/>
              <w:left w:val="single" w:color="auto" w:sz="4" w:space="0"/>
              <w:bottom w:val="single" w:color="auto" w:sz="4" w:space="0"/>
              <w:right w:val="single" w:color="auto" w:sz="4" w:space="0"/>
            </w:tcBorders>
            <w:noWrap w:val="0"/>
            <w:vAlign w:val="center"/>
          </w:tcPr>
          <w:p w14:paraId="2543E9B3">
            <w:pPr>
              <w:jc w:val="center"/>
              <w:rPr>
                <w:color w:val="auto"/>
                <w:sz w:val="20"/>
                <w:szCs w:val="20"/>
                <w:highlight w:val="none"/>
              </w:rPr>
            </w:pPr>
          </w:p>
        </w:tc>
        <w:tc>
          <w:tcPr>
            <w:tcW w:w="1384" w:type="dxa"/>
            <w:tcBorders>
              <w:top w:val="nil"/>
              <w:left w:val="nil"/>
              <w:bottom w:val="single" w:color="auto" w:sz="4" w:space="0"/>
              <w:right w:val="single" w:color="auto" w:sz="4" w:space="0"/>
            </w:tcBorders>
            <w:noWrap w:val="0"/>
            <w:vAlign w:val="center"/>
          </w:tcPr>
          <w:p w14:paraId="042D1864">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0"/>
            <w:vAlign w:val="center"/>
          </w:tcPr>
          <w:p w14:paraId="6CF825DB">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620" w:type="dxa"/>
            <w:tcBorders>
              <w:top w:val="nil"/>
              <w:left w:val="nil"/>
              <w:bottom w:val="single" w:color="auto" w:sz="4" w:space="0"/>
              <w:right w:val="single" w:color="auto" w:sz="4" w:space="0"/>
            </w:tcBorders>
            <w:noWrap w:val="0"/>
            <w:vAlign w:val="center"/>
          </w:tcPr>
          <w:p w14:paraId="3EBADEAD">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1000≤Y＜100000</w:t>
            </w:r>
          </w:p>
        </w:tc>
        <w:tc>
          <w:tcPr>
            <w:tcW w:w="1440" w:type="dxa"/>
            <w:tcBorders>
              <w:top w:val="nil"/>
              <w:left w:val="nil"/>
              <w:bottom w:val="single" w:color="auto" w:sz="4" w:space="0"/>
              <w:right w:val="single" w:color="auto" w:sz="4" w:space="0"/>
            </w:tcBorders>
            <w:noWrap w:val="0"/>
            <w:vAlign w:val="center"/>
          </w:tcPr>
          <w:p w14:paraId="6FA2EB2E">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100≤Y＜1000</w:t>
            </w:r>
          </w:p>
        </w:tc>
        <w:tc>
          <w:tcPr>
            <w:tcW w:w="1231" w:type="dxa"/>
            <w:tcBorders>
              <w:top w:val="nil"/>
              <w:left w:val="nil"/>
              <w:bottom w:val="single" w:color="auto" w:sz="4" w:space="0"/>
              <w:right w:val="single" w:color="auto" w:sz="4" w:space="0"/>
            </w:tcBorders>
            <w:noWrap w:val="0"/>
            <w:vAlign w:val="center"/>
          </w:tcPr>
          <w:p w14:paraId="6162BE6B">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1F533384">
        <w:tblPrEx>
          <w:tblCellMar>
            <w:top w:w="0" w:type="dxa"/>
            <w:left w:w="108" w:type="dxa"/>
            <w:bottom w:w="0" w:type="dxa"/>
            <w:right w:w="108" w:type="dxa"/>
          </w:tblCellMar>
        </w:tblPrEx>
        <w:trPr>
          <w:trHeight w:val="225" w:hRule="atLeast"/>
          <w:jc w:val="center"/>
        </w:trPr>
        <w:tc>
          <w:tcPr>
            <w:tcW w:w="1702" w:type="dxa"/>
            <w:vMerge w:val="restart"/>
            <w:tcBorders>
              <w:top w:val="nil"/>
              <w:left w:val="single" w:color="auto" w:sz="4" w:space="0"/>
              <w:bottom w:val="single" w:color="auto" w:sz="4" w:space="0"/>
              <w:right w:val="single" w:color="auto" w:sz="4" w:space="0"/>
            </w:tcBorders>
            <w:noWrap w:val="0"/>
            <w:vAlign w:val="center"/>
          </w:tcPr>
          <w:p w14:paraId="4C299BBE">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软件和信息技术服务业</w:t>
            </w:r>
          </w:p>
        </w:tc>
        <w:tc>
          <w:tcPr>
            <w:tcW w:w="1384" w:type="dxa"/>
            <w:tcBorders>
              <w:top w:val="nil"/>
              <w:left w:val="nil"/>
              <w:bottom w:val="single" w:color="auto" w:sz="4" w:space="0"/>
              <w:right w:val="single" w:color="auto" w:sz="4" w:space="0"/>
            </w:tcBorders>
            <w:noWrap w:val="0"/>
            <w:vAlign w:val="center"/>
          </w:tcPr>
          <w:p w14:paraId="09A0A143">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0"/>
            <w:vAlign w:val="center"/>
          </w:tcPr>
          <w:p w14:paraId="3030EDC2">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620" w:type="dxa"/>
            <w:tcBorders>
              <w:top w:val="nil"/>
              <w:left w:val="nil"/>
              <w:bottom w:val="single" w:color="auto" w:sz="4" w:space="0"/>
              <w:right w:val="single" w:color="auto" w:sz="4" w:space="0"/>
            </w:tcBorders>
            <w:noWrap w:val="0"/>
            <w:vAlign w:val="center"/>
          </w:tcPr>
          <w:p w14:paraId="37C6CB95">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440" w:type="dxa"/>
            <w:tcBorders>
              <w:top w:val="nil"/>
              <w:left w:val="nil"/>
              <w:bottom w:val="single" w:color="auto" w:sz="4" w:space="0"/>
              <w:right w:val="single" w:color="auto" w:sz="4" w:space="0"/>
            </w:tcBorders>
            <w:noWrap w:val="0"/>
            <w:vAlign w:val="center"/>
          </w:tcPr>
          <w:p w14:paraId="00A43D0A">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231" w:type="dxa"/>
            <w:tcBorders>
              <w:top w:val="nil"/>
              <w:left w:val="nil"/>
              <w:bottom w:val="single" w:color="auto" w:sz="4" w:space="0"/>
              <w:right w:val="single" w:color="auto" w:sz="4" w:space="0"/>
            </w:tcBorders>
            <w:noWrap w:val="0"/>
            <w:vAlign w:val="center"/>
          </w:tcPr>
          <w:p w14:paraId="6E1648BF">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1A93E93D">
        <w:tblPrEx>
          <w:tblCellMar>
            <w:top w:w="0" w:type="dxa"/>
            <w:left w:w="108" w:type="dxa"/>
            <w:bottom w:w="0" w:type="dxa"/>
            <w:right w:w="108" w:type="dxa"/>
          </w:tblCellMar>
        </w:tblPrEx>
        <w:trPr>
          <w:trHeight w:val="225" w:hRule="atLeast"/>
          <w:jc w:val="center"/>
        </w:trPr>
        <w:tc>
          <w:tcPr>
            <w:tcW w:w="1702" w:type="dxa"/>
            <w:vMerge w:val="continue"/>
            <w:tcBorders>
              <w:top w:val="nil"/>
              <w:left w:val="single" w:color="auto" w:sz="4" w:space="0"/>
              <w:bottom w:val="single" w:color="auto" w:sz="4" w:space="0"/>
              <w:right w:val="single" w:color="auto" w:sz="4" w:space="0"/>
            </w:tcBorders>
            <w:noWrap w:val="0"/>
            <w:vAlign w:val="center"/>
          </w:tcPr>
          <w:p w14:paraId="76A19A8C">
            <w:pPr>
              <w:jc w:val="center"/>
              <w:rPr>
                <w:color w:val="auto"/>
                <w:sz w:val="20"/>
                <w:szCs w:val="20"/>
                <w:highlight w:val="none"/>
              </w:rPr>
            </w:pPr>
          </w:p>
        </w:tc>
        <w:tc>
          <w:tcPr>
            <w:tcW w:w="1384" w:type="dxa"/>
            <w:tcBorders>
              <w:top w:val="nil"/>
              <w:left w:val="nil"/>
              <w:bottom w:val="single" w:color="auto" w:sz="4" w:space="0"/>
              <w:right w:val="single" w:color="auto" w:sz="4" w:space="0"/>
            </w:tcBorders>
            <w:noWrap w:val="0"/>
            <w:vAlign w:val="center"/>
          </w:tcPr>
          <w:p w14:paraId="76E429B2">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0"/>
            <w:vAlign w:val="center"/>
          </w:tcPr>
          <w:p w14:paraId="3720B167">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620" w:type="dxa"/>
            <w:tcBorders>
              <w:top w:val="nil"/>
              <w:left w:val="nil"/>
              <w:bottom w:val="single" w:color="auto" w:sz="4" w:space="0"/>
              <w:right w:val="single" w:color="auto" w:sz="4" w:space="0"/>
            </w:tcBorders>
            <w:noWrap w:val="0"/>
            <w:vAlign w:val="center"/>
          </w:tcPr>
          <w:p w14:paraId="2BEFC9A4">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1000≤Y＜10000</w:t>
            </w:r>
          </w:p>
        </w:tc>
        <w:tc>
          <w:tcPr>
            <w:tcW w:w="1440" w:type="dxa"/>
            <w:tcBorders>
              <w:top w:val="nil"/>
              <w:left w:val="nil"/>
              <w:bottom w:val="single" w:color="auto" w:sz="4" w:space="0"/>
              <w:right w:val="single" w:color="auto" w:sz="4" w:space="0"/>
            </w:tcBorders>
            <w:noWrap w:val="0"/>
            <w:vAlign w:val="center"/>
          </w:tcPr>
          <w:p w14:paraId="1D9ECC88">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50≤Y＜1000</w:t>
            </w:r>
          </w:p>
        </w:tc>
        <w:tc>
          <w:tcPr>
            <w:tcW w:w="1231" w:type="dxa"/>
            <w:tcBorders>
              <w:top w:val="nil"/>
              <w:left w:val="nil"/>
              <w:bottom w:val="single" w:color="auto" w:sz="4" w:space="0"/>
              <w:right w:val="single" w:color="auto" w:sz="4" w:space="0"/>
            </w:tcBorders>
            <w:noWrap w:val="0"/>
            <w:vAlign w:val="center"/>
          </w:tcPr>
          <w:p w14:paraId="22F61C49">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Y＜50</w:t>
            </w:r>
          </w:p>
        </w:tc>
      </w:tr>
      <w:tr w14:paraId="7676FE80">
        <w:tblPrEx>
          <w:tblCellMar>
            <w:top w:w="0" w:type="dxa"/>
            <w:left w:w="108" w:type="dxa"/>
            <w:bottom w:w="0" w:type="dxa"/>
            <w:right w:w="108" w:type="dxa"/>
          </w:tblCellMar>
        </w:tblPrEx>
        <w:trPr>
          <w:trHeight w:val="225" w:hRule="atLeast"/>
          <w:jc w:val="center"/>
        </w:trPr>
        <w:tc>
          <w:tcPr>
            <w:tcW w:w="1702" w:type="dxa"/>
            <w:vMerge w:val="restart"/>
            <w:tcBorders>
              <w:top w:val="nil"/>
              <w:left w:val="single" w:color="auto" w:sz="4" w:space="0"/>
              <w:bottom w:val="single" w:color="auto" w:sz="4" w:space="0"/>
              <w:right w:val="single" w:color="auto" w:sz="4" w:space="0"/>
            </w:tcBorders>
            <w:noWrap w:val="0"/>
            <w:vAlign w:val="center"/>
          </w:tcPr>
          <w:p w14:paraId="77254CE2">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房地产开发经营</w:t>
            </w:r>
          </w:p>
        </w:tc>
        <w:tc>
          <w:tcPr>
            <w:tcW w:w="1384" w:type="dxa"/>
            <w:tcBorders>
              <w:top w:val="nil"/>
              <w:left w:val="nil"/>
              <w:bottom w:val="single" w:color="auto" w:sz="4" w:space="0"/>
              <w:right w:val="single" w:color="auto" w:sz="4" w:space="0"/>
            </w:tcBorders>
            <w:noWrap w:val="0"/>
            <w:vAlign w:val="center"/>
          </w:tcPr>
          <w:p w14:paraId="2BF53143">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0"/>
            <w:vAlign w:val="center"/>
          </w:tcPr>
          <w:p w14:paraId="3E4D1B97">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620" w:type="dxa"/>
            <w:tcBorders>
              <w:top w:val="nil"/>
              <w:left w:val="nil"/>
              <w:bottom w:val="single" w:color="auto" w:sz="4" w:space="0"/>
              <w:right w:val="single" w:color="auto" w:sz="4" w:space="0"/>
            </w:tcBorders>
            <w:noWrap w:val="0"/>
            <w:vAlign w:val="center"/>
          </w:tcPr>
          <w:p w14:paraId="429F0871">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1000≤Y＜200000</w:t>
            </w:r>
          </w:p>
        </w:tc>
        <w:tc>
          <w:tcPr>
            <w:tcW w:w="1440" w:type="dxa"/>
            <w:tcBorders>
              <w:top w:val="nil"/>
              <w:left w:val="nil"/>
              <w:bottom w:val="single" w:color="auto" w:sz="4" w:space="0"/>
              <w:right w:val="single" w:color="auto" w:sz="4" w:space="0"/>
            </w:tcBorders>
            <w:noWrap w:val="0"/>
            <w:vAlign w:val="center"/>
          </w:tcPr>
          <w:p w14:paraId="482C9C46">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100≤X＜1000</w:t>
            </w:r>
          </w:p>
        </w:tc>
        <w:tc>
          <w:tcPr>
            <w:tcW w:w="1231" w:type="dxa"/>
            <w:tcBorders>
              <w:top w:val="nil"/>
              <w:left w:val="nil"/>
              <w:bottom w:val="single" w:color="auto" w:sz="4" w:space="0"/>
              <w:right w:val="single" w:color="auto" w:sz="4" w:space="0"/>
            </w:tcBorders>
            <w:noWrap w:val="0"/>
            <w:vAlign w:val="center"/>
          </w:tcPr>
          <w:p w14:paraId="48A381EB">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X＜100</w:t>
            </w:r>
          </w:p>
        </w:tc>
      </w:tr>
      <w:tr w14:paraId="4E3C4826">
        <w:tblPrEx>
          <w:tblCellMar>
            <w:top w:w="0" w:type="dxa"/>
            <w:left w:w="108" w:type="dxa"/>
            <w:bottom w:w="0" w:type="dxa"/>
            <w:right w:w="108" w:type="dxa"/>
          </w:tblCellMar>
        </w:tblPrEx>
        <w:trPr>
          <w:trHeight w:val="225" w:hRule="atLeast"/>
          <w:jc w:val="center"/>
        </w:trPr>
        <w:tc>
          <w:tcPr>
            <w:tcW w:w="1702" w:type="dxa"/>
            <w:vMerge w:val="continue"/>
            <w:tcBorders>
              <w:top w:val="nil"/>
              <w:left w:val="single" w:color="auto" w:sz="4" w:space="0"/>
              <w:bottom w:val="single" w:color="auto" w:sz="4" w:space="0"/>
              <w:right w:val="single" w:color="auto" w:sz="4" w:space="0"/>
            </w:tcBorders>
            <w:noWrap w:val="0"/>
            <w:vAlign w:val="center"/>
          </w:tcPr>
          <w:p w14:paraId="6BB11A3D">
            <w:pPr>
              <w:jc w:val="center"/>
              <w:rPr>
                <w:color w:val="auto"/>
                <w:sz w:val="20"/>
                <w:szCs w:val="20"/>
                <w:highlight w:val="none"/>
              </w:rPr>
            </w:pPr>
          </w:p>
        </w:tc>
        <w:tc>
          <w:tcPr>
            <w:tcW w:w="1384" w:type="dxa"/>
            <w:tcBorders>
              <w:top w:val="nil"/>
              <w:left w:val="nil"/>
              <w:bottom w:val="single" w:color="auto" w:sz="4" w:space="0"/>
              <w:right w:val="single" w:color="auto" w:sz="4" w:space="0"/>
            </w:tcBorders>
            <w:noWrap w:val="0"/>
            <w:vAlign w:val="center"/>
          </w:tcPr>
          <w:p w14:paraId="1211FD99">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913" w:type="dxa"/>
            <w:tcBorders>
              <w:top w:val="nil"/>
              <w:left w:val="nil"/>
              <w:bottom w:val="single" w:color="auto" w:sz="4" w:space="0"/>
              <w:right w:val="single" w:color="auto" w:sz="4" w:space="0"/>
            </w:tcBorders>
            <w:noWrap w:val="0"/>
            <w:vAlign w:val="center"/>
          </w:tcPr>
          <w:p w14:paraId="3D72123A">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620" w:type="dxa"/>
            <w:tcBorders>
              <w:top w:val="nil"/>
              <w:left w:val="nil"/>
              <w:bottom w:val="single" w:color="auto" w:sz="4" w:space="0"/>
              <w:right w:val="single" w:color="auto" w:sz="4" w:space="0"/>
            </w:tcBorders>
            <w:noWrap w:val="0"/>
            <w:vAlign w:val="center"/>
          </w:tcPr>
          <w:p w14:paraId="5B65253F">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5000≤Z＜10000</w:t>
            </w:r>
          </w:p>
        </w:tc>
        <w:tc>
          <w:tcPr>
            <w:tcW w:w="1440" w:type="dxa"/>
            <w:tcBorders>
              <w:top w:val="nil"/>
              <w:left w:val="nil"/>
              <w:bottom w:val="single" w:color="auto" w:sz="4" w:space="0"/>
              <w:right w:val="single" w:color="auto" w:sz="4" w:space="0"/>
            </w:tcBorders>
            <w:noWrap w:val="0"/>
            <w:vAlign w:val="center"/>
          </w:tcPr>
          <w:p w14:paraId="2F8CECAB">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2000≤Y＜5000</w:t>
            </w:r>
          </w:p>
        </w:tc>
        <w:tc>
          <w:tcPr>
            <w:tcW w:w="1231" w:type="dxa"/>
            <w:tcBorders>
              <w:top w:val="nil"/>
              <w:left w:val="nil"/>
              <w:bottom w:val="single" w:color="auto" w:sz="4" w:space="0"/>
              <w:right w:val="single" w:color="auto" w:sz="4" w:space="0"/>
            </w:tcBorders>
            <w:noWrap w:val="0"/>
            <w:vAlign w:val="center"/>
          </w:tcPr>
          <w:p w14:paraId="68747CB9">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Y＜2000</w:t>
            </w:r>
          </w:p>
        </w:tc>
      </w:tr>
      <w:tr w14:paraId="620EC891">
        <w:tblPrEx>
          <w:tblCellMar>
            <w:top w:w="0" w:type="dxa"/>
            <w:left w:w="108" w:type="dxa"/>
            <w:bottom w:w="0" w:type="dxa"/>
            <w:right w:w="108" w:type="dxa"/>
          </w:tblCellMar>
        </w:tblPrEx>
        <w:trPr>
          <w:trHeight w:val="225" w:hRule="atLeast"/>
          <w:jc w:val="center"/>
        </w:trPr>
        <w:tc>
          <w:tcPr>
            <w:tcW w:w="1702" w:type="dxa"/>
            <w:vMerge w:val="restart"/>
            <w:tcBorders>
              <w:top w:val="nil"/>
              <w:left w:val="single" w:color="auto" w:sz="4" w:space="0"/>
              <w:bottom w:val="single" w:color="auto" w:sz="4" w:space="0"/>
              <w:right w:val="single" w:color="auto" w:sz="4" w:space="0"/>
            </w:tcBorders>
            <w:noWrap w:val="0"/>
            <w:vAlign w:val="center"/>
          </w:tcPr>
          <w:p w14:paraId="03B488F2">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物业管理</w:t>
            </w:r>
          </w:p>
        </w:tc>
        <w:tc>
          <w:tcPr>
            <w:tcW w:w="1384" w:type="dxa"/>
            <w:tcBorders>
              <w:top w:val="nil"/>
              <w:left w:val="nil"/>
              <w:bottom w:val="single" w:color="auto" w:sz="4" w:space="0"/>
              <w:right w:val="single" w:color="auto" w:sz="4" w:space="0"/>
            </w:tcBorders>
            <w:noWrap w:val="0"/>
            <w:vAlign w:val="center"/>
          </w:tcPr>
          <w:p w14:paraId="2C55F396">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0"/>
            <w:vAlign w:val="center"/>
          </w:tcPr>
          <w:p w14:paraId="1BAA7B42">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620" w:type="dxa"/>
            <w:tcBorders>
              <w:top w:val="nil"/>
              <w:left w:val="nil"/>
              <w:bottom w:val="single" w:color="auto" w:sz="4" w:space="0"/>
              <w:right w:val="single" w:color="auto" w:sz="4" w:space="0"/>
            </w:tcBorders>
            <w:noWrap w:val="0"/>
            <w:vAlign w:val="center"/>
          </w:tcPr>
          <w:p w14:paraId="48A1BA75">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440" w:type="dxa"/>
            <w:tcBorders>
              <w:top w:val="nil"/>
              <w:left w:val="nil"/>
              <w:bottom w:val="single" w:color="auto" w:sz="4" w:space="0"/>
              <w:right w:val="single" w:color="auto" w:sz="4" w:space="0"/>
            </w:tcBorders>
            <w:noWrap w:val="0"/>
            <w:vAlign w:val="center"/>
          </w:tcPr>
          <w:p w14:paraId="231E3B9C">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231" w:type="dxa"/>
            <w:tcBorders>
              <w:top w:val="nil"/>
              <w:left w:val="nil"/>
              <w:bottom w:val="single" w:color="auto" w:sz="4" w:space="0"/>
              <w:right w:val="single" w:color="auto" w:sz="4" w:space="0"/>
            </w:tcBorders>
            <w:noWrap w:val="0"/>
            <w:vAlign w:val="center"/>
          </w:tcPr>
          <w:p w14:paraId="713B2963">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X＜100</w:t>
            </w:r>
          </w:p>
        </w:tc>
      </w:tr>
      <w:tr w14:paraId="4A14D7E2">
        <w:tblPrEx>
          <w:tblCellMar>
            <w:top w:w="0" w:type="dxa"/>
            <w:left w:w="108" w:type="dxa"/>
            <w:bottom w:w="0" w:type="dxa"/>
            <w:right w:w="108" w:type="dxa"/>
          </w:tblCellMar>
        </w:tblPrEx>
        <w:trPr>
          <w:trHeight w:val="225" w:hRule="atLeast"/>
          <w:jc w:val="center"/>
        </w:trPr>
        <w:tc>
          <w:tcPr>
            <w:tcW w:w="1702" w:type="dxa"/>
            <w:vMerge w:val="continue"/>
            <w:tcBorders>
              <w:top w:val="nil"/>
              <w:left w:val="single" w:color="auto" w:sz="4" w:space="0"/>
              <w:bottom w:val="single" w:color="auto" w:sz="4" w:space="0"/>
              <w:right w:val="single" w:color="auto" w:sz="4" w:space="0"/>
            </w:tcBorders>
            <w:noWrap w:val="0"/>
            <w:vAlign w:val="center"/>
          </w:tcPr>
          <w:p w14:paraId="3B7AC654">
            <w:pPr>
              <w:jc w:val="center"/>
              <w:rPr>
                <w:color w:val="auto"/>
                <w:sz w:val="20"/>
                <w:szCs w:val="20"/>
                <w:highlight w:val="none"/>
              </w:rPr>
            </w:pPr>
          </w:p>
        </w:tc>
        <w:tc>
          <w:tcPr>
            <w:tcW w:w="1384" w:type="dxa"/>
            <w:tcBorders>
              <w:top w:val="nil"/>
              <w:left w:val="nil"/>
              <w:bottom w:val="single" w:color="auto" w:sz="4" w:space="0"/>
              <w:right w:val="single" w:color="auto" w:sz="4" w:space="0"/>
            </w:tcBorders>
            <w:noWrap w:val="0"/>
            <w:vAlign w:val="center"/>
          </w:tcPr>
          <w:p w14:paraId="105C6880">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0"/>
            <w:vAlign w:val="center"/>
          </w:tcPr>
          <w:p w14:paraId="3487D988">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620" w:type="dxa"/>
            <w:tcBorders>
              <w:top w:val="nil"/>
              <w:left w:val="nil"/>
              <w:bottom w:val="single" w:color="auto" w:sz="4" w:space="0"/>
              <w:right w:val="single" w:color="auto" w:sz="4" w:space="0"/>
            </w:tcBorders>
            <w:noWrap w:val="0"/>
            <w:vAlign w:val="center"/>
          </w:tcPr>
          <w:p w14:paraId="343A7C55">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1000≤Y＜5000</w:t>
            </w:r>
          </w:p>
        </w:tc>
        <w:tc>
          <w:tcPr>
            <w:tcW w:w="1440" w:type="dxa"/>
            <w:tcBorders>
              <w:top w:val="nil"/>
              <w:left w:val="nil"/>
              <w:bottom w:val="single" w:color="auto" w:sz="4" w:space="0"/>
              <w:right w:val="single" w:color="auto" w:sz="4" w:space="0"/>
            </w:tcBorders>
            <w:noWrap w:val="0"/>
            <w:vAlign w:val="center"/>
          </w:tcPr>
          <w:p w14:paraId="593274C3">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500≤Y＜1000</w:t>
            </w:r>
          </w:p>
        </w:tc>
        <w:tc>
          <w:tcPr>
            <w:tcW w:w="1231" w:type="dxa"/>
            <w:tcBorders>
              <w:top w:val="nil"/>
              <w:left w:val="nil"/>
              <w:bottom w:val="single" w:color="auto" w:sz="4" w:space="0"/>
              <w:right w:val="single" w:color="auto" w:sz="4" w:space="0"/>
            </w:tcBorders>
            <w:noWrap w:val="0"/>
            <w:vAlign w:val="center"/>
          </w:tcPr>
          <w:p w14:paraId="2AC98F8F">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Y＜500</w:t>
            </w:r>
          </w:p>
        </w:tc>
      </w:tr>
      <w:tr w14:paraId="587E1E0A">
        <w:tblPrEx>
          <w:tblCellMar>
            <w:top w:w="0" w:type="dxa"/>
            <w:left w:w="108" w:type="dxa"/>
            <w:bottom w:w="0" w:type="dxa"/>
            <w:right w:w="108" w:type="dxa"/>
          </w:tblCellMar>
        </w:tblPrEx>
        <w:trPr>
          <w:trHeight w:val="225" w:hRule="atLeast"/>
          <w:jc w:val="center"/>
        </w:trPr>
        <w:tc>
          <w:tcPr>
            <w:tcW w:w="1702" w:type="dxa"/>
            <w:vMerge w:val="restart"/>
            <w:tcBorders>
              <w:top w:val="nil"/>
              <w:left w:val="single" w:color="auto" w:sz="4" w:space="0"/>
              <w:bottom w:val="single" w:color="auto" w:sz="4" w:space="0"/>
              <w:right w:val="single" w:color="auto" w:sz="4" w:space="0"/>
            </w:tcBorders>
            <w:noWrap w:val="0"/>
            <w:vAlign w:val="center"/>
          </w:tcPr>
          <w:p w14:paraId="3C762FBA">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租赁和商务服务业</w:t>
            </w:r>
          </w:p>
        </w:tc>
        <w:tc>
          <w:tcPr>
            <w:tcW w:w="1384" w:type="dxa"/>
            <w:tcBorders>
              <w:top w:val="nil"/>
              <w:left w:val="nil"/>
              <w:bottom w:val="single" w:color="auto" w:sz="4" w:space="0"/>
              <w:right w:val="single" w:color="auto" w:sz="4" w:space="0"/>
            </w:tcBorders>
            <w:noWrap w:val="0"/>
            <w:vAlign w:val="center"/>
          </w:tcPr>
          <w:p w14:paraId="44215171">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0"/>
            <w:vAlign w:val="center"/>
          </w:tcPr>
          <w:p w14:paraId="78878098">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620" w:type="dxa"/>
            <w:tcBorders>
              <w:top w:val="nil"/>
              <w:left w:val="nil"/>
              <w:bottom w:val="single" w:color="auto" w:sz="4" w:space="0"/>
              <w:right w:val="single" w:color="auto" w:sz="4" w:space="0"/>
            </w:tcBorders>
            <w:noWrap w:val="0"/>
            <w:vAlign w:val="center"/>
          </w:tcPr>
          <w:p w14:paraId="0541FC59">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440" w:type="dxa"/>
            <w:tcBorders>
              <w:top w:val="nil"/>
              <w:left w:val="nil"/>
              <w:bottom w:val="single" w:color="auto" w:sz="4" w:space="0"/>
              <w:right w:val="single" w:color="auto" w:sz="4" w:space="0"/>
            </w:tcBorders>
            <w:noWrap w:val="0"/>
            <w:vAlign w:val="center"/>
          </w:tcPr>
          <w:p w14:paraId="622BCA0D">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231" w:type="dxa"/>
            <w:tcBorders>
              <w:top w:val="nil"/>
              <w:left w:val="nil"/>
              <w:bottom w:val="single" w:color="auto" w:sz="4" w:space="0"/>
              <w:right w:val="single" w:color="auto" w:sz="4" w:space="0"/>
            </w:tcBorders>
            <w:noWrap w:val="0"/>
            <w:vAlign w:val="center"/>
          </w:tcPr>
          <w:p w14:paraId="74AA4733">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763A9A7A">
        <w:tblPrEx>
          <w:tblCellMar>
            <w:top w:w="0" w:type="dxa"/>
            <w:left w:w="108" w:type="dxa"/>
            <w:bottom w:w="0" w:type="dxa"/>
            <w:right w:w="108" w:type="dxa"/>
          </w:tblCellMar>
        </w:tblPrEx>
        <w:trPr>
          <w:trHeight w:val="225" w:hRule="atLeast"/>
          <w:jc w:val="center"/>
        </w:trPr>
        <w:tc>
          <w:tcPr>
            <w:tcW w:w="1702" w:type="dxa"/>
            <w:vMerge w:val="continue"/>
            <w:tcBorders>
              <w:top w:val="nil"/>
              <w:left w:val="single" w:color="auto" w:sz="4" w:space="0"/>
              <w:bottom w:val="single" w:color="auto" w:sz="4" w:space="0"/>
              <w:right w:val="single" w:color="auto" w:sz="4" w:space="0"/>
            </w:tcBorders>
            <w:noWrap w:val="0"/>
            <w:vAlign w:val="center"/>
          </w:tcPr>
          <w:p w14:paraId="774F05EA">
            <w:pPr>
              <w:jc w:val="center"/>
              <w:rPr>
                <w:color w:val="auto"/>
                <w:sz w:val="20"/>
                <w:szCs w:val="20"/>
                <w:highlight w:val="none"/>
              </w:rPr>
            </w:pPr>
          </w:p>
        </w:tc>
        <w:tc>
          <w:tcPr>
            <w:tcW w:w="1384" w:type="dxa"/>
            <w:tcBorders>
              <w:top w:val="nil"/>
              <w:left w:val="nil"/>
              <w:bottom w:val="single" w:color="auto" w:sz="4" w:space="0"/>
              <w:right w:val="single" w:color="auto" w:sz="4" w:space="0"/>
            </w:tcBorders>
            <w:noWrap w:val="0"/>
            <w:vAlign w:val="center"/>
          </w:tcPr>
          <w:p w14:paraId="511496FA">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913" w:type="dxa"/>
            <w:tcBorders>
              <w:top w:val="nil"/>
              <w:left w:val="nil"/>
              <w:bottom w:val="single" w:color="auto" w:sz="4" w:space="0"/>
              <w:right w:val="single" w:color="auto" w:sz="4" w:space="0"/>
            </w:tcBorders>
            <w:noWrap w:val="0"/>
            <w:vAlign w:val="center"/>
          </w:tcPr>
          <w:p w14:paraId="55EECC8C">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620" w:type="dxa"/>
            <w:tcBorders>
              <w:top w:val="nil"/>
              <w:left w:val="nil"/>
              <w:bottom w:val="single" w:color="auto" w:sz="4" w:space="0"/>
              <w:right w:val="single" w:color="auto" w:sz="4" w:space="0"/>
            </w:tcBorders>
            <w:noWrap w:val="0"/>
            <w:vAlign w:val="center"/>
          </w:tcPr>
          <w:p w14:paraId="7E853254">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8000≤Z＜120000</w:t>
            </w:r>
          </w:p>
        </w:tc>
        <w:tc>
          <w:tcPr>
            <w:tcW w:w="1440" w:type="dxa"/>
            <w:tcBorders>
              <w:top w:val="nil"/>
              <w:left w:val="nil"/>
              <w:bottom w:val="single" w:color="auto" w:sz="4" w:space="0"/>
              <w:right w:val="single" w:color="auto" w:sz="4" w:space="0"/>
            </w:tcBorders>
            <w:noWrap w:val="0"/>
            <w:vAlign w:val="center"/>
          </w:tcPr>
          <w:p w14:paraId="01CE1355">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100≤Z＜8000</w:t>
            </w:r>
          </w:p>
        </w:tc>
        <w:tc>
          <w:tcPr>
            <w:tcW w:w="1231" w:type="dxa"/>
            <w:tcBorders>
              <w:top w:val="nil"/>
              <w:left w:val="nil"/>
              <w:bottom w:val="single" w:color="auto" w:sz="4" w:space="0"/>
              <w:right w:val="single" w:color="auto" w:sz="4" w:space="0"/>
            </w:tcBorders>
            <w:noWrap w:val="0"/>
            <w:vAlign w:val="center"/>
          </w:tcPr>
          <w:p w14:paraId="60153D44">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6042D6D7">
        <w:tblPrEx>
          <w:tblCellMar>
            <w:top w:w="0" w:type="dxa"/>
            <w:left w:w="108" w:type="dxa"/>
            <w:bottom w:w="0" w:type="dxa"/>
            <w:right w:w="108" w:type="dxa"/>
          </w:tblCellMar>
        </w:tblPrEx>
        <w:trPr>
          <w:trHeight w:val="225" w:hRule="atLeast"/>
          <w:jc w:val="center"/>
        </w:trPr>
        <w:tc>
          <w:tcPr>
            <w:tcW w:w="1702" w:type="dxa"/>
            <w:tcBorders>
              <w:top w:val="nil"/>
              <w:left w:val="single" w:color="auto" w:sz="4" w:space="0"/>
              <w:bottom w:val="single" w:color="auto" w:sz="4" w:space="0"/>
              <w:right w:val="single" w:color="auto" w:sz="4" w:space="0"/>
            </w:tcBorders>
            <w:noWrap w:val="0"/>
            <w:vAlign w:val="center"/>
          </w:tcPr>
          <w:p w14:paraId="4BD909FC">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其他未列明行业</w:t>
            </w:r>
          </w:p>
        </w:tc>
        <w:tc>
          <w:tcPr>
            <w:tcW w:w="1384" w:type="dxa"/>
            <w:tcBorders>
              <w:top w:val="nil"/>
              <w:left w:val="nil"/>
              <w:bottom w:val="single" w:color="auto" w:sz="4" w:space="0"/>
              <w:right w:val="single" w:color="auto" w:sz="4" w:space="0"/>
            </w:tcBorders>
            <w:noWrap w:val="0"/>
            <w:vAlign w:val="center"/>
          </w:tcPr>
          <w:p w14:paraId="47D1F50E">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0"/>
            <w:vAlign w:val="center"/>
          </w:tcPr>
          <w:p w14:paraId="7D3F178E">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620" w:type="dxa"/>
            <w:tcBorders>
              <w:top w:val="nil"/>
              <w:left w:val="nil"/>
              <w:bottom w:val="single" w:color="auto" w:sz="4" w:space="0"/>
              <w:right w:val="single" w:color="auto" w:sz="4" w:space="0"/>
            </w:tcBorders>
            <w:noWrap w:val="0"/>
            <w:vAlign w:val="center"/>
          </w:tcPr>
          <w:p w14:paraId="7F20C904">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440" w:type="dxa"/>
            <w:tcBorders>
              <w:top w:val="nil"/>
              <w:left w:val="nil"/>
              <w:bottom w:val="single" w:color="auto" w:sz="4" w:space="0"/>
              <w:right w:val="single" w:color="auto" w:sz="4" w:space="0"/>
            </w:tcBorders>
            <w:noWrap w:val="0"/>
            <w:vAlign w:val="center"/>
          </w:tcPr>
          <w:p w14:paraId="4E805480">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231" w:type="dxa"/>
            <w:tcBorders>
              <w:top w:val="nil"/>
              <w:left w:val="nil"/>
              <w:bottom w:val="single" w:color="auto" w:sz="4" w:space="0"/>
              <w:right w:val="single" w:color="auto" w:sz="4" w:space="0"/>
            </w:tcBorders>
            <w:noWrap w:val="0"/>
            <w:vAlign w:val="center"/>
          </w:tcPr>
          <w:p w14:paraId="457D7352">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bl>
    <w:p w14:paraId="7DB3C03B">
      <w:pPr>
        <w:spacing w:line="360" w:lineRule="auto"/>
        <w:ind w:firstLine="525" w:firstLineChars="250"/>
        <w:rPr>
          <w:color w:val="auto"/>
          <w:highlight w:val="none"/>
        </w:rPr>
      </w:pPr>
      <w:r>
        <w:rPr>
          <w:rFonts w:hint="eastAsia" w:ascii="宋体" w:hAnsi="宋体" w:cs="宋体"/>
          <w:color w:val="auto"/>
          <w:szCs w:val="21"/>
          <w:highlight w:val="none"/>
        </w:rPr>
        <w:t>说明：上述标准参照《关于印发中小企业划型标准规定的通知》（工信部联企业[2011]300号），大型、中型和小型企业须同时满足所列指标的下限，否则下划一档；微型企业只须满足所列指标中的一项即可。</w:t>
      </w:r>
    </w:p>
    <w:p w14:paraId="2E546464">
      <w:pPr>
        <w:pStyle w:val="15"/>
        <w:jc w:val="left"/>
        <w:rPr>
          <w:rFonts w:hint="eastAsia" w:hAnsi="宋体" w:cs="宋体"/>
          <w:b/>
          <w:color w:val="auto"/>
          <w:sz w:val="32"/>
          <w:szCs w:val="18"/>
          <w:highlight w:val="none"/>
        </w:rPr>
      </w:pPr>
    </w:p>
    <w:p w14:paraId="198D8CD5">
      <w:pPr>
        <w:spacing w:line="360" w:lineRule="auto"/>
        <w:ind w:firstLine="525" w:firstLineChars="250"/>
        <w:rPr>
          <w:rFonts w:hint="eastAsia" w:ascii="宋体" w:hAnsi="宋体" w:cs="宋体"/>
          <w:color w:val="auto"/>
          <w:szCs w:val="21"/>
          <w:highlight w:val="none"/>
        </w:rPr>
        <w:sectPr>
          <w:pgSz w:w="11905" w:h="16838"/>
          <w:pgMar w:top="1134" w:right="1587" w:bottom="1134" w:left="1587" w:header="720" w:footer="720" w:gutter="0"/>
          <w:pgBorders>
            <w:top w:val="none" w:sz="0" w:space="0"/>
            <w:left w:val="none" w:sz="0" w:space="0"/>
            <w:bottom w:val="none" w:sz="0" w:space="0"/>
            <w:right w:val="none" w:sz="0" w:space="0"/>
          </w:pgBorders>
          <w:cols w:space="720" w:num="1"/>
          <w:docGrid w:type="lines" w:linePitch="331" w:charSpace="0"/>
        </w:sectPr>
      </w:pPr>
    </w:p>
    <w:p w14:paraId="0DDEA1FD">
      <w:pPr>
        <w:pStyle w:val="2"/>
        <w:spacing w:before="0" w:after="0" w:line="360" w:lineRule="auto"/>
        <w:jc w:val="center"/>
        <w:rPr>
          <w:rFonts w:hint="eastAsia" w:ascii="宋体" w:hAnsi="宋体" w:cs="宋体"/>
          <w:color w:val="auto"/>
          <w:highlight w:val="none"/>
        </w:rPr>
      </w:pPr>
      <w:bookmarkStart w:id="33" w:name="_Toc12284"/>
      <w:bookmarkStart w:id="34" w:name="_Toc16276"/>
      <w:bookmarkStart w:id="35" w:name="_Toc25027"/>
      <w:r>
        <w:rPr>
          <w:rFonts w:hint="eastAsia" w:ascii="宋体" w:hAnsi="宋体" w:cs="宋体"/>
          <w:bCs w:val="0"/>
          <w:color w:val="auto"/>
          <w:highlight w:val="none"/>
        </w:rPr>
        <w:t>第三章 供应商须知</w:t>
      </w:r>
      <w:bookmarkEnd w:id="33"/>
      <w:bookmarkEnd w:id="34"/>
      <w:bookmarkEnd w:id="35"/>
    </w:p>
    <w:p w14:paraId="33540F11">
      <w:pPr>
        <w:pStyle w:val="3"/>
        <w:spacing w:before="0" w:after="0"/>
        <w:jc w:val="center"/>
        <w:rPr>
          <w:rFonts w:hint="eastAsia" w:ascii="宋体" w:hAnsi="宋体" w:cs="宋体"/>
          <w:b w:val="0"/>
          <w:color w:val="auto"/>
          <w:highlight w:val="none"/>
        </w:rPr>
      </w:pPr>
      <w:bookmarkStart w:id="36" w:name="_Toc20474"/>
      <w:bookmarkStart w:id="37" w:name="_Toc20643"/>
      <w:bookmarkStart w:id="38" w:name="_Toc10694"/>
      <w:r>
        <w:rPr>
          <w:rFonts w:hint="eastAsia" w:ascii="宋体" w:hAnsi="宋体" w:cs="宋体"/>
          <w:b w:val="0"/>
          <w:color w:val="auto"/>
          <w:highlight w:val="none"/>
        </w:rPr>
        <w:t>第一节 供应商须知前附表</w:t>
      </w:r>
      <w:bookmarkEnd w:id="36"/>
      <w:bookmarkEnd w:id="37"/>
      <w:bookmarkEnd w:id="38"/>
    </w:p>
    <w:tbl>
      <w:tblPr>
        <w:tblStyle w:val="23"/>
        <w:tblW w:w="993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9"/>
        <w:gridCol w:w="2427"/>
        <w:gridCol w:w="6644"/>
      </w:tblGrid>
      <w:tr w14:paraId="678BE5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6" w:hRule="atLeast"/>
          <w:jc w:val="center"/>
        </w:trPr>
        <w:tc>
          <w:tcPr>
            <w:tcW w:w="859" w:type="dxa"/>
            <w:noWrap w:val="0"/>
            <w:vAlign w:val="center"/>
          </w:tcPr>
          <w:p w14:paraId="0183EE6A">
            <w:pPr>
              <w:keepNext w:val="0"/>
              <w:keepLines w:val="0"/>
              <w:pageBreakBefore w:val="0"/>
              <w:kinsoku/>
              <w:wordWrap/>
              <w:overflowPunct/>
              <w:topLinePunct w:val="0"/>
              <w:autoSpaceDE/>
              <w:autoSpaceDN/>
              <w:bidi w:val="0"/>
              <w:adjustRightInd/>
              <w:spacing w:line="400" w:lineRule="exact"/>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条款号</w:t>
            </w:r>
          </w:p>
        </w:tc>
        <w:tc>
          <w:tcPr>
            <w:tcW w:w="2427" w:type="dxa"/>
            <w:noWrap w:val="0"/>
            <w:vAlign w:val="center"/>
          </w:tcPr>
          <w:p w14:paraId="65067285">
            <w:pPr>
              <w:keepNext w:val="0"/>
              <w:keepLines w:val="0"/>
              <w:pageBreakBefore w:val="0"/>
              <w:kinsoku/>
              <w:wordWrap/>
              <w:overflowPunct/>
              <w:topLinePunct w:val="0"/>
              <w:autoSpaceDE/>
              <w:autoSpaceDN/>
              <w:bidi w:val="0"/>
              <w:adjustRightInd/>
              <w:spacing w:line="400" w:lineRule="exact"/>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条款内容</w:t>
            </w:r>
          </w:p>
        </w:tc>
        <w:tc>
          <w:tcPr>
            <w:tcW w:w="6644" w:type="dxa"/>
            <w:noWrap w:val="0"/>
            <w:vAlign w:val="center"/>
          </w:tcPr>
          <w:p w14:paraId="55D922F6">
            <w:pPr>
              <w:keepNext w:val="0"/>
              <w:keepLines w:val="0"/>
              <w:pageBreakBefore w:val="0"/>
              <w:kinsoku/>
              <w:wordWrap/>
              <w:overflowPunct/>
              <w:topLinePunct w:val="0"/>
              <w:autoSpaceDE/>
              <w:autoSpaceDN/>
              <w:bidi w:val="0"/>
              <w:adjustRightInd/>
              <w:spacing w:line="400" w:lineRule="exact"/>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具体要求</w:t>
            </w:r>
          </w:p>
        </w:tc>
      </w:tr>
      <w:tr w14:paraId="770F0B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9" w:type="dxa"/>
            <w:noWrap w:val="0"/>
            <w:vAlign w:val="center"/>
          </w:tcPr>
          <w:p w14:paraId="229F84E6">
            <w:pPr>
              <w:keepNext w:val="0"/>
              <w:keepLines w:val="0"/>
              <w:pageBreakBefore w:val="0"/>
              <w:kinsoku/>
              <w:wordWrap/>
              <w:overflowPunct/>
              <w:topLinePunct w:val="0"/>
              <w:autoSpaceDE/>
              <w:autoSpaceDN/>
              <w:bidi w:val="0"/>
              <w:adjustRightIn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w:t>
            </w:r>
          </w:p>
        </w:tc>
        <w:tc>
          <w:tcPr>
            <w:tcW w:w="2427" w:type="dxa"/>
            <w:noWrap w:val="0"/>
            <w:vAlign w:val="center"/>
          </w:tcPr>
          <w:p w14:paraId="2C5A953B">
            <w:pPr>
              <w:keepNext w:val="0"/>
              <w:keepLines w:val="0"/>
              <w:pageBreakBefore w:val="0"/>
              <w:kinsoku/>
              <w:wordWrap/>
              <w:overflowPunct/>
              <w:topLinePunct w:val="0"/>
              <w:autoSpaceDE/>
              <w:autoSpaceDN/>
              <w:bidi w:val="0"/>
              <w:adjustRightIn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供应商资格条件</w:t>
            </w:r>
          </w:p>
        </w:tc>
        <w:tc>
          <w:tcPr>
            <w:tcW w:w="6644" w:type="dxa"/>
            <w:noWrap w:val="0"/>
            <w:vAlign w:val="top"/>
          </w:tcPr>
          <w:p w14:paraId="656FED21">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供应商资格条件要求详见公告。</w:t>
            </w:r>
          </w:p>
        </w:tc>
      </w:tr>
      <w:tr w14:paraId="0BBE81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9" w:type="dxa"/>
            <w:noWrap w:val="0"/>
            <w:vAlign w:val="center"/>
          </w:tcPr>
          <w:p w14:paraId="4D31D25D">
            <w:pPr>
              <w:keepNext w:val="0"/>
              <w:keepLines w:val="0"/>
              <w:pageBreakBefore w:val="0"/>
              <w:kinsoku/>
              <w:wordWrap/>
              <w:overflowPunct/>
              <w:topLinePunct w:val="0"/>
              <w:autoSpaceDE/>
              <w:autoSpaceDN/>
              <w:bidi w:val="0"/>
              <w:adjustRightIn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5.1</w:t>
            </w:r>
          </w:p>
        </w:tc>
        <w:tc>
          <w:tcPr>
            <w:tcW w:w="2427" w:type="dxa"/>
            <w:noWrap w:val="0"/>
            <w:vAlign w:val="center"/>
          </w:tcPr>
          <w:p w14:paraId="4F4051FB">
            <w:pPr>
              <w:keepNext w:val="0"/>
              <w:keepLines w:val="0"/>
              <w:pageBreakBefore w:val="0"/>
              <w:kinsoku/>
              <w:wordWrap/>
              <w:overflowPunct/>
              <w:topLinePunct w:val="0"/>
              <w:autoSpaceDE/>
              <w:autoSpaceDN/>
              <w:bidi w:val="0"/>
              <w:adjustRightIn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是否接受联合体竞标</w:t>
            </w:r>
          </w:p>
        </w:tc>
        <w:tc>
          <w:tcPr>
            <w:tcW w:w="6644" w:type="dxa"/>
            <w:noWrap w:val="0"/>
            <w:vAlign w:val="center"/>
          </w:tcPr>
          <w:p w14:paraId="685A82A9">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color w:val="auto"/>
                <w:sz w:val="21"/>
                <w:szCs w:val="21"/>
                <w:highlight w:val="none"/>
              </w:rPr>
            </w:pPr>
            <w:bookmarkStart w:id="39" w:name="PO_3000001868_PM007"/>
            <w:r>
              <w:rPr>
                <w:rFonts w:hint="eastAsia" w:ascii="宋体" w:hAnsi="宋体" w:eastAsia="宋体" w:cs="宋体"/>
                <w:color w:val="auto"/>
                <w:sz w:val="21"/>
                <w:szCs w:val="21"/>
                <w:highlight w:val="none"/>
              </w:rPr>
              <w:t>不允许联合体投标</w:t>
            </w:r>
            <w:bookmarkEnd w:id="39"/>
          </w:p>
        </w:tc>
      </w:tr>
      <w:tr w14:paraId="6F3D92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9" w:type="dxa"/>
            <w:noWrap w:val="0"/>
            <w:vAlign w:val="center"/>
          </w:tcPr>
          <w:p w14:paraId="79FB7198">
            <w:pPr>
              <w:keepNext w:val="0"/>
              <w:keepLines w:val="0"/>
              <w:pageBreakBefore w:val="0"/>
              <w:kinsoku/>
              <w:wordWrap/>
              <w:overflowPunct/>
              <w:topLinePunct w:val="0"/>
              <w:autoSpaceDE/>
              <w:autoSpaceDN/>
              <w:bidi w:val="0"/>
              <w:adjustRightIn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5.2</w:t>
            </w:r>
          </w:p>
        </w:tc>
        <w:tc>
          <w:tcPr>
            <w:tcW w:w="2427" w:type="dxa"/>
            <w:noWrap w:val="0"/>
            <w:vAlign w:val="center"/>
          </w:tcPr>
          <w:p w14:paraId="53E364D9">
            <w:pPr>
              <w:keepNext w:val="0"/>
              <w:keepLines w:val="0"/>
              <w:pageBreakBefore w:val="0"/>
              <w:kinsoku/>
              <w:wordWrap/>
              <w:overflowPunct/>
              <w:topLinePunct w:val="0"/>
              <w:autoSpaceDE/>
              <w:autoSpaceDN/>
              <w:bidi w:val="0"/>
              <w:adjustRightIn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联合体竞标要求</w:t>
            </w:r>
          </w:p>
        </w:tc>
        <w:tc>
          <w:tcPr>
            <w:tcW w:w="6644" w:type="dxa"/>
            <w:noWrap w:val="0"/>
            <w:vAlign w:val="center"/>
          </w:tcPr>
          <w:p w14:paraId="5C8B085C">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无</w:t>
            </w:r>
          </w:p>
        </w:tc>
      </w:tr>
      <w:tr w14:paraId="06FE17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9" w:type="dxa"/>
            <w:noWrap w:val="0"/>
            <w:vAlign w:val="center"/>
          </w:tcPr>
          <w:p w14:paraId="497C24AB">
            <w:pPr>
              <w:keepNext w:val="0"/>
              <w:keepLines w:val="0"/>
              <w:pageBreakBefore w:val="0"/>
              <w:kinsoku/>
              <w:wordWrap/>
              <w:overflowPunct/>
              <w:topLinePunct w:val="0"/>
              <w:autoSpaceDE/>
              <w:autoSpaceDN/>
              <w:bidi w:val="0"/>
              <w:adjustRightIn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w:t>
            </w:r>
          </w:p>
        </w:tc>
        <w:tc>
          <w:tcPr>
            <w:tcW w:w="2427" w:type="dxa"/>
            <w:noWrap w:val="0"/>
            <w:vAlign w:val="center"/>
          </w:tcPr>
          <w:p w14:paraId="708982C3">
            <w:pPr>
              <w:keepNext w:val="0"/>
              <w:keepLines w:val="0"/>
              <w:pageBreakBefore w:val="0"/>
              <w:kinsoku/>
              <w:wordWrap/>
              <w:overflowPunct/>
              <w:topLinePunct w:val="0"/>
              <w:autoSpaceDE/>
              <w:autoSpaceDN/>
              <w:bidi w:val="0"/>
              <w:adjustRightIn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是否允许分包</w:t>
            </w:r>
          </w:p>
        </w:tc>
        <w:tc>
          <w:tcPr>
            <w:tcW w:w="6644" w:type="dxa"/>
            <w:noWrap w:val="0"/>
            <w:vAlign w:val="center"/>
          </w:tcPr>
          <w:p w14:paraId="4F2B45F4">
            <w:pPr>
              <w:pStyle w:val="8"/>
              <w:pageBreakBefore w:val="0"/>
              <w:kinsoku/>
              <w:wordWrap/>
              <w:overflowPunct/>
              <w:topLinePunct w:val="0"/>
              <w:bidi w:val="0"/>
              <w:adjustRightInd/>
              <w:spacing w:line="360" w:lineRule="exact"/>
              <w:ind w:left="0"/>
              <w:rPr>
                <w:rFonts w:ascii="宋体" w:hAnsi="宋体" w:cs="宋体"/>
                <w:color w:val="auto"/>
                <w:szCs w:val="21"/>
                <w:highlight w:val="none"/>
              </w:rPr>
            </w:pPr>
            <w:r>
              <w:rPr>
                <w:rFonts w:hint="eastAsia" w:ascii="宋体" w:hAnsi="宋体" w:cs="宋体"/>
                <w:color w:val="auto"/>
                <w:szCs w:val="21"/>
                <w:highlight w:val="none"/>
              </w:rPr>
              <w:t>☑不允许转包/分包</w:t>
            </w:r>
          </w:p>
          <w:p w14:paraId="59905899">
            <w:pPr>
              <w:pStyle w:val="8"/>
              <w:pageBreakBefore w:val="0"/>
              <w:kinsoku/>
              <w:wordWrap/>
              <w:overflowPunct/>
              <w:topLinePunct w:val="0"/>
              <w:bidi w:val="0"/>
              <w:adjustRightInd/>
              <w:spacing w:line="360" w:lineRule="exact"/>
              <w:ind w:left="0"/>
              <w:rPr>
                <w:rFonts w:ascii="宋体" w:hAnsi="宋体" w:cs="宋体"/>
                <w:color w:val="auto"/>
                <w:szCs w:val="21"/>
                <w:highlight w:val="none"/>
              </w:rPr>
            </w:pPr>
            <w:r>
              <w:rPr>
                <w:rFonts w:hint="eastAsia" w:ascii="宋体" w:hAnsi="宋体" w:cs="宋体"/>
                <w:color w:val="auto"/>
                <w:szCs w:val="21"/>
                <w:highlight w:val="none"/>
              </w:rPr>
              <w:t>□允许转包/分包</w:t>
            </w:r>
          </w:p>
          <w:p w14:paraId="3902349E">
            <w:pPr>
              <w:pStyle w:val="8"/>
              <w:pageBreakBefore w:val="0"/>
              <w:kinsoku/>
              <w:wordWrap/>
              <w:overflowPunct/>
              <w:topLinePunct w:val="0"/>
              <w:bidi w:val="0"/>
              <w:adjustRightInd/>
              <w:spacing w:line="360" w:lineRule="exact"/>
              <w:ind w:left="0"/>
              <w:rPr>
                <w:rFonts w:ascii="宋体" w:hAnsi="宋体" w:cs="宋体"/>
                <w:color w:val="auto"/>
                <w:szCs w:val="21"/>
                <w:highlight w:val="none"/>
                <w:u w:val="single"/>
              </w:rPr>
            </w:pPr>
            <w:r>
              <w:rPr>
                <w:rFonts w:hint="eastAsia" w:ascii="宋体" w:hAnsi="宋体" w:cs="宋体"/>
                <w:color w:val="auto"/>
                <w:szCs w:val="21"/>
                <w:highlight w:val="none"/>
              </w:rPr>
              <w:t>分包内容：</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w:t>
            </w:r>
            <w:r>
              <w:rPr>
                <w:rFonts w:hint="eastAsia" w:ascii="宋体" w:hAnsi="宋体" w:cs="宋体"/>
                <w:color w:val="auto"/>
                <w:szCs w:val="21"/>
                <w:highlight w:val="none"/>
                <w:u w:val="single"/>
              </w:rPr>
              <w:t xml:space="preserve">  。</w:t>
            </w:r>
          </w:p>
          <w:p w14:paraId="75CA6168">
            <w:pPr>
              <w:pStyle w:val="8"/>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color w:val="auto"/>
                <w:sz w:val="21"/>
                <w:szCs w:val="21"/>
                <w:highlight w:val="none"/>
              </w:rPr>
            </w:pPr>
            <w:r>
              <w:rPr>
                <w:rFonts w:hint="eastAsia" w:ascii="宋体" w:hAnsi="宋体" w:cs="宋体"/>
                <w:color w:val="auto"/>
                <w:szCs w:val="21"/>
                <w:highlight w:val="none"/>
              </w:rPr>
              <w:t>分包金额或者比例：</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w:t>
            </w:r>
            <w:r>
              <w:rPr>
                <w:rFonts w:hint="eastAsia" w:ascii="宋体" w:hAnsi="宋体" w:cs="宋体"/>
                <w:color w:val="auto"/>
                <w:szCs w:val="21"/>
                <w:highlight w:val="none"/>
                <w:u w:val="single"/>
              </w:rPr>
              <w:t xml:space="preserve"> 。</w:t>
            </w:r>
          </w:p>
        </w:tc>
      </w:tr>
      <w:tr w14:paraId="1F77CA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9" w:type="dxa"/>
            <w:noWrap w:val="0"/>
            <w:vAlign w:val="center"/>
          </w:tcPr>
          <w:p w14:paraId="2FC8FC6D">
            <w:pPr>
              <w:pageBreakBefore w:val="0"/>
              <w:kinsoku/>
              <w:wordWrap/>
              <w:overflowPunct/>
              <w:topLinePunct w:val="0"/>
              <w:bidi w:val="0"/>
              <w:adjustRightInd/>
              <w:spacing w:line="360" w:lineRule="exact"/>
              <w:ind w:left="0" w:leftChars="0"/>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szCs w:val="21"/>
                <w:highlight w:val="none"/>
              </w:rPr>
              <w:t>11.4</w:t>
            </w:r>
          </w:p>
        </w:tc>
        <w:tc>
          <w:tcPr>
            <w:tcW w:w="2427" w:type="dxa"/>
            <w:noWrap w:val="0"/>
            <w:vAlign w:val="center"/>
          </w:tcPr>
          <w:p w14:paraId="0F9B3EC0">
            <w:pPr>
              <w:pageBreakBefore w:val="0"/>
              <w:kinsoku/>
              <w:wordWrap/>
              <w:overflowPunct/>
              <w:topLinePunct w:val="0"/>
              <w:bidi w:val="0"/>
              <w:adjustRightInd/>
              <w:spacing w:line="360" w:lineRule="exact"/>
              <w:ind w:left="0" w:leftChars="0"/>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szCs w:val="21"/>
                <w:highlight w:val="none"/>
              </w:rPr>
              <w:t>媒体发布渠道</w:t>
            </w:r>
          </w:p>
        </w:tc>
        <w:tc>
          <w:tcPr>
            <w:tcW w:w="6644" w:type="dxa"/>
            <w:noWrap w:val="0"/>
            <w:vAlign w:val="center"/>
          </w:tcPr>
          <w:p w14:paraId="1D5514D3">
            <w:pPr>
              <w:pageBreakBefore w:val="0"/>
              <w:kinsoku/>
              <w:wordWrap/>
              <w:overflowPunct/>
              <w:topLinePunct w:val="0"/>
              <w:bidi w:val="0"/>
              <w:adjustRightInd/>
              <w:spacing w:line="360" w:lineRule="exact"/>
              <w:ind w:left="0" w:leftChars="0"/>
              <w:rPr>
                <w:rFonts w:hint="eastAsia" w:ascii="宋体" w:hAnsi="宋体" w:cs="宋体"/>
                <w:color w:val="auto"/>
                <w:kern w:val="2"/>
                <w:sz w:val="21"/>
                <w:szCs w:val="21"/>
                <w:highlight w:val="none"/>
                <w:lang w:val="en-US" w:eastAsia="zh-CN" w:bidi="ar-SA"/>
              </w:rPr>
            </w:pPr>
            <w:r>
              <w:rPr>
                <w:rFonts w:hint="eastAsia" w:ascii="宋体" w:hAnsi="宋体" w:cs="宋体"/>
                <w:color w:val="auto"/>
                <w:szCs w:val="21"/>
                <w:highlight w:val="none"/>
              </w:rPr>
              <w:t>与本项目相关的政府采购业务澄清、更正及与之相关的事项将在采购公告中“</w:t>
            </w:r>
            <w:r>
              <w:rPr>
                <w:rFonts w:hint="eastAsia" w:ascii="宋体" w:hAnsi="宋体" w:cs="宋体"/>
                <w:color w:val="auto"/>
                <w:szCs w:val="21"/>
                <w:highlight w:val="none"/>
                <w:lang w:val="en-US" w:eastAsia="zh-CN"/>
              </w:rPr>
              <w:t>七</w:t>
            </w:r>
            <w:r>
              <w:rPr>
                <w:rFonts w:hint="eastAsia" w:ascii="宋体" w:hAnsi="宋体" w:cs="宋体"/>
                <w:color w:val="auto"/>
                <w:szCs w:val="21"/>
                <w:highlight w:val="none"/>
              </w:rPr>
              <w:t>、其他补充事宜”中网上查询地址上发布</w:t>
            </w:r>
            <w:r>
              <w:rPr>
                <w:rFonts w:hint="eastAsia" w:ascii="宋体" w:hAnsi="宋体" w:cs="宋体"/>
                <w:color w:val="auto"/>
                <w:kern w:val="0"/>
                <w:szCs w:val="21"/>
                <w:highlight w:val="none"/>
              </w:rPr>
              <w:t>。</w:t>
            </w:r>
          </w:p>
        </w:tc>
      </w:tr>
      <w:tr w14:paraId="0DC71B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9" w:type="dxa"/>
            <w:noWrap w:val="0"/>
            <w:vAlign w:val="center"/>
          </w:tcPr>
          <w:p w14:paraId="7B25DECF">
            <w:pPr>
              <w:keepNext w:val="0"/>
              <w:keepLines w:val="0"/>
              <w:pageBreakBefore w:val="0"/>
              <w:kinsoku/>
              <w:wordWrap/>
              <w:overflowPunct/>
              <w:topLinePunct w:val="0"/>
              <w:autoSpaceDE/>
              <w:autoSpaceDN/>
              <w:bidi w:val="0"/>
              <w:adjustRightIn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12.1.1</w:t>
            </w:r>
          </w:p>
        </w:tc>
        <w:tc>
          <w:tcPr>
            <w:tcW w:w="2427" w:type="dxa"/>
            <w:noWrap w:val="0"/>
            <w:vAlign w:val="center"/>
          </w:tcPr>
          <w:p w14:paraId="4C7157DE">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资格证明文件组成</w:t>
            </w:r>
          </w:p>
        </w:tc>
        <w:tc>
          <w:tcPr>
            <w:tcW w:w="6644" w:type="dxa"/>
            <w:noWrap w:val="0"/>
            <w:vAlign w:val="center"/>
          </w:tcPr>
          <w:p w14:paraId="2EB97746">
            <w:pPr>
              <w:pStyle w:val="8"/>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cs="宋体"/>
                <w:color w:val="auto"/>
                <w:szCs w:val="21"/>
                <w:highlight w:val="none"/>
              </w:rPr>
              <w:t>供应商为法人或者其他组织的提供其营业执照等证明文件（如营业执照或者事业单位法人证书或者执业许可证等），供应商为自然人的提供其身份证复印件</w:t>
            </w:r>
            <w:r>
              <w:rPr>
                <w:rFonts w:hint="eastAsia" w:ascii="宋体" w:hAnsi="宋体" w:eastAsia="宋体" w:cs="宋体"/>
                <w:color w:val="auto"/>
                <w:sz w:val="21"/>
                <w:szCs w:val="21"/>
                <w:highlight w:val="none"/>
              </w:rPr>
              <w:t>；（</w:t>
            </w:r>
            <w:r>
              <w:rPr>
                <w:rFonts w:hint="eastAsia" w:ascii="宋体" w:hAnsi="宋体" w:eastAsia="宋体" w:cs="宋体"/>
                <w:b/>
                <w:color w:val="auto"/>
                <w:sz w:val="21"/>
                <w:szCs w:val="21"/>
                <w:highlight w:val="none"/>
              </w:rPr>
              <w:t>必须提供，否则响应文件按无效响应处理</w:t>
            </w:r>
            <w:r>
              <w:rPr>
                <w:rFonts w:hint="eastAsia" w:ascii="宋体" w:hAnsi="宋体" w:eastAsia="宋体" w:cs="宋体"/>
                <w:color w:val="auto"/>
                <w:sz w:val="21"/>
                <w:szCs w:val="21"/>
                <w:highlight w:val="none"/>
              </w:rPr>
              <w:t>）</w:t>
            </w:r>
          </w:p>
          <w:p w14:paraId="61382ED1">
            <w:pPr>
              <w:keepNext w:val="0"/>
              <w:keepLines w:val="0"/>
              <w:pageBreakBefore w:val="0"/>
              <w:kinsoku/>
              <w:wordWrap/>
              <w:overflowPunct/>
              <w:topLinePunct w:val="0"/>
              <w:autoSpaceDE/>
              <w:autoSpaceDN/>
              <w:bidi w:val="0"/>
              <w:adjustRightInd/>
              <w:snapToGrid w:val="0"/>
              <w:spacing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2.供应商依法缴纳税收的相关材料：[</w:t>
            </w:r>
            <w:r>
              <w:rPr>
                <w:rFonts w:hint="eastAsia" w:ascii="宋体" w:hAnsi="宋体" w:eastAsia="宋体" w:cs="宋体"/>
                <w:color w:val="auto"/>
                <w:sz w:val="21"/>
                <w:szCs w:val="21"/>
                <w:highlight w:val="none"/>
                <w:u w:val="single"/>
              </w:rPr>
              <w:t xml:space="preserve"> 202</w:t>
            </w:r>
            <w:r>
              <w:rPr>
                <w:rFonts w:hint="eastAsia" w:ascii="宋体" w:hAnsi="宋体" w:eastAsia="宋体" w:cs="宋体"/>
                <w:color w:val="auto"/>
                <w:sz w:val="21"/>
                <w:szCs w:val="21"/>
                <w:highlight w:val="none"/>
                <w:u w:val="single"/>
                <w:lang w:val="en-US" w:eastAsia="zh-CN"/>
              </w:rPr>
              <w:t>4</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lang w:val="en-US" w:eastAsia="zh-CN"/>
              </w:rPr>
              <w:t>11</w:t>
            </w:r>
            <w:r>
              <w:rPr>
                <w:rFonts w:hint="eastAsia" w:ascii="宋体" w:hAnsi="宋体" w:eastAsia="宋体" w:cs="宋体"/>
                <w:color w:val="auto"/>
                <w:sz w:val="21"/>
                <w:szCs w:val="21"/>
                <w:highlight w:val="none"/>
              </w:rPr>
              <w:t>月至</w:t>
            </w:r>
            <w:r>
              <w:rPr>
                <w:rFonts w:hint="eastAsia" w:ascii="宋体" w:hAnsi="宋体" w:eastAsia="宋体" w:cs="宋体"/>
                <w:color w:val="auto"/>
                <w:sz w:val="21"/>
                <w:szCs w:val="21"/>
                <w:highlight w:val="none"/>
                <w:u w:val="single"/>
              </w:rPr>
              <w:t xml:space="preserve"> 202</w:t>
            </w:r>
            <w:r>
              <w:rPr>
                <w:rFonts w:hint="eastAsia" w:ascii="宋体" w:hAnsi="宋体" w:eastAsia="宋体" w:cs="宋体"/>
                <w:color w:val="auto"/>
                <w:sz w:val="21"/>
                <w:szCs w:val="21"/>
                <w:highlight w:val="none"/>
                <w:u w:val="single"/>
                <w:lang w:val="en-US" w:eastAsia="zh-CN"/>
              </w:rPr>
              <w:t>5</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4</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lang w:val="en-US" w:eastAsia="zh-CN"/>
              </w:rPr>
              <w:t>连续</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3</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个月的依法缴纳税收的凭据复印件；</w:t>
            </w:r>
            <w:r>
              <w:rPr>
                <w:rFonts w:hint="eastAsia" w:ascii="宋体" w:hAnsi="宋体" w:cs="宋体"/>
                <w:color w:val="auto"/>
                <w:szCs w:val="21"/>
                <w:highlight w:val="none"/>
              </w:rPr>
              <w:t>依法免税的供应商，必须提供相应文件证明其依法免税。从取得营业执照时间起到投标文件提交截止时间为止不足要求月数的，只需提供从取得营业执照起的依法缴纳税收相应证明文件）</w:t>
            </w:r>
            <w:r>
              <w:rPr>
                <w:rFonts w:hint="eastAsia" w:ascii="宋体" w:hAnsi="宋体" w:eastAsia="宋体" w:cs="宋体"/>
                <w:color w:val="auto"/>
                <w:sz w:val="21"/>
                <w:szCs w:val="21"/>
                <w:highlight w:val="none"/>
              </w:rPr>
              <w:t>；</w:t>
            </w:r>
            <w:r>
              <w:rPr>
                <w:rFonts w:hint="eastAsia" w:ascii="宋体" w:hAnsi="宋体" w:cs="宋体"/>
                <w:color w:val="auto"/>
                <w:szCs w:val="21"/>
                <w:highlight w:val="none"/>
              </w:rPr>
              <w:t>（</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003E1FA4">
            <w:pPr>
              <w:keepNext w:val="0"/>
              <w:keepLines w:val="0"/>
              <w:pageBreakBefore w:val="0"/>
              <w:kinsoku/>
              <w:wordWrap/>
              <w:overflowPunct/>
              <w:topLinePunct w:val="0"/>
              <w:autoSpaceDE/>
              <w:autoSpaceDN/>
              <w:bidi w:val="0"/>
              <w:adjustRightInd/>
              <w:snapToGrid w:val="0"/>
              <w:spacing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3.供应商依法缴纳社会保障资金的相关材料：[</w:t>
            </w:r>
            <w:r>
              <w:rPr>
                <w:rFonts w:hint="eastAsia" w:ascii="宋体" w:hAnsi="宋体" w:eastAsia="宋体" w:cs="宋体"/>
                <w:color w:val="auto"/>
                <w:sz w:val="21"/>
                <w:szCs w:val="21"/>
                <w:highlight w:val="none"/>
                <w:u w:val="single"/>
              </w:rPr>
              <w:t xml:space="preserve"> 202</w:t>
            </w:r>
            <w:r>
              <w:rPr>
                <w:rFonts w:hint="eastAsia" w:ascii="宋体" w:hAnsi="宋体" w:eastAsia="宋体" w:cs="宋体"/>
                <w:color w:val="auto"/>
                <w:sz w:val="21"/>
                <w:szCs w:val="21"/>
                <w:highlight w:val="none"/>
                <w:u w:val="single"/>
                <w:lang w:val="en-US" w:eastAsia="zh-CN"/>
              </w:rPr>
              <w:t>4</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11</w:t>
            </w:r>
            <w:r>
              <w:rPr>
                <w:rFonts w:hint="eastAsia" w:ascii="宋体" w:hAnsi="宋体" w:eastAsia="宋体" w:cs="宋体"/>
                <w:color w:val="auto"/>
                <w:sz w:val="21"/>
                <w:szCs w:val="21"/>
                <w:highlight w:val="none"/>
              </w:rPr>
              <w:t>月至</w:t>
            </w:r>
            <w:r>
              <w:rPr>
                <w:rFonts w:hint="eastAsia" w:ascii="宋体" w:hAnsi="宋体" w:eastAsia="宋体" w:cs="宋体"/>
                <w:color w:val="auto"/>
                <w:sz w:val="21"/>
                <w:szCs w:val="21"/>
                <w:highlight w:val="none"/>
                <w:u w:val="single"/>
              </w:rPr>
              <w:t xml:space="preserve"> 202</w:t>
            </w:r>
            <w:r>
              <w:rPr>
                <w:rFonts w:hint="eastAsia" w:ascii="宋体" w:hAnsi="宋体" w:eastAsia="宋体" w:cs="宋体"/>
                <w:color w:val="auto"/>
                <w:sz w:val="21"/>
                <w:szCs w:val="21"/>
                <w:highlight w:val="none"/>
                <w:u w:val="single"/>
                <w:lang w:val="en-US" w:eastAsia="zh-CN"/>
              </w:rPr>
              <w:t>5</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4</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lang w:val="en-US" w:eastAsia="zh-CN"/>
              </w:rPr>
              <w:t>连续</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3</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个月的依法缴纳社会保障资金的缴费凭证（专用收据或者社会保险缴纳清单）复印件；</w:t>
            </w:r>
            <w:r>
              <w:rPr>
                <w:rFonts w:hint="eastAsia" w:ascii="宋体" w:hAnsi="宋体" w:cs="宋体"/>
                <w:color w:val="auto"/>
                <w:szCs w:val="21"/>
                <w:highlight w:val="none"/>
              </w:rPr>
              <w:t>依法不需要缴纳社会保障资金的供应商，必须提供相应文件证明不需要缴纳社会保障资金。从取得营业执照时间起到响应文件提交截止时间为止不足要求月数的只需提供从取得营业执照起的依法缴纳社会保障资金的相应证明文件]</w:t>
            </w:r>
            <w:r>
              <w:rPr>
                <w:rFonts w:hint="eastAsia" w:ascii="宋体" w:hAnsi="宋体" w:eastAsia="宋体" w:cs="宋体"/>
                <w:color w:val="auto"/>
                <w:sz w:val="21"/>
                <w:szCs w:val="21"/>
                <w:highlight w:val="none"/>
              </w:rPr>
              <w:t>；</w:t>
            </w:r>
            <w:r>
              <w:rPr>
                <w:rFonts w:hint="eastAsia" w:ascii="宋体" w:hAnsi="宋体" w:cs="宋体"/>
                <w:color w:val="auto"/>
                <w:szCs w:val="21"/>
                <w:highlight w:val="none"/>
              </w:rPr>
              <w:t>（</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04E0C02E">
            <w:pPr>
              <w:keepNext w:val="0"/>
              <w:keepLines w:val="0"/>
              <w:pageBreakBefore w:val="0"/>
              <w:kinsoku/>
              <w:wordWrap/>
              <w:overflowPunct/>
              <w:topLinePunct w:val="0"/>
              <w:autoSpaceDE/>
              <w:autoSpaceDN/>
              <w:bidi w:val="0"/>
              <w:adjustRightInd/>
              <w:snapToGrid w:val="0"/>
              <w:spacing w:line="400" w:lineRule="exact"/>
              <w:jc w:val="left"/>
              <w:textAlignment w:val="auto"/>
              <w:rPr>
                <w:rFonts w:hint="eastAsia" w:ascii="宋体" w:hAnsi="宋体" w:cs="宋体"/>
                <w:color w:val="auto"/>
                <w:szCs w:val="21"/>
                <w:highlight w:val="none"/>
              </w:rPr>
            </w:pPr>
            <w:r>
              <w:rPr>
                <w:rFonts w:hint="eastAsia" w:ascii="宋体" w:hAnsi="宋体" w:eastAsia="宋体" w:cs="宋体"/>
                <w:color w:val="auto"/>
                <w:sz w:val="21"/>
                <w:szCs w:val="21"/>
                <w:highlight w:val="none"/>
              </w:rPr>
              <w:t>4.供应商财务状况报告：</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u w:val="none"/>
                <w:lang w:val="en-US" w:eastAsia="zh-CN"/>
              </w:rPr>
              <w:t>2023</w:t>
            </w:r>
            <w:r>
              <w:rPr>
                <w:rFonts w:hint="eastAsia" w:ascii="宋体" w:hAnsi="宋体" w:eastAsia="宋体" w:cs="宋体"/>
                <w:color w:val="auto"/>
                <w:sz w:val="21"/>
                <w:szCs w:val="21"/>
                <w:highlight w:val="none"/>
              </w:rPr>
              <w:t>年度</w:t>
            </w:r>
            <w:r>
              <w:rPr>
                <w:rFonts w:hint="eastAsia" w:ascii="宋体" w:hAnsi="宋体" w:eastAsia="宋体" w:cs="宋体"/>
                <w:color w:val="auto"/>
                <w:sz w:val="21"/>
                <w:szCs w:val="21"/>
                <w:highlight w:val="none"/>
                <w:lang w:val="en-US" w:eastAsia="zh-CN"/>
              </w:rPr>
              <w:t>或2024年度</w:t>
            </w:r>
            <w:r>
              <w:rPr>
                <w:rFonts w:hint="eastAsia" w:ascii="宋体" w:hAnsi="宋体" w:eastAsia="宋体" w:cs="宋体"/>
                <w:color w:val="auto"/>
                <w:sz w:val="21"/>
                <w:szCs w:val="21"/>
                <w:highlight w:val="none"/>
              </w:rPr>
              <w:t>财务状况报表复印件</w:t>
            </w:r>
            <w:r>
              <w:rPr>
                <w:rFonts w:hint="eastAsia" w:ascii="宋体" w:hAnsi="宋体" w:eastAsia="宋体" w:cs="宋体"/>
                <w:color w:val="auto"/>
                <w:sz w:val="21"/>
                <w:szCs w:val="21"/>
                <w:highlight w:val="none"/>
                <w:lang w:val="en-US" w:eastAsia="zh-CN"/>
              </w:rPr>
              <w:t>，供应商成立不满一年的应按提供首次响应文件提交截止时间上一个月的财务状况报告复印件。</w:t>
            </w:r>
            <w:r>
              <w:rPr>
                <w:rFonts w:hint="eastAsia" w:ascii="宋体" w:hAnsi="宋体" w:cs="宋体"/>
                <w:color w:val="auto"/>
                <w:szCs w:val="21"/>
                <w:highlight w:val="none"/>
              </w:rPr>
              <w:t>（上述财务状况报告包括：①供应商执行《企业会计准则》的，提供资产负债表、利润表、现金流量表、所有者权益变动表、附注（以下称“四表一注”）；②供应商执行《小企业会计准则》的，提供资产负债表、利润表、现金流量表、附注（以下称“三表一注”）；③供应商执行《政府会计制度》的，提供资产负债表、收入费用表、净资产变动表、附注</w:t>
            </w:r>
            <w:r>
              <w:rPr>
                <w:rFonts w:hint="eastAsia" w:ascii="宋体" w:hAnsi="宋体" w:cs="宋体"/>
                <w:color w:val="auto"/>
                <w:szCs w:val="21"/>
                <w:highlight w:val="none"/>
                <w:lang w:eastAsia="zh-CN"/>
              </w:rPr>
              <w:t>）</w:t>
            </w:r>
            <w:r>
              <w:rPr>
                <w:rFonts w:hint="eastAsia" w:ascii="宋体" w:hAnsi="宋体" w:eastAsia="宋体" w:cs="宋体"/>
                <w:color w:val="auto"/>
                <w:sz w:val="21"/>
                <w:szCs w:val="21"/>
                <w:highlight w:val="none"/>
                <w:lang w:val="en-US" w:eastAsia="zh-CN"/>
              </w:rPr>
              <w:t>；</w:t>
            </w:r>
            <w:r>
              <w:rPr>
                <w:rFonts w:hint="eastAsia" w:ascii="宋体" w:hAnsi="宋体" w:cs="宋体"/>
                <w:color w:val="auto"/>
                <w:szCs w:val="21"/>
                <w:highlight w:val="none"/>
              </w:rPr>
              <w:t>（</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794BD459">
            <w:pPr>
              <w:keepNext w:val="0"/>
              <w:keepLines w:val="0"/>
              <w:pageBreakBefore w:val="0"/>
              <w:kinsoku/>
              <w:wordWrap/>
              <w:overflowPunct/>
              <w:topLinePunct w:val="0"/>
              <w:autoSpaceDE/>
              <w:autoSpaceDN/>
              <w:bidi w:val="0"/>
              <w:adjustRightInd/>
              <w:snapToGrid w:val="0"/>
              <w:spacing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5.供应商直接控股、管理关系信息表；（</w:t>
            </w:r>
            <w:r>
              <w:rPr>
                <w:rFonts w:hint="eastAsia" w:ascii="宋体" w:hAnsi="宋体" w:eastAsia="宋体" w:cs="宋体"/>
                <w:b/>
                <w:color w:val="auto"/>
                <w:sz w:val="21"/>
                <w:szCs w:val="21"/>
                <w:highlight w:val="none"/>
              </w:rPr>
              <w:t>必须提供，否则响应文件按无效响应处理</w:t>
            </w:r>
            <w:r>
              <w:rPr>
                <w:rFonts w:hint="eastAsia" w:ascii="宋体" w:hAnsi="宋体" w:eastAsia="宋体" w:cs="宋体"/>
                <w:color w:val="auto"/>
                <w:sz w:val="21"/>
                <w:szCs w:val="21"/>
                <w:highlight w:val="none"/>
              </w:rPr>
              <w:t>）</w:t>
            </w:r>
          </w:p>
          <w:p w14:paraId="6F17E8E6">
            <w:pPr>
              <w:keepNext w:val="0"/>
              <w:keepLines w:val="0"/>
              <w:pageBreakBefore w:val="0"/>
              <w:kinsoku/>
              <w:wordWrap/>
              <w:overflowPunct/>
              <w:topLinePunct w:val="0"/>
              <w:autoSpaceDE/>
              <w:autoSpaceDN/>
              <w:bidi w:val="0"/>
              <w:adjustRightInd/>
              <w:snapToGrid w:val="0"/>
              <w:spacing w:line="400" w:lineRule="exact"/>
              <w:jc w:val="left"/>
              <w:textAlignment w:val="auto"/>
              <w:rPr>
                <w:rFonts w:hint="eastAsia" w:ascii="宋体" w:hAnsi="宋体" w:cs="宋体"/>
                <w:color w:val="auto"/>
                <w:szCs w:val="21"/>
                <w:highlight w:val="none"/>
              </w:rPr>
            </w:pPr>
            <w:r>
              <w:rPr>
                <w:rFonts w:hint="eastAsia" w:ascii="宋体" w:hAnsi="宋体" w:eastAsia="宋体" w:cs="宋体"/>
                <w:color w:val="auto"/>
                <w:sz w:val="21"/>
                <w:szCs w:val="21"/>
                <w:highlight w:val="none"/>
              </w:rPr>
              <w:t>6.资格声明函；（</w:t>
            </w:r>
            <w:r>
              <w:rPr>
                <w:rFonts w:hint="eastAsia" w:ascii="宋体" w:hAnsi="宋体" w:eastAsia="宋体" w:cs="宋体"/>
                <w:b/>
                <w:color w:val="auto"/>
                <w:sz w:val="21"/>
                <w:szCs w:val="21"/>
                <w:highlight w:val="none"/>
              </w:rPr>
              <w:t>必须提供，否则响应文件按无效响应处理</w:t>
            </w:r>
            <w:r>
              <w:rPr>
                <w:rFonts w:hint="eastAsia" w:ascii="宋体" w:hAnsi="宋体" w:eastAsia="宋体" w:cs="宋体"/>
                <w:color w:val="auto"/>
                <w:sz w:val="21"/>
                <w:szCs w:val="21"/>
                <w:highlight w:val="none"/>
              </w:rPr>
              <w:t>）</w:t>
            </w:r>
          </w:p>
          <w:p w14:paraId="26444D4E">
            <w:pPr>
              <w:pStyle w:val="8"/>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7.采购人或采购代理机构根据竞争性磋商公告对应的特定资格要求及特定条件设置供应商提供的资格证明材料：</w:t>
            </w:r>
            <w:r>
              <w:rPr>
                <w:rFonts w:hint="eastAsia" w:ascii="宋体" w:hAnsi="宋体" w:eastAsia="宋体" w:cs="宋体"/>
                <w:color w:val="auto"/>
                <w:szCs w:val="21"/>
                <w:highlight w:val="none"/>
                <w:lang w:eastAsia="zh-CN"/>
              </w:rPr>
              <w:t>①</w:t>
            </w:r>
            <w:r>
              <w:rPr>
                <w:rFonts w:hint="eastAsia" w:ascii="宋体" w:hAnsi="宋体" w:eastAsia="宋体" w:cs="宋体"/>
                <w:color w:val="auto"/>
                <w:sz w:val="21"/>
                <w:szCs w:val="21"/>
                <w:highlight w:val="none"/>
                <w:lang w:val="en-US" w:eastAsia="zh-CN"/>
              </w:rPr>
              <w:t>供应商</w:t>
            </w:r>
            <w:r>
              <w:rPr>
                <w:rFonts w:hint="eastAsia" w:ascii="宋体" w:hAnsi="宋体" w:cs="宋体"/>
                <w:color w:val="auto"/>
                <w:szCs w:val="21"/>
                <w:highlight w:val="none"/>
              </w:rPr>
              <w:t>须具备</w:t>
            </w:r>
            <w:r>
              <w:rPr>
                <w:rFonts w:hint="eastAsia" w:ascii="宋体" w:hAnsi="宋体"/>
                <w:color w:val="auto"/>
                <w:highlight w:val="none"/>
              </w:rPr>
              <w:t>市政公</w:t>
            </w:r>
            <w:r>
              <w:rPr>
                <w:rFonts w:hint="eastAsia" w:ascii="宋体" w:hAnsi="宋体" w:eastAsia="宋体" w:cs="宋体"/>
                <w:color w:val="auto"/>
                <w:szCs w:val="21"/>
                <w:highlight w:val="none"/>
              </w:rPr>
              <w:t>用工程施工总承包三级以上（含三级）资质</w:t>
            </w:r>
            <w:r>
              <w:rPr>
                <w:rFonts w:hint="eastAsia" w:ascii="宋体" w:hAnsi="宋体" w:eastAsia="宋体" w:cs="宋体"/>
                <w:color w:val="auto"/>
                <w:szCs w:val="21"/>
                <w:highlight w:val="none"/>
                <w:lang w:val="en-US" w:eastAsia="zh-CN"/>
              </w:rPr>
              <w:t>证书及</w:t>
            </w:r>
            <w:r>
              <w:rPr>
                <w:rFonts w:hint="eastAsia" w:ascii="宋体" w:hAnsi="宋体"/>
                <w:color w:val="auto"/>
                <w:highlight w:val="none"/>
              </w:rPr>
              <w:t>有效的</w:t>
            </w:r>
            <w:r>
              <w:rPr>
                <w:rFonts w:hint="eastAsia" w:ascii="宋体" w:hAnsi="宋体" w:eastAsia="宋体" w:cs="宋体"/>
                <w:color w:val="auto"/>
                <w:szCs w:val="21"/>
                <w:highlight w:val="none"/>
                <w:lang w:val="en-US" w:eastAsia="zh-CN"/>
              </w:rPr>
              <w:t>安全生产许可证</w:t>
            </w:r>
            <w:r>
              <w:rPr>
                <w:rFonts w:hint="eastAsia" w:ascii="宋体" w:hAnsi="宋体" w:eastAsia="宋体" w:cs="宋体"/>
                <w:color w:val="auto"/>
                <w:szCs w:val="21"/>
                <w:highlight w:val="none"/>
              </w:rPr>
              <w:t>复印件</w:t>
            </w:r>
            <w:r>
              <w:rPr>
                <w:rFonts w:hint="eastAsia" w:ascii="宋体" w:hAnsi="宋体" w:eastAsia="宋体" w:cs="宋体"/>
                <w:bCs/>
                <w:color w:val="auto"/>
                <w:sz w:val="21"/>
                <w:szCs w:val="21"/>
                <w:highlight w:val="none"/>
                <w:lang w:val="en-US" w:eastAsia="zh-CN"/>
              </w:rPr>
              <w:t>；</w:t>
            </w:r>
            <w:r>
              <w:rPr>
                <w:rFonts w:hint="eastAsia" w:ascii="宋体" w:hAnsi="宋体" w:eastAsia="宋体" w:cs="宋体"/>
                <w:color w:val="auto"/>
                <w:szCs w:val="21"/>
                <w:highlight w:val="none"/>
              </w:rPr>
              <w:t>②</w:t>
            </w:r>
            <w:r>
              <w:rPr>
                <w:rFonts w:hint="eastAsia" w:ascii="宋体" w:hAnsi="宋体" w:cs="宋体"/>
                <w:color w:val="auto"/>
                <w:szCs w:val="21"/>
                <w:highlight w:val="none"/>
                <w:lang w:val="en-US" w:eastAsia="zh-CN"/>
              </w:rPr>
              <w:t>拟投入本项目的</w:t>
            </w:r>
            <w:r>
              <w:rPr>
                <w:rFonts w:hint="eastAsia" w:ascii="宋体" w:hAnsi="宋体" w:cs="宋体"/>
                <w:color w:val="auto"/>
                <w:szCs w:val="21"/>
                <w:highlight w:val="none"/>
              </w:rPr>
              <w:t>项</w:t>
            </w:r>
            <w:r>
              <w:rPr>
                <w:rFonts w:hint="eastAsia" w:ascii="宋体" w:hAnsi="宋体" w:eastAsia="宋体" w:cs="宋体"/>
                <w:color w:val="auto"/>
                <w:szCs w:val="21"/>
                <w:highlight w:val="none"/>
              </w:rPr>
              <w:t>目经理须</w:t>
            </w:r>
            <w:r>
              <w:rPr>
                <w:rFonts w:hint="eastAsia" w:ascii="宋体" w:hAnsi="宋体" w:eastAsia="宋体" w:cs="宋体"/>
                <w:color w:val="auto"/>
                <w:szCs w:val="21"/>
                <w:highlight w:val="none"/>
                <w:lang w:val="en-US" w:eastAsia="zh-CN"/>
              </w:rPr>
              <w:t>具备</w:t>
            </w:r>
            <w:r>
              <w:rPr>
                <w:rFonts w:hint="eastAsia" w:ascii="宋体" w:hAnsi="宋体" w:eastAsia="宋体" w:cs="宋体"/>
                <w:color w:val="auto"/>
                <w:szCs w:val="21"/>
                <w:highlight w:val="none"/>
              </w:rPr>
              <w:t>市政公用工程专业二级以上（含二级）注册建造师资格证书</w:t>
            </w:r>
            <w:r>
              <w:rPr>
                <w:rFonts w:hint="eastAsia" w:ascii="宋体" w:hAnsi="宋体" w:eastAsia="宋体"/>
                <w:color w:val="auto"/>
                <w:highlight w:val="none"/>
                <w:lang w:val="en-US" w:eastAsia="zh-CN"/>
              </w:rPr>
              <w:t>及</w:t>
            </w:r>
            <w:r>
              <w:rPr>
                <w:rFonts w:hint="eastAsia" w:ascii="宋体" w:hAnsi="宋体"/>
                <w:color w:val="auto"/>
                <w:highlight w:val="none"/>
              </w:rPr>
              <w:t>有效的安全生产考核合格证书（B类）</w:t>
            </w:r>
            <w:r>
              <w:rPr>
                <w:rFonts w:hint="eastAsia" w:ascii="宋体" w:hAnsi="宋体" w:eastAsia="宋体" w:cs="宋体"/>
                <w:bCs/>
                <w:color w:val="auto"/>
                <w:sz w:val="21"/>
                <w:szCs w:val="21"/>
                <w:highlight w:val="none"/>
                <w:lang w:val="en-US" w:eastAsia="zh-CN"/>
              </w:rPr>
              <w:t>；</w:t>
            </w:r>
            <w:r>
              <w:rPr>
                <w:rFonts w:hint="eastAsia" w:ascii="宋体" w:hAnsi="宋体" w:eastAsia="宋体" w:cs="宋体"/>
                <w:b/>
                <w:color w:val="auto"/>
                <w:sz w:val="21"/>
                <w:szCs w:val="21"/>
                <w:highlight w:val="none"/>
                <w:lang w:val="en-US" w:eastAsia="zh-CN"/>
              </w:rPr>
              <w:t>（必须提供，否则响应文件按无效响应处理）</w:t>
            </w:r>
          </w:p>
          <w:p w14:paraId="23122BC0">
            <w:pPr>
              <w:pageBreakBefore w:val="0"/>
              <w:kinsoku/>
              <w:wordWrap/>
              <w:overflowPunct/>
              <w:topLinePunct w:val="0"/>
              <w:bidi w:val="0"/>
              <w:adjustRightInd/>
              <w:snapToGrid w:val="0"/>
              <w:spacing w:line="360" w:lineRule="exact"/>
              <w:ind w:left="0"/>
              <w:jc w:val="left"/>
              <w:rPr>
                <w:rFonts w:hint="eastAsia"/>
                <w:color w:val="auto"/>
                <w:highlight w:val="none"/>
              </w:rPr>
            </w:pP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.中小企业声明函或残疾人福利性单位声明函或属于监狱企业的证明文件；（</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6749AF91">
            <w:pPr>
              <w:keepNext w:val="0"/>
              <w:keepLines w:val="0"/>
              <w:pageBreakBefore w:val="0"/>
              <w:kinsoku/>
              <w:wordWrap/>
              <w:overflowPunct/>
              <w:topLinePunct w:val="0"/>
              <w:autoSpaceDE/>
              <w:autoSpaceDN/>
              <w:bidi w:val="0"/>
              <w:adjustRightInd/>
              <w:snapToGrid w:val="0"/>
              <w:spacing w:line="400" w:lineRule="exact"/>
              <w:jc w:val="left"/>
              <w:textAlignment w:val="auto"/>
              <w:rPr>
                <w:rFonts w:hint="eastAsia"/>
                <w:color w:val="auto"/>
                <w:highlight w:val="none"/>
              </w:rPr>
            </w:pP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.除磋商文件规定必须提供以外，供应商认为需要提供的其他证明材料。</w:t>
            </w:r>
            <w:r>
              <w:rPr>
                <w:rFonts w:hint="eastAsia" w:ascii="宋体" w:hAnsi="宋体" w:eastAsia="宋体" w:cs="宋体"/>
                <w:b/>
                <w:color w:val="auto"/>
                <w:sz w:val="21"/>
                <w:szCs w:val="21"/>
                <w:highlight w:val="none"/>
              </w:rPr>
              <w:t>（如有请提供）</w:t>
            </w:r>
          </w:p>
          <w:p w14:paraId="55BAA39C">
            <w:pPr>
              <w:keepNext w:val="0"/>
              <w:keepLines w:val="0"/>
              <w:pageBreakBefore w:val="0"/>
              <w:kinsoku/>
              <w:wordWrap/>
              <w:overflowPunct/>
              <w:topLinePunct w:val="0"/>
              <w:autoSpaceDE/>
              <w:autoSpaceDN/>
              <w:bidi w:val="0"/>
              <w:adjustRightInd/>
              <w:snapToGrid w:val="0"/>
              <w:spacing w:line="400" w:lineRule="exact"/>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注：</w:t>
            </w:r>
          </w:p>
          <w:p w14:paraId="68C5F561">
            <w:pPr>
              <w:pStyle w:val="8"/>
              <w:keepNext w:val="0"/>
              <w:keepLines w:val="0"/>
              <w:pageBreakBefore w:val="0"/>
              <w:kinsoku/>
              <w:wordWrap/>
              <w:overflowPunct/>
              <w:topLinePunct w:val="0"/>
              <w:autoSpaceDE/>
              <w:autoSpaceDN/>
              <w:bidi w:val="0"/>
              <w:adjustRightInd/>
              <w:spacing w:line="400" w:lineRule="exact"/>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1.以上标明“必须提供”的材料属于复印件的扫描件的，必须加盖供应商电子公章，否则响应文件按无效响应处理。</w:t>
            </w:r>
          </w:p>
        </w:tc>
      </w:tr>
      <w:tr w14:paraId="486D2F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9" w:type="dxa"/>
            <w:noWrap w:val="0"/>
            <w:vAlign w:val="center"/>
          </w:tcPr>
          <w:p w14:paraId="6AD76824">
            <w:pPr>
              <w:keepNext w:val="0"/>
              <w:keepLines w:val="0"/>
              <w:pageBreakBefore w:val="0"/>
              <w:kinsoku/>
              <w:wordWrap/>
              <w:overflowPunct/>
              <w:topLinePunct w:val="0"/>
              <w:autoSpaceDE/>
              <w:autoSpaceDN/>
              <w:bidi w:val="0"/>
              <w:adjustRightIn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12.1.2</w:t>
            </w:r>
          </w:p>
        </w:tc>
        <w:tc>
          <w:tcPr>
            <w:tcW w:w="2427" w:type="dxa"/>
            <w:noWrap w:val="0"/>
            <w:vAlign w:val="center"/>
          </w:tcPr>
          <w:p w14:paraId="0F105989">
            <w:pPr>
              <w:keepNext w:val="0"/>
              <w:keepLines w:val="0"/>
              <w:pageBreakBefore w:val="0"/>
              <w:kinsoku/>
              <w:wordWrap/>
              <w:overflowPunct/>
              <w:topLinePunct w:val="0"/>
              <w:autoSpaceDE/>
              <w:autoSpaceDN/>
              <w:bidi w:val="0"/>
              <w:adjustRightIn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商务技术文件</w:t>
            </w:r>
          </w:p>
        </w:tc>
        <w:tc>
          <w:tcPr>
            <w:tcW w:w="6644" w:type="dxa"/>
            <w:noWrap w:val="0"/>
            <w:vAlign w:val="center"/>
          </w:tcPr>
          <w:p w14:paraId="0B4B1150">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1.无串通竞标行为的承诺函；（</w:t>
            </w:r>
            <w:r>
              <w:rPr>
                <w:rFonts w:hint="eastAsia" w:ascii="宋体" w:hAnsi="宋体" w:eastAsia="宋体" w:cs="宋体"/>
                <w:b/>
                <w:color w:val="auto"/>
                <w:sz w:val="21"/>
                <w:szCs w:val="21"/>
                <w:highlight w:val="none"/>
              </w:rPr>
              <w:t>必须提供，否则响应文件按无效响应处理</w:t>
            </w:r>
            <w:r>
              <w:rPr>
                <w:rFonts w:hint="eastAsia" w:ascii="宋体" w:hAnsi="宋体" w:eastAsia="宋体" w:cs="宋体"/>
                <w:color w:val="auto"/>
                <w:sz w:val="21"/>
                <w:szCs w:val="21"/>
                <w:highlight w:val="none"/>
              </w:rPr>
              <w:t>）</w:t>
            </w:r>
          </w:p>
          <w:p w14:paraId="4B5B516F">
            <w:pPr>
              <w:keepNext w:val="0"/>
              <w:keepLines w:val="0"/>
              <w:pageBreakBefore w:val="0"/>
              <w:kinsoku/>
              <w:wordWrap/>
              <w:overflowPunct/>
              <w:topLinePunct w:val="0"/>
              <w:autoSpaceDE/>
              <w:autoSpaceDN/>
              <w:bidi w:val="0"/>
              <w:adjustRightInd/>
              <w:snapToGrid w:val="0"/>
              <w:spacing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2.法定代表人身份证明书及法定代表人有效身份证正反面复印件；（</w:t>
            </w:r>
            <w:r>
              <w:rPr>
                <w:rFonts w:hint="eastAsia" w:ascii="宋体" w:hAnsi="宋体" w:eastAsia="宋体" w:cs="宋体"/>
                <w:b/>
                <w:bCs/>
                <w:color w:val="auto"/>
                <w:sz w:val="21"/>
                <w:szCs w:val="21"/>
                <w:highlight w:val="none"/>
              </w:rPr>
              <w:t>除自然人竞标外</w:t>
            </w:r>
            <w:r>
              <w:rPr>
                <w:rFonts w:hint="eastAsia" w:ascii="宋体" w:hAnsi="宋体" w:eastAsia="宋体" w:cs="宋体"/>
                <w:b/>
                <w:color w:val="auto"/>
                <w:sz w:val="21"/>
                <w:szCs w:val="21"/>
                <w:highlight w:val="none"/>
              </w:rPr>
              <w:t>必须提供，否则响应文件按无效响应处理</w:t>
            </w:r>
            <w:r>
              <w:rPr>
                <w:rFonts w:hint="eastAsia" w:ascii="宋体" w:hAnsi="宋体" w:eastAsia="宋体" w:cs="宋体"/>
                <w:color w:val="auto"/>
                <w:sz w:val="21"/>
                <w:szCs w:val="21"/>
                <w:highlight w:val="none"/>
              </w:rPr>
              <w:t>）</w:t>
            </w:r>
          </w:p>
          <w:p w14:paraId="45457F78">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3.法定代表人授权委托书及委托代理人有效身份证正反面复印件；（</w:t>
            </w:r>
            <w:r>
              <w:rPr>
                <w:rFonts w:hint="eastAsia" w:ascii="宋体" w:hAnsi="宋体" w:eastAsia="宋体" w:cs="宋体"/>
                <w:b/>
                <w:color w:val="auto"/>
                <w:sz w:val="21"/>
                <w:szCs w:val="21"/>
                <w:highlight w:val="none"/>
              </w:rPr>
              <w:t>委托时必须提供，否则响应文件按无效响应处理</w:t>
            </w:r>
            <w:r>
              <w:rPr>
                <w:rFonts w:hint="eastAsia" w:ascii="宋体" w:hAnsi="宋体" w:eastAsia="宋体" w:cs="宋体"/>
                <w:color w:val="auto"/>
                <w:sz w:val="21"/>
                <w:szCs w:val="21"/>
                <w:highlight w:val="none"/>
              </w:rPr>
              <w:t>）</w:t>
            </w:r>
          </w:p>
          <w:p w14:paraId="609A20AC">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4.商务条款偏离表；（</w:t>
            </w:r>
            <w:r>
              <w:rPr>
                <w:rFonts w:hint="eastAsia" w:ascii="宋体" w:hAnsi="宋体" w:eastAsia="宋体" w:cs="宋体"/>
                <w:b/>
                <w:color w:val="auto"/>
                <w:sz w:val="21"/>
                <w:szCs w:val="21"/>
                <w:highlight w:val="none"/>
              </w:rPr>
              <w:t>必须提供，否则响应文件按无效响应处理</w:t>
            </w:r>
            <w:r>
              <w:rPr>
                <w:rFonts w:hint="eastAsia" w:ascii="宋体" w:hAnsi="宋体" w:eastAsia="宋体" w:cs="宋体"/>
                <w:color w:val="auto"/>
                <w:sz w:val="21"/>
                <w:szCs w:val="21"/>
                <w:highlight w:val="none"/>
              </w:rPr>
              <w:t>）</w:t>
            </w:r>
          </w:p>
          <w:p w14:paraId="3C4D2FE8">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5.</w:t>
            </w:r>
            <w:r>
              <w:rPr>
                <w:rFonts w:hint="eastAsia" w:ascii="宋体" w:hAnsi="宋体" w:eastAsia="宋体" w:cs="宋体"/>
                <w:color w:val="auto"/>
                <w:sz w:val="21"/>
                <w:szCs w:val="21"/>
                <w:highlight w:val="none"/>
                <w:lang w:eastAsia="zh-CN"/>
              </w:rPr>
              <w:t>企业概况表</w:t>
            </w:r>
            <w:r>
              <w:rPr>
                <w:rFonts w:hint="eastAsia" w:ascii="宋体" w:hAnsi="宋体" w:eastAsia="宋体" w:cs="宋体"/>
                <w:color w:val="auto"/>
                <w:sz w:val="21"/>
                <w:szCs w:val="21"/>
                <w:highlight w:val="none"/>
              </w:rPr>
              <w:t>；</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必须提供，否则响应文件按无效响应处理）</w:t>
            </w:r>
          </w:p>
          <w:p w14:paraId="62355895">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lang w:val="zh-CN"/>
              </w:rPr>
              <w:t>供应商类似的业绩证明文件；</w:t>
            </w:r>
            <w:r>
              <w:rPr>
                <w:rFonts w:hint="eastAsia" w:ascii="宋体" w:hAnsi="宋体" w:eastAsia="宋体" w:cs="宋体"/>
                <w:b/>
                <w:color w:val="auto"/>
                <w:sz w:val="21"/>
                <w:szCs w:val="21"/>
                <w:highlight w:val="none"/>
              </w:rPr>
              <w:t>（如有，请提供）</w:t>
            </w:r>
          </w:p>
          <w:p w14:paraId="0023382B">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b/>
                <w:color w:val="auto"/>
                <w:sz w:val="21"/>
                <w:szCs w:val="21"/>
                <w:highlight w:val="none"/>
              </w:rPr>
            </w:pPr>
            <w:r>
              <w:rPr>
                <w:rFonts w:hint="eastAsia" w:ascii="宋体" w:hAnsi="宋体" w:eastAsia="宋体" w:cs="宋体"/>
                <w:bCs/>
                <w:color w:val="auto"/>
                <w:sz w:val="21"/>
                <w:szCs w:val="21"/>
                <w:highlight w:val="none"/>
              </w:rPr>
              <w:t>7.技术需求偏离表；</w:t>
            </w:r>
            <w:r>
              <w:rPr>
                <w:rFonts w:hint="eastAsia" w:ascii="宋体" w:hAnsi="宋体" w:eastAsia="宋体" w:cs="宋体"/>
                <w:b/>
                <w:color w:val="auto"/>
                <w:sz w:val="21"/>
                <w:szCs w:val="21"/>
                <w:highlight w:val="none"/>
              </w:rPr>
              <w:t>（必须提供，否则响应文件按无效响应处理）</w:t>
            </w:r>
          </w:p>
          <w:p w14:paraId="0B0DDAF8">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b/>
                <w:color w:val="auto"/>
                <w:sz w:val="21"/>
                <w:szCs w:val="21"/>
                <w:highlight w:val="none"/>
              </w:rPr>
            </w:pPr>
            <w:r>
              <w:rPr>
                <w:rFonts w:hint="eastAsia" w:ascii="宋体" w:hAnsi="宋体" w:eastAsia="宋体" w:cs="宋体"/>
                <w:bCs/>
                <w:color w:val="auto"/>
                <w:sz w:val="21"/>
                <w:szCs w:val="21"/>
                <w:highlight w:val="none"/>
              </w:rPr>
              <w:t>8.施工组织设计；</w:t>
            </w:r>
            <w:r>
              <w:rPr>
                <w:rFonts w:hint="eastAsia" w:ascii="宋体" w:hAnsi="宋体" w:eastAsia="宋体" w:cs="宋体"/>
                <w:b/>
                <w:color w:val="auto"/>
                <w:sz w:val="21"/>
                <w:szCs w:val="21"/>
                <w:highlight w:val="none"/>
              </w:rPr>
              <w:t>（必须提供，否则响应文件按无效响应处理）</w:t>
            </w:r>
          </w:p>
          <w:p w14:paraId="313EEEE7">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b/>
                <w:color w:val="auto"/>
                <w:sz w:val="21"/>
                <w:szCs w:val="21"/>
                <w:highlight w:val="none"/>
              </w:rPr>
            </w:pPr>
            <w:r>
              <w:rPr>
                <w:rFonts w:hint="eastAsia" w:ascii="宋体" w:hAnsi="宋体" w:eastAsia="宋体" w:cs="宋体"/>
                <w:bCs/>
                <w:color w:val="auto"/>
                <w:sz w:val="21"/>
                <w:szCs w:val="21"/>
                <w:highlight w:val="none"/>
              </w:rPr>
              <w:t>9.项目管理机构；</w:t>
            </w:r>
            <w:r>
              <w:rPr>
                <w:rFonts w:hint="eastAsia" w:ascii="宋体" w:hAnsi="宋体" w:eastAsia="宋体" w:cs="宋体"/>
                <w:b/>
                <w:color w:val="auto"/>
                <w:sz w:val="21"/>
                <w:szCs w:val="21"/>
                <w:highlight w:val="none"/>
              </w:rPr>
              <w:t>（</w:t>
            </w:r>
            <w:r>
              <w:rPr>
                <w:rFonts w:hint="eastAsia" w:ascii="宋体" w:hAnsi="宋体" w:eastAsia="宋体" w:cs="宋体"/>
                <w:b/>
                <w:color w:val="auto"/>
                <w:sz w:val="21"/>
                <w:szCs w:val="21"/>
                <w:highlight w:val="none"/>
                <w:lang w:val="en-US" w:eastAsia="zh-CN"/>
              </w:rPr>
              <w:t>9.1、9.3</w:t>
            </w:r>
            <w:r>
              <w:rPr>
                <w:rFonts w:hint="eastAsia" w:ascii="宋体" w:hAnsi="宋体" w:eastAsia="宋体" w:cs="宋体"/>
                <w:b/>
                <w:color w:val="auto"/>
                <w:sz w:val="21"/>
                <w:szCs w:val="21"/>
                <w:highlight w:val="none"/>
                <w:lang w:eastAsia="zh-CN"/>
              </w:rPr>
              <w:t>按要求</w:t>
            </w:r>
            <w:r>
              <w:rPr>
                <w:rFonts w:hint="eastAsia" w:ascii="宋体" w:hAnsi="宋体" w:eastAsia="宋体" w:cs="宋体"/>
                <w:b/>
                <w:color w:val="auto"/>
                <w:sz w:val="21"/>
                <w:szCs w:val="21"/>
                <w:highlight w:val="none"/>
              </w:rPr>
              <w:t>必须提供，</w:t>
            </w:r>
            <w:r>
              <w:rPr>
                <w:rFonts w:hint="eastAsia" w:ascii="宋体" w:hAnsi="宋体" w:eastAsia="宋体" w:cs="宋体"/>
                <w:b/>
                <w:color w:val="auto"/>
                <w:sz w:val="21"/>
                <w:szCs w:val="21"/>
                <w:highlight w:val="none"/>
                <w:lang w:val="en-US" w:eastAsia="zh-CN"/>
              </w:rPr>
              <w:t>9.2如有请提供，</w:t>
            </w:r>
            <w:r>
              <w:rPr>
                <w:rFonts w:hint="eastAsia" w:ascii="宋体" w:hAnsi="宋体" w:eastAsia="宋体" w:cs="宋体"/>
                <w:b/>
                <w:color w:val="auto"/>
                <w:sz w:val="21"/>
                <w:szCs w:val="21"/>
                <w:highlight w:val="none"/>
              </w:rPr>
              <w:t>否则响应文件按无效响应处理）</w:t>
            </w:r>
          </w:p>
          <w:p w14:paraId="6C14F6D3">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9.1</w:t>
            </w:r>
            <w:r>
              <w:rPr>
                <w:rFonts w:hint="eastAsia" w:ascii="宋体" w:hAnsi="宋体" w:eastAsia="宋体" w:cs="宋体"/>
                <w:color w:val="auto"/>
                <w:sz w:val="21"/>
                <w:szCs w:val="21"/>
                <w:highlight w:val="none"/>
              </w:rPr>
              <w:t>项目经理简历表；（按资格要求提供</w:t>
            </w:r>
            <w:r>
              <w:rPr>
                <w:rFonts w:hint="eastAsia" w:ascii="宋体" w:hAnsi="宋体" w:eastAsia="宋体" w:cs="宋体"/>
                <w:bCs/>
                <w:color w:val="auto"/>
                <w:sz w:val="21"/>
                <w:szCs w:val="21"/>
                <w:highlight w:val="none"/>
              </w:rPr>
              <w:t>有效的证书复印件</w:t>
            </w:r>
            <w:r>
              <w:rPr>
                <w:rFonts w:hint="eastAsia" w:ascii="宋体" w:hAnsi="宋体" w:eastAsia="宋体" w:cs="宋体"/>
                <w:color w:val="auto"/>
                <w:sz w:val="21"/>
                <w:szCs w:val="21"/>
                <w:highlight w:val="none"/>
              </w:rPr>
              <w:t>）</w:t>
            </w:r>
          </w:p>
          <w:p w14:paraId="6DE2C3AB">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9.2</w:t>
            </w:r>
            <w:r>
              <w:rPr>
                <w:rFonts w:hint="eastAsia" w:ascii="宋体" w:hAnsi="宋体" w:eastAsia="宋体" w:cs="宋体"/>
                <w:color w:val="auto"/>
                <w:sz w:val="21"/>
                <w:szCs w:val="21"/>
                <w:highlight w:val="none"/>
              </w:rPr>
              <w:t>项目技术负责人简历表；</w:t>
            </w:r>
          </w:p>
          <w:p w14:paraId="7D6934F1">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9.3</w:t>
            </w:r>
            <w:r>
              <w:rPr>
                <w:rFonts w:hint="eastAsia" w:ascii="宋体" w:hAnsi="宋体" w:eastAsia="宋体" w:cs="宋体"/>
                <w:color w:val="auto"/>
                <w:sz w:val="21"/>
                <w:szCs w:val="21"/>
                <w:highlight w:val="none"/>
              </w:rPr>
              <w:t>项目管理机构配备情况表；[附</w:t>
            </w:r>
            <w:r>
              <w:rPr>
                <w:rFonts w:hint="eastAsia" w:ascii="宋体" w:hAnsi="宋体" w:eastAsia="宋体" w:cs="宋体"/>
                <w:bCs/>
                <w:color w:val="auto"/>
                <w:sz w:val="21"/>
                <w:szCs w:val="21"/>
                <w:highlight w:val="none"/>
              </w:rPr>
              <w:t>安全员（具备有效专职安全生产管理人员安全生产考核合格C类证书）、施工员、质量员、材料员应具有相应施工现场专业人员职业培训合格证书，且拟投入的项目管理人员符合国家及广西壮族自治区的规定</w:t>
            </w:r>
            <w:r>
              <w:rPr>
                <w:rFonts w:hint="eastAsia" w:ascii="宋体" w:hAnsi="宋体" w:eastAsia="宋体" w:cs="宋体"/>
                <w:color w:val="auto"/>
                <w:sz w:val="21"/>
                <w:szCs w:val="21"/>
                <w:highlight w:val="none"/>
              </w:rPr>
              <w:t>]</w:t>
            </w:r>
          </w:p>
          <w:p w14:paraId="1D5ABD6A">
            <w:pPr>
              <w:keepNext w:val="0"/>
              <w:keepLines w:val="0"/>
              <w:pageBreakBefore w:val="0"/>
              <w:kinsoku/>
              <w:wordWrap/>
              <w:overflowPunct/>
              <w:topLinePunct w:val="0"/>
              <w:autoSpaceDE/>
              <w:autoSpaceDN/>
              <w:bidi w:val="0"/>
              <w:adjustRightInd/>
              <w:spacing w:line="400" w:lineRule="exact"/>
              <w:textAlignment w:val="auto"/>
              <w:rPr>
                <w:rFonts w:hint="default"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10.建设工程项目管理承诺书（格式后附）</w:t>
            </w:r>
            <w:r>
              <w:rPr>
                <w:rFonts w:hint="eastAsia" w:ascii="宋体" w:hAnsi="宋体" w:eastAsia="宋体" w:cs="宋体"/>
                <w:b/>
                <w:color w:val="auto"/>
                <w:sz w:val="21"/>
                <w:szCs w:val="21"/>
                <w:highlight w:val="none"/>
              </w:rPr>
              <w:t>（必须提供，否则响应文件按无效响应处理）</w:t>
            </w:r>
          </w:p>
          <w:p w14:paraId="4840F74A">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w:t>
            </w:r>
            <w:r>
              <w:rPr>
                <w:rFonts w:hint="eastAsia" w:ascii="宋体" w:hAnsi="宋体" w:eastAsia="宋体" w:cs="宋体"/>
                <w:bCs/>
                <w:color w:val="auto"/>
                <w:sz w:val="21"/>
                <w:szCs w:val="21"/>
                <w:highlight w:val="none"/>
                <w:lang w:val="en-US" w:eastAsia="zh-CN"/>
              </w:rPr>
              <w:t>1</w:t>
            </w:r>
            <w:r>
              <w:rPr>
                <w:rFonts w:hint="eastAsia" w:ascii="宋体" w:hAnsi="宋体" w:eastAsia="宋体" w:cs="宋体"/>
                <w:bCs/>
                <w:color w:val="auto"/>
                <w:sz w:val="21"/>
                <w:szCs w:val="21"/>
                <w:highlight w:val="none"/>
              </w:rPr>
              <w:t>.供应商认为需要提供的其他有关资料。</w:t>
            </w:r>
            <w:r>
              <w:rPr>
                <w:rFonts w:hint="eastAsia" w:ascii="宋体" w:hAnsi="宋体" w:eastAsia="宋体" w:cs="宋体"/>
                <w:b/>
                <w:color w:val="auto"/>
                <w:sz w:val="21"/>
                <w:szCs w:val="21"/>
                <w:highlight w:val="none"/>
              </w:rPr>
              <w:t>（如有请提供）</w:t>
            </w:r>
          </w:p>
          <w:p w14:paraId="281E22C5">
            <w:pPr>
              <w:keepNext w:val="0"/>
              <w:keepLines w:val="0"/>
              <w:pageBreakBefore w:val="0"/>
              <w:kinsoku/>
              <w:wordWrap/>
              <w:overflowPunct/>
              <w:topLinePunct w:val="0"/>
              <w:autoSpaceDE/>
              <w:autoSpaceDN/>
              <w:bidi w:val="0"/>
              <w:adjustRightInd/>
              <w:snapToGrid w:val="0"/>
              <w:spacing w:line="400" w:lineRule="exact"/>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 xml:space="preserve">注： </w:t>
            </w:r>
          </w:p>
          <w:p w14:paraId="4DF9ACE2">
            <w:pPr>
              <w:keepNext w:val="0"/>
              <w:keepLines w:val="0"/>
              <w:pageBreakBefore w:val="0"/>
              <w:kinsoku/>
              <w:wordWrap/>
              <w:overflowPunct/>
              <w:topLinePunct w:val="0"/>
              <w:autoSpaceDE/>
              <w:autoSpaceDN/>
              <w:bidi w:val="0"/>
              <w:adjustRightInd/>
              <w:snapToGrid w:val="0"/>
              <w:spacing w:line="400" w:lineRule="exact"/>
              <w:ind w:firstLine="413" w:firstLineChars="196"/>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1.法定代表人授权委托书必须由法定代表人及委托代理人签字，并加盖供应商公章，否则响应文件按无效响应处理。</w:t>
            </w:r>
          </w:p>
          <w:p w14:paraId="6D328027">
            <w:pPr>
              <w:keepNext w:val="0"/>
              <w:keepLines w:val="0"/>
              <w:pageBreakBefore w:val="0"/>
              <w:kinsoku/>
              <w:wordWrap/>
              <w:overflowPunct/>
              <w:topLinePunct w:val="0"/>
              <w:autoSpaceDE/>
              <w:autoSpaceDN/>
              <w:bidi w:val="0"/>
              <w:adjustRightInd/>
              <w:spacing w:line="400" w:lineRule="exact"/>
              <w:ind w:firstLine="413" w:firstLineChars="196"/>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2.以上标明“必须提供”的材料属于复印件的，必须加盖供应商电子公章，否则响应文件按无效响应处理。</w:t>
            </w:r>
          </w:p>
        </w:tc>
      </w:tr>
      <w:tr w14:paraId="61A370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9" w:type="dxa"/>
            <w:noWrap w:val="0"/>
            <w:vAlign w:val="center"/>
          </w:tcPr>
          <w:p w14:paraId="56031001">
            <w:pPr>
              <w:keepNext w:val="0"/>
              <w:keepLines w:val="0"/>
              <w:pageBreakBefore w:val="0"/>
              <w:kinsoku/>
              <w:wordWrap/>
              <w:overflowPunct/>
              <w:topLinePunct w:val="0"/>
              <w:autoSpaceDE/>
              <w:autoSpaceDN/>
              <w:bidi w:val="0"/>
              <w:adjustRightIn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12.1.3</w:t>
            </w:r>
          </w:p>
        </w:tc>
        <w:tc>
          <w:tcPr>
            <w:tcW w:w="2427" w:type="dxa"/>
            <w:noWrap w:val="0"/>
            <w:vAlign w:val="center"/>
          </w:tcPr>
          <w:p w14:paraId="55B08DAA">
            <w:pPr>
              <w:keepNext w:val="0"/>
              <w:keepLines w:val="0"/>
              <w:pageBreakBefore w:val="0"/>
              <w:kinsoku/>
              <w:wordWrap/>
              <w:overflowPunct/>
              <w:topLinePunct w:val="0"/>
              <w:autoSpaceDE/>
              <w:autoSpaceDN/>
              <w:bidi w:val="0"/>
              <w:adjustRightIn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报价文件</w:t>
            </w:r>
          </w:p>
        </w:tc>
        <w:tc>
          <w:tcPr>
            <w:tcW w:w="6644" w:type="dxa"/>
            <w:noWrap w:val="0"/>
            <w:vAlign w:val="center"/>
          </w:tcPr>
          <w:p w14:paraId="10697308">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1.响应函；</w:t>
            </w:r>
            <w:r>
              <w:rPr>
                <w:rFonts w:hint="eastAsia" w:ascii="宋体" w:hAnsi="宋体" w:eastAsia="宋体" w:cs="宋体"/>
                <w:b/>
                <w:bCs/>
                <w:color w:val="auto"/>
                <w:sz w:val="21"/>
                <w:szCs w:val="21"/>
                <w:highlight w:val="none"/>
              </w:rPr>
              <w:t>（必须提供，否则作无效响应处理）</w:t>
            </w:r>
          </w:p>
          <w:p w14:paraId="126B8C96">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2.响应报价表；</w:t>
            </w:r>
            <w:r>
              <w:rPr>
                <w:rFonts w:hint="eastAsia" w:ascii="宋体" w:hAnsi="宋体" w:eastAsia="宋体" w:cs="宋体"/>
                <w:b/>
                <w:bCs/>
                <w:color w:val="auto"/>
                <w:sz w:val="21"/>
                <w:szCs w:val="21"/>
                <w:highlight w:val="none"/>
              </w:rPr>
              <w:t>（必须提供，否则作无效响应处理）</w:t>
            </w:r>
          </w:p>
          <w:p w14:paraId="4074EC36">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3.已标价工程量清单。</w:t>
            </w:r>
            <w:r>
              <w:rPr>
                <w:rFonts w:hint="eastAsia" w:ascii="宋体" w:hAnsi="宋体" w:eastAsia="宋体" w:cs="宋体"/>
                <w:b/>
                <w:bCs/>
                <w:color w:val="auto"/>
                <w:sz w:val="21"/>
                <w:szCs w:val="21"/>
                <w:highlight w:val="none"/>
              </w:rPr>
              <w:t>（必须提供，否则响应文件按无效响应处理）</w:t>
            </w:r>
          </w:p>
          <w:p w14:paraId="311D480C">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b/>
                <w:color w:val="auto"/>
                <w:sz w:val="21"/>
                <w:szCs w:val="21"/>
                <w:highlight w:val="none"/>
              </w:rPr>
            </w:pPr>
            <w:r>
              <w:rPr>
                <w:rFonts w:hint="eastAsia" w:ascii="宋体" w:hAnsi="宋体" w:eastAsia="宋体" w:cs="宋体"/>
                <w:b/>
                <w:bCs/>
                <w:color w:val="auto"/>
                <w:sz w:val="21"/>
                <w:szCs w:val="21"/>
                <w:highlight w:val="none"/>
              </w:rPr>
              <w:t>注：1.上述材料必须在规定盖章处加盖供应商电子公章，否则作无效响应处理。</w:t>
            </w:r>
          </w:p>
        </w:tc>
      </w:tr>
      <w:tr w14:paraId="7F66BD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26" w:hRule="atLeast"/>
          <w:jc w:val="center"/>
        </w:trPr>
        <w:tc>
          <w:tcPr>
            <w:tcW w:w="859" w:type="dxa"/>
            <w:noWrap w:val="0"/>
            <w:vAlign w:val="center"/>
          </w:tcPr>
          <w:p w14:paraId="4BDBA1F1">
            <w:pPr>
              <w:keepNext w:val="0"/>
              <w:keepLines w:val="0"/>
              <w:pageBreakBefore w:val="0"/>
              <w:kinsoku/>
              <w:wordWrap/>
              <w:overflowPunct/>
              <w:topLinePunct w:val="0"/>
              <w:autoSpaceDE/>
              <w:autoSpaceDN/>
              <w:bidi w:val="0"/>
              <w:adjustRightIn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12.2</w:t>
            </w:r>
          </w:p>
        </w:tc>
        <w:tc>
          <w:tcPr>
            <w:tcW w:w="2427" w:type="dxa"/>
            <w:noWrap w:val="0"/>
            <w:vAlign w:val="center"/>
          </w:tcPr>
          <w:p w14:paraId="07CBEFF6">
            <w:pPr>
              <w:keepNext w:val="0"/>
              <w:keepLines w:val="0"/>
              <w:pageBreakBefore w:val="0"/>
              <w:kinsoku/>
              <w:wordWrap/>
              <w:overflowPunct/>
              <w:topLinePunct w:val="0"/>
              <w:autoSpaceDE/>
              <w:autoSpaceDN/>
              <w:bidi w:val="0"/>
              <w:adjustRightIn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响应文件电子版要求</w:t>
            </w:r>
          </w:p>
        </w:tc>
        <w:tc>
          <w:tcPr>
            <w:tcW w:w="6644" w:type="dxa"/>
            <w:noWrap w:val="0"/>
            <w:vAlign w:val="center"/>
          </w:tcPr>
          <w:p w14:paraId="562587F6">
            <w:pPr>
              <w:keepNext w:val="0"/>
              <w:keepLines w:val="0"/>
              <w:pageBreakBefore w:val="0"/>
              <w:kinsoku/>
              <w:wordWrap/>
              <w:overflowPunct/>
              <w:topLinePunct w:val="0"/>
              <w:autoSpaceDE/>
              <w:autoSpaceDN/>
              <w:bidi w:val="0"/>
              <w:adjustRightInd/>
              <w:spacing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1.响应文件电子版要求：按照本采购文件“第五章 响应文件格式”编写（第五章未附格式的，由供应商自行拟定），不可涂改并在规定加盖公章处加盖电子公章，</w:t>
            </w:r>
            <w:r>
              <w:rPr>
                <w:rFonts w:hint="eastAsia" w:ascii="宋体" w:hAnsi="宋体" w:eastAsia="宋体" w:cs="宋体"/>
                <w:b/>
                <w:bCs/>
                <w:color w:val="auto"/>
                <w:sz w:val="21"/>
                <w:szCs w:val="21"/>
                <w:highlight w:val="none"/>
              </w:rPr>
              <w:t>否则响应文件按无效响应处理</w:t>
            </w:r>
            <w:r>
              <w:rPr>
                <w:rFonts w:hint="eastAsia" w:ascii="宋体" w:hAnsi="宋体" w:eastAsia="宋体" w:cs="宋体"/>
                <w:color w:val="auto"/>
                <w:sz w:val="21"/>
                <w:szCs w:val="21"/>
                <w:highlight w:val="none"/>
              </w:rPr>
              <w:t>。</w:t>
            </w:r>
          </w:p>
          <w:p w14:paraId="257D259E">
            <w:pPr>
              <w:keepNext w:val="0"/>
              <w:keepLines w:val="0"/>
              <w:pageBreakBefore w:val="0"/>
              <w:kinsoku/>
              <w:wordWrap/>
              <w:overflowPunct/>
              <w:topLinePunct w:val="0"/>
              <w:autoSpaceDE/>
              <w:autoSpaceDN/>
              <w:bidi w:val="0"/>
              <w:adjustRightInd/>
              <w:snapToGrid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2.响应文件电子版密封方式：电子响应文件通过平台有效CA加密后在“</w:t>
            </w:r>
            <w:r>
              <w:rPr>
                <w:rFonts w:hint="eastAsia" w:ascii="宋体" w:hAnsi="宋体" w:cs="宋体"/>
                <w:color w:val="auto"/>
                <w:szCs w:val="21"/>
                <w:highlight w:val="none"/>
              </w:rPr>
              <w:t>广西政府采购云平台</w:t>
            </w:r>
            <w:r>
              <w:rPr>
                <w:rFonts w:hint="eastAsia" w:ascii="宋体" w:hAnsi="宋体" w:eastAsia="宋体" w:cs="宋体"/>
                <w:color w:val="auto"/>
                <w:sz w:val="21"/>
                <w:szCs w:val="21"/>
                <w:highlight w:val="none"/>
              </w:rPr>
              <w:t>”平台投送。（操作方式见公告附件“电子响应文件制作与投送教程” ）</w:t>
            </w:r>
          </w:p>
        </w:tc>
      </w:tr>
      <w:tr w14:paraId="6458A7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9" w:type="dxa"/>
            <w:noWrap w:val="0"/>
            <w:vAlign w:val="center"/>
          </w:tcPr>
          <w:p w14:paraId="450253E1">
            <w:pPr>
              <w:keepNext w:val="0"/>
              <w:keepLines w:val="0"/>
              <w:pageBreakBefore w:val="0"/>
              <w:kinsoku/>
              <w:wordWrap/>
              <w:overflowPunct/>
              <w:topLinePunct w:val="0"/>
              <w:autoSpaceDE/>
              <w:autoSpaceDN/>
              <w:bidi w:val="0"/>
              <w:adjustRightIn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15.2</w:t>
            </w:r>
          </w:p>
        </w:tc>
        <w:tc>
          <w:tcPr>
            <w:tcW w:w="2427" w:type="dxa"/>
            <w:noWrap w:val="0"/>
            <w:vAlign w:val="center"/>
          </w:tcPr>
          <w:p w14:paraId="24AB3261">
            <w:pPr>
              <w:keepNext w:val="0"/>
              <w:keepLines w:val="0"/>
              <w:pageBreakBefore w:val="0"/>
              <w:kinsoku/>
              <w:wordWrap/>
              <w:overflowPunct/>
              <w:topLinePunct w:val="0"/>
              <w:autoSpaceDE/>
              <w:autoSpaceDN/>
              <w:bidi w:val="0"/>
              <w:adjustRightIn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响应报价要求</w:t>
            </w:r>
          </w:p>
        </w:tc>
        <w:tc>
          <w:tcPr>
            <w:tcW w:w="6644" w:type="dxa"/>
            <w:noWrap w:val="0"/>
            <w:vAlign w:val="center"/>
          </w:tcPr>
          <w:p w14:paraId="6D3BC954">
            <w:pPr>
              <w:keepNext w:val="0"/>
              <w:keepLines w:val="0"/>
              <w:pageBreakBefore w:val="0"/>
              <w:kinsoku/>
              <w:wordWrap/>
              <w:overflowPunct/>
              <w:topLinePunct w:val="0"/>
              <w:autoSpaceDE/>
              <w:autoSpaceDN/>
              <w:bidi w:val="0"/>
              <w:adjustRightInd/>
              <w:snapToGrid w:val="0"/>
              <w:spacing w:line="400" w:lineRule="exact"/>
              <w:jc w:val="left"/>
              <w:textAlignment w:val="auto"/>
              <w:rPr>
                <w:rFonts w:hint="eastAsia" w:ascii="宋体" w:hAnsi="宋体" w:eastAsia="宋体" w:cs="宋体"/>
                <w:color w:val="auto"/>
                <w:sz w:val="21"/>
                <w:szCs w:val="21"/>
                <w:highlight w:val="none"/>
                <w:lang w:eastAsia="zh-CN"/>
              </w:rPr>
            </w:pPr>
            <w:r>
              <w:rPr>
                <w:rFonts w:hint="eastAsia" w:ascii="宋体" w:hAnsi="宋体" w:cs="宋体"/>
                <w:color w:val="auto"/>
                <w:szCs w:val="21"/>
                <w:highlight w:val="none"/>
              </w:rPr>
              <w:t>响应报价</w:t>
            </w:r>
            <w:r>
              <w:rPr>
                <w:rFonts w:hint="eastAsia" w:ascii="宋体" w:hAnsi="宋体" w:eastAsia="宋体" w:cs="宋体"/>
                <w:color w:val="auto"/>
                <w:sz w:val="21"/>
                <w:szCs w:val="21"/>
                <w:highlight w:val="none"/>
              </w:rPr>
              <w:t>必须包含满足本次竞标全部采购需求所应提供的内容，以及伴随的货物和工程（如有）的价格；包含竞标服务、货物、工程的成本、运输（含保险）、安装（如有）、调试、检验、技术服务、培训、税费等所有费用。</w:t>
            </w:r>
            <w:r>
              <w:rPr>
                <w:rFonts w:hint="eastAsia" w:ascii="宋体" w:hAnsi="宋体" w:eastAsia="宋体" w:cs="宋体"/>
                <w:b/>
                <w:color w:val="auto"/>
                <w:sz w:val="21"/>
                <w:szCs w:val="21"/>
                <w:highlight w:val="none"/>
              </w:rPr>
              <w:t>（采购需求另有约定的，从其约定。）</w:t>
            </w:r>
          </w:p>
        </w:tc>
      </w:tr>
      <w:tr w14:paraId="27746B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9" w:type="dxa"/>
            <w:noWrap w:val="0"/>
            <w:vAlign w:val="center"/>
          </w:tcPr>
          <w:p w14:paraId="156112E4">
            <w:pPr>
              <w:keepNext w:val="0"/>
              <w:keepLines w:val="0"/>
              <w:pageBreakBefore w:val="0"/>
              <w:kinsoku/>
              <w:wordWrap/>
              <w:overflowPunct/>
              <w:topLinePunct w:val="0"/>
              <w:autoSpaceDE/>
              <w:autoSpaceDN/>
              <w:bidi w:val="0"/>
              <w:adjustRightIn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16.2</w:t>
            </w:r>
          </w:p>
        </w:tc>
        <w:tc>
          <w:tcPr>
            <w:tcW w:w="2427" w:type="dxa"/>
            <w:noWrap w:val="0"/>
            <w:vAlign w:val="center"/>
          </w:tcPr>
          <w:p w14:paraId="71555A0C">
            <w:pPr>
              <w:keepNext w:val="0"/>
              <w:keepLines w:val="0"/>
              <w:pageBreakBefore w:val="0"/>
              <w:kinsoku/>
              <w:wordWrap/>
              <w:overflowPunct/>
              <w:topLinePunct w:val="0"/>
              <w:autoSpaceDE/>
              <w:autoSpaceDN/>
              <w:bidi w:val="0"/>
              <w:adjustRightIn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竞标有效期</w:t>
            </w:r>
          </w:p>
        </w:tc>
        <w:tc>
          <w:tcPr>
            <w:tcW w:w="6644" w:type="dxa"/>
            <w:noWrap w:val="0"/>
            <w:vAlign w:val="center"/>
          </w:tcPr>
          <w:p w14:paraId="29143456">
            <w:pPr>
              <w:pStyle w:val="6"/>
              <w:keepNext w:val="0"/>
              <w:keepLines w:val="0"/>
              <w:pageBreakBefore w:val="0"/>
              <w:widowControl w:val="0"/>
              <w:tabs>
                <w:tab w:val="left" w:pos="720"/>
                <w:tab w:val="left" w:pos="840"/>
              </w:tabs>
              <w:kinsoku/>
              <w:wordWrap/>
              <w:overflowPunct/>
              <w:topLinePunct w:val="0"/>
              <w:autoSpaceDE/>
              <w:autoSpaceDN/>
              <w:bidi w:val="0"/>
              <w:adjustRightInd/>
              <w:snapToGrid w:val="0"/>
              <w:spacing w:after="0" w:afterLines="0" w:line="400" w:lineRule="exact"/>
              <w:ind w:left="283" w:hanging="283" w:hangingChars="135"/>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自首次响应文件提交截止之日起</w:t>
            </w:r>
            <w:bookmarkStart w:id="40" w:name="PO_3000001868_PM046"/>
            <w:r>
              <w:rPr>
                <w:rFonts w:hint="eastAsia" w:ascii="宋体" w:hAnsi="宋体" w:eastAsia="宋体" w:cs="宋体"/>
                <w:color w:val="auto"/>
                <w:kern w:val="2"/>
                <w:sz w:val="21"/>
                <w:szCs w:val="21"/>
                <w:highlight w:val="none"/>
                <w:u w:val="single"/>
              </w:rPr>
              <w:t>60日历天</w:t>
            </w:r>
            <w:bookmarkEnd w:id="40"/>
            <w:r>
              <w:rPr>
                <w:rFonts w:hint="eastAsia" w:ascii="宋体" w:hAnsi="宋体" w:eastAsia="宋体" w:cs="宋体"/>
                <w:color w:val="auto"/>
                <w:kern w:val="2"/>
                <w:sz w:val="21"/>
                <w:szCs w:val="21"/>
                <w:highlight w:val="none"/>
              </w:rPr>
              <w:t>。</w:t>
            </w:r>
          </w:p>
        </w:tc>
      </w:tr>
      <w:tr w14:paraId="2B4FB5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9" w:type="dxa"/>
            <w:noWrap w:val="0"/>
            <w:vAlign w:val="center"/>
          </w:tcPr>
          <w:p w14:paraId="46529F49">
            <w:pPr>
              <w:keepNext w:val="0"/>
              <w:keepLines w:val="0"/>
              <w:pageBreakBefore w:val="0"/>
              <w:kinsoku/>
              <w:wordWrap/>
              <w:overflowPunct/>
              <w:topLinePunct w:val="0"/>
              <w:autoSpaceDE/>
              <w:autoSpaceDN/>
              <w:bidi w:val="0"/>
              <w:adjustRightIn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17.1</w:t>
            </w:r>
          </w:p>
        </w:tc>
        <w:tc>
          <w:tcPr>
            <w:tcW w:w="2427" w:type="dxa"/>
            <w:noWrap w:val="0"/>
            <w:vAlign w:val="center"/>
          </w:tcPr>
          <w:p w14:paraId="53826CE7">
            <w:pPr>
              <w:keepNext w:val="0"/>
              <w:keepLines w:val="0"/>
              <w:pageBreakBefore w:val="0"/>
              <w:kinsoku/>
              <w:wordWrap/>
              <w:overflowPunct/>
              <w:topLinePunct w:val="0"/>
              <w:autoSpaceDE/>
              <w:autoSpaceDN/>
              <w:bidi w:val="0"/>
              <w:adjustRightIn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磋商保证金</w:t>
            </w:r>
          </w:p>
        </w:tc>
        <w:tc>
          <w:tcPr>
            <w:tcW w:w="6644" w:type="dxa"/>
            <w:noWrap w:val="0"/>
            <w:vAlign w:val="center"/>
          </w:tcPr>
          <w:p w14:paraId="06B94EB4">
            <w:pPr>
              <w:keepNext w:val="0"/>
              <w:keepLines w:val="0"/>
              <w:pageBreakBefore w:val="0"/>
              <w:widowControl/>
              <w:kinsoku/>
              <w:wordWrap/>
              <w:overflowPunct/>
              <w:topLinePunct w:val="0"/>
              <w:autoSpaceDE/>
              <w:autoSpaceDN/>
              <w:bidi w:val="0"/>
              <w:adjustRightInd/>
              <w:spacing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本项目不收取磋商保证金。</w:t>
            </w:r>
          </w:p>
        </w:tc>
      </w:tr>
      <w:tr w14:paraId="109672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jc w:val="center"/>
        </w:trPr>
        <w:tc>
          <w:tcPr>
            <w:tcW w:w="859" w:type="dxa"/>
            <w:vMerge w:val="restart"/>
            <w:noWrap w:val="0"/>
            <w:vAlign w:val="center"/>
          </w:tcPr>
          <w:p w14:paraId="33BE6DF6">
            <w:pPr>
              <w:keepNext w:val="0"/>
              <w:keepLines w:val="0"/>
              <w:pageBreakBefore w:val="0"/>
              <w:kinsoku/>
              <w:wordWrap/>
              <w:overflowPunct/>
              <w:topLinePunct w:val="0"/>
              <w:autoSpaceDE/>
              <w:autoSpaceDN/>
              <w:bidi w:val="0"/>
              <w:adjustRightIn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20.1</w:t>
            </w:r>
          </w:p>
        </w:tc>
        <w:tc>
          <w:tcPr>
            <w:tcW w:w="2427" w:type="dxa"/>
            <w:noWrap w:val="0"/>
            <w:vAlign w:val="center"/>
          </w:tcPr>
          <w:p w14:paraId="4ED343CA">
            <w:pPr>
              <w:keepNext w:val="0"/>
              <w:keepLines w:val="0"/>
              <w:pageBreakBefore w:val="0"/>
              <w:kinsoku/>
              <w:wordWrap/>
              <w:overflowPunct/>
              <w:topLinePunct w:val="0"/>
              <w:autoSpaceDE/>
              <w:autoSpaceDN/>
              <w:bidi w:val="0"/>
              <w:adjustRightIn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首次响应文件提交起止时间</w:t>
            </w:r>
          </w:p>
        </w:tc>
        <w:tc>
          <w:tcPr>
            <w:tcW w:w="6644" w:type="dxa"/>
            <w:noWrap w:val="0"/>
            <w:vAlign w:val="center"/>
          </w:tcPr>
          <w:p w14:paraId="0CD37AE3">
            <w:pPr>
              <w:keepNext w:val="0"/>
              <w:keepLines w:val="0"/>
              <w:pageBreakBefore w:val="0"/>
              <w:kinsoku/>
              <w:wordWrap/>
              <w:overflowPunct/>
              <w:topLinePunct w:val="0"/>
              <w:autoSpaceDE/>
              <w:autoSpaceDN/>
              <w:bidi w:val="0"/>
              <w:adjustRightInd/>
              <w:snapToGrid w:val="0"/>
              <w:spacing w:line="400" w:lineRule="exact"/>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详见竞争性磋商公告。</w:t>
            </w:r>
          </w:p>
        </w:tc>
      </w:tr>
      <w:tr w14:paraId="2B215B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859" w:type="dxa"/>
            <w:vMerge w:val="continue"/>
            <w:noWrap w:val="0"/>
            <w:vAlign w:val="center"/>
          </w:tcPr>
          <w:p w14:paraId="4B14BB53">
            <w:pPr>
              <w:keepNext w:val="0"/>
              <w:keepLines w:val="0"/>
              <w:pageBreakBefore w:val="0"/>
              <w:kinsoku/>
              <w:wordWrap/>
              <w:overflowPunct/>
              <w:topLinePunct w:val="0"/>
              <w:autoSpaceDE/>
              <w:autoSpaceDN/>
              <w:bidi w:val="0"/>
              <w:adjustRightInd/>
              <w:spacing w:line="400" w:lineRule="exact"/>
              <w:jc w:val="center"/>
              <w:textAlignment w:val="auto"/>
              <w:rPr>
                <w:rFonts w:hint="eastAsia" w:ascii="宋体" w:hAnsi="宋体" w:eastAsia="宋体" w:cs="宋体"/>
                <w:color w:val="auto"/>
                <w:sz w:val="21"/>
                <w:szCs w:val="21"/>
                <w:highlight w:val="none"/>
              </w:rPr>
            </w:pPr>
          </w:p>
        </w:tc>
        <w:tc>
          <w:tcPr>
            <w:tcW w:w="2427" w:type="dxa"/>
            <w:noWrap w:val="0"/>
            <w:vAlign w:val="center"/>
          </w:tcPr>
          <w:p w14:paraId="2A6D0A85">
            <w:pPr>
              <w:keepNext w:val="0"/>
              <w:keepLines w:val="0"/>
              <w:pageBreakBefore w:val="0"/>
              <w:kinsoku/>
              <w:wordWrap/>
              <w:overflowPunct/>
              <w:topLinePunct w:val="0"/>
              <w:autoSpaceDE/>
              <w:autoSpaceDN/>
              <w:bidi w:val="0"/>
              <w:adjustRightIn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首次响应文件提交地点</w:t>
            </w:r>
          </w:p>
        </w:tc>
        <w:tc>
          <w:tcPr>
            <w:tcW w:w="6644" w:type="dxa"/>
            <w:noWrap w:val="0"/>
            <w:vAlign w:val="center"/>
          </w:tcPr>
          <w:p w14:paraId="1E902285">
            <w:pPr>
              <w:keepNext w:val="0"/>
              <w:keepLines w:val="0"/>
              <w:pageBreakBefore w:val="0"/>
              <w:kinsoku/>
              <w:wordWrap/>
              <w:overflowPunct/>
              <w:topLinePunct w:val="0"/>
              <w:autoSpaceDE/>
              <w:autoSpaceDN/>
              <w:bidi w:val="0"/>
              <w:adjustRightInd/>
              <w:snapToGrid w:val="0"/>
              <w:spacing w:line="400" w:lineRule="exact"/>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详见竞争性磋商公告。</w:t>
            </w:r>
          </w:p>
        </w:tc>
      </w:tr>
      <w:tr w14:paraId="406B27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859" w:type="dxa"/>
            <w:noWrap w:val="0"/>
            <w:vAlign w:val="center"/>
          </w:tcPr>
          <w:p w14:paraId="6BD118CF">
            <w:pPr>
              <w:keepNext w:val="0"/>
              <w:keepLines w:val="0"/>
              <w:pageBreakBefore w:val="0"/>
              <w:kinsoku/>
              <w:wordWrap/>
              <w:overflowPunct/>
              <w:topLinePunct w:val="0"/>
              <w:autoSpaceDE/>
              <w:autoSpaceDN/>
              <w:bidi w:val="0"/>
              <w:adjustRightIn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20.6</w:t>
            </w:r>
          </w:p>
        </w:tc>
        <w:tc>
          <w:tcPr>
            <w:tcW w:w="2427" w:type="dxa"/>
            <w:noWrap w:val="0"/>
            <w:vAlign w:val="center"/>
          </w:tcPr>
          <w:p w14:paraId="5BF5C822">
            <w:pPr>
              <w:keepNext w:val="0"/>
              <w:keepLines w:val="0"/>
              <w:pageBreakBefore w:val="0"/>
              <w:kinsoku/>
              <w:wordWrap/>
              <w:overflowPunct/>
              <w:topLinePunct w:val="0"/>
              <w:autoSpaceDE/>
              <w:autoSpaceDN/>
              <w:bidi w:val="0"/>
              <w:adjustRightIn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备份响应文件</w:t>
            </w:r>
          </w:p>
        </w:tc>
        <w:tc>
          <w:tcPr>
            <w:tcW w:w="6644" w:type="dxa"/>
            <w:noWrap w:val="0"/>
            <w:vAlign w:val="center"/>
          </w:tcPr>
          <w:p w14:paraId="3CEFFF8E">
            <w:pPr>
              <w:keepNext w:val="0"/>
              <w:keepLines w:val="0"/>
              <w:pageBreakBefore w:val="0"/>
              <w:kinsoku/>
              <w:wordWrap/>
              <w:overflowPunct/>
              <w:topLinePunct w:val="0"/>
              <w:autoSpaceDE/>
              <w:autoSpaceDN/>
              <w:bidi w:val="0"/>
              <w:adjustRightInd/>
              <w:snapToGrid w:val="0"/>
              <w:spacing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本项目不接受备份响应文件。</w:t>
            </w:r>
          </w:p>
        </w:tc>
      </w:tr>
      <w:tr w14:paraId="32B11A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859" w:type="dxa"/>
            <w:noWrap w:val="0"/>
            <w:vAlign w:val="center"/>
          </w:tcPr>
          <w:p w14:paraId="382C2087">
            <w:pPr>
              <w:keepNext w:val="0"/>
              <w:keepLines w:val="0"/>
              <w:pageBreakBefore w:val="0"/>
              <w:kinsoku/>
              <w:wordWrap/>
              <w:overflowPunct/>
              <w:topLinePunct w:val="0"/>
              <w:autoSpaceDE/>
              <w:autoSpaceDN/>
              <w:bidi w:val="0"/>
              <w:adjustRightIn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w:t>
            </w:r>
          </w:p>
        </w:tc>
        <w:tc>
          <w:tcPr>
            <w:tcW w:w="2427" w:type="dxa"/>
            <w:noWrap w:val="0"/>
            <w:vAlign w:val="center"/>
          </w:tcPr>
          <w:p w14:paraId="61534D94">
            <w:pPr>
              <w:keepNext w:val="0"/>
              <w:keepLines w:val="0"/>
              <w:pageBreakBefore w:val="0"/>
              <w:kinsoku/>
              <w:wordWrap/>
              <w:overflowPunct/>
              <w:topLinePunct w:val="0"/>
              <w:autoSpaceDE/>
              <w:autoSpaceDN/>
              <w:bidi w:val="0"/>
              <w:adjustRightIn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首次响应文件的退回</w:t>
            </w:r>
          </w:p>
        </w:tc>
        <w:tc>
          <w:tcPr>
            <w:tcW w:w="6644" w:type="dxa"/>
            <w:noWrap w:val="0"/>
            <w:vAlign w:val="center"/>
          </w:tcPr>
          <w:p w14:paraId="202A7E05">
            <w:pPr>
              <w:keepNext w:val="0"/>
              <w:keepLines w:val="0"/>
              <w:pageBreakBefore w:val="0"/>
              <w:kinsoku/>
              <w:wordWrap/>
              <w:overflowPunct/>
              <w:topLinePunct w:val="0"/>
              <w:autoSpaceDE/>
              <w:autoSpaceDN/>
              <w:bidi w:val="0"/>
              <w:adjustRightInd/>
              <w:snapToGrid w:val="0"/>
              <w:spacing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详见竞争性磋商公告。</w:t>
            </w:r>
          </w:p>
        </w:tc>
      </w:tr>
      <w:tr w14:paraId="7DF17E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859" w:type="dxa"/>
            <w:vMerge w:val="restart"/>
            <w:noWrap w:val="0"/>
            <w:vAlign w:val="center"/>
          </w:tcPr>
          <w:p w14:paraId="76BD0B04">
            <w:pPr>
              <w:keepNext w:val="0"/>
              <w:keepLines w:val="0"/>
              <w:pageBreakBefore w:val="0"/>
              <w:kinsoku/>
              <w:wordWrap/>
              <w:overflowPunct/>
              <w:topLinePunct w:val="0"/>
              <w:autoSpaceDE/>
              <w:autoSpaceDN/>
              <w:bidi w:val="0"/>
              <w:adjustRightIn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26.2</w:t>
            </w:r>
          </w:p>
        </w:tc>
        <w:tc>
          <w:tcPr>
            <w:tcW w:w="2427" w:type="dxa"/>
            <w:noWrap w:val="0"/>
            <w:vAlign w:val="center"/>
          </w:tcPr>
          <w:p w14:paraId="595038D5">
            <w:pPr>
              <w:keepNext w:val="0"/>
              <w:keepLines w:val="0"/>
              <w:pageBreakBefore w:val="0"/>
              <w:kinsoku/>
              <w:wordWrap/>
              <w:overflowPunct/>
              <w:topLinePunct w:val="0"/>
              <w:autoSpaceDE/>
              <w:autoSpaceDN/>
              <w:bidi w:val="0"/>
              <w:adjustRightIn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负偏离要求</w:t>
            </w:r>
          </w:p>
        </w:tc>
        <w:tc>
          <w:tcPr>
            <w:tcW w:w="6644" w:type="dxa"/>
            <w:noWrap w:val="0"/>
            <w:vAlign w:val="center"/>
          </w:tcPr>
          <w:p w14:paraId="1E7D2B70">
            <w:pPr>
              <w:keepNext w:val="0"/>
              <w:keepLines w:val="0"/>
              <w:pageBreakBefore w:val="0"/>
              <w:kinsoku/>
              <w:wordWrap/>
              <w:overflowPunct/>
              <w:topLinePunct w:val="0"/>
              <w:autoSpaceDE/>
              <w:autoSpaceDN/>
              <w:bidi w:val="0"/>
              <w:adjustRightInd/>
              <w:snapToGrid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商务条款评审中允许负偏离的条款数为</w:t>
            </w:r>
            <w:r>
              <w:rPr>
                <w:rFonts w:hint="eastAsia" w:ascii="宋体" w:hAnsi="宋体" w:eastAsia="宋体" w:cs="宋体"/>
                <w:color w:val="auto"/>
                <w:sz w:val="21"/>
                <w:szCs w:val="21"/>
                <w:highlight w:val="none"/>
                <w:u w:val="single"/>
              </w:rPr>
              <w:t xml:space="preserve"> 0 </w:t>
            </w:r>
            <w:r>
              <w:rPr>
                <w:rFonts w:hint="eastAsia" w:ascii="宋体" w:hAnsi="宋体" w:eastAsia="宋体" w:cs="宋体"/>
                <w:color w:val="auto"/>
                <w:sz w:val="21"/>
                <w:szCs w:val="21"/>
                <w:highlight w:val="none"/>
              </w:rPr>
              <w:t>项。</w:t>
            </w:r>
          </w:p>
          <w:p w14:paraId="1AB4EFE4">
            <w:pPr>
              <w:keepNext w:val="0"/>
              <w:keepLines w:val="0"/>
              <w:pageBreakBefore w:val="0"/>
              <w:kinsoku/>
              <w:wordWrap/>
              <w:overflowPunct/>
              <w:topLinePunct w:val="0"/>
              <w:autoSpaceDE/>
              <w:autoSpaceDN/>
              <w:bidi w:val="0"/>
              <w:adjustRightInd/>
              <w:snapToGrid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技术需求评审中允许负偏离的条款数为</w:t>
            </w:r>
            <w:r>
              <w:rPr>
                <w:rFonts w:hint="eastAsia" w:ascii="宋体" w:hAnsi="宋体" w:eastAsia="宋体" w:cs="宋体"/>
                <w:color w:val="auto"/>
                <w:sz w:val="21"/>
                <w:szCs w:val="21"/>
                <w:highlight w:val="none"/>
                <w:u w:val="single"/>
              </w:rPr>
              <w:t xml:space="preserve"> 0 </w:t>
            </w:r>
            <w:r>
              <w:rPr>
                <w:rFonts w:hint="eastAsia" w:ascii="宋体" w:hAnsi="宋体" w:eastAsia="宋体" w:cs="宋体"/>
                <w:color w:val="auto"/>
                <w:sz w:val="21"/>
                <w:szCs w:val="21"/>
                <w:highlight w:val="none"/>
              </w:rPr>
              <w:t>项。</w:t>
            </w:r>
          </w:p>
        </w:tc>
      </w:tr>
      <w:tr w14:paraId="59A567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9" w:type="dxa"/>
            <w:vMerge w:val="continue"/>
            <w:noWrap w:val="0"/>
            <w:vAlign w:val="center"/>
          </w:tcPr>
          <w:p w14:paraId="7AB4D4B2">
            <w:pPr>
              <w:keepNext w:val="0"/>
              <w:keepLines w:val="0"/>
              <w:pageBreakBefore w:val="0"/>
              <w:kinsoku/>
              <w:wordWrap/>
              <w:overflowPunct/>
              <w:topLinePunct w:val="0"/>
              <w:autoSpaceDE/>
              <w:autoSpaceDN/>
              <w:bidi w:val="0"/>
              <w:adjustRightInd/>
              <w:spacing w:line="400" w:lineRule="exact"/>
              <w:jc w:val="center"/>
              <w:textAlignment w:val="auto"/>
              <w:rPr>
                <w:rFonts w:hint="eastAsia" w:ascii="宋体" w:hAnsi="宋体" w:eastAsia="宋体" w:cs="宋体"/>
                <w:color w:val="auto"/>
                <w:sz w:val="21"/>
                <w:szCs w:val="21"/>
                <w:highlight w:val="none"/>
              </w:rPr>
            </w:pPr>
          </w:p>
        </w:tc>
        <w:tc>
          <w:tcPr>
            <w:tcW w:w="2427" w:type="dxa"/>
            <w:noWrap w:val="0"/>
            <w:vAlign w:val="center"/>
          </w:tcPr>
          <w:p w14:paraId="548A1D8F">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磋商的顺序</w:t>
            </w:r>
          </w:p>
        </w:tc>
        <w:tc>
          <w:tcPr>
            <w:tcW w:w="6644" w:type="dxa"/>
            <w:noWrap w:val="0"/>
            <w:vAlign w:val="center"/>
          </w:tcPr>
          <w:p w14:paraId="77770DA5">
            <w:pPr>
              <w:pStyle w:val="8"/>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□按照提交首次响应文件的顺序，通知磋商时，若某供应商不在通知现场时，该供应商排序到最后磋商，按照签到的顺序由其下一位供应商先参与磋商。</w:t>
            </w:r>
          </w:p>
          <w:p w14:paraId="46F75E85">
            <w:pPr>
              <w:keepNext w:val="0"/>
              <w:keepLines w:val="0"/>
              <w:pageBreakBefore w:val="0"/>
              <w:kinsoku/>
              <w:wordWrap/>
              <w:overflowPunct/>
              <w:topLinePunct w:val="0"/>
              <w:autoSpaceDE/>
              <w:autoSpaceDN/>
              <w:bidi w:val="0"/>
              <w:adjustRightInd/>
              <w:snapToGrid w:val="0"/>
              <w:spacing w:line="400" w:lineRule="exact"/>
              <w:textAlignment w:val="auto"/>
              <w:rPr>
                <w:rFonts w:hint="eastAsia" w:ascii="宋体" w:hAnsi="宋体" w:eastAsia="宋体" w:cs="宋体"/>
                <w:b/>
                <w:color w:val="auto"/>
                <w:sz w:val="21"/>
                <w:szCs w:val="21"/>
                <w:highlight w:val="none"/>
              </w:rPr>
            </w:pPr>
            <w:r>
              <w:rPr>
                <w:rFonts w:hint="eastAsia" w:ascii="宋体" w:hAnsi="宋体" w:eastAsia="宋体" w:cs="宋体"/>
                <w:bCs/>
                <w:color w:val="auto"/>
                <w:sz w:val="21"/>
                <w:szCs w:val="21"/>
                <w:highlight w:val="none"/>
              </w:rPr>
              <w:t>☑</w:t>
            </w:r>
            <w:r>
              <w:rPr>
                <w:rFonts w:hint="eastAsia" w:ascii="宋体" w:hAnsi="宋体" w:eastAsia="宋体" w:cs="宋体"/>
                <w:color w:val="auto"/>
                <w:sz w:val="21"/>
                <w:szCs w:val="21"/>
                <w:highlight w:val="none"/>
              </w:rPr>
              <w:t>随机排序。</w:t>
            </w:r>
          </w:p>
        </w:tc>
      </w:tr>
      <w:tr w14:paraId="6B95E0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9" w:type="dxa"/>
            <w:noWrap w:val="0"/>
            <w:vAlign w:val="center"/>
          </w:tcPr>
          <w:p w14:paraId="0D95C82F">
            <w:pPr>
              <w:keepNext w:val="0"/>
              <w:keepLines w:val="0"/>
              <w:pageBreakBefore w:val="0"/>
              <w:kinsoku/>
              <w:wordWrap/>
              <w:overflowPunct/>
              <w:topLinePunct w:val="0"/>
              <w:autoSpaceDE/>
              <w:autoSpaceDN/>
              <w:bidi w:val="0"/>
              <w:adjustRightIn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28</w:t>
            </w:r>
          </w:p>
        </w:tc>
        <w:tc>
          <w:tcPr>
            <w:tcW w:w="2427" w:type="dxa"/>
            <w:noWrap w:val="0"/>
            <w:vAlign w:val="center"/>
          </w:tcPr>
          <w:p w14:paraId="18205300">
            <w:pPr>
              <w:keepNext w:val="0"/>
              <w:keepLines w:val="0"/>
              <w:pageBreakBefore w:val="0"/>
              <w:kinsoku/>
              <w:wordWrap/>
              <w:overflowPunct/>
              <w:topLinePunct w:val="0"/>
              <w:autoSpaceDE/>
              <w:autoSpaceDN/>
              <w:bidi w:val="0"/>
              <w:adjustRightIn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履约保证金</w:t>
            </w:r>
          </w:p>
        </w:tc>
        <w:tc>
          <w:tcPr>
            <w:tcW w:w="6644" w:type="dxa"/>
            <w:noWrap w:val="0"/>
            <w:vAlign w:val="center"/>
          </w:tcPr>
          <w:p w14:paraId="08F4EB5C">
            <w:pPr>
              <w:keepNext w:val="0"/>
              <w:keepLines w:val="0"/>
              <w:pageBreakBefore w:val="0"/>
              <w:kinsoku/>
              <w:wordWrap/>
              <w:overflowPunct/>
              <w:topLinePunct w:val="0"/>
              <w:autoSpaceDE/>
              <w:autoSpaceDN/>
              <w:bidi w:val="0"/>
              <w:adjustRightInd/>
              <w:snapToGrid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本项目不收取履约保证金 </w:t>
            </w:r>
          </w:p>
        </w:tc>
      </w:tr>
      <w:tr w14:paraId="42F6F0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9" w:type="dxa"/>
            <w:noWrap w:val="0"/>
            <w:vAlign w:val="center"/>
          </w:tcPr>
          <w:p w14:paraId="0E52C137">
            <w:pPr>
              <w:keepNext w:val="0"/>
              <w:keepLines w:val="0"/>
              <w:pageBreakBefore w:val="0"/>
              <w:kinsoku/>
              <w:wordWrap/>
              <w:overflowPunct/>
              <w:topLinePunct w:val="0"/>
              <w:autoSpaceDE/>
              <w:autoSpaceDN/>
              <w:bidi w:val="0"/>
              <w:adjustRightIn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29.5</w:t>
            </w:r>
          </w:p>
        </w:tc>
        <w:tc>
          <w:tcPr>
            <w:tcW w:w="2427" w:type="dxa"/>
            <w:noWrap w:val="0"/>
            <w:vAlign w:val="center"/>
          </w:tcPr>
          <w:p w14:paraId="6AEA1F51">
            <w:pPr>
              <w:keepNext w:val="0"/>
              <w:keepLines w:val="0"/>
              <w:pageBreakBefore w:val="0"/>
              <w:kinsoku/>
              <w:wordWrap/>
              <w:overflowPunct/>
              <w:topLinePunct w:val="0"/>
              <w:autoSpaceDE/>
              <w:autoSpaceDN/>
              <w:bidi w:val="0"/>
              <w:adjustRightIn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签订合同携带的材料</w:t>
            </w:r>
          </w:p>
        </w:tc>
        <w:tc>
          <w:tcPr>
            <w:tcW w:w="6644" w:type="dxa"/>
            <w:noWrap w:val="0"/>
            <w:vAlign w:val="center"/>
          </w:tcPr>
          <w:p w14:paraId="340D9EAF">
            <w:pPr>
              <w:keepNext w:val="0"/>
              <w:keepLines w:val="0"/>
              <w:pageBreakBefore w:val="0"/>
              <w:kinsoku/>
              <w:wordWrap/>
              <w:overflowPunct/>
              <w:topLinePunct w:val="0"/>
              <w:autoSpaceDE/>
              <w:autoSpaceDN/>
              <w:bidi w:val="0"/>
              <w:adjustRightInd/>
              <w:snapToGrid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使用的有效CA证书加盖单位电子公章</w:t>
            </w:r>
          </w:p>
        </w:tc>
      </w:tr>
      <w:tr w14:paraId="55BE68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9" w:type="dxa"/>
            <w:vMerge w:val="restart"/>
            <w:noWrap w:val="0"/>
            <w:vAlign w:val="center"/>
          </w:tcPr>
          <w:p w14:paraId="238C12D1">
            <w:pPr>
              <w:keepNext w:val="0"/>
              <w:keepLines w:val="0"/>
              <w:pageBreakBefore w:val="0"/>
              <w:kinsoku/>
              <w:wordWrap/>
              <w:overflowPunct/>
              <w:topLinePunct w:val="0"/>
              <w:autoSpaceDE/>
              <w:autoSpaceDN/>
              <w:bidi w:val="0"/>
              <w:adjustRightIn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31.2</w:t>
            </w:r>
          </w:p>
        </w:tc>
        <w:tc>
          <w:tcPr>
            <w:tcW w:w="2427" w:type="dxa"/>
            <w:noWrap w:val="0"/>
            <w:vAlign w:val="center"/>
          </w:tcPr>
          <w:p w14:paraId="0B75A692">
            <w:pPr>
              <w:keepNext w:val="0"/>
              <w:keepLines w:val="0"/>
              <w:pageBreakBefore w:val="0"/>
              <w:kinsoku/>
              <w:wordWrap/>
              <w:overflowPunct/>
              <w:topLinePunct w:val="0"/>
              <w:autoSpaceDE/>
              <w:autoSpaceDN/>
              <w:bidi w:val="0"/>
              <w:adjustRightIn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接收质疑函方式</w:t>
            </w:r>
          </w:p>
        </w:tc>
        <w:tc>
          <w:tcPr>
            <w:tcW w:w="6644" w:type="dxa"/>
            <w:noWrap w:val="0"/>
            <w:vAlign w:val="center"/>
          </w:tcPr>
          <w:p w14:paraId="31417793">
            <w:pPr>
              <w:keepNext w:val="0"/>
              <w:keepLines w:val="0"/>
              <w:pageBreakBefore w:val="0"/>
              <w:kinsoku/>
              <w:wordWrap/>
              <w:overflowPunct/>
              <w:topLinePunct w:val="0"/>
              <w:autoSpaceDE/>
              <w:autoSpaceDN/>
              <w:bidi w:val="0"/>
              <w:adjustRightInd/>
              <w:snapToGrid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以书面形式</w:t>
            </w:r>
          </w:p>
        </w:tc>
      </w:tr>
      <w:tr w14:paraId="047544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9" w:type="dxa"/>
            <w:vMerge w:val="continue"/>
            <w:noWrap w:val="0"/>
            <w:vAlign w:val="center"/>
          </w:tcPr>
          <w:p w14:paraId="04567D28">
            <w:pPr>
              <w:keepNext w:val="0"/>
              <w:keepLines w:val="0"/>
              <w:pageBreakBefore w:val="0"/>
              <w:kinsoku/>
              <w:wordWrap/>
              <w:overflowPunct/>
              <w:topLinePunct w:val="0"/>
              <w:autoSpaceDE/>
              <w:autoSpaceDN/>
              <w:bidi w:val="0"/>
              <w:adjustRightInd/>
              <w:spacing w:line="400" w:lineRule="exact"/>
              <w:jc w:val="center"/>
              <w:textAlignment w:val="auto"/>
              <w:rPr>
                <w:rFonts w:hint="eastAsia" w:ascii="宋体" w:hAnsi="宋体" w:eastAsia="宋体" w:cs="宋体"/>
                <w:color w:val="auto"/>
                <w:sz w:val="21"/>
                <w:szCs w:val="21"/>
                <w:highlight w:val="none"/>
              </w:rPr>
            </w:pPr>
          </w:p>
        </w:tc>
        <w:tc>
          <w:tcPr>
            <w:tcW w:w="2427" w:type="dxa"/>
            <w:noWrap w:val="0"/>
            <w:vAlign w:val="center"/>
          </w:tcPr>
          <w:p w14:paraId="6AD12951">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质疑联系部门及联系方式</w:t>
            </w:r>
          </w:p>
        </w:tc>
        <w:tc>
          <w:tcPr>
            <w:tcW w:w="6644" w:type="dxa"/>
            <w:noWrap w:val="0"/>
            <w:vAlign w:val="center"/>
          </w:tcPr>
          <w:p w14:paraId="52E1BB61">
            <w:pPr>
              <w:keepNext w:val="0"/>
              <w:keepLines w:val="0"/>
              <w:pageBreakBefore w:val="0"/>
              <w:kinsoku/>
              <w:wordWrap/>
              <w:overflowPunct/>
              <w:topLinePunct w:val="0"/>
              <w:autoSpaceDE/>
              <w:autoSpaceDN/>
              <w:bidi w:val="0"/>
              <w:adjustRightInd/>
              <w:snapToGrid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（1）</w:t>
            </w:r>
            <w:r>
              <w:rPr>
                <w:rFonts w:hint="eastAsia" w:ascii="宋体" w:hAnsi="宋体" w:eastAsia="宋体" w:cs="宋体"/>
                <w:color w:val="auto"/>
                <w:sz w:val="21"/>
                <w:szCs w:val="21"/>
                <w:highlight w:val="none"/>
                <w:u w:val="single"/>
                <w:lang w:eastAsia="zh-CN"/>
              </w:rPr>
              <w:t>广西同泽工程项目管理股份有限公司</w:t>
            </w:r>
            <w:r>
              <w:rPr>
                <w:rFonts w:hint="eastAsia" w:ascii="宋体" w:hAnsi="宋体" w:eastAsia="宋体" w:cs="宋体"/>
                <w:color w:val="auto"/>
                <w:sz w:val="21"/>
                <w:szCs w:val="21"/>
                <w:highlight w:val="none"/>
                <w:u w:val="single"/>
                <w:lang w:val="en-US" w:eastAsia="zh-CN"/>
              </w:rPr>
              <w:t xml:space="preserve"> </w:t>
            </w:r>
          </w:p>
          <w:p w14:paraId="4FF9F262">
            <w:pPr>
              <w:keepNext w:val="0"/>
              <w:keepLines w:val="0"/>
              <w:pageBreakBefore w:val="0"/>
              <w:kinsoku/>
              <w:wordWrap/>
              <w:overflowPunct/>
              <w:topLinePunct w:val="0"/>
              <w:autoSpaceDE/>
              <w:autoSpaceDN/>
              <w:bidi w:val="0"/>
              <w:adjustRightInd/>
              <w:snapToGrid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w:t>
            </w:r>
            <w:r>
              <w:rPr>
                <w:rFonts w:hint="eastAsia" w:ascii="宋体" w:hAnsi="宋体" w:cs="宋体"/>
                <w:color w:val="auto"/>
                <w:kern w:val="0"/>
                <w:szCs w:val="21"/>
                <w:highlight w:val="none"/>
              </w:rPr>
              <w:t>0771-</w:t>
            </w:r>
            <w:r>
              <w:rPr>
                <w:rFonts w:hint="eastAsia" w:ascii="宋体" w:hAnsi="宋体" w:cs="宋体"/>
                <w:color w:val="auto"/>
                <w:szCs w:val="21"/>
                <w:highlight w:val="none"/>
              </w:rPr>
              <w:t>5590176</w:t>
            </w:r>
            <w:r>
              <w:rPr>
                <w:rFonts w:hint="eastAsia" w:ascii="宋体" w:hAnsi="宋体" w:eastAsia="宋体" w:cs="宋体"/>
                <w:color w:val="auto"/>
                <w:sz w:val="21"/>
                <w:szCs w:val="21"/>
                <w:highlight w:val="none"/>
              </w:rPr>
              <w:t>，</w:t>
            </w:r>
          </w:p>
          <w:p w14:paraId="5FFF1E49">
            <w:pPr>
              <w:keepNext w:val="0"/>
              <w:keepLines w:val="0"/>
              <w:pageBreakBefore w:val="0"/>
              <w:kinsoku/>
              <w:wordWrap/>
              <w:overflowPunct/>
              <w:topLinePunct w:val="0"/>
              <w:autoSpaceDE/>
              <w:autoSpaceDN/>
              <w:bidi w:val="0"/>
              <w:adjustRightInd/>
              <w:snapToGrid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通讯地址：</w:t>
            </w:r>
            <w:r>
              <w:rPr>
                <w:rFonts w:hint="eastAsia" w:ascii="宋体" w:hAnsi="宋体" w:cs="宋体"/>
                <w:color w:val="auto"/>
                <w:szCs w:val="21"/>
                <w:highlight w:val="none"/>
              </w:rPr>
              <w:t>广西南宁市良庆区凯旋路16号广西裕达集团南宁五象总部基地广东大厦十八楼</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11E1E588">
            <w:pPr>
              <w:keepNext w:val="0"/>
              <w:keepLines w:val="0"/>
              <w:pageBreakBefore w:val="0"/>
              <w:kinsoku/>
              <w:wordWrap/>
              <w:overflowPunct/>
              <w:topLinePunct w:val="0"/>
              <w:autoSpaceDE/>
              <w:autoSpaceDN/>
              <w:bidi w:val="0"/>
              <w:adjustRightInd/>
              <w:snapToGrid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（2）</w:t>
            </w:r>
            <w:r>
              <w:rPr>
                <w:rFonts w:hint="eastAsia" w:ascii="宋体" w:hAnsi="宋体"/>
                <w:color w:val="auto"/>
                <w:szCs w:val="21"/>
                <w:highlight w:val="none"/>
                <w:u w:val="single"/>
                <w:lang w:eastAsia="zh-CN"/>
              </w:rPr>
              <w:t>横州市马岭镇人民政府</w:t>
            </w:r>
          </w:p>
          <w:p w14:paraId="68C3F196">
            <w:pPr>
              <w:keepNext w:val="0"/>
              <w:keepLines w:val="0"/>
              <w:pageBreakBefore w:val="0"/>
              <w:kinsoku/>
              <w:wordWrap/>
              <w:overflowPunct/>
              <w:topLinePunct w:val="0"/>
              <w:autoSpaceDE/>
              <w:autoSpaceDN/>
              <w:bidi w:val="0"/>
              <w:adjustRightInd/>
              <w:snapToGrid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u w:val="none"/>
              </w:rPr>
              <w:t>：</w:t>
            </w:r>
            <w:r>
              <w:rPr>
                <w:rFonts w:hint="eastAsia" w:ascii="宋体" w:hAnsi="宋体" w:eastAsia="宋体" w:cs="宋体"/>
                <w:color w:val="auto"/>
                <w:sz w:val="21"/>
                <w:szCs w:val="21"/>
                <w:highlight w:val="none"/>
                <w:u w:val="single"/>
                <w:lang w:val="en-US" w:eastAsia="zh-CN"/>
              </w:rPr>
              <w:t xml:space="preserve"> 0771-7421228</w:t>
            </w:r>
          </w:p>
          <w:p w14:paraId="47234634">
            <w:pPr>
              <w:keepNext w:val="0"/>
              <w:keepLines w:val="0"/>
              <w:pageBreakBefore w:val="0"/>
              <w:kinsoku/>
              <w:wordWrap/>
              <w:overflowPunct/>
              <w:topLinePunct w:val="0"/>
              <w:autoSpaceDE/>
              <w:autoSpaceDN/>
              <w:bidi w:val="0"/>
              <w:adjustRightInd/>
              <w:snapToGrid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通讯地址：</w:t>
            </w:r>
            <w:r>
              <w:rPr>
                <w:rFonts w:hint="eastAsia" w:ascii="宋体" w:hAnsi="宋体" w:eastAsia="宋体" w:cs="宋体"/>
                <w:color w:val="auto"/>
                <w:sz w:val="21"/>
                <w:szCs w:val="21"/>
                <w:highlight w:val="none"/>
                <w:u w:val="single"/>
              </w:rPr>
              <w:t xml:space="preserve"> 横州市马岭镇城西区251号</w:t>
            </w:r>
          </w:p>
        </w:tc>
      </w:tr>
      <w:tr w14:paraId="57E993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9" w:type="dxa"/>
            <w:vMerge w:val="continue"/>
            <w:noWrap w:val="0"/>
            <w:vAlign w:val="center"/>
          </w:tcPr>
          <w:p w14:paraId="24028ABE">
            <w:pPr>
              <w:keepNext w:val="0"/>
              <w:keepLines w:val="0"/>
              <w:pageBreakBefore w:val="0"/>
              <w:kinsoku/>
              <w:wordWrap/>
              <w:overflowPunct/>
              <w:topLinePunct w:val="0"/>
              <w:autoSpaceDE/>
              <w:autoSpaceDN/>
              <w:bidi w:val="0"/>
              <w:adjustRightInd/>
              <w:spacing w:line="400" w:lineRule="exact"/>
              <w:jc w:val="center"/>
              <w:textAlignment w:val="auto"/>
              <w:rPr>
                <w:rFonts w:hint="eastAsia" w:ascii="宋体" w:hAnsi="宋体" w:eastAsia="宋体" w:cs="宋体"/>
                <w:color w:val="auto"/>
                <w:sz w:val="21"/>
                <w:szCs w:val="21"/>
                <w:highlight w:val="none"/>
              </w:rPr>
            </w:pPr>
          </w:p>
        </w:tc>
        <w:tc>
          <w:tcPr>
            <w:tcW w:w="2427" w:type="dxa"/>
            <w:noWrap w:val="0"/>
            <w:vAlign w:val="center"/>
          </w:tcPr>
          <w:p w14:paraId="1DE88B51">
            <w:pPr>
              <w:keepNext w:val="0"/>
              <w:keepLines w:val="0"/>
              <w:pageBreakBefore w:val="0"/>
              <w:kinsoku/>
              <w:wordWrap/>
              <w:overflowPunct/>
              <w:topLinePunct w:val="0"/>
              <w:autoSpaceDE/>
              <w:autoSpaceDN/>
              <w:bidi w:val="0"/>
              <w:adjustRightIn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现场提交质疑办理业务时间</w:t>
            </w:r>
          </w:p>
        </w:tc>
        <w:tc>
          <w:tcPr>
            <w:tcW w:w="6644" w:type="dxa"/>
            <w:noWrap w:val="0"/>
            <w:vAlign w:val="center"/>
          </w:tcPr>
          <w:p w14:paraId="6BE46397">
            <w:pPr>
              <w:keepNext w:val="0"/>
              <w:keepLines w:val="0"/>
              <w:pageBreakBefore w:val="0"/>
              <w:kinsoku/>
              <w:wordWrap/>
              <w:overflowPunct/>
              <w:topLinePunct w:val="0"/>
              <w:autoSpaceDE/>
              <w:autoSpaceDN/>
              <w:bidi w:val="0"/>
              <w:adjustRightInd/>
              <w:snapToGrid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质疑期内每个工作日</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9</w:t>
            </w:r>
            <w:r>
              <w:rPr>
                <w:rFonts w:hint="eastAsia" w:ascii="宋体" w:hAnsi="宋体" w:eastAsia="宋体" w:cs="宋体"/>
                <w:color w:val="auto"/>
                <w:sz w:val="21"/>
                <w:szCs w:val="21"/>
                <w:highlight w:val="none"/>
              </w:rPr>
              <w:t>时</w:t>
            </w:r>
            <w:r>
              <w:rPr>
                <w:rFonts w:hint="eastAsia" w:ascii="宋体" w:hAnsi="宋体" w:eastAsia="宋体" w:cs="宋体"/>
                <w:color w:val="auto"/>
                <w:sz w:val="21"/>
                <w:szCs w:val="21"/>
                <w:highlight w:val="none"/>
                <w:u w:val="single"/>
                <w:lang w:val="en-US" w:eastAsia="zh-CN"/>
              </w:rPr>
              <w:t>0</w:t>
            </w:r>
            <w:r>
              <w:rPr>
                <w:rFonts w:hint="eastAsia" w:ascii="宋体" w:hAnsi="宋体" w:eastAsia="宋体" w:cs="宋体"/>
                <w:color w:val="auto"/>
                <w:sz w:val="21"/>
                <w:szCs w:val="21"/>
                <w:highlight w:val="none"/>
                <w:u w:val="single"/>
              </w:rPr>
              <w:t>0</w:t>
            </w:r>
            <w:r>
              <w:rPr>
                <w:rFonts w:hint="eastAsia" w:ascii="宋体" w:hAnsi="宋体" w:eastAsia="宋体" w:cs="宋体"/>
                <w:color w:val="auto"/>
                <w:sz w:val="21"/>
                <w:szCs w:val="21"/>
                <w:highlight w:val="none"/>
              </w:rPr>
              <w:t>分到</w:t>
            </w:r>
            <w:r>
              <w:rPr>
                <w:rFonts w:hint="eastAsia" w:ascii="宋体" w:hAnsi="宋体" w:eastAsia="宋体" w:cs="宋体"/>
                <w:color w:val="auto"/>
                <w:sz w:val="21"/>
                <w:szCs w:val="21"/>
                <w:highlight w:val="none"/>
                <w:u w:val="single"/>
              </w:rPr>
              <w:t xml:space="preserve"> 12</w:t>
            </w:r>
            <w:r>
              <w:rPr>
                <w:rFonts w:hint="eastAsia" w:ascii="宋体" w:hAnsi="宋体" w:eastAsia="宋体" w:cs="宋体"/>
                <w:color w:val="auto"/>
                <w:sz w:val="21"/>
                <w:szCs w:val="21"/>
                <w:highlight w:val="none"/>
              </w:rPr>
              <w:t>时</w:t>
            </w:r>
            <w:r>
              <w:rPr>
                <w:rFonts w:hint="eastAsia" w:ascii="宋体" w:hAnsi="宋体" w:eastAsia="宋体" w:cs="宋体"/>
                <w:color w:val="auto"/>
                <w:sz w:val="21"/>
                <w:szCs w:val="21"/>
                <w:highlight w:val="none"/>
                <w:u w:val="single"/>
              </w:rPr>
              <w:t>00</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u w:val="single"/>
                <w:lang w:val="en-US" w:eastAsia="zh-CN"/>
              </w:rPr>
              <w:t>14</w:t>
            </w:r>
            <w:r>
              <w:rPr>
                <w:rFonts w:hint="eastAsia" w:ascii="宋体" w:hAnsi="宋体" w:eastAsia="宋体" w:cs="宋体"/>
                <w:color w:val="auto"/>
                <w:sz w:val="21"/>
                <w:szCs w:val="21"/>
                <w:highlight w:val="none"/>
              </w:rPr>
              <w:t>时</w:t>
            </w:r>
            <w:r>
              <w:rPr>
                <w:rFonts w:hint="eastAsia" w:ascii="宋体" w:hAnsi="宋体" w:eastAsia="宋体" w:cs="宋体"/>
                <w:color w:val="auto"/>
                <w:sz w:val="21"/>
                <w:szCs w:val="21"/>
                <w:highlight w:val="none"/>
                <w:u w:val="single"/>
                <w:lang w:val="en-US" w:eastAsia="zh-CN"/>
              </w:rPr>
              <w:t>3</w:t>
            </w:r>
            <w:r>
              <w:rPr>
                <w:rFonts w:hint="eastAsia" w:ascii="宋体" w:hAnsi="宋体" w:eastAsia="宋体" w:cs="宋体"/>
                <w:color w:val="auto"/>
                <w:sz w:val="21"/>
                <w:szCs w:val="21"/>
                <w:highlight w:val="none"/>
                <w:u w:val="single"/>
              </w:rPr>
              <w:t>0</w:t>
            </w:r>
            <w:r>
              <w:rPr>
                <w:rFonts w:hint="eastAsia" w:ascii="宋体" w:hAnsi="宋体" w:eastAsia="宋体" w:cs="宋体"/>
                <w:color w:val="auto"/>
                <w:sz w:val="21"/>
                <w:szCs w:val="21"/>
                <w:highlight w:val="none"/>
              </w:rPr>
              <w:t>分到</w:t>
            </w:r>
            <w:r>
              <w:rPr>
                <w:rFonts w:hint="eastAsia" w:ascii="宋体" w:hAnsi="宋体" w:eastAsia="宋体" w:cs="宋体"/>
                <w:color w:val="auto"/>
                <w:sz w:val="21"/>
                <w:szCs w:val="21"/>
                <w:highlight w:val="none"/>
                <w:u w:val="single"/>
                <w:lang w:val="en-US" w:eastAsia="zh-CN"/>
              </w:rPr>
              <w:t>17</w:t>
            </w:r>
            <w:r>
              <w:rPr>
                <w:rFonts w:hint="eastAsia" w:ascii="宋体" w:hAnsi="宋体" w:eastAsia="宋体" w:cs="宋体"/>
                <w:color w:val="auto"/>
                <w:sz w:val="21"/>
                <w:szCs w:val="21"/>
                <w:highlight w:val="none"/>
              </w:rPr>
              <w:t>时</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3</w:t>
            </w:r>
            <w:r>
              <w:rPr>
                <w:rFonts w:hint="eastAsia" w:ascii="宋体" w:hAnsi="宋体" w:eastAsia="宋体" w:cs="宋体"/>
                <w:color w:val="auto"/>
                <w:sz w:val="21"/>
                <w:szCs w:val="21"/>
                <w:highlight w:val="none"/>
                <w:u w:val="single"/>
              </w:rPr>
              <w:t xml:space="preserve">0 </w:t>
            </w:r>
            <w:r>
              <w:rPr>
                <w:rFonts w:hint="eastAsia" w:ascii="宋体" w:hAnsi="宋体" w:eastAsia="宋体" w:cs="宋体"/>
                <w:color w:val="auto"/>
                <w:sz w:val="21"/>
                <w:szCs w:val="21"/>
                <w:highlight w:val="none"/>
              </w:rPr>
              <w:t>分</w:t>
            </w:r>
          </w:p>
        </w:tc>
      </w:tr>
      <w:tr w14:paraId="4B7530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9" w:type="dxa"/>
            <w:noWrap w:val="0"/>
            <w:vAlign w:val="center"/>
          </w:tcPr>
          <w:p w14:paraId="56E87FE5">
            <w:pPr>
              <w:keepNext w:val="0"/>
              <w:keepLines w:val="0"/>
              <w:pageBreakBefore w:val="0"/>
              <w:kinsoku/>
              <w:wordWrap/>
              <w:overflowPunct/>
              <w:topLinePunct w:val="0"/>
              <w:autoSpaceDE/>
              <w:autoSpaceDN/>
              <w:bidi w:val="0"/>
              <w:adjustRightIn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31.6</w:t>
            </w:r>
          </w:p>
        </w:tc>
        <w:tc>
          <w:tcPr>
            <w:tcW w:w="2427" w:type="dxa"/>
            <w:noWrap w:val="0"/>
            <w:vAlign w:val="center"/>
          </w:tcPr>
          <w:p w14:paraId="02B03278">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投诉受理方式</w:t>
            </w:r>
          </w:p>
        </w:tc>
        <w:tc>
          <w:tcPr>
            <w:tcW w:w="6644" w:type="dxa"/>
            <w:noWrap w:val="0"/>
            <w:vAlign w:val="center"/>
          </w:tcPr>
          <w:p w14:paraId="7363BC90">
            <w:pPr>
              <w:keepNext w:val="0"/>
              <w:keepLines w:val="0"/>
              <w:pageBreakBefore w:val="0"/>
              <w:kinsoku/>
              <w:wordWrap/>
              <w:overflowPunct/>
              <w:topLinePunct w:val="0"/>
              <w:autoSpaceDE/>
              <w:autoSpaceDN/>
              <w:bidi w:val="0"/>
              <w:adjustRightInd/>
              <w:snapToGrid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1、受理方式：纸质方式受理，投诉书正、副本（经过质疑的事项才可投诉）。</w:t>
            </w:r>
          </w:p>
          <w:p w14:paraId="7FA62C74">
            <w:pPr>
              <w:keepNext w:val="0"/>
              <w:keepLines w:val="0"/>
              <w:pageBreakBefore w:val="0"/>
              <w:kinsoku/>
              <w:wordWrap/>
              <w:overflowPunct/>
              <w:topLinePunct w:val="0"/>
              <w:autoSpaceDE/>
              <w:autoSpaceDN/>
              <w:bidi w:val="0"/>
              <w:adjustRightInd/>
              <w:snapToGrid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2、邮寄地址：</w:t>
            </w:r>
          </w:p>
          <w:p w14:paraId="67FA4A0F">
            <w:pPr>
              <w:keepNext w:val="0"/>
              <w:keepLines w:val="0"/>
              <w:pageBreakBefore w:val="0"/>
              <w:kinsoku/>
              <w:wordWrap/>
              <w:overflowPunct/>
              <w:topLinePunct w:val="0"/>
              <w:autoSpaceDE/>
              <w:autoSpaceDN/>
              <w:bidi w:val="0"/>
              <w:adjustRightInd/>
              <w:snapToGrid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名称：横州市财政局政府采购监督管理办公室</w:t>
            </w:r>
          </w:p>
          <w:p w14:paraId="154CBE1C">
            <w:pPr>
              <w:keepNext w:val="0"/>
              <w:keepLines w:val="0"/>
              <w:pageBreakBefore w:val="0"/>
              <w:kinsoku/>
              <w:wordWrap/>
              <w:overflowPunct/>
              <w:topLinePunct w:val="0"/>
              <w:autoSpaceDE/>
              <w:autoSpaceDN/>
              <w:bidi w:val="0"/>
              <w:adjustRightInd/>
              <w:snapToGrid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地址：横州市横州镇柳明路022号</w:t>
            </w:r>
          </w:p>
          <w:p w14:paraId="4A57AD0B">
            <w:pPr>
              <w:keepNext w:val="0"/>
              <w:keepLines w:val="0"/>
              <w:pageBreakBefore w:val="0"/>
              <w:kinsoku/>
              <w:wordWrap/>
              <w:overflowPunct/>
              <w:topLinePunct w:val="0"/>
              <w:autoSpaceDE/>
              <w:autoSpaceDN/>
              <w:bidi w:val="0"/>
              <w:adjustRightInd/>
              <w:snapToGrid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联系电话：0771-7233567 </w:t>
            </w:r>
          </w:p>
        </w:tc>
      </w:tr>
      <w:tr w14:paraId="36F41A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9" w:type="dxa"/>
            <w:noWrap w:val="0"/>
            <w:vAlign w:val="center"/>
          </w:tcPr>
          <w:p w14:paraId="5AAA2FAB">
            <w:pPr>
              <w:keepNext w:val="0"/>
              <w:keepLines w:val="0"/>
              <w:pageBreakBefore w:val="0"/>
              <w:kinsoku/>
              <w:wordWrap/>
              <w:overflowPunct/>
              <w:topLinePunct w:val="0"/>
              <w:autoSpaceDE/>
              <w:autoSpaceDN/>
              <w:bidi w:val="0"/>
              <w:adjustRightIn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w:t>
            </w:r>
          </w:p>
        </w:tc>
        <w:tc>
          <w:tcPr>
            <w:tcW w:w="2427" w:type="dxa"/>
            <w:noWrap w:val="0"/>
            <w:vAlign w:val="center"/>
          </w:tcPr>
          <w:p w14:paraId="38B04AF3">
            <w:pPr>
              <w:keepNext w:val="0"/>
              <w:keepLines w:val="0"/>
              <w:pageBreakBefore w:val="0"/>
              <w:kinsoku/>
              <w:wordWrap/>
              <w:overflowPunct/>
              <w:topLinePunct w:val="0"/>
              <w:autoSpaceDE/>
              <w:autoSpaceDN/>
              <w:bidi w:val="0"/>
              <w:adjustRightIn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采购代理费</w:t>
            </w:r>
          </w:p>
        </w:tc>
        <w:tc>
          <w:tcPr>
            <w:tcW w:w="6644" w:type="dxa"/>
            <w:noWrap w:val="0"/>
            <w:vAlign w:val="center"/>
          </w:tcPr>
          <w:p w14:paraId="7CB6CE91">
            <w:pPr>
              <w:pStyle w:val="15"/>
              <w:keepNext w:val="0"/>
              <w:keepLines w:val="0"/>
              <w:pageBreakBefore w:val="0"/>
              <w:kinsoku/>
              <w:wordWrap/>
              <w:overflowPunct/>
              <w:topLinePunct w:val="0"/>
              <w:autoSpaceDE/>
              <w:autoSpaceDN/>
              <w:bidi w:val="0"/>
              <w:adjustRightInd/>
              <w:snapToGrid w:val="0"/>
              <w:spacing w:line="4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 是否收取采购代理费：</w:t>
            </w:r>
          </w:p>
          <w:p w14:paraId="1D6F0D30">
            <w:pPr>
              <w:pStyle w:val="15"/>
              <w:keepNext w:val="0"/>
              <w:keepLines w:val="0"/>
              <w:pageBreakBefore w:val="0"/>
              <w:kinsoku/>
              <w:wordWrap/>
              <w:overflowPunct/>
              <w:topLinePunct w:val="0"/>
              <w:autoSpaceDE/>
              <w:autoSpaceDN/>
              <w:bidi w:val="0"/>
              <w:adjustRightInd/>
              <w:snapToGrid w:val="0"/>
              <w:spacing w:line="4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☑是    □ 否</w:t>
            </w:r>
          </w:p>
          <w:p w14:paraId="727FD265">
            <w:pPr>
              <w:pStyle w:val="15"/>
              <w:keepNext w:val="0"/>
              <w:keepLines w:val="0"/>
              <w:pageBreakBefore w:val="0"/>
              <w:kinsoku/>
              <w:wordWrap/>
              <w:overflowPunct/>
              <w:topLinePunct w:val="0"/>
              <w:autoSpaceDE/>
              <w:autoSpaceDN/>
              <w:bidi w:val="0"/>
              <w:adjustRightInd/>
              <w:snapToGrid w:val="0"/>
              <w:spacing w:line="4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2.采购代理费支付方式：</w:t>
            </w:r>
          </w:p>
          <w:p w14:paraId="4DA247CF">
            <w:pPr>
              <w:pStyle w:val="15"/>
              <w:keepNext w:val="0"/>
              <w:keepLines w:val="0"/>
              <w:pageBreakBefore w:val="0"/>
              <w:kinsoku/>
              <w:wordWrap/>
              <w:overflowPunct/>
              <w:topLinePunct w:val="0"/>
              <w:autoSpaceDE/>
              <w:autoSpaceDN/>
              <w:bidi w:val="0"/>
              <w:adjustRightInd/>
              <w:snapToGrid w:val="0"/>
              <w:spacing w:line="4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☑本项目代理服务费由</w:t>
            </w:r>
            <w:r>
              <w:rPr>
                <w:rFonts w:hint="eastAsia" w:ascii="宋体" w:hAnsi="宋体" w:eastAsia="宋体" w:cs="宋体"/>
                <w:color w:val="auto"/>
                <w:sz w:val="21"/>
                <w:szCs w:val="21"/>
                <w:highlight w:val="none"/>
                <w:u w:val="single"/>
                <w:lang w:val="en-US" w:eastAsia="zh-CN"/>
              </w:rPr>
              <w:t>成交供应商</w:t>
            </w:r>
            <w:r>
              <w:rPr>
                <w:rFonts w:hint="eastAsia" w:ascii="宋体" w:hAnsi="宋体" w:eastAsia="宋体" w:cs="宋体"/>
                <w:color w:val="auto"/>
                <w:sz w:val="21"/>
                <w:szCs w:val="21"/>
                <w:highlight w:val="none"/>
                <w:lang w:val="en-US" w:eastAsia="zh-CN"/>
              </w:rPr>
              <w:t>领取成交通知书前，一次性向采购代理机构支付。</w:t>
            </w:r>
          </w:p>
          <w:p w14:paraId="14D8FFAE">
            <w:pPr>
              <w:pStyle w:val="15"/>
              <w:keepNext w:val="0"/>
              <w:keepLines w:val="0"/>
              <w:pageBreakBefore w:val="0"/>
              <w:kinsoku/>
              <w:wordWrap/>
              <w:overflowPunct/>
              <w:topLinePunct w:val="0"/>
              <w:autoSpaceDE/>
              <w:autoSpaceDN/>
              <w:bidi w:val="0"/>
              <w:adjustRightInd/>
              <w:snapToGrid w:val="0"/>
              <w:spacing w:line="4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□采购人支付。</w:t>
            </w:r>
          </w:p>
          <w:p w14:paraId="575BC16A">
            <w:pPr>
              <w:pStyle w:val="15"/>
              <w:keepNext w:val="0"/>
              <w:keepLines w:val="0"/>
              <w:pageBreakBefore w:val="0"/>
              <w:kinsoku/>
              <w:wordWrap/>
              <w:overflowPunct/>
              <w:topLinePunct w:val="0"/>
              <w:autoSpaceDE/>
              <w:autoSpaceDN/>
              <w:bidi w:val="0"/>
              <w:adjustRightInd/>
              <w:snapToGrid w:val="0"/>
              <w:spacing w:line="4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采购代理费收取标准：委托代理服务费按《招标代理服务收费管理暂行办法》（计价格[2002]1980号）、《国家发展改革委关于降低部分建设项目收费标准规范收费行为等有关问题的通知》（发改价格[2011]534号）文件规定（对应货物类□、工程类☑、服务类□）收费标准计取，由中标人（成交供应商）支付。</w:t>
            </w:r>
          </w:p>
          <w:p w14:paraId="41ABCCC8">
            <w:pPr>
              <w:pStyle w:val="15"/>
              <w:keepNext w:val="0"/>
              <w:keepLines w:val="0"/>
              <w:pageBreakBefore w:val="0"/>
              <w:kinsoku/>
              <w:wordWrap/>
              <w:overflowPunct/>
              <w:topLinePunct w:val="0"/>
              <w:autoSpaceDE/>
              <w:autoSpaceDN/>
              <w:bidi w:val="0"/>
              <w:adjustRightInd/>
              <w:snapToGrid w:val="0"/>
              <w:spacing w:line="400" w:lineRule="exact"/>
              <w:textAlignment w:val="auto"/>
              <w:rPr>
                <w:rFonts w:hint="eastAsia"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lang w:val="en-US" w:eastAsia="zh-CN"/>
              </w:rPr>
              <w:t>□固定采购代理收费</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US" w:eastAsia="zh-CN"/>
              </w:rPr>
              <w:t xml:space="preserve"> 。</w:t>
            </w:r>
          </w:p>
          <w:p w14:paraId="0FE6AF76">
            <w:pPr>
              <w:pStyle w:val="15"/>
              <w:keepNext w:val="0"/>
              <w:keepLines w:val="0"/>
              <w:pageBreakBefore w:val="0"/>
              <w:kinsoku/>
              <w:wordWrap/>
              <w:overflowPunct/>
              <w:topLinePunct w:val="0"/>
              <w:autoSpaceDE/>
              <w:autoSpaceDN/>
              <w:bidi w:val="0"/>
              <w:adjustRightInd/>
              <w:snapToGrid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 采购代理费收取银行账户</w:t>
            </w:r>
          </w:p>
          <w:p w14:paraId="4A8642CE">
            <w:pPr>
              <w:pStyle w:val="15"/>
              <w:keepNext w:val="0"/>
              <w:keepLines w:val="0"/>
              <w:pageBreakBefore w:val="0"/>
              <w:kinsoku/>
              <w:wordWrap/>
              <w:overflowPunct/>
              <w:topLinePunct w:val="0"/>
              <w:autoSpaceDE/>
              <w:autoSpaceDN/>
              <w:bidi w:val="0"/>
              <w:adjustRightInd/>
              <w:snapToGrid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开户名称：广西同泽工程项目管理股份有限公司南宁第八分公司</w:t>
            </w:r>
          </w:p>
          <w:p w14:paraId="2B6CB044">
            <w:pPr>
              <w:pStyle w:val="15"/>
              <w:keepNext w:val="0"/>
              <w:keepLines w:val="0"/>
              <w:pageBreakBefore w:val="0"/>
              <w:kinsoku/>
              <w:wordWrap/>
              <w:overflowPunct/>
              <w:topLinePunct w:val="0"/>
              <w:autoSpaceDE/>
              <w:autoSpaceDN/>
              <w:bidi w:val="0"/>
              <w:adjustRightInd/>
              <w:snapToGrid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账号：上海浦东发展银行广西自贸试验区南宁片区支行</w:t>
            </w:r>
          </w:p>
          <w:p w14:paraId="3F9260CB">
            <w:pPr>
              <w:pStyle w:val="15"/>
              <w:keepNext w:val="0"/>
              <w:keepLines w:val="0"/>
              <w:pageBreakBefore w:val="0"/>
              <w:kinsoku/>
              <w:wordWrap/>
              <w:overflowPunct/>
              <w:topLinePunct w:val="0"/>
              <w:autoSpaceDE/>
              <w:autoSpaceDN/>
              <w:bidi w:val="0"/>
              <w:adjustRightInd/>
              <w:snapToGrid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开户行名称：63150078801600000504</w:t>
            </w:r>
          </w:p>
        </w:tc>
      </w:tr>
      <w:tr w14:paraId="51FF0D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9" w:type="dxa"/>
            <w:noWrap w:val="0"/>
            <w:vAlign w:val="center"/>
          </w:tcPr>
          <w:p w14:paraId="44EDC7DE">
            <w:pPr>
              <w:keepNext w:val="0"/>
              <w:keepLines w:val="0"/>
              <w:pageBreakBefore w:val="0"/>
              <w:kinsoku/>
              <w:wordWrap/>
              <w:overflowPunct/>
              <w:topLinePunct w:val="0"/>
              <w:autoSpaceDE/>
              <w:autoSpaceDN/>
              <w:bidi w:val="0"/>
              <w:adjustRightIn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34.1</w:t>
            </w:r>
          </w:p>
        </w:tc>
        <w:tc>
          <w:tcPr>
            <w:tcW w:w="2427" w:type="dxa"/>
            <w:noWrap w:val="0"/>
            <w:vAlign w:val="center"/>
          </w:tcPr>
          <w:p w14:paraId="51B5EAE1">
            <w:pPr>
              <w:keepNext w:val="0"/>
              <w:keepLines w:val="0"/>
              <w:pageBreakBefore w:val="0"/>
              <w:kinsoku/>
              <w:wordWrap/>
              <w:overflowPunct/>
              <w:topLinePunct w:val="0"/>
              <w:autoSpaceDE/>
              <w:autoSpaceDN/>
              <w:bidi w:val="0"/>
              <w:adjustRightIn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解释</w:t>
            </w:r>
          </w:p>
        </w:tc>
        <w:tc>
          <w:tcPr>
            <w:tcW w:w="6644" w:type="dxa"/>
            <w:noWrap w:val="0"/>
            <w:vAlign w:val="center"/>
          </w:tcPr>
          <w:p w14:paraId="185D3166">
            <w:pPr>
              <w:pStyle w:val="15"/>
              <w:keepNext w:val="0"/>
              <w:keepLines w:val="0"/>
              <w:pageBreakBefore w:val="0"/>
              <w:kinsoku/>
              <w:wordWrap/>
              <w:overflowPunct/>
              <w:topLinePunct w:val="0"/>
              <w:autoSpaceDE/>
              <w:autoSpaceDN/>
              <w:bidi w:val="0"/>
              <w:adjustRightInd/>
              <w:snapToGrid w:val="0"/>
              <w:spacing w:line="400" w:lineRule="exac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解释权：</w:t>
            </w:r>
            <w:r>
              <w:rPr>
                <w:rFonts w:hint="eastAsia" w:ascii="宋体" w:hAnsi="宋体" w:eastAsia="宋体" w:cs="宋体"/>
                <w:color w:val="auto"/>
                <w:sz w:val="21"/>
                <w:szCs w:val="21"/>
                <w:highlight w:val="none"/>
              </w:rPr>
              <w:t>构成本磋商文件的各个组成文件应互为解释，互为说明；除磋商文件中有特别规定外，仅适用于竞标阶段的规定，按更正公告（澄清公告）、竞争性磋商公告、供应商须知、采购需求、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形成结论的，</w:t>
            </w:r>
            <w:r>
              <w:rPr>
                <w:rFonts w:hint="eastAsia" w:ascii="宋体" w:hAnsi="宋体" w:eastAsia="宋体" w:cs="宋体"/>
                <w:b/>
                <w:color w:val="auto"/>
                <w:sz w:val="21"/>
                <w:szCs w:val="21"/>
                <w:highlight w:val="none"/>
              </w:rPr>
              <w:t>由采购人或者采购代理机构负责解释。</w:t>
            </w:r>
          </w:p>
          <w:p w14:paraId="5E7B3A1F">
            <w:pPr>
              <w:pStyle w:val="15"/>
              <w:keepNext w:val="0"/>
              <w:keepLines w:val="0"/>
              <w:pageBreakBefore w:val="0"/>
              <w:kinsoku/>
              <w:wordWrap/>
              <w:overflowPunct/>
              <w:topLinePunct w:val="0"/>
              <w:autoSpaceDE/>
              <w:autoSpaceDN/>
              <w:bidi w:val="0"/>
              <w:adjustRightInd/>
              <w:snapToGrid w:val="0"/>
              <w:spacing w:line="400" w:lineRule="exac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法律责任：</w:t>
            </w:r>
          </w:p>
          <w:p w14:paraId="05C3C158">
            <w:pPr>
              <w:pStyle w:val="15"/>
              <w:keepNext w:val="0"/>
              <w:keepLines w:val="0"/>
              <w:pageBreakBefore w:val="0"/>
              <w:kinsoku/>
              <w:wordWrap/>
              <w:overflowPunct/>
              <w:topLinePunct w:val="0"/>
              <w:autoSpaceDE/>
              <w:autoSpaceDN/>
              <w:bidi w:val="0"/>
              <w:adjustRightInd/>
              <w:snapToGrid w:val="0"/>
              <w:spacing w:line="400" w:lineRule="exac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本采购文件根据《中华人民共和国政府采购法》、《中华人民共和国民法典》；《中华人民共和国政府采购法实施条例》、《政府采购竞争性磋商采购方式管理暂行办法》等有关法律、法规编制，参与本项目的各政府采购当事人依法享有上述法律法规所赋予的权利与义务。</w:t>
            </w:r>
          </w:p>
          <w:p w14:paraId="62D21749">
            <w:pPr>
              <w:pStyle w:val="15"/>
              <w:keepNext w:val="0"/>
              <w:keepLines w:val="0"/>
              <w:pageBreakBefore w:val="0"/>
              <w:kinsoku/>
              <w:wordWrap/>
              <w:overflowPunct/>
              <w:topLinePunct w:val="0"/>
              <w:autoSpaceDE/>
              <w:autoSpaceDN/>
              <w:bidi w:val="0"/>
              <w:adjustRightInd/>
              <w:snapToGrid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2.本项目采购代理机构应严格按照“广西政府采购云平台”项目采购全流程电子化电子开评标规程执行项目采购活动，代理机构在“广西政府采购云平台”的“项目管理”—“采购文件管理”内开评标规则设置作为本采购文件的组成部分，截标之后不可更改，因代理机构开评标规则设置错误导致采购活动无法开展下去的情况，由代理机构负责解释并承担其后果。</w:t>
            </w:r>
          </w:p>
        </w:tc>
      </w:tr>
      <w:tr w14:paraId="0422AF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9" w:type="dxa"/>
            <w:noWrap w:val="0"/>
            <w:vAlign w:val="center"/>
          </w:tcPr>
          <w:p w14:paraId="05C3C23F">
            <w:pPr>
              <w:keepNext w:val="0"/>
              <w:keepLines w:val="0"/>
              <w:pageBreakBefore w:val="0"/>
              <w:kinsoku/>
              <w:wordWrap/>
              <w:overflowPunct/>
              <w:topLinePunct w:val="0"/>
              <w:autoSpaceDE/>
              <w:autoSpaceDN/>
              <w:bidi w:val="0"/>
              <w:adjustRightIn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34.2</w:t>
            </w:r>
          </w:p>
        </w:tc>
        <w:tc>
          <w:tcPr>
            <w:tcW w:w="2427" w:type="dxa"/>
            <w:noWrap w:val="0"/>
            <w:vAlign w:val="center"/>
          </w:tcPr>
          <w:p w14:paraId="27C5FD52">
            <w:pPr>
              <w:keepNext w:val="0"/>
              <w:keepLines w:val="0"/>
              <w:pageBreakBefore w:val="0"/>
              <w:kinsoku/>
              <w:wordWrap/>
              <w:overflowPunct/>
              <w:topLinePunct w:val="0"/>
              <w:autoSpaceDE/>
              <w:autoSpaceDN/>
              <w:bidi w:val="0"/>
              <w:adjustRightIn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w:t>
            </w:r>
          </w:p>
        </w:tc>
        <w:tc>
          <w:tcPr>
            <w:tcW w:w="6644" w:type="dxa"/>
            <w:noWrap w:val="0"/>
            <w:vAlign w:val="center"/>
          </w:tcPr>
          <w:p w14:paraId="61377B1D">
            <w:pPr>
              <w:pStyle w:val="15"/>
              <w:keepNext w:val="0"/>
              <w:keepLines w:val="0"/>
              <w:pageBreakBefore w:val="0"/>
              <w:kinsoku/>
              <w:wordWrap/>
              <w:overflowPunct/>
              <w:topLinePunct w:val="0"/>
              <w:autoSpaceDE/>
              <w:autoSpaceDN/>
              <w:bidi w:val="0"/>
              <w:adjustRightInd/>
              <w:snapToGrid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本磋商文件中描述供应商的“公章”是指根据我国对公章的管理规定，用供应商法定主体行为名称制作的印章，除本磋商文件有特殊规定外，供应商的财务章、部门章、分公司章、工会章、合同章、竞标/投标专用章、业务专用章及银行的转账章、现金收讫章、现金付讫章等其他形式印章均不能代替公章。</w:t>
            </w:r>
          </w:p>
          <w:p w14:paraId="46B36227">
            <w:pPr>
              <w:pStyle w:val="15"/>
              <w:keepNext w:val="0"/>
              <w:keepLines w:val="0"/>
              <w:pageBreakBefore w:val="0"/>
              <w:kinsoku/>
              <w:wordWrap/>
              <w:overflowPunct/>
              <w:topLinePunct w:val="0"/>
              <w:autoSpaceDE/>
              <w:autoSpaceDN/>
              <w:bidi w:val="0"/>
              <w:adjustRightInd/>
              <w:snapToGrid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665498FE">
            <w:pPr>
              <w:pStyle w:val="15"/>
              <w:keepNext w:val="0"/>
              <w:keepLines w:val="0"/>
              <w:pageBreakBefore w:val="0"/>
              <w:kinsoku/>
              <w:wordWrap/>
              <w:overflowPunct/>
              <w:topLinePunct w:val="0"/>
              <w:autoSpaceDE/>
              <w:autoSpaceDN/>
              <w:bidi w:val="0"/>
              <w:adjustRightInd/>
              <w:snapToGrid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3.本磋商文件中描述供应商的“签字”是指供应商的法定代表人或者委托代理人亲自在文件规定签署处亲笔写上个人的名字的行为，私章、签字章、印鉴、影印等其他形式均不能代替亲笔签字。</w:t>
            </w:r>
          </w:p>
          <w:p w14:paraId="542A4008">
            <w:pPr>
              <w:pStyle w:val="15"/>
              <w:keepNext w:val="0"/>
              <w:keepLines w:val="0"/>
              <w:pageBreakBefore w:val="0"/>
              <w:kinsoku/>
              <w:wordWrap/>
              <w:overflowPunct/>
              <w:topLinePunct w:val="0"/>
              <w:autoSpaceDE/>
              <w:autoSpaceDN/>
              <w:bidi w:val="0"/>
              <w:adjustRightInd/>
              <w:snapToGrid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4.自然人竞标的，磋商文件规定盖公章处由自然人摁手指指印。</w:t>
            </w:r>
          </w:p>
          <w:p w14:paraId="6D9681A3">
            <w:pPr>
              <w:pStyle w:val="15"/>
              <w:keepNext w:val="0"/>
              <w:keepLines w:val="0"/>
              <w:pageBreakBefore w:val="0"/>
              <w:kinsoku/>
              <w:wordWrap/>
              <w:overflowPunct/>
              <w:topLinePunct w:val="0"/>
              <w:autoSpaceDE/>
              <w:autoSpaceDN/>
              <w:bidi w:val="0"/>
              <w:adjustRightInd/>
              <w:snapToGrid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5.本磋商文件所称的“以上”“以下”“以内”“届满”，包括本数；所称的“不满”“超过”“以外”，不包括本数。</w:t>
            </w:r>
          </w:p>
        </w:tc>
      </w:tr>
    </w:tbl>
    <w:p w14:paraId="52DCCF47">
      <w:pPr>
        <w:pStyle w:val="3"/>
        <w:spacing w:line="420" w:lineRule="exact"/>
        <w:jc w:val="center"/>
        <w:rPr>
          <w:rFonts w:hint="eastAsia" w:ascii="宋体" w:hAnsi="宋体" w:cs="宋体"/>
          <w:b w:val="0"/>
          <w:color w:val="auto"/>
          <w:highlight w:val="none"/>
        </w:rPr>
      </w:pPr>
      <w:r>
        <w:rPr>
          <w:rFonts w:hint="eastAsia" w:ascii="宋体" w:hAnsi="宋体" w:cs="宋体"/>
          <w:b w:val="0"/>
          <w:color w:val="auto"/>
          <w:highlight w:val="none"/>
        </w:rPr>
        <w:br w:type="page"/>
      </w:r>
      <w:bookmarkStart w:id="41" w:name="_Toc17681"/>
      <w:bookmarkStart w:id="42" w:name="_Toc10959"/>
      <w:bookmarkStart w:id="43" w:name="_Toc24832"/>
      <w:r>
        <w:rPr>
          <w:rFonts w:hint="eastAsia" w:ascii="宋体" w:hAnsi="宋体" w:cs="宋体"/>
          <w:b/>
          <w:bCs w:val="0"/>
          <w:color w:val="auto"/>
          <w:highlight w:val="none"/>
        </w:rPr>
        <w:t>第二节 供应商须知正文</w:t>
      </w:r>
      <w:bookmarkEnd w:id="41"/>
      <w:bookmarkEnd w:id="42"/>
      <w:bookmarkEnd w:id="43"/>
    </w:p>
    <w:p w14:paraId="6C292988">
      <w:pPr>
        <w:pStyle w:val="4"/>
        <w:spacing w:before="0" w:after="0" w:line="360" w:lineRule="auto"/>
        <w:ind w:firstLine="643"/>
        <w:jc w:val="center"/>
        <w:rPr>
          <w:rFonts w:hint="eastAsia" w:ascii="宋体" w:hAnsi="宋体" w:cs="宋体"/>
          <w:bCs w:val="0"/>
          <w:color w:val="auto"/>
          <w:highlight w:val="none"/>
        </w:rPr>
      </w:pPr>
      <w:bookmarkStart w:id="44" w:name="_Toc11692"/>
      <w:bookmarkStart w:id="45" w:name="_Toc15960"/>
      <w:bookmarkStart w:id="46" w:name="_Toc741"/>
      <w:r>
        <w:rPr>
          <w:rFonts w:hint="eastAsia" w:ascii="宋体" w:hAnsi="宋体" w:cs="宋体"/>
          <w:bCs w:val="0"/>
          <w:color w:val="auto"/>
          <w:highlight w:val="none"/>
        </w:rPr>
        <w:t>一、总则</w:t>
      </w:r>
      <w:bookmarkEnd w:id="44"/>
      <w:bookmarkEnd w:id="45"/>
      <w:bookmarkEnd w:id="46"/>
    </w:p>
    <w:p w14:paraId="74561C55">
      <w:pPr>
        <w:spacing w:line="360" w:lineRule="auto"/>
        <w:ind w:firstLine="422" w:firstLineChars="175"/>
        <w:rPr>
          <w:rFonts w:hint="eastAsia" w:ascii="宋体" w:hAnsi="宋体" w:cs="宋体"/>
          <w:b/>
          <w:bCs/>
          <w:color w:val="auto"/>
          <w:sz w:val="24"/>
          <w:highlight w:val="none"/>
        </w:rPr>
      </w:pPr>
      <w:r>
        <w:rPr>
          <w:rFonts w:hint="eastAsia" w:ascii="宋体" w:hAnsi="宋体" w:cs="宋体"/>
          <w:b/>
          <w:bCs/>
          <w:color w:val="auto"/>
          <w:sz w:val="24"/>
          <w:highlight w:val="none"/>
        </w:rPr>
        <w:t>1.适用范围</w:t>
      </w:r>
    </w:p>
    <w:p w14:paraId="52A3E9A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本项目采购人、采购代理机构、供应商、磋商小组的相关行为均受《中华人民共和国政府采购法》《中华人民共和国政府采购法实施条例》《政府采购竞争性磋商采购方式管理暂行办法》《财政部关于政府采购竞争性磋商采购方式管理暂行办法有关问题的补充通知》及本项目本级和上级财政部门政府采购有关规定的约束和保护。</w:t>
      </w:r>
    </w:p>
    <w:p w14:paraId="488A988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w:t>
      </w:r>
      <w:r>
        <w:rPr>
          <w:rFonts w:hint="eastAsia" w:ascii="宋体" w:hAnsi="宋体" w:cs="宋体"/>
          <w:color w:val="auto"/>
          <w:spacing w:val="-6"/>
          <w:szCs w:val="21"/>
          <w:highlight w:val="none"/>
        </w:rPr>
        <w:t>本竞争性磋商文件（以下简称磋商文件）适用于本项目的所有采购程序和环节（法律、法规另有规定的，从其规定）。</w:t>
      </w:r>
    </w:p>
    <w:p w14:paraId="28F8C1E2">
      <w:pPr>
        <w:spacing w:line="360" w:lineRule="auto"/>
        <w:ind w:firstLine="422" w:firstLineChars="175"/>
        <w:rPr>
          <w:rFonts w:hint="eastAsia" w:ascii="宋体" w:hAnsi="宋体" w:cs="宋体"/>
          <w:b/>
          <w:bCs/>
          <w:color w:val="auto"/>
          <w:sz w:val="24"/>
          <w:highlight w:val="none"/>
        </w:rPr>
      </w:pPr>
      <w:r>
        <w:rPr>
          <w:rFonts w:hint="eastAsia" w:ascii="宋体" w:hAnsi="宋体" w:cs="宋体"/>
          <w:b/>
          <w:bCs/>
          <w:color w:val="auto"/>
          <w:sz w:val="24"/>
          <w:highlight w:val="none"/>
        </w:rPr>
        <w:t>2.定义</w:t>
      </w:r>
    </w:p>
    <w:p w14:paraId="7B97124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2.1“采购人”是指依法进行政府采购的国家机关、事业单位、团体组织。</w:t>
      </w:r>
    </w:p>
    <w:p w14:paraId="4A820E3F">
      <w:pPr>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2.2“采购代理机构”是指政府采购集中采购机构和集中采购机构以外的采购代理机构。</w:t>
      </w:r>
    </w:p>
    <w:p w14:paraId="3C972D7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2.3“供应商”是指向采购人提供货物、工程或者服务的法人、其他组织或者自然人。</w:t>
      </w:r>
    </w:p>
    <w:p w14:paraId="678140F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2.4“工程”是指除货物和服务以外的其他政府采购对象。</w:t>
      </w:r>
    </w:p>
    <w:p w14:paraId="060C3FF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2.5“竞标”是指供应商按照本项目竞争性磋商公告或者邀请函规定的方式获取磋商文件、提交响应文件并希望获得标的的行为。</w:t>
      </w:r>
    </w:p>
    <w:p w14:paraId="21592EC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2.6“响应文件”</w:t>
      </w:r>
      <w:r>
        <w:rPr>
          <w:rFonts w:hint="eastAsia" w:ascii="宋体" w:hAnsi="宋体" w:cs="宋体"/>
          <w:color w:val="auto"/>
          <w:spacing w:val="-6"/>
          <w:szCs w:val="21"/>
          <w:highlight w:val="none"/>
        </w:rPr>
        <w:t>是指：供应商根据本磋商文件要求，编制包含资格证明、报价、商务技术等所有内容的文件。</w:t>
      </w:r>
    </w:p>
    <w:p w14:paraId="2B9BEB0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2.7“实质性要求”是指磋商文件中已经指明不满足则响应文件按无效响应处理的条款，或者不能负偏离的条款，或者采购需求中带“▲”的条款。</w:t>
      </w:r>
    </w:p>
    <w:p w14:paraId="0618971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2.8“正偏离”，是指响应文件对磋商文件“采购需求”中有关条款作出的响应优于条款要求并有利于采购人的情形。</w:t>
      </w:r>
    </w:p>
    <w:p w14:paraId="28EE883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2.9“负偏离”，是指响应文件对磋商文件“采购需求”中有关条款作出的响应不满足条款要求，导致采购人要求不能得到满足的情形。</w:t>
      </w:r>
    </w:p>
    <w:p w14:paraId="6F72B35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2.10“允许负偏离的条款”是指采购需求中的不属于“实质性要求”的条款。</w:t>
      </w:r>
    </w:p>
    <w:p w14:paraId="34A27C0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2.11“书面形式”是指合同书、信件和数据电文（包括电报、电传、传真、电子数据交换和电子邮件）等可以有形地表现所载内容的形式。</w:t>
      </w:r>
    </w:p>
    <w:p w14:paraId="77F2172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2.12“首次报价”是指供应商提交的首次响应文件中的报价。</w:t>
      </w:r>
    </w:p>
    <w:p w14:paraId="4E5BE9E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2.13“评审报价”是指供应商提交的最后报价并经修正（如有）和政策功能价格扣除（如有）后的价格。</w:t>
      </w:r>
    </w:p>
    <w:p w14:paraId="10E605D0">
      <w:pPr>
        <w:spacing w:line="360" w:lineRule="auto"/>
        <w:ind w:firstLine="422" w:firstLineChars="175"/>
        <w:rPr>
          <w:rFonts w:hint="eastAsia" w:ascii="宋体" w:hAnsi="宋体" w:cs="宋体"/>
          <w:b/>
          <w:bCs/>
          <w:color w:val="auto"/>
          <w:sz w:val="24"/>
          <w:highlight w:val="none"/>
        </w:rPr>
      </w:pPr>
      <w:r>
        <w:rPr>
          <w:rFonts w:hint="eastAsia" w:ascii="宋体" w:hAnsi="宋体" w:cs="宋体"/>
          <w:b/>
          <w:bCs/>
          <w:color w:val="auto"/>
          <w:sz w:val="24"/>
          <w:highlight w:val="none"/>
        </w:rPr>
        <w:t>3.供应商的资格条件</w:t>
      </w:r>
    </w:p>
    <w:p w14:paraId="3289E26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供应商的资格条件详见“供应商须知前附表”。</w:t>
      </w:r>
    </w:p>
    <w:p w14:paraId="51288975">
      <w:pPr>
        <w:spacing w:line="360" w:lineRule="auto"/>
        <w:ind w:firstLine="422" w:firstLineChars="175"/>
        <w:rPr>
          <w:rFonts w:hint="eastAsia" w:ascii="宋体" w:hAnsi="宋体" w:cs="宋体"/>
          <w:b/>
          <w:bCs/>
          <w:color w:val="auto"/>
          <w:sz w:val="24"/>
          <w:highlight w:val="none"/>
        </w:rPr>
      </w:pPr>
      <w:r>
        <w:rPr>
          <w:rFonts w:hint="eastAsia" w:ascii="宋体" w:hAnsi="宋体" w:cs="宋体"/>
          <w:b/>
          <w:bCs/>
          <w:color w:val="auto"/>
          <w:sz w:val="24"/>
          <w:highlight w:val="none"/>
        </w:rPr>
        <w:t>4.磋商费用</w:t>
      </w:r>
    </w:p>
    <w:p w14:paraId="4CFCCD9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供应商应承担参与本次采购活动有关的所有费用，包括但不限于、勘查现场、编制和提交响应文件、参加磋商与应答、签订合同等，不论竞标结果如何，均应自行承担。</w:t>
      </w:r>
    </w:p>
    <w:p w14:paraId="5F5FA2BC">
      <w:pPr>
        <w:spacing w:line="360" w:lineRule="auto"/>
        <w:ind w:firstLine="422" w:firstLineChars="175"/>
        <w:rPr>
          <w:rFonts w:hint="eastAsia" w:ascii="宋体" w:hAnsi="宋体" w:cs="宋体"/>
          <w:b/>
          <w:bCs/>
          <w:color w:val="auto"/>
          <w:sz w:val="24"/>
          <w:highlight w:val="none"/>
        </w:rPr>
      </w:pPr>
      <w:r>
        <w:rPr>
          <w:rFonts w:hint="eastAsia" w:ascii="宋体" w:hAnsi="宋体" w:cs="宋体"/>
          <w:b/>
          <w:bCs/>
          <w:color w:val="auto"/>
          <w:sz w:val="24"/>
          <w:highlight w:val="none"/>
        </w:rPr>
        <w:t>5.联合体竞标</w:t>
      </w:r>
    </w:p>
    <w:p w14:paraId="6BDA809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5.1本项目是否接受联合体竞标，详见“供应商须知前附表”。</w:t>
      </w:r>
    </w:p>
    <w:p w14:paraId="1B1E9BB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5.2</w:t>
      </w:r>
      <w:r>
        <w:rPr>
          <w:rFonts w:hint="eastAsia" w:ascii="宋体" w:hAnsi="宋体" w:cs="宋体"/>
          <w:color w:val="auto"/>
          <w:highlight w:val="none"/>
        </w:rPr>
        <w:t>如接受联合体竞标，</w:t>
      </w:r>
      <w:r>
        <w:rPr>
          <w:rFonts w:hint="eastAsia" w:ascii="宋体" w:hAnsi="宋体" w:cs="宋体"/>
          <w:color w:val="auto"/>
          <w:szCs w:val="21"/>
          <w:highlight w:val="none"/>
        </w:rPr>
        <w:t>联合体竞标要求详见“供应商须知前附表”。</w:t>
      </w:r>
    </w:p>
    <w:p w14:paraId="5EE0F7CD">
      <w:pPr>
        <w:spacing w:line="360" w:lineRule="auto"/>
        <w:ind w:firstLine="420" w:firstLineChars="200"/>
        <w:rPr>
          <w:rFonts w:hint="eastAsia" w:ascii="宋体" w:hAnsi="宋体" w:cs="宋体"/>
          <w:bCs/>
          <w:color w:val="auto"/>
          <w:szCs w:val="21"/>
          <w:highlight w:val="none"/>
        </w:rPr>
      </w:pPr>
      <w:r>
        <w:rPr>
          <w:rFonts w:hint="eastAsia" w:ascii="宋体" w:hAnsi="宋体" w:cs="宋体"/>
          <w:color w:val="auto"/>
          <w:szCs w:val="21"/>
          <w:highlight w:val="none"/>
        </w:rPr>
        <w:t>5.3根据《政府采购促进中小企业发展管理办法》（财库[2020]46号）第九条及《广西壮族自治区财政厅关于进一步发挥政府采购政策功能促进企业发展的通知》（桂财采〔2022〕30号）规定，接受大中型企业与小微企业组成联合体的采购项目，对于联合协议约定小微企业的合同份额占到合同总金额 30%以上的，采购人、采购代理机构应当对联合体的报价给予 4%-6%（工程项目为 1%—2%）的扣除，用扣除后的价格参加评审。组成联合体的小微企业与联合体内其他企业、分包企业之间存在直接控股、管理关系的，不享受价格扣除优惠政策。</w:t>
      </w:r>
    </w:p>
    <w:p w14:paraId="09FACCF3">
      <w:pPr>
        <w:spacing w:line="360" w:lineRule="auto"/>
        <w:ind w:firstLine="422" w:firstLineChars="175"/>
        <w:rPr>
          <w:rFonts w:hint="eastAsia" w:ascii="宋体" w:hAnsi="宋体" w:cs="宋体"/>
          <w:b/>
          <w:bCs/>
          <w:color w:val="auto"/>
          <w:sz w:val="24"/>
          <w:highlight w:val="none"/>
        </w:rPr>
      </w:pPr>
      <w:r>
        <w:rPr>
          <w:rFonts w:hint="eastAsia" w:ascii="宋体" w:hAnsi="宋体" w:cs="宋体"/>
          <w:b/>
          <w:bCs/>
          <w:color w:val="auto"/>
          <w:sz w:val="24"/>
          <w:highlight w:val="none"/>
        </w:rPr>
        <w:t xml:space="preserve">6.转包与分包             </w:t>
      </w:r>
    </w:p>
    <w:p w14:paraId="6B5F95E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6.1本项目是否允许分包详见“供应商须知前附表”，本项目不允许违法分包。</w:t>
      </w:r>
    </w:p>
    <w:p w14:paraId="76755D7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6.2根据《政府采购促进中小企业发展管理办法》（财库[2020]46号）第九条及《广西壮族自治区财政厅关于进一步发挥政府采购政策功能促进企业发展的通知》（桂财采〔2022〕30号）规定，允许大中型企业向一家或者多家小微企业分包的采购项目，对于分包意向协议约定小微企业的合同份额占到合同总金额 30%以上的，采购人、采购代理机构应当对大中型企业的报价给予 4%-6%的扣除，用扣除后的价格参加评审。接受分包的小微企业与分包企业之间存在直接控股、管理关系的，不享受价格扣除优惠政策。</w:t>
      </w:r>
    </w:p>
    <w:p w14:paraId="7AA8CC23">
      <w:pPr>
        <w:spacing w:line="360" w:lineRule="auto"/>
        <w:ind w:firstLine="422" w:firstLineChars="175"/>
        <w:rPr>
          <w:rFonts w:hint="eastAsia" w:ascii="宋体" w:hAnsi="宋体" w:cs="宋体"/>
          <w:b/>
          <w:bCs/>
          <w:color w:val="auto"/>
          <w:sz w:val="24"/>
          <w:highlight w:val="none"/>
        </w:rPr>
      </w:pPr>
      <w:bookmarkStart w:id="47" w:name="_Toc254970532"/>
      <w:bookmarkStart w:id="48" w:name="_Toc254970673"/>
      <w:r>
        <w:rPr>
          <w:rFonts w:hint="eastAsia" w:ascii="宋体" w:hAnsi="宋体" w:cs="宋体"/>
          <w:b/>
          <w:bCs/>
          <w:color w:val="auto"/>
          <w:sz w:val="24"/>
          <w:highlight w:val="none"/>
        </w:rPr>
        <w:t>7.特别说明</w:t>
      </w:r>
      <w:bookmarkEnd w:id="47"/>
      <w:bookmarkEnd w:id="48"/>
    </w:p>
    <w:p w14:paraId="3E5B97DF">
      <w:pPr>
        <w:spacing w:line="360" w:lineRule="auto"/>
        <w:ind w:firstLine="420" w:firstLineChars="200"/>
        <w:rPr>
          <w:rFonts w:hint="eastAsia" w:ascii="宋体" w:hAnsi="宋体" w:cs="宋体"/>
          <w:color w:val="auto"/>
          <w:szCs w:val="21"/>
          <w:highlight w:val="none"/>
        </w:rPr>
      </w:pPr>
      <w:bookmarkStart w:id="49" w:name="_8.1提供相同品牌产品且通过资格审查、符合性审查的不同投标人参加同一合"/>
      <w:bookmarkEnd w:id="49"/>
      <w:r>
        <w:rPr>
          <w:rFonts w:hint="eastAsia" w:ascii="宋体" w:hAnsi="宋体" w:cs="宋体"/>
          <w:color w:val="auto"/>
          <w:szCs w:val="21"/>
          <w:highlight w:val="none"/>
        </w:rPr>
        <w:t>7.1</w:t>
      </w:r>
      <w:bookmarkStart w:id="50" w:name="_Hlk65832145"/>
      <w:r>
        <w:rPr>
          <w:rFonts w:hint="eastAsia" w:ascii="宋体" w:hAnsi="宋体" w:cs="宋体"/>
          <w:color w:val="auto"/>
          <w:szCs w:val="21"/>
          <w:highlight w:val="none"/>
        </w:rPr>
        <w:t>如果本磋商文件要求提供供应商或制造商的资格、信誉、荣誉、业绩与企业认证等材料的，资格、信誉、荣誉、业绩与企业认证等必须为供应商或者制造商所拥有或自身获得 。</w:t>
      </w:r>
    </w:p>
    <w:bookmarkEnd w:id="50"/>
    <w:p w14:paraId="165B369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7.2供应商应仔细阅读磋商文件的所有内容，按照磋商文件的要求提交响应文件，并对所提供的全部资料的真实性承担法律责任。</w:t>
      </w:r>
    </w:p>
    <w:p w14:paraId="4D2274F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7.3供应商在竞标活动中提供任何疑似虚假材料，将报监管部门查处；签订合同后发现的，成交供应商须依照《中华人民共和国消费者权益保护法》规定赔偿采购人，且民事赔偿并不免除违法供应商的行政与刑事责任。</w:t>
      </w:r>
    </w:p>
    <w:p w14:paraId="40CCEFC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7.4在政府采购活动中，采购人员及相关人员与供应商有下列利害关系之一的，应当回避：</w:t>
      </w:r>
    </w:p>
    <w:p w14:paraId="2179C35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（1）参加采购活动前3年内与供应商存在劳动关系；</w:t>
      </w:r>
    </w:p>
    <w:p w14:paraId="21DA7E9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（2）参加采购活动前3年内担任供应商的董事、监事；</w:t>
      </w:r>
    </w:p>
    <w:p w14:paraId="098B0E6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（3）参加采购活动前3年内是供应商的控股股东或者实际控制人；</w:t>
      </w:r>
    </w:p>
    <w:p w14:paraId="2D936D6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（4）与供应商的法定代表人或者负责人有夫妻、直系血亲、三代以内旁系血亲或者近姻亲关系；</w:t>
      </w:r>
    </w:p>
    <w:p w14:paraId="0F9B7AB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（5）与供应商有其他可能影响政府采购活动公平、公正进行的关系。</w:t>
      </w:r>
    </w:p>
    <w:p w14:paraId="76EE031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24E3EBD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7.5有下列情形之一的视为供应商相互串通竞标，响应文件将被视为无效：</w:t>
      </w:r>
    </w:p>
    <w:p w14:paraId="1F5DCED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（1）不同供应商的响应文件由同一单位或者个人编制； </w:t>
      </w:r>
    </w:p>
    <w:p w14:paraId="18BAD6E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（2）不同供应商委托同一单位或者个人办理竞标事宜；</w:t>
      </w:r>
    </w:p>
    <w:p w14:paraId="5C992EF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（3）不同的供应商的响应文件载明的项目管理员为同一个人；</w:t>
      </w:r>
    </w:p>
    <w:p w14:paraId="0D31C85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（4）不同供应商的响应文件异常一致或者报价呈规律性差异；</w:t>
      </w:r>
    </w:p>
    <w:p w14:paraId="51CB9ED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（5）不同供应商的响应文件相互混装；</w:t>
      </w:r>
    </w:p>
    <w:p w14:paraId="6820FBC2">
      <w:pPr>
        <w:tabs>
          <w:tab w:val="left" w:pos="6931"/>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（6）不同供应商的磋商保证金从同一单位或者个人账户转出。</w:t>
      </w:r>
      <w:r>
        <w:rPr>
          <w:rFonts w:hint="eastAsia" w:ascii="宋体" w:hAnsi="宋体" w:cs="宋体"/>
          <w:color w:val="auto"/>
          <w:szCs w:val="21"/>
          <w:highlight w:val="none"/>
        </w:rPr>
        <w:tab/>
      </w:r>
    </w:p>
    <w:p w14:paraId="5F58F2F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7.6供应商有下列情形之一的，属于恶意串通行为，将报同级监督管理部门：</w:t>
      </w:r>
    </w:p>
    <w:p w14:paraId="67B6BD5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（1）供应商直接或者间接从采购人或者采购代理机构处获得其他供应商的相关信息并修改其响应文件；</w:t>
      </w:r>
    </w:p>
    <w:p w14:paraId="054AE00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（2）供应商按照采购人或者采购代理机构的授意撤换、修改响应文件；</w:t>
      </w:r>
    </w:p>
    <w:p w14:paraId="210A317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（3）供应商之间协商报价、技术方案等响应文件或者响应文件的实质性内容；</w:t>
      </w:r>
    </w:p>
    <w:p w14:paraId="756C8ED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（4）属于同一集团、协会、商会等组织成员的供应商按照该组织要求协同参加政府采购活动；</w:t>
      </w:r>
    </w:p>
    <w:p w14:paraId="12A4923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（5）供应商之间事先约定一致抬高或者压低报价，或者在政府采购活动中事先约定轮流以高价位或者低价位成交，或者事先约定由某一特定供应商成交，然后再参加竞标；</w:t>
      </w:r>
    </w:p>
    <w:p w14:paraId="017C0B5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（6）供应商之间商定部分供应商放弃参加政府采购活动或者放弃成交；</w:t>
      </w:r>
    </w:p>
    <w:p w14:paraId="60BC03F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（7）供应商与采购人或者采购代理机构之间、供应商相互之间，为谋求特定供应商成交或者排斥其他供应商的其他串通行为。</w:t>
      </w:r>
    </w:p>
    <w:p w14:paraId="2A5EA428">
      <w:pPr>
        <w:pStyle w:val="4"/>
        <w:spacing w:before="0" w:after="0" w:line="360" w:lineRule="auto"/>
        <w:ind w:firstLine="643"/>
        <w:jc w:val="center"/>
        <w:rPr>
          <w:rFonts w:hint="eastAsia" w:ascii="宋体" w:hAnsi="宋体" w:cs="宋体"/>
          <w:color w:val="auto"/>
          <w:highlight w:val="none"/>
        </w:rPr>
      </w:pPr>
      <w:bookmarkStart w:id="51" w:name="_Toc579"/>
      <w:bookmarkStart w:id="52" w:name="_Toc254970534"/>
      <w:bookmarkStart w:id="53" w:name="_Toc254970675"/>
      <w:bookmarkStart w:id="54" w:name="_Toc8091"/>
      <w:bookmarkStart w:id="55" w:name="_Toc2755"/>
      <w:r>
        <w:rPr>
          <w:rFonts w:hint="eastAsia" w:ascii="宋体" w:hAnsi="宋体" w:cs="宋体"/>
          <w:color w:val="auto"/>
          <w:highlight w:val="none"/>
        </w:rPr>
        <w:t>二、磋商文件</w:t>
      </w:r>
      <w:bookmarkEnd w:id="51"/>
      <w:bookmarkEnd w:id="52"/>
      <w:bookmarkEnd w:id="53"/>
      <w:bookmarkEnd w:id="54"/>
      <w:bookmarkEnd w:id="55"/>
    </w:p>
    <w:p w14:paraId="1CEDCC5E">
      <w:pPr>
        <w:spacing w:line="360" w:lineRule="auto"/>
        <w:ind w:firstLine="422" w:firstLineChars="175"/>
        <w:rPr>
          <w:rFonts w:hint="eastAsia" w:ascii="宋体" w:hAnsi="宋体" w:cs="宋体"/>
          <w:b/>
          <w:bCs/>
          <w:color w:val="auto"/>
          <w:sz w:val="24"/>
          <w:highlight w:val="none"/>
        </w:rPr>
      </w:pPr>
      <w:r>
        <w:rPr>
          <w:rFonts w:hint="eastAsia" w:ascii="宋体" w:hAnsi="宋体" w:cs="宋体"/>
          <w:b/>
          <w:bCs/>
          <w:color w:val="auto"/>
          <w:sz w:val="24"/>
          <w:highlight w:val="none"/>
        </w:rPr>
        <w:t>8.磋商文件的构成</w:t>
      </w:r>
    </w:p>
    <w:p w14:paraId="34E6E34B">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第一章 竞争性磋商公告；</w:t>
      </w:r>
    </w:p>
    <w:p w14:paraId="0BF2930A">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第二章 采购需求；</w:t>
      </w:r>
    </w:p>
    <w:p w14:paraId="24C71162">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 xml:space="preserve">第三章 供应商须知； </w:t>
      </w:r>
    </w:p>
    <w:p w14:paraId="3197017E">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第四章 评审程序、评审方法和评审标准；</w:t>
      </w:r>
    </w:p>
    <w:p w14:paraId="3ED79E1A">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第五章 响应文件格式；</w:t>
      </w:r>
    </w:p>
    <w:p w14:paraId="474DEBD8">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第六章 合同文本；</w:t>
      </w:r>
    </w:p>
    <w:p w14:paraId="1A92ED3B">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第七章 质疑、投诉材料格式。</w:t>
      </w:r>
    </w:p>
    <w:p w14:paraId="49BEC040">
      <w:pPr>
        <w:spacing w:line="360" w:lineRule="auto"/>
        <w:ind w:firstLine="422" w:firstLineChars="175"/>
        <w:rPr>
          <w:rFonts w:hint="eastAsia" w:ascii="宋体" w:hAnsi="宋体" w:cs="宋体"/>
          <w:b/>
          <w:bCs/>
          <w:color w:val="auto"/>
          <w:sz w:val="24"/>
          <w:highlight w:val="none"/>
        </w:rPr>
      </w:pPr>
      <w:r>
        <w:rPr>
          <w:rFonts w:hint="eastAsia" w:ascii="宋体" w:hAnsi="宋体" w:cs="宋体"/>
          <w:b/>
          <w:bCs/>
          <w:color w:val="auto"/>
          <w:sz w:val="24"/>
          <w:highlight w:val="none"/>
        </w:rPr>
        <w:t>9.供应商的询问</w:t>
      </w:r>
    </w:p>
    <w:p w14:paraId="397FCB3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供应商应认真阅读磋商文件的采购需求，如供应商对磋商文件有疑问的，如要求采购人作出澄清或者修改的，供应商尽应在提交首次响应文件截止之日前，以书面形式向采购人、采购代理机构提出。</w:t>
      </w:r>
    </w:p>
    <w:p w14:paraId="5346EEFE">
      <w:pPr>
        <w:spacing w:line="360" w:lineRule="auto"/>
        <w:ind w:firstLine="422" w:firstLineChars="175"/>
        <w:rPr>
          <w:rFonts w:hint="eastAsia" w:ascii="宋体" w:hAnsi="宋体" w:cs="宋体"/>
          <w:b/>
          <w:bCs/>
          <w:color w:val="auto"/>
          <w:sz w:val="24"/>
          <w:highlight w:val="none"/>
        </w:rPr>
      </w:pPr>
      <w:r>
        <w:rPr>
          <w:rFonts w:hint="eastAsia" w:ascii="宋体" w:hAnsi="宋体" w:cs="宋体"/>
          <w:b/>
          <w:bCs/>
          <w:color w:val="auto"/>
          <w:sz w:val="24"/>
          <w:highlight w:val="none"/>
        </w:rPr>
        <w:t>10.磋商文件的澄清和修改</w:t>
      </w:r>
    </w:p>
    <w:p w14:paraId="3363A82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10.1已获取磋商文件的潜在供应商，若有问题需要澄清，应于应标截止时间前，以书面形式向采购代理机构提出，采购代理机构与采购人研究后，对认为有必要回答的问题，按照本章10.3的内容处理。</w:t>
      </w:r>
    </w:p>
    <w:p w14:paraId="0C7D7EB3">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10.2采购人或者采购代理机构可以对已发出的磋商文件进行必要的澄清或者修改，但不得改变采购标的和资格条件。澄清或者修改应当在原公告发布媒体上发布澄清公告。澄清或者修改的内容为磋商文件的组成部分。</w:t>
      </w:r>
    </w:p>
    <w:p w14:paraId="7817B71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10.3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在提交首次响应文件截止之日3个工作日前，以书面形式（目前为网上公告和系统短信等形式）通知所有获取磋商文件的供应商，不足3个工作日的，应当顺延提交首次响应文件截止之日。</w:t>
      </w:r>
    </w:p>
    <w:p w14:paraId="6E24CEC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10.4</w:t>
      </w:r>
      <w:r>
        <w:rPr>
          <w:rFonts w:hint="eastAsia" w:ascii="宋体" w:hAnsi="宋体" w:cs="宋体"/>
          <w:color w:val="auto"/>
          <w:highlight w:val="none"/>
          <w:shd w:val="clear" w:color="auto" w:fill="FFFFFF"/>
        </w:rPr>
        <w:t>采购信息更正公告的内容应当包括采购人和采购代理机构名称、地址、联系方式，原公告的采购项目名称及首次公告日期，更正事项、内容及日期，采购项目联系人和电话。</w:t>
      </w:r>
    </w:p>
    <w:p w14:paraId="7C623C70">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10.5采购人和采购代理机构可以视采购具体情况，变更提交首次响应文件截止时间和竞谈时间，将变更时间将在“采购文件公告”中“</w:t>
      </w:r>
      <w:r>
        <w:rPr>
          <w:rFonts w:hint="eastAsia" w:hAnsi="宋体"/>
          <w:color w:val="auto"/>
          <w:highlight w:val="none"/>
        </w:rPr>
        <w:t>七、其他补充事宜</w:t>
      </w:r>
      <w:r>
        <w:rPr>
          <w:rFonts w:hAnsi="宋体"/>
          <w:color w:val="auto"/>
          <w:highlight w:val="none"/>
        </w:rPr>
        <w:t>3.</w:t>
      </w:r>
      <w:r>
        <w:rPr>
          <w:rFonts w:hint="eastAsia" w:hAnsi="宋体"/>
          <w:color w:val="auto"/>
          <w:highlight w:val="none"/>
        </w:rPr>
        <w:t>网上查询地址</w:t>
      </w:r>
      <w:r>
        <w:rPr>
          <w:rFonts w:hint="eastAsia" w:ascii="宋体" w:hAnsi="宋体" w:cs="宋体"/>
          <w:color w:val="auto"/>
          <w:highlight w:val="none"/>
        </w:rPr>
        <w:t>”规定的政府采购信息发布媒体上发布更正公告。</w:t>
      </w:r>
    </w:p>
    <w:p w14:paraId="1472B157">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w:t>
      </w:r>
      <w:r>
        <w:rPr>
          <w:rFonts w:hint="eastAsia" w:ascii="宋体" w:hAnsi="宋体" w:cs="宋体"/>
          <w:b/>
          <w:color w:val="auto"/>
          <w:kern w:val="0"/>
          <w:szCs w:val="21"/>
          <w:highlight w:val="none"/>
        </w:rPr>
        <w:t>响应文件未按磋商文件的澄清、修改的内容编制，又不符合实质性要求的，其响应文件作无效处理。</w:t>
      </w:r>
    </w:p>
    <w:p w14:paraId="1D374028">
      <w:pPr>
        <w:pStyle w:val="4"/>
        <w:spacing w:before="0" w:after="0" w:line="360" w:lineRule="auto"/>
        <w:ind w:firstLine="643"/>
        <w:jc w:val="center"/>
        <w:rPr>
          <w:rFonts w:hint="eastAsia" w:ascii="宋体" w:hAnsi="宋体" w:cs="宋体"/>
          <w:color w:val="auto"/>
          <w:highlight w:val="none"/>
        </w:rPr>
      </w:pPr>
      <w:bookmarkStart w:id="56" w:name="_Toc30490"/>
      <w:bookmarkStart w:id="57" w:name="_Toc29929"/>
      <w:bookmarkStart w:id="58" w:name="_Toc31500"/>
      <w:r>
        <w:rPr>
          <w:rFonts w:hint="eastAsia" w:ascii="宋体" w:hAnsi="宋体" w:cs="宋体"/>
          <w:color w:val="auto"/>
          <w:highlight w:val="none"/>
        </w:rPr>
        <w:t>三、响应文件的编制</w:t>
      </w:r>
      <w:bookmarkEnd w:id="56"/>
      <w:bookmarkEnd w:id="57"/>
      <w:bookmarkEnd w:id="58"/>
    </w:p>
    <w:p w14:paraId="1E46E918">
      <w:pPr>
        <w:spacing w:line="360" w:lineRule="auto"/>
        <w:ind w:firstLine="422" w:firstLineChars="175"/>
        <w:rPr>
          <w:rFonts w:hint="eastAsia" w:ascii="宋体" w:hAnsi="宋体" w:cs="宋体"/>
          <w:b/>
          <w:bCs/>
          <w:color w:val="auto"/>
          <w:sz w:val="24"/>
          <w:highlight w:val="none"/>
        </w:rPr>
      </w:pPr>
      <w:r>
        <w:rPr>
          <w:rFonts w:hint="eastAsia" w:ascii="宋体" w:hAnsi="宋体" w:cs="宋体"/>
          <w:b/>
          <w:bCs/>
          <w:color w:val="auto"/>
          <w:sz w:val="24"/>
          <w:highlight w:val="none"/>
        </w:rPr>
        <w:t>11.响应文件的编制原则</w:t>
      </w:r>
    </w:p>
    <w:p w14:paraId="28110E6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供应商必须按照磋商文件的要求编制响应文件，并对其提交的响应文件的真实性、合法性承担法律责任。响应文件必须对磋商文件作出实质性响应。</w:t>
      </w:r>
    </w:p>
    <w:p w14:paraId="68F99833">
      <w:pPr>
        <w:spacing w:line="360" w:lineRule="auto"/>
        <w:ind w:firstLine="422" w:firstLineChars="175"/>
        <w:rPr>
          <w:rFonts w:hint="eastAsia" w:ascii="宋体" w:hAnsi="宋体" w:cs="宋体"/>
          <w:b/>
          <w:bCs/>
          <w:color w:val="auto"/>
          <w:sz w:val="24"/>
          <w:highlight w:val="none"/>
        </w:rPr>
      </w:pPr>
      <w:r>
        <w:rPr>
          <w:rFonts w:hint="eastAsia" w:ascii="宋体" w:hAnsi="宋体" w:cs="宋体"/>
          <w:b/>
          <w:bCs/>
          <w:color w:val="auto"/>
          <w:sz w:val="24"/>
          <w:highlight w:val="none"/>
        </w:rPr>
        <w:t>12.响应文件的组成</w:t>
      </w:r>
    </w:p>
    <w:p w14:paraId="0BC7AC1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12.1响应文件由资格证明文件、商务技术文件、报价文件三部分组成。</w:t>
      </w:r>
    </w:p>
    <w:p w14:paraId="2B5F848A">
      <w:pPr>
        <w:spacing w:line="360" w:lineRule="auto"/>
        <w:ind w:left="420" w:leftChars="200"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12.1.1资格证明文件：详见须知前附表</w:t>
      </w:r>
    </w:p>
    <w:p w14:paraId="2AB17F01">
      <w:pPr>
        <w:spacing w:line="360" w:lineRule="auto"/>
        <w:ind w:left="420" w:leftChars="200"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12.1.2商务技术文件：详见须知前附表</w:t>
      </w:r>
    </w:p>
    <w:p w14:paraId="406454D3">
      <w:pPr>
        <w:spacing w:line="360" w:lineRule="auto"/>
        <w:ind w:left="420" w:leftChars="200"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12.1.3报价文件：详见须知前附表</w:t>
      </w:r>
    </w:p>
    <w:p w14:paraId="2171CFD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12.2响应文件电子版：详见须知前附表</w:t>
      </w:r>
    </w:p>
    <w:p w14:paraId="45D247FC">
      <w:pPr>
        <w:spacing w:line="360" w:lineRule="auto"/>
        <w:ind w:firstLine="422" w:firstLineChars="175"/>
        <w:rPr>
          <w:rFonts w:hint="eastAsia" w:ascii="宋体" w:hAnsi="宋体" w:cs="宋体"/>
          <w:b/>
          <w:bCs/>
          <w:color w:val="auto"/>
          <w:sz w:val="24"/>
          <w:highlight w:val="none"/>
        </w:rPr>
      </w:pPr>
      <w:r>
        <w:rPr>
          <w:rFonts w:hint="eastAsia" w:ascii="宋体" w:hAnsi="宋体" w:cs="宋体"/>
          <w:b/>
          <w:bCs/>
          <w:color w:val="auto"/>
          <w:sz w:val="24"/>
          <w:highlight w:val="none"/>
        </w:rPr>
        <w:t>13.计量单位</w:t>
      </w:r>
    </w:p>
    <w:p w14:paraId="32DA71F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磋商文件已有明确规定的，使用磋商文件规定的计量单位；磋商文件没有规定的，应采用中华人民共和国法定计量单位，货币种类为人民币，否则视同未响应。</w:t>
      </w:r>
    </w:p>
    <w:p w14:paraId="029DC9DD">
      <w:pPr>
        <w:spacing w:line="360" w:lineRule="auto"/>
        <w:ind w:firstLine="422" w:firstLineChars="175"/>
        <w:rPr>
          <w:rFonts w:hint="eastAsia" w:ascii="宋体" w:hAnsi="宋体" w:cs="宋体"/>
          <w:b/>
          <w:bCs/>
          <w:color w:val="auto"/>
          <w:sz w:val="24"/>
          <w:highlight w:val="none"/>
        </w:rPr>
      </w:pPr>
      <w:r>
        <w:rPr>
          <w:rFonts w:hint="eastAsia" w:ascii="宋体" w:hAnsi="宋体" w:cs="宋体"/>
          <w:b/>
          <w:bCs/>
          <w:color w:val="auto"/>
          <w:sz w:val="24"/>
          <w:highlight w:val="none"/>
        </w:rPr>
        <w:t>14.竞标的风险</w:t>
      </w:r>
    </w:p>
    <w:p w14:paraId="0A31F2B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供应商没有按照磋商文件要求提供全部资料，或者供应商没有对磋商文件在各方面作出实质性响应可能导致其响应无效，是供应商应当考虑的风险。</w:t>
      </w:r>
    </w:p>
    <w:p w14:paraId="07AF36D4">
      <w:pPr>
        <w:spacing w:line="360" w:lineRule="auto"/>
        <w:ind w:firstLine="422" w:firstLineChars="175"/>
        <w:rPr>
          <w:rFonts w:hint="eastAsia" w:ascii="宋体" w:hAnsi="宋体" w:cs="宋体"/>
          <w:b/>
          <w:bCs/>
          <w:color w:val="auto"/>
          <w:sz w:val="24"/>
          <w:highlight w:val="none"/>
        </w:rPr>
      </w:pPr>
      <w:r>
        <w:rPr>
          <w:rFonts w:hint="eastAsia" w:ascii="宋体" w:hAnsi="宋体" w:cs="宋体"/>
          <w:b/>
          <w:bCs/>
          <w:color w:val="auto"/>
          <w:sz w:val="24"/>
          <w:highlight w:val="none"/>
        </w:rPr>
        <w:t>15.响应报价要求和构成</w:t>
      </w:r>
    </w:p>
    <w:p w14:paraId="177BAEAF">
      <w:pPr>
        <w:tabs>
          <w:tab w:val="left" w:pos="2492"/>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15.1响应报价应按“第五章 响应文件格式”中“响应报价表、已标价工程量清单”格式填写。</w:t>
      </w:r>
    </w:p>
    <w:p w14:paraId="7030900D">
      <w:pPr>
        <w:tabs>
          <w:tab w:val="left" w:pos="2492"/>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15.2响应报价的价格构成见“供应商须知前附表”。</w:t>
      </w:r>
    </w:p>
    <w:p w14:paraId="77FBF4E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15.3响应报价要求</w:t>
      </w:r>
    </w:p>
    <w:p w14:paraId="2228301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15.3.1供应商的响应报价应符合以下要求，否则响应文件按无效响应处理：</w:t>
      </w:r>
    </w:p>
    <w:p w14:paraId="1D5A3E9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（1）供应商必须就“采购需求”中所竞标的每个分标的全部内容分别作完整唯一总价报价，不得存在漏项报价；</w:t>
      </w:r>
    </w:p>
    <w:p w14:paraId="3C9F0D1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（2）供应商必须就所竞标的分标的单项内容作唯一报价。</w:t>
      </w:r>
    </w:p>
    <w:p w14:paraId="273E554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15.3.2响应报价（包含首次报价、最后报价）超过所竞标分标规定的采购预算金额或者最高限价的，其响应文件将作无效处理。</w:t>
      </w:r>
    </w:p>
    <w:p w14:paraId="14C9CD2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15.3.3</w:t>
      </w:r>
      <w:bookmarkStart w:id="59" w:name="_Hlk42592874"/>
      <w:r>
        <w:rPr>
          <w:rFonts w:hint="eastAsia" w:ascii="宋体" w:hAnsi="宋体" w:cs="宋体"/>
          <w:color w:val="auto"/>
          <w:szCs w:val="21"/>
          <w:highlight w:val="none"/>
        </w:rPr>
        <w:t>响应报价（包含首次报价、最后报价）超过分项采购预算金额或者最高限价的，其响应文件将作无效处理。</w:t>
      </w:r>
    </w:p>
    <w:bookmarkEnd w:id="59"/>
    <w:p w14:paraId="6A42D8B2">
      <w:pPr>
        <w:spacing w:line="360" w:lineRule="auto"/>
        <w:ind w:firstLine="422" w:firstLineChars="175"/>
        <w:rPr>
          <w:rFonts w:hint="eastAsia" w:ascii="宋体" w:hAnsi="宋体" w:cs="宋体"/>
          <w:b/>
          <w:bCs/>
          <w:color w:val="auto"/>
          <w:sz w:val="24"/>
          <w:highlight w:val="none"/>
        </w:rPr>
      </w:pPr>
      <w:r>
        <w:rPr>
          <w:rFonts w:hint="eastAsia" w:ascii="宋体" w:hAnsi="宋体" w:cs="宋体"/>
          <w:b/>
          <w:bCs/>
          <w:color w:val="auto"/>
          <w:sz w:val="24"/>
          <w:highlight w:val="none"/>
        </w:rPr>
        <w:t>16.竞标有效期</w:t>
      </w:r>
    </w:p>
    <w:p w14:paraId="783526C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16.1竞标有效期是指为保证采购人有足够的时间在提交响应文件后完成评审、确定成交供应商、合同签订等工作而要求供应商提交的响应文件在一定时间内保持有效的期限。</w:t>
      </w:r>
    </w:p>
    <w:p w14:paraId="2F6AD36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16.2 竞标有效期应由供应商按“供应商须知前附表”规定的期限作出响应。</w:t>
      </w:r>
    </w:p>
    <w:p w14:paraId="1983904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16.3供应商的响应文件在竞标有效期内均保持有效。</w:t>
      </w:r>
    </w:p>
    <w:p w14:paraId="0C60C437">
      <w:pPr>
        <w:spacing w:line="360" w:lineRule="auto"/>
        <w:ind w:firstLine="422" w:firstLineChars="175"/>
        <w:rPr>
          <w:rFonts w:hint="eastAsia" w:ascii="宋体" w:hAnsi="宋体" w:cs="宋体"/>
          <w:b/>
          <w:bCs/>
          <w:color w:val="auto"/>
          <w:sz w:val="24"/>
          <w:highlight w:val="none"/>
        </w:rPr>
      </w:pPr>
      <w:r>
        <w:rPr>
          <w:rFonts w:hint="eastAsia" w:ascii="宋体" w:hAnsi="宋体" w:cs="宋体"/>
          <w:b/>
          <w:bCs/>
          <w:color w:val="auto"/>
          <w:sz w:val="24"/>
          <w:highlight w:val="none"/>
        </w:rPr>
        <w:t>17.磋商保证金</w:t>
      </w:r>
    </w:p>
    <w:p w14:paraId="10D3E1F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详见“供应商须知前附表”。</w:t>
      </w:r>
    </w:p>
    <w:p w14:paraId="561CA007">
      <w:pPr>
        <w:spacing w:line="360" w:lineRule="auto"/>
        <w:ind w:firstLine="422" w:firstLineChars="175"/>
        <w:rPr>
          <w:rFonts w:hint="eastAsia" w:ascii="宋体" w:hAnsi="宋体" w:cs="宋体"/>
          <w:b/>
          <w:bCs/>
          <w:color w:val="auto"/>
          <w:sz w:val="24"/>
          <w:highlight w:val="none"/>
        </w:rPr>
      </w:pPr>
      <w:r>
        <w:rPr>
          <w:rFonts w:hint="eastAsia" w:ascii="宋体" w:hAnsi="宋体" w:cs="宋体"/>
          <w:b/>
          <w:bCs/>
          <w:color w:val="auto"/>
          <w:sz w:val="24"/>
          <w:highlight w:val="none"/>
        </w:rPr>
        <w:t>18.响应文件编制的要求</w:t>
      </w:r>
    </w:p>
    <w:p w14:paraId="223213A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18.1各供应商在编制响应文件时请按照磋商文件“第五章 响应文件格式”规定的格式进行，混乱的编排导致响应文件被误读或磋商小组查找不到有效文件是供应商的风险。不完整、编排混乱导致响应文件被误读、漏读或者查找不到相关内容的，</w:t>
      </w:r>
      <w:r>
        <w:rPr>
          <w:rFonts w:hint="eastAsia" w:ascii="宋体" w:hAnsi="宋体" w:cs="宋体"/>
          <w:color w:val="auto"/>
          <w:highlight w:val="none"/>
        </w:rPr>
        <w:t>由此引发的</w:t>
      </w:r>
      <w:r>
        <w:rPr>
          <w:rFonts w:hint="eastAsia" w:ascii="宋体" w:hAnsi="宋体" w:cs="宋体"/>
          <w:color w:val="auto"/>
          <w:szCs w:val="21"/>
          <w:highlight w:val="none"/>
        </w:rPr>
        <w:t>后果由供应商承担。</w:t>
      </w:r>
    </w:p>
    <w:p w14:paraId="2EE20F0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18.2响应文件应按资格证明、报价分别编制，商务技术文件合并编制，本磋商只接受电子版响应文件，要求见本章“12.2响应文件电子版要求”。</w:t>
      </w:r>
    </w:p>
    <w:p w14:paraId="3B7CFA4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18.</w:t>
      </w:r>
      <w:bookmarkStart w:id="60" w:name="_Hlk65832699"/>
      <w:r>
        <w:rPr>
          <w:rFonts w:hint="eastAsia" w:ascii="宋体" w:hAnsi="宋体" w:cs="宋体"/>
          <w:color w:val="auto"/>
          <w:szCs w:val="21"/>
          <w:highlight w:val="none"/>
        </w:rPr>
        <w:t>3响应文件须由供应商在</w:t>
      </w:r>
      <w:r>
        <w:rPr>
          <w:rFonts w:hint="eastAsia" w:ascii="宋体" w:hAnsi="宋体" w:cs="宋体"/>
          <w:color w:val="auto"/>
          <w:kern w:val="0"/>
          <w:szCs w:val="21"/>
          <w:highlight w:val="none"/>
          <w:lang w:val="zh-CN"/>
        </w:rPr>
        <w:t>“</w:t>
      </w:r>
      <w:r>
        <w:rPr>
          <w:rFonts w:hint="eastAsia" w:ascii="宋体" w:hAnsi="宋体" w:cs="宋体"/>
          <w:color w:val="auto"/>
          <w:szCs w:val="21"/>
          <w:highlight w:val="none"/>
        </w:rPr>
        <w:t>第五章 响应文件格式</w:t>
      </w:r>
      <w:r>
        <w:rPr>
          <w:rFonts w:hint="eastAsia" w:ascii="宋体" w:hAnsi="宋体" w:cs="宋体"/>
          <w:color w:val="auto"/>
          <w:kern w:val="0"/>
          <w:szCs w:val="21"/>
          <w:highlight w:val="none"/>
          <w:lang w:val="zh-CN"/>
        </w:rPr>
        <w:t>”</w:t>
      </w:r>
      <w:r>
        <w:rPr>
          <w:rFonts w:hint="eastAsia" w:ascii="宋体" w:hAnsi="宋体" w:cs="宋体"/>
          <w:color w:val="auto"/>
          <w:szCs w:val="21"/>
          <w:highlight w:val="none"/>
        </w:rPr>
        <w:t>规定位置进行签署、盖章</w:t>
      </w:r>
      <w:bookmarkEnd w:id="60"/>
      <w:r>
        <w:rPr>
          <w:rFonts w:hint="eastAsia" w:ascii="宋体" w:hAnsi="宋体" w:cs="宋体"/>
          <w:color w:val="auto"/>
          <w:szCs w:val="21"/>
          <w:highlight w:val="none"/>
        </w:rPr>
        <w:t>，否则其响应文件按无效响应处理。骑缝盖公章不视为在规定位置盖章。</w:t>
      </w:r>
    </w:p>
    <w:p w14:paraId="03406B5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18.4响应文件中标注的供应商名称应与营业执照（事业单位法人证书、执业许可证、自然人身份证）及电子公章一致，否则其响应文件按无效响应处理。</w:t>
      </w:r>
    </w:p>
    <w:p w14:paraId="6B0F019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18.5响应文件应避免涂改、行间插字或者删除，否则其响应文件按无效响应处理。</w:t>
      </w:r>
    </w:p>
    <w:p w14:paraId="58B55DE4">
      <w:pPr>
        <w:spacing w:line="360" w:lineRule="auto"/>
        <w:ind w:firstLine="422" w:firstLineChars="175"/>
        <w:rPr>
          <w:rFonts w:hint="eastAsia" w:ascii="宋体" w:hAnsi="宋体" w:cs="宋体"/>
          <w:b/>
          <w:bCs/>
          <w:color w:val="auto"/>
          <w:sz w:val="24"/>
          <w:highlight w:val="none"/>
        </w:rPr>
      </w:pPr>
      <w:r>
        <w:rPr>
          <w:rFonts w:hint="eastAsia" w:ascii="宋体" w:hAnsi="宋体" w:cs="宋体"/>
          <w:b/>
          <w:bCs/>
          <w:color w:val="auto"/>
          <w:sz w:val="24"/>
          <w:highlight w:val="none"/>
        </w:rPr>
        <w:t>19.响应文件的密封和标记</w:t>
      </w:r>
    </w:p>
    <w:p w14:paraId="17BB926A">
      <w:pPr>
        <w:spacing w:line="360" w:lineRule="auto"/>
        <w:ind w:firstLine="420" w:firstLineChars="200"/>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19.1供应商进行电子交易应安装客户端软件—“广西政府采购云平台电子交易客户端”，并按照磋商文件和电子交易平台的要求编制并加密响应文件。供应商未按规定加密的响应文件，电子交易平台将拒收并提示。</w:t>
      </w:r>
    </w:p>
    <w:p w14:paraId="0F506F47">
      <w:pPr>
        <w:spacing w:line="360" w:lineRule="auto"/>
        <w:ind w:firstLine="420" w:firstLineChars="200"/>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19.2使用“广西政府采购云平台电子交易客户端”需要提前申领CA数字证书，申领流程见该项目采购公告附件。</w:t>
      </w:r>
    </w:p>
    <w:p w14:paraId="2B34A729">
      <w:pPr>
        <w:pStyle w:val="15"/>
        <w:spacing w:line="360" w:lineRule="auto"/>
        <w:ind w:firstLine="420" w:firstLineChars="200"/>
        <w:rPr>
          <w:rFonts w:hint="eastAsia" w:hAnsi="宋体" w:cs="宋体"/>
          <w:color w:val="auto"/>
          <w:sz w:val="21"/>
          <w:highlight w:val="none"/>
        </w:rPr>
      </w:pPr>
      <w:r>
        <w:rPr>
          <w:rFonts w:hint="eastAsia" w:hAnsi="宋体" w:cs="宋体"/>
          <w:color w:val="auto"/>
          <w:sz w:val="21"/>
          <w:highlight w:val="none"/>
        </w:rPr>
        <w:t>19.3为确保网上操作合法、有效和安全，供应商应当在响应文件提交截止时间前完成在“政府采购云平台”的身份认证，确保在电子交易过程中能够对相关数据电文进行加密和使用电子签名。</w:t>
      </w:r>
    </w:p>
    <w:p w14:paraId="3E821A36">
      <w:pPr>
        <w:spacing w:line="360" w:lineRule="auto"/>
        <w:ind w:firstLine="422" w:firstLineChars="175"/>
        <w:rPr>
          <w:rFonts w:hint="eastAsia" w:ascii="宋体" w:hAnsi="宋体" w:cs="宋体"/>
          <w:b/>
          <w:bCs/>
          <w:color w:val="auto"/>
          <w:sz w:val="24"/>
          <w:highlight w:val="none"/>
        </w:rPr>
      </w:pPr>
      <w:r>
        <w:rPr>
          <w:rFonts w:hint="eastAsia" w:ascii="宋体" w:hAnsi="宋体" w:cs="宋体"/>
          <w:b/>
          <w:bCs/>
          <w:color w:val="auto"/>
          <w:sz w:val="24"/>
          <w:highlight w:val="none"/>
        </w:rPr>
        <w:t>20.响应文件的提交</w:t>
      </w:r>
    </w:p>
    <w:p w14:paraId="21C5B57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20.1供应商必须在“供应商须知前附表”规定的时间和地点提交响应文件。</w:t>
      </w:r>
    </w:p>
    <w:p w14:paraId="63E3BC9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20.2 在响应文件提交截止时间以后，不能补充、修改响应文件。</w:t>
      </w:r>
    </w:p>
    <w:p w14:paraId="55EAEED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20.3 在提交“最后报价”后，供应商不能退出磋商。</w:t>
      </w:r>
    </w:p>
    <w:p w14:paraId="0A7C11D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20.4 电子交易平台收到响应文件，将妥善保存并即时向供应商发出确认回执通知。在响应文件提交截止时间前，除供应商补充、修改或者撤回响应文件外，任何单位和个人不得解密或提取响应文件。</w:t>
      </w:r>
    </w:p>
    <w:p w14:paraId="13DFA4D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20.5 采购机构不可视情况延长提交响应文件的截止时间。</w:t>
      </w:r>
    </w:p>
    <w:p w14:paraId="49C9039B">
      <w:pPr>
        <w:spacing w:line="360" w:lineRule="auto"/>
        <w:ind w:firstLine="420" w:firstLineChars="200"/>
        <w:rPr>
          <w:rFonts w:hint="eastAsia" w:ascii="宋体" w:hAnsi="宋体" w:cs="宋体"/>
          <w:color w:val="auto"/>
          <w:sz w:val="24"/>
          <w:highlight w:val="none"/>
        </w:rPr>
      </w:pPr>
      <w:r>
        <w:rPr>
          <w:rFonts w:hint="eastAsia" w:ascii="宋体" w:hAnsi="宋体" w:cs="宋体"/>
          <w:color w:val="auto"/>
          <w:szCs w:val="21"/>
          <w:highlight w:val="none"/>
        </w:rPr>
        <w:t>20.6备份响应文件。</w:t>
      </w:r>
      <w:r>
        <w:rPr>
          <w:rFonts w:hint="eastAsia" w:ascii="宋体" w:hAnsi="宋体" w:cs="宋体"/>
          <w:bCs/>
          <w:color w:val="auto"/>
          <w:szCs w:val="21"/>
          <w:highlight w:val="none"/>
        </w:rPr>
        <w:t>详见在“供应商须知前附表”。</w:t>
      </w:r>
    </w:p>
    <w:p w14:paraId="4F060D48">
      <w:pPr>
        <w:spacing w:line="360" w:lineRule="auto"/>
        <w:ind w:firstLine="422" w:firstLineChars="175"/>
        <w:rPr>
          <w:rFonts w:hint="eastAsia" w:ascii="宋体" w:hAnsi="宋体" w:cs="宋体"/>
          <w:b/>
          <w:bCs/>
          <w:color w:val="auto"/>
          <w:sz w:val="24"/>
          <w:highlight w:val="none"/>
        </w:rPr>
      </w:pPr>
      <w:r>
        <w:rPr>
          <w:rFonts w:hint="eastAsia" w:ascii="宋体" w:hAnsi="宋体" w:cs="宋体"/>
          <w:b/>
          <w:bCs/>
          <w:color w:val="auto"/>
          <w:sz w:val="24"/>
          <w:highlight w:val="none"/>
        </w:rPr>
        <w:t>21.首次响应文件的补充、修改与撤回</w:t>
      </w:r>
    </w:p>
    <w:p w14:paraId="5498929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详见“供应商须知前附表”。</w:t>
      </w:r>
    </w:p>
    <w:p w14:paraId="72C00800">
      <w:pPr>
        <w:spacing w:line="360" w:lineRule="auto"/>
        <w:ind w:firstLine="422" w:firstLineChars="175"/>
        <w:rPr>
          <w:rFonts w:hint="eastAsia" w:ascii="宋体" w:hAnsi="宋体" w:cs="宋体"/>
          <w:b/>
          <w:bCs/>
          <w:color w:val="auto"/>
          <w:sz w:val="24"/>
          <w:highlight w:val="none"/>
        </w:rPr>
      </w:pPr>
      <w:bookmarkStart w:id="61" w:name="_Hlk45702405"/>
      <w:r>
        <w:rPr>
          <w:rFonts w:hint="eastAsia" w:ascii="宋体" w:hAnsi="宋体" w:cs="宋体"/>
          <w:b/>
          <w:bCs/>
          <w:color w:val="auto"/>
          <w:sz w:val="24"/>
          <w:highlight w:val="none"/>
        </w:rPr>
        <w:t>22.首次响应文件的退回</w:t>
      </w:r>
    </w:p>
    <w:p w14:paraId="27A73DF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在首次响应文件提交截止时间止提交响应文件的供应商不足3家时电子响应文件由代理机构在“广西政府采购云平台”平台操作退回，除此之外采购人和采购代理机构对已提交的电子响应文件概不退回。</w:t>
      </w:r>
    </w:p>
    <w:p w14:paraId="6BE0524F">
      <w:pPr>
        <w:spacing w:line="360" w:lineRule="auto"/>
        <w:ind w:firstLine="422" w:firstLineChars="175"/>
        <w:rPr>
          <w:rFonts w:hint="eastAsia" w:ascii="宋体" w:hAnsi="宋体" w:cs="宋体"/>
          <w:b/>
          <w:bCs/>
          <w:color w:val="auto"/>
          <w:sz w:val="24"/>
          <w:highlight w:val="none"/>
        </w:rPr>
      </w:pPr>
      <w:r>
        <w:rPr>
          <w:rFonts w:hint="eastAsia" w:ascii="宋体" w:hAnsi="宋体" w:cs="宋体"/>
          <w:b/>
          <w:bCs/>
          <w:color w:val="auto"/>
          <w:sz w:val="24"/>
          <w:highlight w:val="none"/>
        </w:rPr>
        <w:t>23.截止时间后的撤回</w:t>
      </w:r>
    </w:p>
    <w:p w14:paraId="2E926D5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本项目不收取磋商保证金，供应商在首次响应文件提交截止时间后可向采购人、采购代理机构书面申请撤回电子响应文件。</w:t>
      </w:r>
      <w:bookmarkEnd w:id="61"/>
    </w:p>
    <w:p w14:paraId="74A1B349">
      <w:pPr>
        <w:pStyle w:val="4"/>
        <w:spacing w:before="0" w:after="0" w:line="360" w:lineRule="auto"/>
        <w:ind w:firstLine="643"/>
        <w:jc w:val="center"/>
        <w:rPr>
          <w:rFonts w:hint="eastAsia" w:ascii="宋体" w:hAnsi="宋体" w:cs="宋体"/>
          <w:color w:val="auto"/>
          <w:highlight w:val="none"/>
        </w:rPr>
      </w:pPr>
      <w:bookmarkStart w:id="62" w:name="_Toc25502"/>
      <w:bookmarkStart w:id="63" w:name="_Toc127"/>
      <w:bookmarkStart w:id="64" w:name="_Toc1976"/>
      <w:r>
        <w:rPr>
          <w:rFonts w:hint="eastAsia" w:ascii="宋体" w:hAnsi="宋体" w:cs="宋体"/>
          <w:color w:val="auto"/>
          <w:highlight w:val="none"/>
        </w:rPr>
        <w:t>四、评审及磋商</w:t>
      </w:r>
      <w:bookmarkEnd w:id="62"/>
      <w:bookmarkEnd w:id="63"/>
      <w:bookmarkEnd w:id="64"/>
    </w:p>
    <w:p w14:paraId="1D389D92">
      <w:pPr>
        <w:spacing w:line="360" w:lineRule="auto"/>
        <w:ind w:firstLine="422" w:firstLineChars="175"/>
        <w:rPr>
          <w:rFonts w:hint="eastAsia" w:ascii="宋体" w:hAnsi="宋体" w:cs="宋体"/>
          <w:b/>
          <w:bCs/>
          <w:color w:val="auto"/>
          <w:sz w:val="24"/>
          <w:highlight w:val="none"/>
        </w:rPr>
      </w:pPr>
      <w:r>
        <w:rPr>
          <w:rFonts w:hint="eastAsia" w:ascii="宋体" w:hAnsi="宋体" w:cs="宋体"/>
          <w:b/>
          <w:bCs/>
          <w:color w:val="auto"/>
          <w:sz w:val="24"/>
          <w:highlight w:val="none"/>
        </w:rPr>
        <w:t>24.磋商小组成立</w:t>
      </w:r>
    </w:p>
    <w:p w14:paraId="0874CD6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24.1磋商小组由采购人代表和评审专家共3人以上单数组成，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14:paraId="3E735C5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66C62A4E">
      <w:pPr>
        <w:spacing w:line="360" w:lineRule="auto"/>
        <w:ind w:firstLine="422" w:firstLineChars="175"/>
        <w:rPr>
          <w:rFonts w:hint="eastAsia" w:ascii="宋体" w:hAnsi="宋体" w:cs="宋体"/>
          <w:b/>
          <w:bCs/>
          <w:color w:val="auto"/>
          <w:sz w:val="24"/>
          <w:highlight w:val="none"/>
        </w:rPr>
      </w:pPr>
      <w:r>
        <w:rPr>
          <w:rFonts w:hint="eastAsia" w:ascii="宋体" w:hAnsi="宋体" w:cs="宋体"/>
          <w:b/>
          <w:bCs/>
          <w:color w:val="auto"/>
          <w:sz w:val="24"/>
          <w:highlight w:val="none"/>
        </w:rPr>
        <w:t>25.首次响应文件的开启</w:t>
      </w:r>
    </w:p>
    <w:p w14:paraId="3C91FED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25.1首次响应文件由磋商小组或者采购代理机构在“供应商须知前附表”规定的时间开启。</w:t>
      </w:r>
    </w:p>
    <w:p w14:paraId="103DFA9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25.2 响应文件解密</w:t>
      </w:r>
    </w:p>
    <w:p w14:paraId="29E86FB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采购代理机构将在“供应商须知前附表”规定的时间通过电子交易平台组织响应文件开启，采购机构依托电子交易平台发起开始解密指令，供应商的法定代表人或其委托代理人</w:t>
      </w:r>
      <w:r>
        <w:rPr>
          <w:rFonts w:hint="eastAsia" w:ascii="宋体" w:hAnsi="宋体" w:cs="宋体"/>
          <w:b/>
          <w:bCs/>
          <w:color w:val="auto"/>
          <w:szCs w:val="21"/>
          <w:highlight w:val="none"/>
        </w:rPr>
        <w:t>须携带加密时所用的CA锁按平台提示和采购文件的规定登录到“</w:t>
      </w:r>
      <w:r>
        <w:rPr>
          <w:rFonts w:hint="eastAsia" w:hAnsi="宋体" w:cs="宋体"/>
          <w:b/>
          <w:color w:val="auto"/>
          <w:sz w:val="21"/>
          <w:highlight w:val="none"/>
        </w:rPr>
        <w:t>广西政府采购云平台</w:t>
      </w:r>
      <w:r>
        <w:rPr>
          <w:rFonts w:hint="eastAsia" w:ascii="宋体" w:hAnsi="宋体" w:cs="宋体"/>
          <w:b/>
          <w:bCs/>
          <w:color w:val="auto"/>
          <w:szCs w:val="21"/>
          <w:highlight w:val="none"/>
        </w:rPr>
        <w:t>”平台电子开标大厅签到并在发起解密指令之时起30分钟内完成对电子响应文件在线解密</w:t>
      </w:r>
      <w:r>
        <w:rPr>
          <w:rFonts w:hint="eastAsia" w:ascii="宋体" w:hAnsi="宋体" w:cs="宋体"/>
          <w:color w:val="auto"/>
          <w:szCs w:val="21"/>
          <w:highlight w:val="none"/>
        </w:rPr>
        <w:t>。发起解密指令之时起5分钟内供应商还未进行解密的，代理机构要通知供应商，供应商没预留联系方式或预留联系方式无效，导致代理机构无法联系到供应商进行解密的，</w:t>
      </w:r>
      <w:r>
        <w:rPr>
          <w:rFonts w:hint="eastAsia" w:ascii="宋体" w:hAnsi="宋体" w:cs="宋体"/>
          <w:b/>
          <w:bCs/>
          <w:color w:val="auto"/>
          <w:szCs w:val="21"/>
          <w:highlight w:val="none"/>
        </w:rPr>
        <w:t>视为响应文件无效。</w:t>
      </w:r>
      <w:r>
        <w:rPr>
          <w:rFonts w:hint="eastAsia" w:ascii="宋体" w:hAnsi="宋体" w:cs="宋体"/>
          <w:color w:val="auto"/>
          <w:szCs w:val="21"/>
          <w:highlight w:val="none"/>
        </w:rPr>
        <w:t>（解密异常情况处理：详见本章26.3 电子交易活动的中止。）</w:t>
      </w:r>
    </w:p>
    <w:p w14:paraId="6D179793">
      <w:pPr>
        <w:pStyle w:val="15"/>
        <w:spacing w:line="360" w:lineRule="auto"/>
        <w:ind w:firstLine="420" w:firstLineChars="200"/>
        <w:rPr>
          <w:rFonts w:hint="eastAsia" w:hAnsi="宋体" w:cs="宋体"/>
          <w:color w:val="auto"/>
          <w:sz w:val="21"/>
          <w:highlight w:val="none"/>
        </w:rPr>
      </w:pPr>
      <w:r>
        <w:rPr>
          <w:rFonts w:hint="eastAsia" w:hAnsi="宋体" w:cs="宋体"/>
          <w:color w:val="auto"/>
          <w:sz w:val="21"/>
          <w:highlight w:val="none"/>
        </w:rPr>
        <w:t>如</w:t>
      </w:r>
      <w:r>
        <w:rPr>
          <w:rFonts w:hint="eastAsia" w:hAnsi="宋体" w:cs="宋体"/>
          <w:bCs/>
          <w:color w:val="auto"/>
          <w:sz w:val="21"/>
          <w:highlight w:val="none"/>
        </w:rPr>
        <w:t>供应商成功解密响应文件，但未在“广西政府采购云平台”电子开标大厅参加磋商的，视同认可磋商过程和结果，</w:t>
      </w:r>
      <w:r>
        <w:rPr>
          <w:rFonts w:hint="eastAsia" w:hAnsi="宋体" w:cs="宋体"/>
          <w:color w:val="auto"/>
          <w:sz w:val="21"/>
          <w:highlight w:val="none"/>
        </w:rPr>
        <w:t>由此产生的后果由供应商自行负责。 参与磋商的供应商不足3家的，不得磋商。</w:t>
      </w:r>
    </w:p>
    <w:p w14:paraId="42828EA5">
      <w:pPr>
        <w:spacing w:line="360" w:lineRule="auto"/>
        <w:ind w:firstLine="422" w:firstLineChars="175"/>
        <w:rPr>
          <w:rFonts w:hint="eastAsia" w:ascii="宋体" w:hAnsi="宋体" w:cs="宋体"/>
          <w:b/>
          <w:bCs/>
          <w:color w:val="auto"/>
          <w:sz w:val="24"/>
          <w:highlight w:val="none"/>
        </w:rPr>
      </w:pPr>
      <w:r>
        <w:rPr>
          <w:rFonts w:hint="eastAsia" w:ascii="宋体" w:hAnsi="宋体" w:cs="宋体"/>
          <w:b/>
          <w:bCs/>
          <w:color w:val="auto"/>
          <w:sz w:val="24"/>
          <w:highlight w:val="none"/>
        </w:rPr>
        <w:t>26.评审程序、评审方法和评审标准</w:t>
      </w:r>
    </w:p>
    <w:p w14:paraId="6EED15B0">
      <w:pPr>
        <w:spacing w:line="360" w:lineRule="auto"/>
        <w:ind w:firstLine="420" w:firstLineChars="200"/>
        <w:rPr>
          <w:rFonts w:hint="eastAsia" w:ascii="宋体" w:hAnsi="宋体" w:cs="宋体"/>
          <w:color w:val="auto"/>
          <w:szCs w:val="21"/>
          <w:highlight w:val="none"/>
        </w:rPr>
      </w:pPr>
      <w:bookmarkStart w:id="65" w:name="_Toc15315"/>
      <w:r>
        <w:rPr>
          <w:rFonts w:hint="eastAsia" w:ascii="宋体" w:hAnsi="宋体" w:cs="宋体"/>
          <w:color w:val="auto"/>
          <w:szCs w:val="21"/>
          <w:highlight w:val="none"/>
        </w:rPr>
        <w:t>26.1磋商小组按照“第四章 评审程序、评审方法和评审标准”规定的方法、评审因素、标准和程序对响应文件进行评审。</w:t>
      </w:r>
    </w:p>
    <w:p w14:paraId="5C32A84E">
      <w:pPr>
        <w:spacing w:line="360" w:lineRule="auto"/>
        <w:ind w:firstLine="420" w:firstLineChars="200"/>
        <w:rPr>
          <w:rFonts w:hint="eastAsia" w:ascii="宋体" w:hAnsi="宋体" w:cs="宋体"/>
          <w:color w:val="auto"/>
          <w:szCs w:val="21"/>
          <w:highlight w:val="none"/>
        </w:rPr>
      </w:pPr>
      <w:r>
        <w:rPr>
          <w:rFonts w:hint="eastAsia" w:ascii="宋体" w:hAnsi="宋体"/>
          <w:color w:val="auto"/>
          <w:szCs w:val="21"/>
          <w:highlight w:val="none"/>
        </w:rPr>
        <w:t xml:space="preserve">26.2 </w:t>
      </w:r>
      <w:r>
        <w:rPr>
          <w:rFonts w:hint="eastAsia" w:ascii="宋体" w:hAnsi="宋体" w:cs="宋体"/>
          <w:color w:val="auto"/>
          <w:szCs w:val="21"/>
          <w:highlight w:val="none"/>
        </w:rPr>
        <w:t>磋商文件内容违反国家有关强制性规定的，磋商小组应当停止评审并向采购人或者采购代理机构说明情况，并在评审报告中书面体现。</w:t>
      </w:r>
    </w:p>
    <w:p w14:paraId="440CB930">
      <w:pPr>
        <w:spacing w:line="360" w:lineRule="auto"/>
        <w:ind w:firstLine="420" w:firstLineChars="200"/>
        <w:rPr>
          <w:rFonts w:hint="eastAsia" w:ascii="宋体" w:hAnsi="宋体"/>
          <w:color w:val="auto"/>
          <w:szCs w:val="21"/>
          <w:highlight w:val="none"/>
        </w:rPr>
      </w:pPr>
      <w:r>
        <w:rPr>
          <w:rFonts w:hint="eastAsia" w:ascii="宋体" w:hAnsi="宋体" w:cs="宋体"/>
          <w:color w:val="auto"/>
          <w:szCs w:val="21"/>
          <w:highlight w:val="none"/>
        </w:rPr>
        <w:t xml:space="preserve">26.3 </w:t>
      </w:r>
      <w:r>
        <w:rPr>
          <w:rFonts w:hint="eastAsia" w:ascii="宋体" w:hAnsi="宋体"/>
          <w:color w:val="auto"/>
          <w:szCs w:val="21"/>
          <w:highlight w:val="none"/>
        </w:rPr>
        <w:t>采购需求负偏离要求及磋商顺序详见“ 供应商须知前附表”。</w:t>
      </w:r>
    </w:p>
    <w:p w14:paraId="026F2974">
      <w:pPr>
        <w:spacing w:line="360" w:lineRule="auto"/>
        <w:ind w:firstLine="420" w:firstLineChars="200"/>
        <w:rPr>
          <w:rFonts w:hint="eastAsia" w:ascii="宋体" w:hAnsi="宋体"/>
          <w:color w:val="auto"/>
          <w:highlight w:val="none"/>
        </w:rPr>
      </w:pPr>
      <w:r>
        <w:rPr>
          <w:rFonts w:hint="eastAsia" w:ascii="宋体" w:hAnsi="宋体"/>
          <w:color w:val="auto"/>
          <w:highlight w:val="none"/>
        </w:rPr>
        <w:t>26.4电子交易活动的中止。采购过程中出现以下情形，导致电子交易平台无法正常运行，或者无法保证电子交易的公平、公正和安全时，采购机构可中止电子交易活动：</w:t>
      </w:r>
    </w:p>
    <w:p w14:paraId="3EAE2F64">
      <w:pPr>
        <w:spacing w:line="360" w:lineRule="auto"/>
        <w:ind w:firstLine="420" w:firstLineChars="200"/>
        <w:rPr>
          <w:rFonts w:hint="eastAsia" w:ascii="宋体" w:hAnsi="宋体"/>
          <w:color w:val="auto"/>
          <w:highlight w:val="none"/>
        </w:rPr>
      </w:pPr>
      <w:r>
        <w:rPr>
          <w:rFonts w:hint="eastAsia" w:ascii="宋体" w:hAnsi="宋体"/>
          <w:color w:val="auto"/>
          <w:highlight w:val="none"/>
        </w:rPr>
        <w:t xml:space="preserve">（1）电子交易平台发生故障而无法登录访问的； </w:t>
      </w:r>
    </w:p>
    <w:p w14:paraId="145027F6">
      <w:pPr>
        <w:spacing w:line="360" w:lineRule="auto"/>
        <w:ind w:firstLine="420" w:firstLineChars="200"/>
        <w:rPr>
          <w:rFonts w:hint="eastAsia" w:ascii="宋体" w:hAnsi="宋体"/>
          <w:color w:val="auto"/>
          <w:highlight w:val="none"/>
        </w:rPr>
      </w:pPr>
      <w:r>
        <w:rPr>
          <w:rFonts w:hint="eastAsia" w:ascii="宋体" w:hAnsi="宋体"/>
          <w:color w:val="auto"/>
          <w:highlight w:val="none"/>
        </w:rPr>
        <w:t>（2）电子交易平台应用或数据库出现错误，不能进行正常操作的；</w:t>
      </w:r>
    </w:p>
    <w:p w14:paraId="60799ED1">
      <w:pPr>
        <w:spacing w:line="360" w:lineRule="auto"/>
        <w:ind w:firstLine="420" w:firstLineChars="200"/>
        <w:rPr>
          <w:rFonts w:hint="eastAsia" w:ascii="宋体" w:hAnsi="宋体"/>
          <w:color w:val="auto"/>
          <w:highlight w:val="none"/>
        </w:rPr>
      </w:pPr>
      <w:r>
        <w:rPr>
          <w:rFonts w:hint="eastAsia" w:ascii="宋体" w:hAnsi="宋体"/>
          <w:color w:val="auto"/>
          <w:highlight w:val="none"/>
        </w:rPr>
        <w:t>（3）电子交易平台发现严重安全漏洞，有潜在泄密危险的；</w:t>
      </w:r>
    </w:p>
    <w:p w14:paraId="2C2DBDC6">
      <w:pPr>
        <w:spacing w:line="360" w:lineRule="auto"/>
        <w:ind w:firstLine="420" w:firstLineChars="200"/>
        <w:rPr>
          <w:rFonts w:hint="eastAsia" w:ascii="宋体" w:hAnsi="宋体"/>
          <w:color w:val="auto"/>
          <w:highlight w:val="none"/>
        </w:rPr>
      </w:pPr>
      <w:r>
        <w:rPr>
          <w:rFonts w:hint="eastAsia" w:ascii="宋体" w:hAnsi="宋体"/>
          <w:color w:val="auto"/>
          <w:highlight w:val="none"/>
        </w:rPr>
        <w:t xml:space="preserve">（4）病毒发作导致不能进行正常操作的； </w:t>
      </w:r>
    </w:p>
    <w:p w14:paraId="62CBF90B">
      <w:pPr>
        <w:spacing w:line="360" w:lineRule="auto"/>
        <w:ind w:firstLine="420" w:firstLineChars="200"/>
        <w:rPr>
          <w:rFonts w:hint="eastAsia" w:ascii="宋体" w:hAnsi="宋体"/>
          <w:color w:val="auto"/>
          <w:highlight w:val="none"/>
        </w:rPr>
      </w:pPr>
      <w:r>
        <w:rPr>
          <w:rFonts w:hint="eastAsia" w:ascii="宋体" w:hAnsi="宋体"/>
          <w:color w:val="auto"/>
          <w:highlight w:val="none"/>
        </w:rPr>
        <w:t>（5）其他无法保证电子交易的公平、公正和安全的情况。</w:t>
      </w:r>
    </w:p>
    <w:p w14:paraId="694B17D9">
      <w:pPr>
        <w:spacing w:line="360" w:lineRule="auto"/>
        <w:ind w:firstLine="420" w:firstLineChars="200"/>
        <w:rPr>
          <w:rFonts w:hint="eastAsia" w:ascii="宋体" w:hAnsi="宋体"/>
          <w:color w:val="auto"/>
          <w:highlight w:val="none"/>
        </w:rPr>
      </w:pPr>
      <w:r>
        <w:rPr>
          <w:rFonts w:hint="eastAsia" w:ascii="宋体" w:hAnsi="宋体"/>
          <w:color w:val="auto"/>
          <w:highlight w:val="none"/>
        </w:rPr>
        <w:t>26.5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44B2D8B1">
      <w:pPr>
        <w:pStyle w:val="4"/>
        <w:spacing w:before="0" w:after="0" w:line="360" w:lineRule="auto"/>
        <w:ind w:firstLine="643"/>
        <w:jc w:val="center"/>
        <w:rPr>
          <w:rFonts w:hint="eastAsia" w:ascii="宋体" w:hAnsi="宋体" w:cs="宋体"/>
          <w:color w:val="auto"/>
          <w:highlight w:val="none"/>
        </w:rPr>
      </w:pPr>
      <w:bookmarkStart w:id="66" w:name="_Toc28545"/>
      <w:bookmarkStart w:id="67" w:name="_Toc10639"/>
      <w:r>
        <w:rPr>
          <w:rFonts w:hint="eastAsia" w:ascii="宋体" w:hAnsi="宋体" w:cs="宋体"/>
          <w:color w:val="auto"/>
          <w:highlight w:val="none"/>
        </w:rPr>
        <w:t>五、成交及合同</w:t>
      </w:r>
      <w:bookmarkEnd w:id="65"/>
      <w:bookmarkEnd w:id="66"/>
      <w:bookmarkEnd w:id="67"/>
    </w:p>
    <w:p w14:paraId="13276FE3">
      <w:pPr>
        <w:spacing w:line="360" w:lineRule="auto"/>
        <w:ind w:firstLine="422" w:firstLineChars="175"/>
        <w:rPr>
          <w:rFonts w:hint="eastAsia" w:ascii="宋体" w:hAnsi="宋体" w:cs="宋体"/>
          <w:b/>
          <w:bCs/>
          <w:color w:val="auto"/>
          <w:sz w:val="24"/>
          <w:highlight w:val="none"/>
        </w:rPr>
      </w:pPr>
      <w:r>
        <w:rPr>
          <w:rFonts w:hint="eastAsia" w:ascii="宋体" w:hAnsi="宋体" w:cs="宋体"/>
          <w:b/>
          <w:bCs/>
          <w:color w:val="auto"/>
          <w:sz w:val="24"/>
          <w:highlight w:val="none"/>
        </w:rPr>
        <w:t>27.确定成交供应商及结果公告</w:t>
      </w:r>
    </w:p>
    <w:p w14:paraId="20FB617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27.1确定成交供应商。</w:t>
      </w:r>
      <w:r>
        <w:rPr>
          <w:rFonts w:hint="eastAsia" w:ascii="宋体" w:hAnsi="宋体" w:cs="宋体"/>
          <w:color w:val="auto"/>
          <w:kern w:val="0"/>
          <w:szCs w:val="21"/>
          <w:highlight w:val="none"/>
          <w:u w:val="single"/>
        </w:rPr>
        <w:t xml:space="preserve"> 由采购人直接委托评审专家确定</w:t>
      </w:r>
      <w:r>
        <w:rPr>
          <w:rFonts w:hint="eastAsia" w:ascii="宋体" w:hAnsi="宋体" w:cs="宋体"/>
          <w:color w:val="auto"/>
          <w:szCs w:val="21"/>
          <w:highlight w:val="none"/>
          <w:u w:val="single"/>
        </w:rPr>
        <w:t>，评审报告提出的排序第一的供应商为成交供应商。</w:t>
      </w:r>
    </w:p>
    <w:p w14:paraId="53898E1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27.2成交通知及成交结果公告。成交供应商确定后2个工作日内，在省级以上财政部门指定的媒体上公告成交结果（成交通知及成交结果公告应使用南宁市模板进行公告，公告内容除包含《政府采购公告和公示信息格式规范（2020年版）》要求内容外，还应包含采购人专门面向中小企业预留份额情况及成交供应商评审价格、优惠率等内容），同时向成交供应商发出成交通知书，成交通知书规定签订合同的时间不得超过25日。</w:t>
      </w:r>
    </w:p>
    <w:p w14:paraId="76418BA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27.3采购人或者采购代理机构发出成交通知书前，应当对成交供应商信用进行查询核实，对列入失信被执行人、重大税收违法案件当事人名单、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竞磋文件一并保存。成交供应商享受《政府采购促进中小企业发展管理办法》（财库〔2020〕46号）规定的中小企业扶持政策的，采购人、采购代理机构应当随成交结果公开成交供应商的《中小企业声明函》。</w:t>
      </w:r>
    </w:p>
    <w:p w14:paraId="0BB1F6A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27.4采购人、采购代理机构认为供应商对采购过程、成交结果提出的质疑成立且影响或者可能影响成交结果的，合格供应商符合法定数量时，可以从合格的成交候选人中另行确定成交供应商的，应当依法另行确定成交供应商；否则应当重新开展采购活动。</w:t>
      </w:r>
    </w:p>
    <w:p w14:paraId="6A735ADD">
      <w:pPr>
        <w:spacing w:line="360" w:lineRule="auto"/>
        <w:ind w:firstLine="420" w:firstLineChars="200"/>
        <w:rPr>
          <w:rFonts w:hint="eastAsia" w:ascii="宋体" w:hAnsi="宋体" w:cs="宋体"/>
          <w:color w:val="auto"/>
          <w:szCs w:val="21"/>
          <w:highlight w:val="none"/>
        </w:rPr>
      </w:pPr>
      <w:r>
        <w:rPr>
          <w:rFonts w:hint="eastAsia" w:ascii="宋体" w:hAnsi="宋体" w:cs="宋体"/>
          <w:bCs/>
          <w:color w:val="auto"/>
          <w:szCs w:val="21"/>
          <w:highlight w:val="none"/>
        </w:rPr>
        <w:t>27.5</w:t>
      </w:r>
      <w:r>
        <w:rPr>
          <w:rFonts w:hint="eastAsia" w:ascii="宋体" w:hAnsi="宋体" w:cs="宋体"/>
          <w:color w:val="auto"/>
          <w:szCs w:val="21"/>
          <w:highlight w:val="none"/>
        </w:rPr>
        <w:t>排名第一的成交候选人放弃成交、因不可抗力提出不能履行合同，采购人可以确定排名第二的成交候选人为成交供应商。排名第二的成交候选人因前款规定的同样原因不能签订合同的，采购人可以确定排名第三的成交候选人为成交供应商。</w:t>
      </w:r>
    </w:p>
    <w:p w14:paraId="7206ADCD">
      <w:pPr>
        <w:spacing w:line="360" w:lineRule="auto"/>
        <w:ind w:firstLine="422" w:firstLineChars="175"/>
        <w:rPr>
          <w:rFonts w:hint="eastAsia" w:ascii="宋体" w:hAnsi="宋体" w:cs="宋体"/>
          <w:b/>
          <w:bCs/>
          <w:color w:val="auto"/>
          <w:sz w:val="24"/>
          <w:highlight w:val="none"/>
        </w:rPr>
      </w:pPr>
      <w:r>
        <w:rPr>
          <w:rFonts w:hint="eastAsia" w:ascii="宋体" w:hAnsi="宋体" w:cs="宋体"/>
          <w:b/>
          <w:bCs/>
          <w:color w:val="auto"/>
          <w:sz w:val="24"/>
          <w:highlight w:val="none"/>
        </w:rPr>
        <w:t>28.履约保证金</w:t>
      </w:r>
    </w:p>
    <w:p w14:paraId="7036D652">
      <w:pPr>
        <w:spacing w:line="360" w:lineRule="auto"/>
        <w:ind w:firstLine="420" w:firstLineChars="200"/>
        <w:rPr>
          <w:rFonts w:hint="eastAsia" w:ascii="宋体" w:hAnsi="宋体" w:cs="宋体"/>
          <w:b/>
          <w:bCs/>
          <w:color w:val="auto"/>
          <w:sz w:val="24"/>
          <w:highlight w:val="none"/>
        </w:rPr>
      </w:pPr>
      <w:r>
        <w:rPr>
          <w:rFonts w:hint="eastAsia" w:ascii="宋体" w:hAnsi="宋体" w:cs="宋体"/>
          <w:color w:val="auto"/>
          <w:szCs w:val="21"/>
          <w:highlight w:val="none"/>
        </w:rPr>
        <w:t>详见 “供应商须知前附表”</w:t>
      </w:r>
    </w:p>
    <w:p w14:paraId="18F66E90">
      <w:pPr>
        <w:spacing w:line="360" w:lineRule="auto"/>
        <w:ind w:firstLine="422" w:firstLineChars="175"/>
        <w:rPr>
          <w:rFonts w:hint="eastAsia" w:ascii="宋体" w:hAnsi="宋体" w:cs="宋体"/>
          <w:b/>
          <w:bCs/>
          <w:color w:val="auto"/>
          <w:sz w:val="24"/>
          <w:highlight w:val="none"/>
        </w:rPr>
      </w:pPr>
      <w:r>
        <w:rPr>
          <w:rFonts w:hint="eastAsia" w:ascii="宋体" w:hAnsi="宋体" w:cs="宋体"/>
          <w:b/>
          <w:bCs/>
          <w:color w:val="auto"/>
          <w:sz w:val="24"/>
          <w:highlight w:val="none"/>
        </w:rPr>
        <w:t>29.签订合同</w:t>
      </w:r>
    </w:p>
    <w:p w14:paraId="5EC8868E">
      <w:pPr>
        <w:pStyle w:val="27"/>
        <w:snapToGrid w:val="0"/>
        <w:spacing w:before="0"/>
        <w:ind w:firstLine="420"/>
        <w:rPr>
          <w:rFonts w:hint="eastAsia" w:ascii="宋体" w:hAnsi="宋体" w:cs="宋体"/>
          <w:color w:val="auto"/>
          <w:sz w:val="21"/>
          <w:szCs w:val="21"/>
          <w:highlight w:val="none"/>
          <w:lang w:val="zh-CN"/>
        </w:rPr>
      </w:pPr>
      <w:r>
        <w:rPr>
          <w:rFonts w:hint="eastAsia" w:ascii="宋体" w:hAnsi="宋体" w:cs="宋体"/>
          <w:color w:val="auto"/>
          <w:sz w:val="21"/>
          <w:szCs w:val="21"/>
          <w:highlight w:val="none"/>
        </w:rPr>
        <w:t>29.1采购人与成交供应商应当在成交通知书规定的时间内，按照磋商文件确定的合同文本以及采购标的、服务技术、采购金额、采购数量、技术和服务要求等事项签订政府采购合同。</w:t>
      </w:r>
      <w:r>
        <w:rPr>
          <w:rFonts w:hint="eastAsia" w:ascii="宋体" w:hAnsi="宋体" w:cs="宋体"/>
          <w:color w:val="auto"/>
          <w:sz w:val="21"/>
          <w:szCs w:val="21"/>
          <w:highlight w:val="none"/>
          <w:lang w:val="zh-CN"/>
        </w:rPr>
        <w:t>如成交供应商为联合体的，由联合体成员各方法定代表人或其授权代表与采购人代表签订合同。</w:t>
      </w:r>
    </w:p>
    <w:p w14:paraId="21341C2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29.2采购人不得向成交供应商提出超出磋商文件以外的任何要求作为签订合同的条件，不得与成交供应商订立背离磋商文件确定的合同文本以及采购标的、服务技术、采购金额、采购数量、技术和服务要求等实质性内容的协议。</w:t>
      </w:r>
    </w:p>
    <w:p w14:paraId="2CD2E49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29.3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4EE3714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29.4如签订合同并生效后，供应商无故拒绝或延期，除按照合同条款处理外，列入不良行为记录，并给予通报。</w:t>
      </w:r>
    </w:p>
    <w:p w14:paraId="21FADE78">
      <w:pPr>
        <w:pStyle w:val="27"/>
        <w:spacing w:before="0"/>
        <w:ind w:firstLine="420"/>
        <w:rPr>
          <w:rFonts w:hint="eastAsia" w:ascii="宋体" w:hAnsi="宋体" w:cs="宋体"/>
          <w:color w:val="auto"/>
          <w:szCs w:val="21"/>
          <w:highlight w:val="none"/>
        </w:rPr>
      </w:pPr>
      <w:r>
        <w:rPr>
          <w:rFonts w:hint="eastAsia" w:ascii="宋体" w:hAnsi="宋体" w:cs="宋体"/>
          <w:color w:val="auto"/>
          <w:sz w:val="21"/>
          <w:szCs w:val="21"/>
          <w:highlight w:val="none"/>
        </w:rPr>
        <w:t>29.5采购合同由采购人与成交供应商根据磋商文件、响应文件等内容通过政府采购电子交易平台在线签订，自动备案，在线签订须携带的材料见“</w:t>
      </w:r>
      <w:r>
        <w:rPr>
          <w:rFonts w:hint="eastAsia" w:ascii="宋体" w:hAnsi="宋体" w:cs="宋体"/>
          <w:color w:val="auto"/>
          <w:highlight w:val="none"/>
        </w:rPr>
        <w:t xml:space="preserve"> </w:t>
      </w:r>
      <w:r>
        <w:rPr>
          <w:rFonts w:hint="eastAsia" w:ascii="宋体" w:hAnsi="宋体" w:cs="宋体"/>
          <w:color w:val="auto"/>
          <w:sz w:val="21"/>
          <w:szCs w:val="21"/>
          <w:highlight w:val="none"/>
        </w:rPr>
        <w:t>供应商须知前附表”。</w:t>
      </w:r>
    </w:p>
    <w:p w14:paraId="76238D73">
      <w:pPr>
        <w:spacing w:line="360" w:lineRule="auto"/>
        <w:ind w:firstLine="422" w:firstLineChars="175"/>
        <w:rPr>
          <w:rFonts w:hint="eastAsia" w:ascii="宋体" w:hAnsi="宋体" w:cs="宋体"/>
          <w:b/>
          <w:bCs/>
          <w:color w:val="auto"/>
          <w:sz w:val="24"/>
          <w:highlight w:val="none"/>
        </w:rPr>
      </w:pPr>
      <w:r>
        <w:rPr>
          <w:rFonts w:hint="eastAsia" w:ascii="宋体" w:hAnsi="宋体" w:cs="宋体"/>
          <w:b/>
          <w:bCs/>
          <w:color w:val="auto"/>
          <w:sz w:val="24"/>
          <w:highlight w:val="none"/>
        </w:rPr>
        <w:t>30.政府采购合同公告</w:t>
      </w:r>
    </w:p>
    <w:p w14:paraId="68D5447C">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采购人或者受托采购代理机构应当自政府采购合同签订之日起2个工作日内，将政府采购合同</w:t>
      </w:r>
      <w:r>
        <w:rPr>
          <w:rFonts w:hint="eastAsia" w:ascii="宋体" w:hAnsi="宋体" w:cs="宋体"/>
          <w:bCs/>
          <w:color w:val="auto"/>
          <w:highlight w:val="none"/>
        </w:rPr>
        <w:t>在以下媒体上发布</w:t>
      </w:r>
      <w:r>
        <w:rPr>
          <w:rFonts w:hint="eastAsia" w:ascii="宋体" w:hAnsi="宋体" w:cs="宋体"/>
          <w:color w:val="auto"/>
          <w:kern w:val="0"/>
          <w:szCs w:val="21"/>
          <w:highlight w:val="none"/>
        </w:rPr>
        <w:t>“广西政府采购网”（http://zfcg.gxzf.gov.cn）</w:t>
      </w:r>
      <w:r>
        <w:rPr>
          <w:rFonts w:hint="eastAsia" w:ascii="宋体" w:hAnsi="宋体" w:cs="宋体"/>
          <w:color w:val="auto"/>
          <w:highlight w:val="none"/>
        </w:rPr>
        <w:t>上公告，但政府采购合同中涉及国家秘密、商业秘密的内容除外。</w:t>
      </w:r>
    </w:p>
    <w:p w14:paraId="6E00DC2E">
      <w:pPr>
        <w:spacing w:line="360" w:lineRule="auto"/>
        <w:ind w:firstLine="422" w:firstLineChars="175"/>
        <w:rPr>
          <w:rFonts w:hint="eastAsia" w:ascii="宋体" w:hAnsi="宋体" w:cs="宋体"/>
          <w:b/>
          <w:bCs/>
          <w:color w:val="auto"/>
          <w:sz w:val="24"/>
          <w:highlight w:val="none"/>
        </w:rPr>
      </w:pPr>
      <w:r>
        <w:rPr>
          <w:rFonts w:hint="eastAsia" w:ascii="宋体" w:hAnsi="宋体" w:cs="宋体"/>
          <w:b/>
          <w:bCs/>
          <w:color w:val="auto"/>
          <w:sz w:val="24"/>
          <w:highlight w:val="none"/>
        </w:rPr>
        <w:t>31.询问、质疑和投诉</w:t>
      </w:r>
    </w:p>
    <w:p w14:paraId="6254F600">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31.1供应商对政府采购活动事项有疑问的，可以向采购人、采购代理机构提出询问，采购人或者采购代理机构应当在3个工作日内对供应商依法提出的询问作出答复。</w:t>
      </w:r>
    </w:p>
    <w:p w14:paraId="054BF037">
      <w:pPr>
        <w:spacing w:line="360" w:lineRule="auto"/>
        <w:ind w:firstLine="420" w:firstLineChars="200"/>
        <w:rPr>
          <w:rFonts w:hint="eastAsia" w:ascii="宋体" w:hAnsi="宋体" w:cs="宋体"/>
          <w:b/>
          <w:color w:val="auto"/>
          <w:szCs w:val="21"/>
          <w:highlight w:val="none"/>
        </w:rPr>
      </w:pPr>
      <w:r>
        <w:rPr>
          <w:rFonts w:hint="eastAsia" w:ascii="宋体" w:hAnsi="宋体" w:cs="宋体"/>
          <w:color w:val="auto"/>
          <w:highlight w:val="none"/>
        </w:rPr>
        <w:t>31.2供应商认为磋商文件、采购过程或者成交结果使自己的合法权益受到损害的，应当在知道或者应知其权益受到损害之日起7个工作日内，以书面形式向采购人、采购代理机构提出质疑，</w:t>
      </w:r>
      <w:r>
        <w:rPr>
          <w:rFonts w:hint="eastAsia" w:ascii="宋体" w:hAnsi="宋体" w:cs="宋体"/>
          <w:color w:val="auto"/>
          <w:highlight w:val="none"/>
          <w:shd w:val="clear" w:color="auto" w:fill="FFFFFF"/>
        </w:rPr>
        <w:t>接收质疑函的方式、联系部门、联系电话和通讯地址等信息详见</w:t>
      </w:r>
      <w:r>
        <w:rPr>
          <w:rFonts w:hint="eastAsia" w:ascii="宋体" w:hAnsi="宋体" w:cs="宋体"/>
          <w:color w:val="auto"/>
          <w:szCs w:val="21"/>
          <w:highlight w:val="none"/>
        </w:rPr>
        <w:t>“供应商须知前附表”</w:t>
      </w:r>
      <w:r>
        <w:rPr>
          <w:rFonts w:hint="eastAsia" w:ascii="宋体" w:hAnsi="宋体" w:cs="宋体"/>
          <w:color w:val="auto"/>
          <w:highlight w:val="none"/>
        </w:rPr>
        <w:t>。</w:t>
      </w:r>
      <w:r>
        <w:rPr>
          <w:rFonts w:hint="eastAsia" w:ascii="宋体" w:hAnsi="宋体" w:cs="宋体"/>
          <w:b/>
          <w:color w:val="auto"/>
          <w:szCs w:val="21"/>
          <w:highlight w:val="none"/>
        </w:rPr>
        <w:t xml:space="preserve">具体质疑起算时间及处理方式如下： </w:t>
      </w:r>
    </w:p>
    <w:p w14:paraId="26AEAA28">
      <w:pPr>
        <w:spacing w:line="360" w:lineRule="auto"/>
        <w:ind w:firstLine="420" w:firstLineChars="200"/>
        <w:rPr>
          <w:rFonts w:hint="eastAsia" w:ascii="宋体" w:hAnsi="宋体" w:cs="宋体"/>
          <w:bCs/>
          <w:color w:val="auto"/>
          <w:highlight w:val="none"/>
        </w:rPr>
      </w:pPr>
      <w:r>
        <w:rPr>
          <w:rFonts w:hint="eastAsia" w:ascii="宋体" w:hAnsi="宋体" w:cs="宋体"/>
          <w:bCs/>
          <w:color w:val="auto"/>
          <w:highlight w:val="none"/>
        </w:rPr>
        <w:t>（1）潜在供应商依法获取采购文件后，认为采购文件使自己的权益受到损害的，应当在竞争性磋商文件公告期限届满之日起7个工作日内提出质疑。</w:t>
      </w:r>
      <w:r>
        <w:rPr>
          <w:rFonts w:hint="eastAsia" w:ascii="宋体" w:hAnsi="宋体" w:cs="宋体"/>
          <w:color w:val="auto"/>
          <w:highlight w:val="none"/>
        </w:rPr>
        <w:t>委托代理协议无特殊约定的，</w:t>
      </w:r>
      <w:r>
        <w:rPr>
          <w:rFonts w:hint="eastAsia" w:ascii="宋体" w:hAnsi="宋体" w:cs="宋体"/>
          <w:bCs/>
          <w:color w:val="auto"/>
          <w:highlight w:val="none"/>
        </w:rPr>
        <w:t>对竞争性磋商文件中采购需求（含资格要求、采购预算和评分办法）的质疑由采购人受理并负责答复；对竞争性磋商文件中的采购执行程序的质疑由采购代理机构受理并负责答复。</w:t>
      </w:r>
    </w:p>
    <w:p w14:paraId="27B46C6F">
      <w:pPr>
        <w:spacing w:line="360" w:lineRule="auto"/>
        <w:ind w:firstLine="420" w:firstLineChars="200"/>
        <w:rPr>
          <w:rFonts w:hint="eastAsia" w:ascii="宋体" w:hAnsi="宋体" w:cs="宋体"/>
          <w:bCs/>
          <w:color w:val="auto"/>
          <w:highlight w:val="none"/>
        </w:rPr>
      </w:pPr>
      <w:r>
        <w:rPr>
          <w:rFonts w:hint="eastAsia" w:ascii="宋体" w:hAnsi="宋体" w:cs="宋体"/>
          <w:bCs/>
          <w:color w:val="auto"/>
          <w:highlight w:val="none"/>
        </w:rPr>
        <w:t>（2）供应商认为采购过程使自己的权益受到损害的，应当在各采购程序环节结束之日起7个工作日内提出质疑。对采购过程中资格审查、符合性审查等具体评审情况的质疑应向采购人或代理机构提出，由采购人或代理机构受理并负责答复；对采购过程中采购执行程序的质疑由采购代理机构受理并负责答复。</w:t>
      </w:r>
    </w:p>
    <w:p w14:paraId="649F52B5">
      <w:pPr>
        <w:spacing w:line="360" w:lineRule="auto"/>
        <w:ind w:firstLine="420" w:firstLineChars="200"/>
        <w:rPr>
          <w:rFonts w:hint="eastAsia" w:ascii="宋体" w:hAnsi="宋体" w:cs="宋体"/>
          <w:bCs/>
          <w:color w:val="auto"/>
          <w:highlight w:val="none"/>
        </w:rPr>
      </w:pPr>
      <w:r>
        <w:rPr>
          <w:rFonts w:hint="eastAsia" w:ascii="宋体" w:hAnsi="宋体" w:cs="宋体"/>
          <w:bCs/>
          <w:color w:val="auto"/>
          <w:highlight w:val="none"/>
        </w:rPr>
        <w:t>（3）供应商认为成交结果使自己的权益受到损害的，应当在成交结果公告期限届满之日起7个工作日内提出质疑，由采购人受理并负责答复。</w:t>
      </w:r>
    </w:p>
    <w:p w14:paraId="66A7F3A7">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31.3供应商提出的询问或者质疑超出采购人对采购代理机构委托授权范围的，采购代理机构应当告知供应商向采购人提出。政府采购评审专家应当配合采购人或者采购代理机构答复供应商的询问和质疑。</w:t>
      </w:r>
    </w:p>
    <w:p w14:paraId="7F7800B1">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31.4 供应商提出质疑应当提交质疑函和必要的证明材料，针对同一采购程序环节的质疑必须在法定质疑期内一次性提出。质疑函应当包括下列内容</w:t>
      </w:r>
      <w:r>
        <w:rPr>
          <w:rFonts w:hint="eastAsia" w:ascii="宋体" w:hAnsi="宋体" w:cs="宋体"/>
          <w:bCs/>
          <w:color w:val="auto"/>
          <w:highlight w:val="none"/>
        </w:rPr>
        <w:t>（质疑函格式后附）</w:t>
      </w:r>
      <w:r>
        <w:rPr>
          <w:rFonts w:hint="eastAsia" w:ascii="宋体" w:hAnsi="宋体" w:cs="宋体"/>
          <w:color w:val="auto"/>
          <w:highlight w:val="none"/>
        </w:rPr>
        <w:t>：</w:t>
      </w:r>
    </w:p>
    <w:p w14:paraId="37E24E22">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（1）供应商的姓名或者名称、地址、邮编、联系人及联系电话；</w:t>
      </w:r>
    </w:p>
    <w:p w14:paraId="65FC12BC">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（2）质疑项目的名称、编号；</w:t>
      </w:r>
    </w:p>
    <w:p w14:paraId="54EEDA5A">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（3）具体、明确的质疑事项和与质疑事项相关的请求；</w:t>
      </w:r>
    </w:p>
    <w:p w14:paraId="2544287B">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（4）事实依据；</w:t>
      </w:r>
    </w:p>
    <w:p w14:paraId="5E992053">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（5）必要的法律依据；</w:t>
      </w:r>
    </w:p>
    <w:p w14:paraId="2EE8C2E6">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（6）提出质疑的日期。</w:t>
      </w:r>
    </w:p>
    <w:p w14:paraId="0DC4C474">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供应商为自然人的，应当由本人签字；供应商为法人或者其他组织的，应当由法定代表人、主要负责人，或者其委托代理人签字或者盖章，并加盖公章。</w:t>
      </w:r>
    </w:p>
    <w:p w14:paraId="5D32E1E7">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31.5采购人、采购代理机构认为供应商质疑不成立，或者成立但未对成交结果构成影响的，继续开展采购活动；认为供应商质疑成立且影响或者可能影响成交结果的，按照下列情况处理：</w:t>
      </w:r>
    </w:p>
    <w:p w14:paraId="103B154C">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（一）对采购文件提出的质疑，依法通过澄清或者修改可以继续开展采购活动的，澄清或者修改采购文件后继续开展采购活动；否则应当修改采购文件后重新开展采购活动。</w:t>
      </w:r>
    </w:p>
    <w:p w14:paraId="47DA7E86">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（二）对采购过程或者成交结果提出的质疑，合格供应商符合法定数量时，可以从合格的成交候选人中另行确定成交供应商的，应当依法另行确定成交供应商；否则应当重新开展采购活动。</w:t>
      </w:r>
    </w:p>
    <w:p w14:paraId="2AD504F6">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质疑答复导致成交结果改变的，采购人或者采购代理机构应当将有关情况书面报告本级财政部门。</w:t>
      </w:r>
    </w:p>
    <w:p w14:paraId="26014BCF">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31.6投诉的权利。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受理投诉方式见“供应商须知前附表”。</w:t>
      </w:r>
      <w:bookmarkStart w:id="68" w:name="_Toc80205930"/>
    </w:p>
    <w:p w14:paraId="40E83B04">
      <w:pPr>
        <w:pStyle w:val="4"/>
        <w:spacing w:before="0" w:after="0" w:line="360" w:lineRule="auto"/>
        <w:jc w:val="center"/>
        <w:rPr>
          <w:rFonts w:hint="eastAsia" w:ascii="宋体" w:hAnsi="宋体" w:cs="宋体"/>
          <w:color w:val="auto"/>
          <w:highlight w:val="none"/>
        </w:rPr>
      </w:pPr>
      <w:bookmarkStart w:id="69" w:name="_Toc13734"/>
      <w:bookmarkStart w:id="70" w:name="_Toc9635"/>
      <w:bookmarkStart w:id="71" w:name="_Toc23963"/>
      <w:r>
        <w:rPr>
          <w:rFonts w:hint="eastAsia" w:ascii="宋体" w:hAnsi="宋体" w:cs="宋体"/>
          <w:color w:val="auto"/>
          <w:highlight w:val="none"/>
        </w:rPr>
        <w:t>六、验收</w:t>
      </w:r>
      <w:bookmarkEnd w:id="68"/>
      <w:bookmarkEnd w:id="69"/>
      <w:bookmarkEnd w:id="70"/>
      <w:bookmarkEnd w:id="71"/>
    </w:p>
    <w:p w14:paraId="4F5A3FC6">
      <w:pPr>
        <w:tabs>
          <w:tab w:val="left" w:pos="0"/>
        </w:tabs>
        <w:spacing w:line="360" w:lineRule="auto"/>
        <w:ind w:firstLine="422" w:firstLineChars="175"/>
        <w:rPr>
          <w:rFonts w:hint="eastAsia" w:ascii="宋体" w:hAnsi="宋体" w:cs="宋体"/>
          <w:b/>
          <w:bCs/>
          <w:color w:val="auto"/>
          <w:sz w:val="24"/>
          <w:highlight w:val="none"/>
        </w:rPr>
      </w:pPr>
      <w:r>
        <w:rPr>
          <w:rFonts w:hint="eastAsia" w:ascii="宋体" w:hAnsi="宋体" w:cs="宋体"/>
          <w:b/>
          <w:bCs/>
          <w:color w:val="auto"/>
          <w:sz w:val="24"/>
          <w:highlight w:val="none"/>
        </w:rPr>
        <w:t>32.验收</w:t>
      </w:r>
    </w:p>
    <w:p w14:paraId="7E506475">
      <w:pPr>
        <w:tabs>
          <w:tab w:val="left" w:pos="0"/>
        </w:tabs>
        <w:spacing w:line="360" w:lineRule="auto"/>
        <w:ind w:firstLine="420" w:firstLineChars="200"/>
        <w:rPr>
          <w:rFonts w:ascii="宋体" w:hAnsi="宋体" w:cs="Helvetica"/>
          <w:color w:val="auto"/>
          <w:kern w:val="0"/>
          <w:szCs w:val="21"/>
          <w:highlight w:val="none"/>
        </w:rPr>
      </w:pPr>
      <w:bookmarkStart w:id="72" w:name="_Toc12940"/>
      <w:r>
        <w:rPr>
          <w:rFonts w:hint="eastAsia" w:ascii="宋体" w:hAnsi="宋体" w:cs="Helvetica"/>
          <w:color w:val="auto"/>
          <w:kern w:val="0"/>
          <w:szCs w:val="21"/>
          <w:highlight w:val="none"/>
        </w:rPr>
        <w:t>32.1采购人会同实际使用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0D12CC4B">
      <w:pPr>
        <w:tabs>
          <w:tab w:val="left" w:pos="0"/>
        </w:tabs>
        <w:spacing w:line="360" w:lineRule="auto"/>
        <w:ind w:firstLine="420" w:firstLineChars="200"/>
        <w:rPr>
          <w:rFonts w:ascii="宋体" w:hAnsi="宋体" w:cs="Helvetica"/>
          <w:color w:val="auto"/>
          <w:kern w:val="0"/>
          <w:szCs w:val="21"/>
          <w:highlight w:val="none"/>
        </w:rPr>
      </w:pPr>
      <w:r>
        <w:rPr>
          <w:rFonts w:hint="eastAsia" w:ascii="宋体" w:hAnsi="宋体" w:cs="Helvetica"/>
          <w:color w:val="auto"/>
          <w:kern w:val="0"/>
          <w:szCs w:val="21"/>
          <w:highlight w:val="none"/>
        </w:rPr>
        <w:t>32.2采购人可以邀请参加本项目的其他供应商或者第三方机构参与验收。参与验收的供应商或者第三方机构的意见作为验收书的参考资料一并存档。</w:t>
      </w:r>
    </w:p>
    <w:p w14:paraId="10969294">
      <w:pPr>
        <w:tabs>
          <w:tab w:val="left" w:pos="0"/>
        </w:tabs>
        <w:spacing w:line="360" w:lineRule="auto"/>
        <w:ind w:firstLine="420" w:firstLineChars="200"/>
        <w:rPr>
          <w:rFonts w:ascii="宋体" w:hAnsi="宋体" w:cs="Helvetica"/>
          <w:color w:val="auto"/>
          <w:kern w:val="0"/>
          <w:szCs w:val="21"/>
          <w:highlight w:val="none"/>
        </w:rPr>
      </w:pPr>
      <w:r>
        <w:rPr>
          <w:rFonts w:hint="eastAsia" w:ascii="宋体" w:hAnsi="宋体" w:cs="Helvetica"/>
          <w:color w:val="auto"/>
          <w:kern w:val="0"/>
          <w:szCs w:val="21"/>
          <w:highlight w:val="none"/>
        </w:rPr>
        <w:t>32.3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26BFF102">
      <w:pPr>
        <w:tabs>
          <w:tab w:val="left" w:pos="0"/>
        </w:tabs>
        <w:spacing w:line="360" w:lineRule="auto"/>
        <w:ind w:firstLine="420" w:firstLineChars="200"/>
        <w:rPr>
          <w:rFonts w:hint="eastAsia" w:ascii="宋体" w:hAnsi="宋体" w:cs="宋体"/>
          <w:color w:val="auto"/>
          <w:szCs w:val="21"/>
          <w:highlight w:val="none"/>
        </w:rPr>
      </w:pPr>
      <w:r>
        <w:rPr>
          <w:rFonts w:hint="eastAsia" w:ascii="宋体" w:hAnsi="宋体" w:cs="Helvetica"/>
          <w:color w:val="auto"/>
          <w:kern w:val="0"/>
          <w:szCs w:val="21"/>
          <w:highlight w:val="none"/>
        </w:rPr>
        <w:t>32.4验收合格的项目，实际使用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599F3D51">
      <w:pPr>
        <w:pStyle w:val="4"/>
        <w:spacing w:before="0" w:after="0" w:line="360" w:lineRule="auto"/>
        <w:ind w:firstLine="643"/>
        <w:jc w:val="center"/>
        <w:rPr>
          <w:rFonts w:hint="eastAsia" w:ascii="宋体" w:hAnsi="宋体" w:cs="宋体"/>
          <w:color w:val="auto"/>
          <w:highlight w:val="none"/>
        </w:rPr>
      </w:pPr>
      <w:bookmarkStart w:id="73" w:name="_Toc8457"/>
      <w:bookmarkStart w:id="74" w:name="_Toc3032"/>
      <w:r>
        <w:rPr>
          <w:rFonts w:hint="eastAsia" w:ascii="宋体" w:hAnsi="宋体" w:cs="宋体"/>
          <w:color w:val="auto"/>
          <w:highlight w:val="none"/>
        </w:rPr>
        <w:t>七、其他事项</w:t>
      </w:r>
      <w:bookmarkEnd w:id="72"/>
      <w:bookmarkEnd w:id="73"/>
      <w:bookmarkEnd w:id="74"/>
    </w:p>
    <w:p w14:paraId="7F913EE6">
      <w:pPr>
        <w:spacing w:line="460" w:lineRule="exact"/>
        <w:ind w:firstLine="422" w:firstLineChars="175"/>
        <w:rPr>
          <w:rFonts w:hint="eastAsia" w:ascii="宋体" w:hAnsi="宋体" w:cs="宋体"/>
          <w:b/>
          <w:bCs/>
          <w:color w:val="auto"/>
          <w:sz w:val="24"/>
          <w:highlight w:val="none"/>
        </w:rPr>
      </w:pPr>
      <w:r>
        <w:rPr>
          <w:rFonts w:hint="eastAsia" w:ascii="宋体" w:hAnsi="宋体" w:cs="宋体"/>
          <w:b/>
          <w:bCs/>
          <w:color w:val="auto"/>
          <w:sz w:val="24"/>
          <w:highlight w:val="none"/>
        </w:rPr>
        <w:t>33.代理服务费</w:t>
      </w:r>
    </w:p>
    <w:p w14:paraId="26D81C95">
      <w:pPr>
        <w:tabs>
          <w:tab w:val="left" w:pos="2835"/>
        </w:tabs>
        <w:spacing w:line="4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33.1代理服务收费标准及缴费账户详见“供应商须知前附表”，供应商为联合体的，可以由联合体中的一方或者多方共同交纳代理服务费。</w:t>
      </w:r>
    </w:p>
    <w:p w14:paraId="38592BC5">
      <w:pPr>
        <w:spacing w:line="460" w:lineRule="exact"/>
        <w:ind w:firstLine="422" w:firstLineChars="175"/>
        <w:rPr>
          <w:rFonts w:hint="eastAsia" w:ascii="宋体" w:hAnsi="宋体" w:cs="宋体"/>
          <w:b/>
          <w:bCs/>
          <w:color w:val="auto"/>
          <w:sz w:val="24"/>
          <w:highlight w:val="none"/>
        </w:rPr>
      </w:pPr>
      <w:r>
        <w:rPr>
          <w:rFonts w:hint="eastAsia" w:ascii="宋体" w:hAnsi="宋体" w:cs="宋体"/>
          <w:b/>
          <w:bCs/>
          <w:color w:val="auto"/>
          <w:sz w:val="24"/>
          <w:highlight w:val="none"/>
        </w:rPr>
        <w:t>34.需要补充的其他内容</w:t>
      </w:r>
    </w:p>
    <w:p w14:paraId="6F34FADC">
      <w:pPr>
        <w:pStyle w:val="15"/>
        <w:spacing w:line="460" w:lineRule="exact"/>
        <w:ind w:firstLine="420" w:firstLineChars="200"/>
        <w:textAlignment w:val="center"/>
        <w:rPr>
          <w:rFonts w:hint="eastAsia" w:hAnsi="宋体" w:cs="宋体"/>
          <w:color w:val="auto"/>
          <w:kern w:val="2"/>
          <w:sz w:val="21"/>
          <w:highlight w:val="none"/>
        </w:rPr>
      </w:pPr>
      <w:r>
        <w:rPr>
          <w:rFonts w:hint="eastAsia" w:hAnsi="宋体" w:cs="宋体"/>
          <w:color w:val="auto"/>
          <w:kern w:val="2"/>
          <w:sz w:val="21"/>
          <w:highlight w:val="none"/>
        </w:rPr>
        <w:t>34.1本磋商文件解释规则详见“供应商须知前附表”。</w:t>
      </w:r>
    </w:p>
    <w:p w14:paraId="558D7286">
      <w:pPr>
        <w:pStyle w:val="15"/>
        <w:spacing w:line="460" w:lineRule="exact"/>
        <w:ind w:firstLine="420" w:firstLineChars="200"/>
        <w:textAlignment w:val="center"/>
        <w:rPr>
          <w:rFonts w:hint="eastAsia" w:hAnsi="宋体" w:cs="宋体"/>
          <w:color w:val="auto"/>
          <w:kern w:val="2"/>
          <w:sz w:val="21"/>
          <w:highlight w:val="none"/>
        </w:rPr>
      </w:pPr>
      <w:r>
        <w:rPr>
          <w:rFonts w:hint="eastAsia" w:hAnsi="宋体" w:cs="宋体"/>
          <w:color w:val="auto"/>
          <w:kern w:val="2"/>
          <w:sz w:val="21"/>
          <w:highlight w:val="none"/>
        </w:rPr>
        <w:t>34.2 其他事项详见“供应商须知前附表”。</w:t>
      </w:r>
    </w:p>
    <w:p w14:paraId="0004BC6A">
      <w:pPr>
        <w:pStyle w:val="15"/>
        <w:spacing w:line="360" w:lineRule="auto"/>
        <w:ind w:firstLine="420" w:firstLineChars="200"/>
        <w:textAlignment w:val="center"/>
        <w:rPr>
          <w:rFonts w:hint="eastAsia" w:hAnsi="宋体" w:cs="宋体"/>
          <w:color w:val="auto"/>
          <w:kern w:val="2"/>
          <w:sz w:val="21"/>
          <w:highlight w:val="none"/>
        </w:rPr>
      </w:pPr>
      <w:r>
        <w:rPr>
          <w:rFonts w:hint="eastAsia" w:hAnsi="宋体" w:cs="宋体"/>
          <w:color w:val="auto"/>
          <w:kern w:val="2"/>
          <w:sz w:val="21"/>
          <w:highlight w:val="none"/>
        </w:rPr>
        <w:t>34.3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w:t>
      </w:r>
      <w:r>
        <w:rPr>
          <w:rFonts w:hint="eastAsia" w:hAnsi="宋体"/>
          <w:color w:val="auto"/>
          <w:sz w:val="21"/>
          <w:highlight w:val="none"/>
        </w:rPr>
        <w:t>服务由中小企业承接，即提供服务的人员为中小企业依照《中华人民共和国劳动合同法》订立劳动合同的从业人员，不对其中涉及的货物的制造商和工程承建商作出要求的</w:t>
      </w:r>
      <w:r>
        <w:rPr>
          <w:rFonts w:hint="eastAsia" w:hAnsi="宋体" w:cs="宋体"/>
          <w:color w:val="auto"/>
          <w:kern w:val="2"/>
          <w:sz w:val="21"/>
          <w:highlight w:val="none"/>
        </w:rPr>
        <w:t>，享受本文件规定的中小企业扶持政策。</w:t>
      </w:r>
    </w:p>
    <w:p w14:paraId="6BD0D157">
      <w:pPr>
        <w:pStyle w:val="15"/>
        <w:spacing w:line="360" w:lineRule="auto"/>
        <w:ind w:firstLine="420" w:firstLineChars="200"/>
        <w:textAlignment w:val="center"/>
        <w:rPr>
          <w:rFonts w:hint="eastAsia" w:hAnsi="宋体" w:cs="宋体"/>
          <w:color w:val="auto"/>
          <w:kern w:val="2"/>
          <w:sz w:val="21"/>
          <w:highlight w:val="none"/>
        </w:rPr>
      </w:pPr>
      <w:r>
        <w:rPr>
          <w:rFonts w:hint="eastAsia" w:hAnsi="宋体" w:cs="宋体"/>
          <w:color w:val="auto"/>
          <w:kern w:val="2"/>
          <w:sz w:val="21"/>
          <w:highlight w:val="none"/>
        </w:rPr>
        <w:t>以联合体形式参加政府采购活动，联合体各方均为中小企业的，联合体视同中小企业。其中，联合体各方均为小微企业的，联合体视同小微企业。</w:t>
      </w:r>
    </w:p>
    <w:p w14:paraId="0013EDA9">
      <w:pPr>
        <w:pStyle w:val="15"/>
        <w:spacing w:line="360" w:lineRule="auto"/>
        <w:ind w:firstLine="420" w:firstLineChars="200"/>
        <w:textAlignment w:val="center"/>
        <w:rPr>
          <w:rFonts w:hint="eastAsia" w:hAnsi="宋体" w:cs="宋体"/>
          <w:color w:val="auto"/>
          <w:kern w:val="2"/>
          <w:sz w:val="21"/>
          <w:highlight w:val="none"/>
        </w:rPr>
      </w:pPr>
      <w:r>
        <w:rPr>
          <w:rFonts w:hint="eastAsia" w:hAnsi="宋体" w:cs="宋体"/>
          <w:color w:val="auto"/>
          <w:kern w:val="2"/>
          <w:sz w:val="21"/>
          <w:highlight w:val="none"/>
        </w:rPr>
        <w:t>依据本文件规定享受扶持政策获得政府采购合同的，小微企业不得将合同分包给大中型企业，中型企业不得将合同分包给大型企业。</w:t>
      </w:r>
    </w:p>
    <w:p w14:paraId="3280EDB3">
      <w:pPr>
        <w:spacing w:line="460" w:lineRule="exact"/>
        <w:ind w:firstLine="422" w:firstLineChars="175"/>
        <w:rPr>
          <w:rFonts w:hint="eastAsia" w:ascii="宋体" w:hAnsi="宋体" w:cs="宋体"/>
          <w:b/>
          <w:bCs/>
          <w:color w:val="auto"/>
          <w:sz w:val="24"/>
          <w:highlight w:val="none"/>
        </w:rPr>
      </w:pPr>
      <w:r>
        <w:rPr>
          <w:rFonts w:hint="eastAsia" w:ascii="宋体" w:hAnsi="宋体" w:cs="宋体"/>
          <w:b/>
          <w:bCs/>
          <w:color w:val="auto"/>
          <w:sz w:val="24"/>
          <w:highlight w:val="none"/>
        </w:rPr>
        <w:t>35.政采贷相关说明</w:t>
      </w:r>
    </w:p>
    <w:p w14:paraId="669A6F65">
      <w:pPr>
        <w:pStyle w:val="15"/>
        <w:spacing w:line="360" w:lineRule="auto"/>
        <w:ind w:firstLine="420" w:firstLineChars="200"/>
        <w:textAlignment w:val="center"/>
        <w:rPr>
          <w:rFonts w:hint="eastAsia" w:hAnsi="宋体" w:cs="宋体"/>
          <w:color w:val="auto"/>
          <w:kern w:val="2"/>
          <w:sz w:val="21"/>
          <w:highlight w:val="none"/>
        </w:rPr>
      </w:pPr>
      <w:r>
        <w:rPr>
          <w:rFonts w:hint="eastAsia" w:hAnsi="宋体" w:cs="宋体"/>
          <w:color w:val="auto"/>
          <w:kern w:val="2"/>
          <w:sz w:val="21"/>
          <w:highlight w:val="none"/>
        </w:rPr>
        <w:t>为优化政府采购营商环境，缓解供应商资金难题，南宁市政府采购试行政府采购信用融资制度，</w:t>
      </w:r>
      <w:r>
        <w:rPr>
          <w:rFonts w:hint="eastAsia" w:hAnsi="宋体" w:cs="宋体"/>
          <w:color w:val="auto"/>
          <w:kern w:val="2"/>
          <w:sz w:val="21"/>
          <w:highlight w:val="none"/>
          <w:lang w:val="en-US" w:eastAsia="zh-CN"/>
        </w:rPr>
        <w:t>成交</w:t>
      </w:r>
      <w:r>
        <w:rPr>
          <w:rFonts w:hint="eastAsia" w:hAnsi="宋体" w:cs="宋体"/>
          <w:color w:val="auto"/>
          <w:kern w:val="2"/>
          <w:sz w:val="21"/>
          <w:highlight w:val="none"/>
        </w:rPr>
        <w:t>供应商如有融资需求，可凭政府采购合同通过以下方式申请政府采购信用融资贷款：</w:t>
      </w:r>
    </w:p>
    <w:p w14:paraId="0593A05F">
      <w:pPr>
        <w:pStyle w:val="15"/>
        <w:spacing w:line="360" w:lineRule="auto"/>
        <w:ind w:firstLine="420" w:firstLineChars="200"/>
        <w:textAlignment w:val="center"/>
        <w:rPr>
          <w:rFonts w:hint="eastAsia" w:hAnsi="宋体" w:cs="宋体"/>
          <w:color w:val="auto"/>
          <w:kern w:val="2"/>
          <w:sz w:val="21"/>
          <w:highlight w:val="none"/>
        </w:rPr>
      </w:pPr>
      <w:r>
        <w:rPr>
          <w:rFonts w:hint="eastAsia" w:hAnsi="宋体" w:cs="宋体"/>
          <w:color w:val="auto"/>
          <w:kern w:val="2"/>
          <w:sz w:val="21"/>
          <w:highlight w:val="none"/>
        </w:rPr>
        <w:t>线下渠道：在“南宁市公共资源交易中心”官网（网址：</w:t>
      </w:r>
      <w:r>
        <w:rPr>
          <w:rFonts w:hint="eastAsia" w:hAnsi="宋体" w:cs="宋体"/>
          <w:color w:val="auto"/>
          <w:kern w:val="2"/>
          <w:sz w:val="21"/>
          <w:highlight w:val="none"/>
        </w:rPr>
        <w:fldChar w:fldCharType="begin"/>
      </w:r>
      <w:r>
        <w:rPr>
          <w:rFonts w:hint="eastAsia" w:hAnsi="宋体" w:cs="宋体"/>
          <w:color w:val="auto"/>
          <w:kern w:val="2"/>
          <w:sz w:val="21"/>
          <w:highlight w:val="none"/>
        </w:rPr>
        <w:instrText xml:space="preserve"> HYPERLINK "http://www.nnggzy.org.cn）\“交易信息-政府采购-政府采购信用融资\”中融资银行和南宁市企业融资服务中心专栏信息申请政府采购信用融资。" </w:instrText>
      </w:r>
      <w:r>
        <w:rPr>
          <w:rFonts w:hint="eastAsia" w:hAnsi="宋体" w:cs="宋体"/>
          <w:color w:val="auto"/>
          <w:kern w:val="2"/>
          <w:sz w:val="21"/>
          <w:highlight w:val="none"/>
        </w:rPr>
        <w:fldChar w:fldCharType="separate"/>
      </w:r>
      <w:r>
        <w:rPr>
          <w:rFonts w:hint="eastAsia" w:hAnsi="宋体" w:cs="宋体"/>
          <w:color w:val="auto"/>
          <w:kern w:val="2"/>
          <w:sz w:val="21"/>
          <w:highlight w:val="none"/>
        </w:rPr>
        <w:t>http://www.nnggzy.org.cn）“交易信息-政府采购-政府采购信用融资”中融资银行和南宁市企业融资服务中心专栏信息申请政府采购信用融资。</w:t>
      </w:r>
      <w:r>
        <w:rPr>
          <w:rFonts w:hint="eastAsia" w:hAnsi="宋体" w:cs="宋体"/>
          <w:color w:val="auto"/>
          <w:kern w:val="2"/>
          <w:sz w:val="21"/>
          <w:highlight w:val="none"/>
        </w:rPr>
        <w:fldChar w:fldCharType="end"/>
      </w:r>
    </w:p>
    <w:p w14:paraId="4C1A2914">
      <w:pPr>
        <w:pStyle w:val="15"/>
        <w:spacing w:line="360" w:lineRule="auto"/>
        <w:ind w:firstLine="420" w:firstLineChars="200"/>
        <w:textAlignment w:val="center"/>
        <w:rPr>
          <w:rFonts w:hint="eastAsia" w:hAnsi="宋体" w:cs="宋体"/>
          <w:color w:val="auto"/>
          <w:kern w:val="2"/>
          <w:sz w:val="21"/>
          <w:highlight w:val="none"/>
        </w:rPr>
        <w:sectPr>
          <w:footerReference r:id="rId8" w:type="first"/>
          <w:headerReference r:id="rId6" w:type="default"/>
          <w:footerReference r:id="rId7" w:type="default"/>
          <w:pgSz w:w="11905" w:h="16838"/>
          <w:pgMar w:top="1134" w:right="1587" w:bottom="1134" w:left="1587" w:header="720" w:footer="720" w:gutter="0"/>
          <w:pgBorders>
            <w:top w:val="none" w:sz="0" w:space="0"/>
            <w:left w:val="none" w:sz="0" w:space="0"/>
            <w:bottom w:val="none" w:sz="0" w:space="0"/>
            <w:right w:val="none" w:sz="0" w:space="0"/>
          </w:pgBorders>
          <w:cols w:space="720" w:num="1"/>
          <w:docGrid w:type="lines" w:linePitch="331" w:charSpace="0"/>
        </w:sectPr>
      </w:pPr>
      <w:r>
        <w:rPr>
          <w:rFonts w:hint="eastAsia" w:hAnsi="宋体" w:cs="宋体"/>
          <w:color w:val="auto"/>
          <w:kern w:val="2"/>
          <w:sz w:val="21"/>
          <w:highlight w:val="none"/>
        </w:rPr>
        <w:t>（2）线上渠道：登录中征营应收账款融资服务平台（网址：https://www.crcrfsp.com，客服电话：400-009-0001），选择相关金融产品和银行业金融机构金融融资贷款。具体操作方式见《中国人民银行南宁中心支行广西壮族自治区财政厅关于推广线上“政采贷”融资模式的通知》（南宁银发〔2021〕258号）文（文件公开网址详情见：“广西政府采购网”——http://www.ccgp-guangxi.gov.cn/AdministrativeRegulations/AutonomousRegion/9830442.html）</w:t>
      </w:r>
    </w:p>
    <w:p w14:paraId="53E471D0">
      <w:pPr>
        <w:pStyle w:val="2"/>
        <w:spacing w:before="0" w:after="0" w:line="360" w:lineRule="auto"/>
        <w:jc w:val="center"/>
        <w:rPr>
          <w:rFonts w:hint="eastAsia" w:ascii="宋体" w:hAnsi="宋体" w:cs="宋体"/>
          <w:color w:val="auto"/>
          <w:highlight w:val="none"/>
        </w:rPr>
      </w:pPr>
      <w:bookmarkStart w:id="75" w:name="_Toc25253"/>
      <w:bookmarkStart w:id="76" w:name="_Toc22962"/>
      <w:bookmarkStart w:id="77" w:name="_Toc26544"/>
      <w:r>
        <w:rPr>
          <w:rFonts w:hint="eastAsia" w:ascii="宋体" w:hAnsi="宋体" w:cs="宋体"/>
          <w:color w:val="auto"/>
          <w:highlight w:val="none"/>
        </w:rPr>
        <w:t>第四章 评审程序、评审方法和评审标准</w:t>
      </w:r>
      <w:bookmarkEnd w:id="75"/>
      <w:bookmarkEnd w:id="76"/>
      <w:bookmarkEnd w:id="77"/>
    </w:p>
    <w:p w14:paraId="2C2DD3EF">
      <w:pPr>
        <w:pStyle w:val="28"/>
        <w:widowControl/>
        <w:snapToGrid w:val="0"/>
        <w:spacing w:line="240" w:lineRule="auto"/>
        <w:jc w:val="center"/>
        <w:outlineLvl w:val="1"/>
        <w:rPr>
          <w:rStyle w:val="29"/>
          <w:rFonts w:ascii="宋体" w:hAnsi="宋体"/>
          <w:b w:val="0"/>
          <w:color w:val="auto"/>
          <w:sz w:val="32"/>
          <w:szCs w:val="32"/>
          <w:highlight w:val="none"/>
        </w:rPr>
      </w:pPr>
      <w:bookmarkStart w:id="78" w:name="_Toc14937"/>
      <w:bookmarkStart w:id="79" w:name="_Toc24547"/>
      <w:bookmarkStart w:id="80" w:name="PO_TDCUS_ITEM_SM_TABLE_1"/>
      <w:r>
        <w:rPr>
          <w:rStyle w:val="29"/>
          <w:rFonts w:ascii="宋体" w:hAnsi="宋体"/>
          <w:b w:val="0"/>
          <w:color w:val="auto"/>
          <w:sz w:val="32"/>
          <w:szCs w:val="32"/>
          <w:highlight w:val="none"/>
        </w:rPr>
        <w:t>第一节 评审程序和评审方法</w:t>
      </w:r>
      <w:bookmarkEnd w:id="78"/>
      <w:bookmarkEnd w:id="79"/>
    </w:p>
    <w:p w14:paraId="5633261F">
      <w:pPr>
        <w:snapToGrid w:val="0"/>
        <w:spacing w:line="360" w:lineRule="auto"/>
        <w:ind w:firstLine="422" w:firstLineChars="175"/>
        <w:textAlignment w:val="baseline"/>
        <w:rPr>
          <w:rStyle w:val="29"/>
          <w:rFonts w:hint="eastAsia" w:ascii="宋体" w:hAnsi="宋体" w:cs="宋体"/>
          <w:b/>
          <w:bCs/>
          <w:color w:val="auto"/>
          <w:sz w:val="24"/>
          <w:highlight w:val="none"/>
        </w:rPr>
      </w:pPr>
      <w:r>
        <w:rPr>
          <w:rStyle w:val="29"/>
          <w:rFonts w:hint="eastAsia" w:ascii="宋体" w:hAnsi="宋体" w:cs="宋体"/>
          <w:b/>
          <w:bCs/>
          <w:color w:val="auto"/>
          <w:sz w:val="24"/>
          <w:highlight w:val="none"/>
        </w:rPr>
        <w:t>1.确认磋商文件</w:t>
      </w:r>
    </w:p>
    <w:p w14:paraId="13DA5BF1">
      <w:pPr>
        <w:snapToGrid w:val="0"/>
        <w:spacing w:line="360" w:lineRule="auto"/>
        <w:ind w:firstLine="420" w:firstLineChars="200"/>
        <w:textAlignment w:val="baseline"/>
        <w:rPr>
          <w:rStyle w:val="29"/>
          <w:rFonts w:hint="eastAsia" w:ascii="宋体" w:hAnsi="宋体" w:cs="宋体"/>
          <w:color w:val="auto"/>
          <w:szCs w:val="21"/>
          <w:highlight w:val="none"/>
        </w:rPr>
      </w:pPr>
      <w:r>
        <w:rPr>
          <w:rStyle w:val="29"/>
          <w:rFonts w:hint="eastAsia" w:ascii="宋体" w:hAnsi="宋体" w:cs="宋体"/>
          <w:color w:val="auto"/>
          <w:szCs w:val="21"/>
          <w:highlight w:val="none"/>
        </w:rPr>
        <w:t>由磋商小组确认磋商文件。</w:t>
      </w:r>
    </w:p>
    <w:p w14:paraId="557DB6CD">
      <w:pPr>
        <w:snapToGrid w:val="0"/>
        <w:spacing w:line="360" w:lineRule="auto"/>
        <w:ind w:firstLine="422" w:firstLineChars="175"/>
        <w:textAlignment w:val="baseline"/>
        <w:rPr>
          <w:rStyle w:val="29"/>
          <w:rFonts w:hint="eastAsia" w:ascii="宋体" w:hAnsi="宋体" w:cs="宋体"/>
          <w:b/>
          <w:bCs/>
          <w:color w:val="auto"/>
          <w:sz w:val="24"/>
          <w:highlight w:val="none"/>
        </w:rPr>
      </w:pPr>
      <w:r>
        <w:rPr>
          <w:rStyle w:val="29"/>
          <w:rFonts w:hint="eastAsia" w:ascii="宋体" w:hAnsi="宋体" w:cs="宋体"/>
          <w:b/>
          <w:bCs/>
          <w:color w:val="auto"/>
          <w:sz w:val="24"/>
          <w:highlight w:val="none"/>
        </w:rPr>
        <w:t>2.资格审查</w:t>
      </w:r>
    </w:p>
    <w:p w14:paraId="4E78297C">
      <w:pPr>
        <w:snapToGrid w:val="0"/>
        <w:spacing w:line="360" w:lineRule="auto"/>
        <w:ind w:firstLine="420" w:firstLineChars="200"/>
        <w:textAlignment w:val="baseline"/>
        <w:rPr>
          <w:rStyle w:val="29"/>
          <w:rFonts w:hint="eastAsia" w:ascii="宋体" w:hAnsi="宋体" w:cs="宋体"/>
          <w:color w:val="auto"/>
          <w:szCs w:val="21"/>
          <w:highlight w:val="none"/>
        </w:rPr>
      </w:pPr>
      <w:r>
        <w:rPr>
          <w:rStyle w:val="29"/>
          <w:rFonts w:hint="eastAsia" w:ascii="宋体" w:hAnsi="宋体" w:cs="宋体"/>
          <w:color w:val="auto"/>
          <w:szCs w:val="21"/>
          <w:highlight w:val="none"/>
        </w:rPr>
        <w:t>2.1响应文件开启后，磋商小组依法对供应商的资格证明文件进行审查。</w:t>
      </w:r>
    </w:p>
    <w:p w14:paraId="35D6CC38">
      <w:pPr>
        <w:snapToGrid w:val="0"/>
        <w:spacing w:line="360" w:lineRule="auto"/>
        <w:ind w:firstLine="420" w:firstLineChars="200"/>
        <w:textAlignment w:val="baseline"/>
        <w:rPr>
          <w:rStyle w:val="29"/>
          <w:rFonts w:hint="eastAsia" w:ascii="宋体" w:hAnsi="宋体" w:cs="宋体"/>
          <w:color w:val="auto"/>
          <w:szCs w:val="21"/>
          <w:highlight w:val="none"/>
        </w:rPr>
      </w:pPr>
      <w:r>
        <w:rPr>
          <w:rStyle w:val="29"/>
          <w:rFonts w:hint="eastAsia" w:ascii="宋体" w:hAnsi="宋体" w:cs="宋体"/>
          <w:color w:val="auto"/>
          <w:szCs w:val="21"/>
          <w:highlight w:val="none"/>
        </w:rPr>
        <w:t>注：采购人代表或者采购代理机构在资格审查结束前，对供应商进行信用查询。</w:t>
      </w:r>
    </w:p>
    <w:p w14:paraId="3C80FB03">
      <w:pPr>
        <w:snapToGrid w:val="0"/>
        <w:spacing w:line="360" w:lineRule="auto"/>
        <w:ind w:firstLine="420" w:firstLineChars="200"/>
        <w:jc w:val="left"/>
        <w:textAlignment w:val="baseline"/>
        <w:rPr>
          <w:rStyle w:val="29"/>
          <w:rFonts w:hint="eastAsia" w:ascii="宋体" w:hAnsi="宋体" w:cs="宋体"/>
          <w:color w:val="auto"/>
          <w:szCs w:val="21"/>
          <w:highlight w:val="none"/>
        </w:rPr>
      </w:pPr>
      <w:r>
        <w:rPr>
          <w:rStyle w:val="29"/>
          <w:rFonts w:hint="eastAsia" w:ascii="宋体" w:hAnsi="宋体" w:cs="宋体"/>
          <w:color w:val="auto"/>
          <w:szCs w:val="21"/>
          <w:highlight w:val="none"/>
        </w:rPr>
        <w:t>（1）查询渠道：“</w:t>
      </w:r>
      <w:r>
        <w:rPr>
          <w:rFonts w:hint="eastAsia" w:ascii="宋体" w:hAnsi="宋体" w:cs="宋体"/>
          <w:color w:val="auto"/>
          <w:szCs w:val="21"/>
          <w:highlight w:val="none"/>
        </w:rPr>
        <w:t>广西政府采购云平台</w:t>
      </w:r>
      <w:r>
        <w:rPr>
          <w:rStyle w:val="29"/>
          <w:rFonts w:hint="eastAsia" w:ascii="宋体" w:hAnsi="宋体" w:cs="宋体"/>
          <w:color w:val="auto"/>
          <w:szCs w:val="21"/>
          <w:highlight w:val="none"/>
        </w:rPr>
        <w:t>“信用中国”网站(www.creditchina.gov.cn)、中国政府采购网(www.ccgp.gov.cn)链接入口。</w:t>
      </w:r>
    </w:p>
    <w:p w14:paraId="3094114C">
      <w:pPr>
        <w:snapToGrid w:val="0"/>
        <w:spacing w:line="360" w:lineRule="auto"/>
        <w:ind w:firstLine="420" w:firstLineChars="200"/>
        <w:textAlignment w:val="baseline"/>
        <w:rPr>
          <w:rStyle w:val="29"/>
          <w:rFonts w:hint="eastAsia" w:ascii="宋体" w:hAnsi="宋体" w:cs="宋体"/>
          <w:color w:val="auto"/>
          <w:szCs w:val="21"/>
          <w:highlight w:val="none"/>
        </w:rPr>
      </w:pPr>
      <w:r>
        <w:rPr>
          <w:rStyle w:val="29"/>
          <w:rFonts w:hint="eastAsia" w:ascii="宋体" w:hAnsi="宋体" w:cs="宋体"/>
          <w:color w:val="auto"/>
          <w:szCs w:val="21"/>
          <w:highlight w:val="none"/>
        </w:rPr>
        <w:t>（2）信用查询截止时点：资格审查结束前。</w:t>
      </w:r>
    </w:p>
    <w:p w14:paraId="33B5B48E">
      <w:pPr>
        <w:snapToGrid w:val="0"/>
        <w:spacing w:line="360" w:lineRule="auto"/>
        <w:ind w:firstLine="420" w:firstLineChars="200"/>
        <w:textAlignment w:val="baseline"/>
        <w:rPr>
          <w:rStyle w:val="29"/>
          <w:rFonts w:hint="eastAsia" w:ascii="宋体" w:hAnsi="宋体" w:cs="宋体"/>
          <w:color w:val="auto"/>
          <w:szCs w:val="21"/>
          <w:highlight w:val="none"/>
        </w:rPr>
      </w:pPr>
      <w:r>
        <w:rPr>
          <w:rStyle w:val="29"/>
          <w:rFonts w:hint="eastAsia" w:ascii="宋体" w:hAnsi="宋体" w:cs="宋体"/>
          <w:color w:val="auto"/>
          <w:szCs w:val="21"/>
          <w:highlight w:val="none"/>
        </w:rPr>
        <w:t>查询记录和证据留存方式：在查询网站中直接打印查询记录，截图另存为电子文档作为评审资料保存。</w:t>
      </w:r>
    </w:p>
    <w:p w14:paraId="45C58078">
      <w:pPr>
        <w:snapToGrid w:val="0"/>
        <w:spacing w:line="360" w:lineRule="auto"/>
        <w:ind w:firstLine="420" w:firstLineChars="200"/>
        <w:textAlignment w:val="baseline"/>
        <w:rPr>
          <w:rStyle w:val="29"/>
          <w:rFonts w:hint="eastAsia" w:ascii="宋体" w:hAnsi="宋体" w:cs="宋体"/>
          <w:color w:val="auto"/>
          <w:szCs w:val="21"/>
          <w:highlight w:val="none"/>
        </w:rPr>
      </w:pPr>
      <w:r>
        <w:rPr>
          <w:rStyle w:val="29"/>
          <w:rFonts w:hint="eastAsia" w:ascii="宋体" w:hAnsi="宋体" w:cs="宋体"/>
          <w:color w:val="auto"/>
          <w:szCs w:val="21"/>
          <w:highlight w:val="none"/>
        </w:rPr>
        <w:t>（3）信用信息使用规则：对在“信用中国”网站(www.creditchina.gov.cn)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1193F379">
      <w:pPr>
        <w:snapToGrid w:val="0"/>
        <w:spacing w:line="360" w:lineRule="auto"/>
        <w:ind w:firstLine="420" w:firstLineChars="200"/>
        <w:textAlignment w:val="baseline"/>
        <w:rPr>
          <w:rStyle w:val="29"/>
          <w:rFonts w:hint="eastAsia" w:ascii="宋体" w:hAnsi="宋体" w:cs="宋体"/>
          <w:color w:val="auto"/>
          <w:szCs w:val="21"/>
          <w:highlight w:val="none"/>
        </w:rPr>
      </w:pPr>
      <w:r>
        <w:rPr>
          <w:rStyle w:val="29"/>
          <w:rFonts w:hint="eastAsia" w:ascii="宋体" w:hAnsi="宋体" w:cs="宋体"/>
          <w:color w:val="auto"/>
          <w:szCs w:val="21"/>
          <w:highlight w:val="none"/>
        </w:rPr>
        <w:t>2.2资格审查标准为本磋商文件中载明对供应商资格要求的条件。资格审查采用合格制，凡符合磋商文件规定的供应商资格要求的响应文件均通过资格审查。</w:t>
      </w:r>
    </w:p>
    <w:p w14:paraId="6D222324">
      <w:pPr>
        <w:snapToGrid w:val="0"/>
        <w:spacing w:line="360" w:lineRule="auto"/>
        <w:ind w:firstLine="420" w:firstLineChars="200"/>
        <w:textAlignment w:val="baseline"/>
        <w:rPr>
          <w:rStyle w:val="29"/>
          <w:rFonts w:hint="eastAsia" w:ascii="宋体" w:hAnsi="宋体" w:cs="宋体"/>
          <w:color w:val="auto"/>
          <w:szCs w:val="21"/>
          <w:highlight w:val="none"/>
        </w:rPr>
      </w:pPr>
      <w:r>
        <w:rPr>
          <w:rStyle w:val="29"/>
          <w:rFonts w:hint="eastAsia" w:ascii="宋体" w:hAnsi="宋体" w:cs="宋体"/>
          <w:color w:val="auto"/>
          <w:szCs w:val="21"/>
          <w:highlight w:val="none"/>
        </w:rPr>
        <w:t>2.3供应商有下列情形之一的，资格审查不通过，其响应文件按无效响应处理：</w:t>
      </w:r>
    </w:p>
    <w:p w14:paraId="68682310">
      <w:pPr>
        <w:snapToGrid w:val="0"/>
        <w:spacing w:line="360" w:lineRule="auto"/>
        <w:ind w:firstLine="420" w:firstLineChars="200"/>
        <w:textAlignment w:val="baseline"/>
        <w:rPr>
          <w:rStyle w:val="29"/>
          <w:rFonts w:hint="eastAsia" w:ascii="宋体" w:hAnsi="宋体" w:cs="宋体"/>
          <w:color w:val="auto"/>
          <w:szCs w:val="21"/>
          <w:highlight w:val="none"/>
        </w:rPr>
      </w:pPr>
      <w:r>
        <w:rPr>
          <w:rStyle w:val="29"/>
          <w:rFonts w:hint="eastAsia" w:ascii="宋体" w:hAnsi="宋体" w:cs="宋体"/>
          <w:color w:val="auto"/>
          <w:szCs w:val="21"/>
          <w:highlight w:val="none"/>
        </w:rPr>
        <w:t>（1）不具备磋商文件中规定的资格要求的；</w:t>
      </w:r>
    </w:p>
    <w:p w14:paraId="206D2CA6">
      <w:pPr>
        <w:snapToGrid w:val="0"/>
        <w:spacing w:line="360" w:lineRule="auto"/>
        <w:ind w:firstLine="420" w:firstLineChars="200"/>
        <w:textAlignment w:val="baseline"/>
        <w:rPr>
          <w:rStyle w:val="29"/>
          <w:rFonts w:hint="eastAsia" w:ascii="宋体" w:hAnsi="宋体" w:cs="宋体"/>
          <w:color w:val="auto"/>
          <w:szCs w:val="21"/>
          <w:highlight w:val="none"/>
        </w:rPr>
      </w:pPr>
      <w:r>
        <w:rPr>
          <w:rStyle w:val="29"/>
          <w:rFonts w:hint="eastAsia" w:ascii="宋体" w:hAnsi="宋体" w:cs="宋体"/>
          <w:color w:val="auto"/>
          <w:szCs w:val="21"/>
          <w:highlight w:val="none"/>
        </w:rPr>
        <w:t>（2）响应文件未提供任一项“供应商须知前附表”资格证明文件规定的“必须提供”的文件资料的；</w:t>
      </w:r>
    </w:p>
    <w:p w14:paraId="1B6AA3FB">
      <w:pPr>
        <w:snapToGrid w:val="0"/>
        <w:spacing w:line="360" w:lineRule="auto"/>
        <w:ind w:firstLine="420" w:firstLineChars="200"/>
        <w:textAlignment w:val="baseline"/>
        <w:rPr>
          <w:rStyle w:val="29"/>
          <w:rFonts w:hint="eastAsia" w:ascii="宋体" w:hAnsi="宋体" w:cs="宋体"/>
          <w:color w:val="auto"/>
          <w:szCs w:val="21"/>
          <w:highlight w:val="none"/>
        </w:rPr>
      </w:pPr>
      <w:r>
        <w:rPr>
          <w:rStyle w:val="29"/>
          <w:rFonts w:hint="eastAsia" w:ascii="宋体" w:hAnsi="宋体" w:cs="宋体"/>
          <w:color w:val="auto"/>
          <w:szCs w:val="21"/>
          <w:highlight w:val="none"/>
        </w:rPr>
        <w:t>（3）响应文件提供的资格证明文件出现任一项不符合“供应商须知前附表”资格证明文件规定的“必须提供”的文件资料要求或者无效的。</w:t>
      </w:r>
    </w:p>
    <w:p w14:paraId="6D050395">
      <w:pPr>
        <w:snapToGrid w:val="0"/>
        <w:spacing w:line="360" w:lineRule="auto"/>
        <w:ind w:firstLine="420" w:firstLineChars="200"/>
        <w:textAlignment w:val="baseline"/>
        <w:rPr>
          <w:rStyle w:val="29"/>
          <w:rFonts w:hint="eastAsia" w:ascii="宋体" w:hAnsi="宋体" w:cs="宋体"/>
          <w:color w:val="auto"/>
          <w:szCs w:val="21"/>
          <w:highlight w:val="none"/>
        </w:rPr>
      </w:pPr>
      <w:r>
        <w:rPr>
          <w:rStyle w:val="29"/>
          <w:rFonts w:hint="eastAsia" w:ascii="宋体" w:hAnsi="宋体" w:cs="宋体"/>
          <w:color w:val="auto"/>
          <w:szCs w:val="21"/>
          <w:highlight w:val="none"/>
        </w:rPr>
        <w:t>（4）同一合同项下的不同供应商，单位负责人为同一人或者存在直接控股、管理关系的；为本项目提供过整体设计、规范编制或者项目管理、监理、检测等服务的。</w:t>
      </w:r>
    </w:p>
    <w:p w14:paraId="15917EA9">
      <w:pPr>
        <w:snapToGrid w:val="0"/>
        <w:spacing w:line="360" w:lineRule="auto"/>
        <w:ind w:firstLine="420" w:firstLineChars="200"/>
        <w:textAlignment w:val="baseline"/>
        <w:rPr>
          <w:rStyle w:val="29"/>
          <w:rFonts w:hint="eastAsia" w:ascii="宋体" w:hAnsi="宋体" w:cs="宋体"/>
          <w:color w:val="auto"/>
          <w:szCs w:val="21"/>
          <w:highlight w:val="none"/>
        </w:rPr>
      </w:pPr>
      <w:r>
        <w:rPr>
          <w:rStyle w:val="29"/>
          <w:rFonts w:hint="eastAsia" w:ascii="宋体" w:hAnsi="宋体" w:cs="宋体"/>
          <w:color w:val="auto"/>
          <w:szCs w:val="21"/>
          <w:highlight w:val="none"/>
        </w:rPr>
        <w:t>2.4通过资格审查的合格供应商不足3家的，不得进入符合性审查环节，采购人或者采购代理机构应当重新开展采购活动。</w:t>
      </w:r>
    </w:p>
    <w:p w14:paraId="38DE454C">
      <w:pPr>
        <w:snapToGrid w:val="0"/>
        <w:spacing w:line="360" w:lineRule="auto"/>
        <w:ind w:firstLine="422" w:firstLineChars="175"/>
        <w:textAlignment w:val="baseline"/>
        <w:rPr>
          <w:rStyle w:val="29"/>
          <w:rFonts w:hint="eastAsia" w:ascii="宋体" w:hAnsi="宋体" w:cs="宋体"/>
          <w:b/>
          <w:bCs/>
          <w:color w:val="auto"/>
          <w:sz w:val="24"/>
          <w:highlight w:val="none"/>
        </w:rPr>
      </w:pPr>
      <w:r>
        <w:rPr>
          <w:rStyle w:val="29"/>
          <w:rFonts w:hint="eastAsia" w:ascii="宋体" w:hAnsi="宋体" w:cs="宋体"/>
          <w:b/>
          <w:bCs/>
          <w:color w:val="auto"/>
          <w:sz w:val="24"/>
          <w:highlight w:val="none"/>
        </w:rPr>
        <w:t>3.符合性审查</w:t>
      </w:r>
    </w:p>
    <w:p w14:paraId="13038370">
      <w:pPr>
        <w:snapToGrid w:val="0"/>
        <w:spacing w:line="360" w:lineRule="auto"/>
        <w:ind w:firstLine="420" w:firstLineChars="200"/>
        <w:textAlignment w:val="baseline"/>
        <w:rPr>
          <w:rStyle w:val="29"/>
          <w:rFonts w:hint="eastAsia" w:ascii="宋体" w:hAnsi="宋体" w:cs="宋体"/>
          <w:color w:val="auto"/>
          <w:szCs w:val="21"/>
          <w:highlight w:val="none"/>
        </w:rPr>
      </w:pPr>
      <w:r>
        <w:rPr>
          <w:rStyle w:val="29"/>
          <w:rFonts w:hint="eastAsia" w:ascii="宋体" w:hAnsi="宋体" w:cs="宋体"/>
          <w:color w:val="auto"/>
          <w:szCs w:val="21"/>
          <w:highlight w:val="none"/>
        </w:rPr>
        <w:t>3.1由磋商小组对通过资格审查的合格供应商的响应文件的响应报价、商务、技术等实质性要求进行符合性审查，以确定其是否满足磋商文件的实质性要求。</w:t>
      </w:r>
    </w:p>
    <w:p w14:paraId="35F2389D">
      <w:pPr>
        <w:snapToGrid w:val="0"/>
        <w:spacing w:line="360" w:lineRule="auto"/>
        <w:ind w:firstLine="420" w:firstLineChars="200"/>
        <w:textAlignment w:val="baseline"/>
        <w:rPr>
          <w:rStyle w:val="29"/>
          <w:rFonts w:hint="eastAsia" w:ascii="宋体" w:hAnsi="宋体" w:cs="宋体"/>
          <w:color w:val="auto"/>
          <w:szCs w:val="21"/>
          <w:highlight w:val="none"/>
        </w:rPr>
      </w:pPr>
      <w:r>
        <w:rPr>
          <w:rStyle w:val="29"/>
          <w:rFonts w:hint="eastAsia" w:ascii="宋体" w:hAnsi="宋体" w:cs="宋体"/>
          <w:color w:val="auto"/>
          <w:szCs w:val="21"/>
          <w:highlight w:val="none"/>
        </w:rPr>
        <w:t>3.2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37881279">
      <w:pPr>
        <w:snapToGrid w:val="0"/>
        <w:spacing w:line="360" w:lineRule="auto"/>
        <w:ind w:firstLine="420" w:firstLineChars="200"/>
        <w:textAlignment w:val="baseline"/>
        <w:rPr>
          <w:rStyle w:val="29"/>
          <w:rFonts w:hint="eastAsia" w:ascii="宋体" w:hAnsi="宋体" w:cs="宋体"/>
          <w:color w:val="auto"/>
          <w:spacing w:val="-6"/>
          <w:szCs w:val="21"/>
          <w:highlight w:val="none"/>
        </w:rPr>
      </w:pPr>
      <w:r>
        <w:rPr>
          <w:rStyle w:val="29"/>
          <w:rFonts w:hint="eastAsia" w:ascii="宋体" w:hAnsi="宋体" w:cs="宋体"/>
          <w:color w:val="auto"/>
          <w:szCs w:val="21"/>
          <w:highlight w:val="none"/>
        </w:rPr>
        <w:t>3.3磋商小组要求供应商澄清、说明或者更正响应文件应当以电子澄清函形式作出。供应商的澄清、说明或者更正应当已电子回函形式按照磋商小组的要求作出明确的澄清、说明或者更正，未按磋商小组的要求作出明确澄清、说明或者更正的供应商的响应文件将按照有利于采购人的原则由磋商小组进行判定。供应商的澄清、说明或者更正必须加盖电子公章</w:t>
      </w:r>
      <w:r>
        <w:rPr>
          <w:rStyle w:val="29"/>
          <w:rFonts w:hint="eastAsia" w:ascii="宋体" w:hAnsi="宋体" w:cs="宋体"/>
          <w:color w:val="auto"/>
          <w:spacing w:val="-6"/>
          <w:szCs w:val="21"/>
          <w:highlight w:val="none"/>
        </w:rPr>
        <w:t>。供应商为自然人的，必须由本人签字并附身份证明。</w:t>
      </w:r>
    </w:p>
    <w:p w14:paraId="6F98AD27">
      <w:pPr>
        <w:snapToGrid w:val="0"/>
        <w:spacing w:line="360" w:lineRule="auto"/>
        <w:ind w:firstLine="396" w:firstLineChars="200"/>
        <w:textAlignment w:val="baseline"/>
        <w:rPr>
          <w:rStyle w:val="29"/>
          <w:rFonts w:hint="eastAsia" w:ascii="宋体" w:hAnsi="宋体" w:cs="宋体"/>
          <w:color w:val="auto"/>
          <w:szCs w:val="21"/>
          <w:highlight w:val="none"/>
        </w:rPr>
      </w:pPr>
      <w:r>
        <w:rPr>
          <w:rStyle w:val="29"/>
          <w:rFonts w:hint="eastAsia" w:ascii="宋体" w:hAnsi="宋体" w:cs="宋体"/>
          <w:color w:val="auto"/>
          <w:spacing w:val="-6"/>
          <w:szCs w:val="21"/>
          <w:highlight w:val="none"/>
        </w:rPr>
        <w:t>3.4</w:t>
      </w:r>
      <w:r>
        <w:rPr>
          <w:rStyle w:val="29"/>
          <w:rFonts w:hint="eastAsia" w:ascii="宋体" w:hAnsi="宋体" w:cs="宋体"/>
          <w:color w:val="auto"/>
          <w:szCs w:val="21"/>
          <w:highlight w:val="none"/>
        </w:rPr>
        <w:t xml:space="preserve">首次响应文件报价出现前后不一致的，按照下列规定修正： </w:t>
      </w:r>
    </w:p>
    <w:p w14:paraId="456E03D2">
      <w:pPr>
        <w:snapToGrid w:val="0"/>
        <w:spacing w:line="360" w:lineRule="auto"/>
        <w:ind w:firstLine="420" w:firstLineChars="200"/>
        <w:textAlignment w:val="baseline"/>
        <w:rPr>
          <w:rStyle w:val="29"/>
          <w:rFonts w:hint="eastAsia" w:ascii="宋体" w:hAnsi="宋体" w:cs="宋体"/>
          <w:color w:val="auto"/>
          <w:szCs w:val="21"/>
          <w:highlight w:val="none"/>
        </w:rPr>
      </w:pPr>
      <w:r>
        <w:rPr>
          <w:rStyle w:val="29"/>
          <w:rFonts w:hint="eastAsia" w:ascii="宋体" w:hAnsi="宋体" w:cs="宋体"/>
          <w:color w:val="auto"/>
          <w:szCs w:val="21"/>
          <w:highlight w:val="none"/>
        </w:rPr>
        <w:t>（1）响应文件中报价表内容与响应文件中相应内容不一致的，以报价表为准；</w:t>
      </w:r>
    </w:p>
    <w:p w14:paraId="35460775">
      <w:pPr>
        <w:snapToGrid w:val="0"/>
        <w:spacing w:line="360" w:lineRule="auto"/>
        <w:ind w:firstLine="420" w:firstLineChars="200"/>
        <w:textAlignment w:val="baseline"/>
        <w:rPr>
          <w:rStyle w:val="29"/>
          <w:rFonts w:hint="eastAsia" w:ascii="宋体" w:hAnsi="宋体" w:cs="宋体"/>
          <w:color w:val="auto"/>
          <w:szCs w:val="21"/>
          <w:highlight w:val="none"/>
        </w:rPr>
      </w:pPr>
      <w:r>
        <w:rPr>
          <w:rStyle w:val="29"/>
          <w:rFonts w:hint="eastAsia" w:ascii="宋体" w:hAnsi="宋体" w:cs="宋体"/>
          <w:color w:val="auto"/>
          <w:szCs w:val="21"/>
          <w:highlight w:val="none"/>
        </w:rPr>
        <w:t>（2）大写金额和小写金额不一致的，以大写金额为准；</w:t>
      </w:r>
    </w:p>
    <w:p w14:paraId="5C09E50F">
      <w:pPr>
        <w:snapToGrid w:val="0"/>
        <w:spacing w:line="360" w:lineRule="auto"/>
        <w:ind w:firstLine="420" w:firstLineChars="200"/>
        <w:textAlignment w:val="baseline"/>
        <w:rPr>
          <w:rStyle w:val="29"/>
          <w:rFonts w:hint="eastAsia" w:ascii="宋体" w:hAnsi="宋体" w:cs="宋体"/>
          <w:color w:val="auto"/>
          <w:szCs w:val="21"/>
          <w:highlight w:val="none"/>
        </w:rPr>
      </w:pPr>
      <w:r>
        <w:rPr>
          <w:rStyle w:val="29"/>
          <w:rFonts w:hint="eastAsia" w:ascii="宋体" w:hAnsi="宋体" w:cs="宋体"/>
          <w:color w:val="auto"/>
          <w:szCs w:val="21"/>
          <w:highlight w:val="none"/>
        </w:rPr>
        <w:t>（3）单价金额小数点或者百分比有明显错位的，以报价表的总价为准，并修改单价；</w:t>
      </w:r>
    </w:p>
    <w:p w14:paraId="6F914689">
      <w:pPr>
        <w:snapToGrid w:val="0"/>
        <w:spacing w:line="360" w:lineRule="auto"/>
        <w:ind w:firstLine="420" w:firstLineChars="200"/>
        <w:textAlignment w:val="baseline"/>
        <w:rPr>
          <w:rStyle w:val="29"/>
          <w:rFonts w:hint="eastAsia" w:ascii="宋体" w:hAnsi="宋体" w:cs="宋体"/>
          <w:color w:val="auto"/>
          <w:szCs w:val="21"/>
          <w:highlight w:val="none"/>
        </w:rPr>
      </w:pPr>
      <w:r>
        <w:rPr>
          <w:rStyle w:val="29"/>
          <w:rFonts w:hint="eastAsia" w:ascii="宋体" w:hAnsi="宋体" w:cs="宋体"/>
          <w:color w:val="auto"/>
          <w:szCs w:val="21"/>
          <w:highlight w:val="none"/>
        </w:rPr>
        <w:t>（4）总价金额与按单价汇总金额不一致的，以单价金额计算结果为准。</w:t>
      </w:r>
    </w:p>
    <w:p w14:paraId="53A7ACB3">
      <w:pPr>
        <w:snapToGrid w:val="0"/>
        <w:spacing w:line="360" w:lineRule="auto"/>
        <w:ind w:firstLine="420" w:firstLineChars="200"/>
        <w:textAlignment w:val="baseline"/>
        <w:rPr>
          <w:rStyle w:val="29"/>
          <w:rFonts w:hint="eastAsia" w:ascii="宋体" w:hAnsi="宋体" w:cs="宋体"/>
          <w:color w:val="auto"/>
          <w:szCs w:val="21"/>
          <w:highlight w:val="none"/>
        </w:rPr>
      </w:pPr>
      <w:r>
        <w:rPr>
          <w:rStyle w:val="29"/>
          <w:rFonts w:hint="eastAsia" w:ascii="宋体" w:hAnsi="宋体" w:cs="宋体"/>
          <w:color w:val="auto"/>
          <w:szCs w:val="21"/>
          <w:highlight w:val="none"/>
        </w:rPr>
        <w:t>同时出现两种以上不一致的，按照以上（1）-（4）规定的顺序逐条进行修正。修正后的报价经供应商确认后产生约束力，供应商不确认的，其响应文件按无效响应处理。</w:t>
      </w:r>
    </w:p>
    <w:p w14:paraId="046673BB">
      <w:pPr>
        <w:snapToGrid w:val="0"/>
        <w:spacing w:line="360" w:lineRule="auto"/>
        <w:ind w:firstLine="420" w:firstLineChars="200"/>
        <w:textAlignment w:val="baseline"/>
        <w:rPr>
          <w:rStyle w:val="29"/>
          <w:rFonts w:hint="eastAsia" w:ascii="宋体" w:hAnsi="宋体" w:cs="宋体"/>
          <w:color w:val="auto"/>
          <w:szCs w:val="21"/>
          <w:highlight w:val="none"/>
        </w:rPr>
      </w:pPr>
      <w:r>
        <w:rPr>
          <w:rStyle w:val="29"/>
          <w:rFonts w:hint="eastAsia" w:ascii="宋体" w:hAnsi="宋体" w:cs="宋体"/>
          <w:color w:val="auto"/>
          <w:szCs w:val="21"/>
          <w:highlight w:val="none"/>
        </w:rPr>
        <w:t>3.5商务技术、报价评审</w:t>
      </w:r>
    </w:p>
    <w:p w14:paraId="5441F53E">
      <w:pPr>
        <w:snapToGrid w:val="0"/>
        <w:spacing w:line="360" w:lineRule="auto"/>
        <w:ind w:firstLine="420" w:firstLineChars="200"/>
        <w:textAlignment w:val="baseline"/>
        <w:rPr>
          <w:rStyle w:val="29"/>
          <w:rFonts w:hint="eastAsia" w:ascii="宋体" w:hAnsi="宋体" w:cs="宋体"/>
          <w:color w:val="auto"/>
          <w:szCs w:val="21"/>
          <w:highlight w:val="none"/>
        </w:rPr>
      </w:pPr>
      <w:r>
        <w:rPr>
          <w:rStyle w:val="29"/>
          <w:rFonts w:hint="eastAsia" w:ascii="宋体" w:hAnsi="宋体" w:cs="宋体"/>
          <w:color w:val="auto"/>
          <w:szCs w:val="21"/>
          <w:highlight w:val="none"/>
        </w:rPr>
        <w:t>在评审时，如发现下列情形之一的，将被视为响应文件无效处理：</w:t>
      </w:r>
    </w:p>
    <w:p w14:paraId="75BDB66F">
      <w:pPr>
        <w:snapToGrid w:val="0"/>
        <w:spacing w:line="360" w:lineRule="auto"/>
        <w:ind w:firstLine="420" w:firstLineChars="200"/>
        <w:textAlignment w:val="baseline"/>
        <w:rPr>
          <w:rStyle w:val="29"/>
          <w:rFonts w:hint="eastAsia" w:ascii="宋体" w:hAnsi="宋体" w:cs="宋体"/>
          <w:color w:val="auto"/>
          <w:szCs w:val="21"/>
          <w:highlight w:val="none"/>
        </w:rPr>
      </w:pPr>
      <w:r>
        <w:rPr>
          <w:rStyle w:val="29"/>
          <w:rFonts w:hint="eastAsia" w:ascii="宋体" w:hAnsi="宋体" w:cs="宋体"/>
          <w:color w:val="auto"/>
          <w:szCs w:val="21"/>
          <w:highlight w:val="none"/>
        </w:rPr>
        <w:t>（1）商务技术评审</w:t>
      </w:r>
    </w:p>
    <w:p w14:paraId="3E52FFFE">
      <w:pPr>
        <w:snapToGrid w:val="0"/>
        <w:spacing w:line="360" w:lineRule="auto"/>
        <w:ind w:firstLine="420" w:firstLineChars="200"/>
        <w:textAlignment w:val="baseline"/>
        <w:rPr>
          <w:rStyle w:val="29"/>
          <w:rFonts w:hint="eastAsia" w:ascii="宋体" w:hAnsi="宋体" w:cs="宋体"/>
          <w:color w:val="auto"/>
          <w:szCs w:val="21"/>
          <w:highlight w:val="none"/>
        </w:rPr>
      </w:pPr>
      <w:r>
        <w:rPr>
          <w:rStyle w:val="29"/>
          <w:rFonts w:hint="eastAsia" w:ascii="宋体" w:hAnsi="宋体" w:cs="宋体"/>
          <w:color w:val="auto"/>
          <w:szCs w:val="21"/>
          <w:highlight w:val="none"/>
        </w:rPr>
        <w:t>1）响应文件未按磋商文件要求签署、盖章；</w:t>
      </w:r>
    </w:p>
    <w:p w14:paraId="6285FBD1">
      <w:pPr>
        <w:snapToGrid w:val="0"/>
        <w:spacing w:line="360" w:lineRule="auto"/>
        <w:ind w:firstLine="420" w:firstLineChars="200"/>
        <w:textAlignment w:val="baseline"/>
        <w:rPr>
          <w:rStyle w:val="29"/>
          <w:rFonts w:hint="eastAsia" w:ascii="宋体" w:hAnsi="宋体" w:cs="宋体"/>
          <w:color w:val="auto"/>
          <w:szCs w:val="21"/>
          <w:highlight w:val="none"/>
        </w:rPr>
      </w:pPr>
      <w:r>
        <w:rPr>
          <w:rStyle w:val="29"/>
          <w:rFonts w:hint="eastAsia" w:ascii="宋体" w:hAnsi="宋体" w:cs="宋体"/>
          <w:color w:val="auto"/>
          <w:szCs w:val="21"/>
          <w:highlight w:val="none"/>
        </w:rPr>
        <w:t xml:space="preserve">2）委托代理人未能出具有效身份证明或者出具的身份证明与授权委托书中的信息不符； </w:t>
      </w:r>
    </w:p>
    <w:p w14:paraId="30AD7833">
      <w:pPr>
        <w:snapToGrid w:val="0"/>
        <w:spacing w:line="360" w:lineRule="auto"/>
        <w:ind w:firstLine="420" w:firstLineChars="200"/>
        <w:textAlignment w:val="baseline"/>
        <w:rPr>
          <w:rStyle w:val="29"/>
          <w:rFonts w:hint="eastAsia" w:ascii="宋体" w:hAnsi="宋体" w:cs="宋体"/>
          <w:color w:val="auto"/>
          <w:szCs w:val="21"/>
          <w:highlight w:val="none"/>
        </w:rPr>
      </w:pPr>
      <w:r>
        <w:rPr>
          <w:rStyle w:val="29"/>
          <w:rFonts w:hint="eastAsia" w:ascii="宋体" w:hAnsi="宋体" w:cs="宋体"/>
          <w:color w:val="auto"/>
          <w:szCs w:val="21"/>
          <w:highlight w:val="none"/>
        </w:rPr>
        <w:t>3）响应文件未提供任一项“供应商须知前附表” 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w:t>
      </w:r>
    </w:p>
    <w:p w14:paraId="557CB68A">
      <w:pPr>
        <w:snapToGrid w:val="0"/>
        <w:spacing w:line="360" w:lineRule="auto"/>
        <w:ind w:firstLine="420" w:firstLineChars="200"/>
        <w:textAlignment w:val="baseline"/>
        <w:rPr>
          <w:rStyle w:val="29"/>
          <w:rFonts w:hint="eastAsia" w:ascii="宋体" w:hAnsi="宋体" w:cs="宋体"/>
          <w:color w:val="auto"/>
          <w:szCs w:val="21"/>
          <w:highlight w:val="none"/>
        </w:rPr>
      </w:pPr>
      <w:r>
        <w:rPr>
          <w:rStyle w:val="29"/>
          <w:rFonts w:hint="eastAsia" w:ascii="宋体" w:hAnsi="宋体" w:cs="宋体"/>
          <w:color w:val="auto"/>
          <w:szCs w:val="21"/>
          <w:highlight w:val="none"/>
        </w:rPr>
        <w:t>4）商务条款中标“▲”的条款发生负偏离的或者允许负偏离的条款数超过“供应商须知前附表”规定项数的或者标明实质性的要求发生负偏离；</w:t>
      </w:r>
    </w:p>
    <w:p w14:paraId="1660074F">
      <w:pPr>
        <w:snapToGrid w:val="0"/>
        <w:spacing w:line="360" w:lineRule="auto"/>
        <w:ind w:firstLine="420" w:firstLineChars="200"/>
        <w:textAlignment w:val="baseline"/>
        <w:rPr>
          <w:rStyle w:val="29"/>
          <w:rFonts w:hint="eastAsia" w:ascii="宋体" w:hAnsi="宋体" w:cs="宋体"/>
          <w:color w:val="auto"/>
          <w:szCs w:val="21"/>
          <w:highlight w:val="none"/>
        </w:rPr>
      </w:pPr>
      <w:r>
        <w:rPr>
          <w:rStyle w:val="29"/>
          <w:rFonts w:hint="eastAsia" w:ascii="宋体" w:hAnsi="宋体" w:cs="宋体"/>
          <w:color w:val="auto"/>
          <w:szCs w:val="21"/>
          <w:highlight w:val="none"/>
        </w:rPr>
        <w:t>5）未对竞标有效期作出响应或者响应文件承诺的竞标有效期不满足磋商文件要求；</w:t>
      </w:r>
    </w:p>
    <w:p w14:paraId="66836824">
      <w:pPr>
        <w:snapToGrid w:val="0"/>
        <w:spacing w:line="360" w:lineRule="auto"/>
        <w:ind w:firstLine="420" w:firstLineChars="200"/>
        <w:textAlignment w:val="baseline"/>
        <w:rPr>
          <w:rStyle w:val="29"/>
          <w:rFonts w:hint="eastAsia" w:ascii="宋体" w:hAnsi="宋体" w:cs="宋体"/>
          <w:color w:val="auto"/>
          <w:szCs w:val="21"/>
          <w:highlight w:val="none"/>
        </w:rPr>
      </w:pPr>
      <w:r>
        <w:rPr>
          <w:rStyle w:val="29"/>
          <w:rFonts w:hint="eastAsia" w:ascii="宋体" w:hAnsi="宋体" w:cs="宋体"/>
          <w:color w:val="auto"/>
          <w:szCs w:val="21"/>
          <w:highlight w:val="none"/>
        </w:rPr>
        <w:t>6）响应文件的实质性内容未使用中文表述、使用计量单位不符合磋商文件要求；</w:t>
      </w:r>
    </w:p>
    <w:p w14:paraId="2C2D6904">
      <w:pPr>
        <w:snapToGrid w:val="0"/>
        <w:spacing w:line="360" w:lineRule="auto"/>
        <w:ind w:firstLine="420" w:firstLineChars="200"/>
        <w:textAlignment w:val="baseline"/>
        <w:rPr>
          <w:rStyle w:val="29"/>
          <w:rFonts w:hint="eastAsia" w:ascii="宋体" w:hAnsi="宋体" w:cs="宋体"/>
          <w:color w:val="auto"/>
          <w:szCs w:val="21"/>
          <w:highlight w:val="none"/>
        </w:rPr>
      </w:pPr>
      <w:r>
        <w:rPr>
          <w:rStyle w:val="29"/>
          <w:rFonts w:hint="eastAsia" w:ascii="宋体" w:hAnsi="宋体" w:cs="宋体"/>
          <w:color w:val="auto"/>
          <w:szCs w:val="21"/>
          <w:highlight w:val="none"/>
        </w:rPr>
        <w:t>7）响应文件中的文件资料因填写不齐全或者内容虚假或者出现其他情形而导致被磋商小组认定无效；</w:t>
      </w:r>
    </w:p>
    <w:p w14:paraId="5BD2BED7">
      <w:pPr>
        <w:snapToGrid w:val="0"/>
        <w:spacing w:line="360" w:lineRule="auto"/>
        <w:ind w:firstLine="420" w:firstLineChars="200"/>
        <w:textAlignment w:val="baseline"/>
        <w:rPr>
          <w:rStyle w:val="29"/>
          <w:rFonts w:hint="eastAsia" w:ascii="宋体" w:hAnsi="宋体" w:cs="宋体"/>
          <w:color w:val="auto"/>
          <w:szCs w:val="21"/>
          <w:highlight w:val="none"/>
        </w:rPr>
      </w:pPr>
      <w:r>
        <w:rPr>
          <w:rStyle w:val="29"/>
          <w:rFonts w:hint="eastAsia" w:ascii="宋体" w:hAnsi="宋体" w:cs="宋体"/>
          <w:color w:val="auto"/>
          <w:szCs w:val="21"/>
          <w:highlight w:val="none"/>
        </w:rPr>
        <w:t>8）响应文件含有采购人不能接受的附加条件；</w:t>
      </w:r>
    </w:p>
    <w:p w14:paraId="2C34D2E0">
      <w:pPr>
        <w:snapToGrid w:val="0"/>
        <w:spacing w:line="360" w:lineRule="auto"/>
        <w:ind w:firstLine="420" w:firstLineChars="200"/>
        <w:textAlignment w:val="baseline"/>
        <w:rPr>
          <w:rStyle w:val="29"/>
          <w:rFonts w:hint="eastAsia" w:ascii="宋体" w:hAnsi="宋体" w:cs="宋体"/>
          <w:color w:val="auto"/>
          <w:szCs w:val="21"/>
          <w:highlight w:val="none"/>
        </w:rPr>
      </w:pPr>
      <w:r>
        <w:rPr>
          <w:rStyle w:val="29"/>
          <w:rFonts w:hint="eastAsia" w:ascii="宋体" w:hAnsi="宋体" w:cs="宋体"/>
          <w:color w:val="auto"/>
          <w:szCs w:val="21"/>
          <w:highlight w:val="none"/>
        </w:rPr>
        <w:t>9）属于“供应商须知正文”第7.5条情形；</w:t>
      </w:r>
    </w:p>
    <w:p w14:paraId="55715CE0">
      <w:pPr>
        <w:snapToGrid w:val="0"/>
        <w:spacing w:line="360" w:lineRule="auto"/>
        <w:ind w:firstLine="420" w:firstLineChars="200"/>
        <w:textAlignment w:val="baseline"/>
        <w:rPr>
          <w:rStyle w:val="29"/>
          <w:rFonts w:hint="eastAsia" w:ascii="宋体" w:hAnsi="宋体" w:cs="宋体"/>
          <w:color w:val="auto"/>
          <w:szCs w:val="21"/>
          <w:highlight w:val="none"/>
        </w:rPr>
      </w:pPr>
      <w:r>
        <w:rPr>
          <w:rStyle w:val="29"/>
          <w:rFonts w:hint="eastAsia" w:ascii="宋体" w:hAnsi="宋体" w:cs="宋体"/>
          <w:color w:val="auto"/>
          <w:szCs w:val="21"/>
          <w:highlight w:val="none"/>
        </w:rPr>
        <w:t>10）技术需求允许负偏离的条款数超过“供应商须知前附表”规定项数；</w:t>
      </w:r>
    </w:p>
    <w:p w14:paraId="7067EE94">
      <w:pPr>
        <w:snapToGrid w:val="0"/>
        <w:spacing w:line="360" w:lineRule="auto"/>
        <w:ind w:firstLine="420" w:firstLineChars="200"/>
        <w:textAlignment w:val="baseline"/>
        <w:rPr>
          <w:rStyle w:val="29"/>
          <w:rFonts w:hint="eastAsia" w:ascii="宋体" w:hAnsi="宋体" w:cs="宋体"/>
          <w:color w:val="auto"/>
          <w:szCs w:val="21"/>
          <w:highlight w:val="none"/>
        </w:rPr>
      </w:pPr>
      <w:r>
        <w:rPr>
          <w:rStyle w:val="29"/>
          <w:rFonts w:hint="eastAsia" w:ascii="宋体" w:hAnsi="宋体" w:cs="宋体"/>
          <w:color w:val="auto"/>
          <w:szCs w:val="21"/>
          <w:highlight w:val="none"/>
        </w:rPr>
        <w:t>11）虚假竞标，或者出现其他情形而导致被磋商小组认定无效；</w:t>
      </w:r>
    </w:p>
    <w:p w14:paraId="7985CDB8">
      <w:pPr>
        <w:snapToGrid w:val="0"/>
        <w:spacing w:line="360" w:lineRule="auto"/>
        <w:ind w:firstLine="420" w:firstLineChars="200"/>
        <w:textAlignment w:val="baseline"/>
        <w:rPr>
          <w:rStyle w:val="29"/>
          <w:rFonts w:hint="eastAsia" w:ascii="宋体" w:hAnsi="宋体" w:cs="宋体"/>
          <w:color w:val="auto"/>
          <w:szCs w:val="21"/>
          <w:highlight w:val="none"/>
        </w:rPr>
      </w:pPr>
      <w:r>
        <w:rPr>
          <w:rStyle w:val="29"/>
          <w:rFonts w:hint="eastAsia" w:ascii="宋体" w:hAnsi="宋体" w:cs="宋体"/>
          <w:color w:val="auto"/>
          <w:szCs w:val="21"/>
          <w:highlight w:val="none"/>
        </w:rPr>
        <w:t>12）竞标技术方案不明确，磋商文件未允许但响应文件中存在一个或者一个以上备选（替代）竞标方案；</w:t>
      </w:r>
    </w:p>
    <w:p w14:paraId="7FC9F453">
      <w:pPr>
        <w:snapToGrid w:val="0"/>
        <w:spacing w:line="360" w:lineRule="auto"/>
        <w:ind w:firstLine="420" w:firstLineChars="200"/>
        <w:textAlignment w:val="baseline"/>
        <w:rPr>
          <w:rStyle w:val="29"/>
          <w:rFonts w:hint="eastAsia" w:ascii="宋体" w:hAnsi="宋体" w:cs="宋体"/>
          <w:color w:val="auto"/>
          <w:szCs w:val="21"/>
          <w:highlight w:val="none"/>
        </w:rPr>
      </w:pPr>
      <w:r>
        <w:rPr>
          <w:rStyle w:val="29"/>
          <w:rFonts w:hint="eastAsia" w:ascii="宋体" w:hAnsi="宋体" w:cs="宋体"/>
          <w:color w:val="auto"/>
          <w:szCs w:val="21"/>
          <w:highlight w:val="none"/>
        </w:rPr>
        <w:t>13）响应文件标注的项目名称或者项目编号与竞争性磋商文件标注的项目名称或者项目编号不一致的；</w:t>
      </w:r>
    </w:p>
    <w:p w14:paraId="2C30A95C">
      <w:pPr>
        <w:snapToGrid w:val="0"/>
        <w:spacing w:line="360" w:lineRule="auto"/>
        <w:ind w:firstLine="420" w:firstLineChars="200"/>
        <w:textAlignment w:val="baseline"/>
        <w:rPr>
          <w:rStyle w:val="29"/>
          <w:rFonts w:hint="eastAsia" w:ascii="宋体" w:hAnsi="宋体" w:cs="宋体"/>
          <w:color w:val="auto"/>
          <w:szCs w:val="21"/>
          <w:highlight w:val="none"/>
        </w:rPr>
      </w:pPr>
      <w:r>
        <w:rPr>
          <w:rStyle w:val="29"/>
          <w:rFonts w:hint="eastAsia" w:ascii="宋体" w:hAnsi="宋体" w:cs="宋体"/>
          <w:color w:val="auto"/>
          <w:szCs w:val="21"/>
          <w:highlight w:val="none"/>
        </w:rPr>
        <w:t>14）未响应磋商文件实质性要求；</w:t>
      </w:r>
    </w:p>
    <w:p w14:paraId="6BDBC7DE">
      <w:pPr>
        <w:snapToGrid w:val="0"/>
        <w:spacing w:line="360" w:lineRule="auto"/>
        <w:ind w:firstLine="420" w:firstLineChars="200"/>
        <w:textAlignment w:val="baseline"/>
        <w:rPr>
          <w:rStyle w:val="29"/>
          <w:rFonts w:hint="eastAsia" w:ascii="宋体" w:hAnsi="宋体" w:cs="宋体"/>
          <w:color w:val="auto"/>
          <w:szCs w:val="21"/>
          <w:highlight w:val="none"/>
        </w:rPr>
      </w:pPr>
      <w:r>
        <w:rPr>
          <w:rStyle w:val="29"/>
          <w:rFonts w:hint="eastAsia" w:ascii="宋体" w:hAnsi="宋体" w:cs="宋体"/>
          <w:color w:val="auto"/>
          <w:szCs w:val="21"/>
          <w:highlight w:val="none"/>
        </w:rPr>
        <w:t>15）法律、法规和磋商文件规定的其他无效情形。</w:t>
      </w:r>
    </w:p>
    <w:p w14:paraId="775F5FA7">
      <w:pPr>
        <w:snapToGrid w:val="0"/>
        <w:spacing w:line="360" w:lineRule="auto"/>
        <w:ind w:firstLine="420" w:firstLineChars="200"/>
        <w:textAlignment w:val="baseline"/>
        <w:rPr>
          <w:rStyle w:val="29"/>
          <w:rFonts w:hint="eastAsia" w:ascii="宋体" w:hAnsi="宋体" w:cs="宋体"/>
          <w:color w:val="auto"/>
          <w:szCs w:val="21"/>
          <w:highlight w:val="none"/>
        </w:rPr>
      </w:pPr>
      <w:r>
        <w:rPr>
          <w:rStyle w:val="29"/>
          <w:rFonts w:hint="eastAsia" w:ascii="宋体" w:hAnsi="宋体" w:cs="宋体"/>
          <w:color w:val="auto"/>
          <w:szCs w:val="21"/>
          <w:highlight w:val="none"/>
        </w:rPr>
        <w:t>（2）报价评审</w:t>
      </w:r>
    </w:p>
    <w:p w14:paraId="5AB1261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 响应文件未提供“供应商须知前附表” 报价文件中规定的“响应报价表”；</w:t>
      </w:r>
    </w:p>
    <w:p w14:paraId="6B9AB46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2）未采用人民币报价或者未按照磋商文件标明的币种报价；</w:t>
      </w:r>
    </w:p>
    <w:p w14:paraId="22418A9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供应商未就所竞标分标进行报价或者存在漏项报价；供应商未就所竞标分标的单项内容作唯一报价；供应商未就所竞标分标的全部内容作唯一总价报价；供应商响应文件中存在有选择、有条件报价的（磋商文件允许有备选方案或者其他约定的除外）；</w:t>
      </w:r>
    </w:p>
    <w:p w14:paraId="578CC49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响应报价（包含首次报价、最后报价）超过所竞标分标规定的采购预算金额或者最高限价的（如本项目公布了最高限价）；响应报价（包含首次报价、最后报价）超过磋商文件分项采购预算金额或者最高限价的（如本项目公布了最高限价）；</w:t>
      </w:r>
    </w:p>
    <w:p w14:paraId="152403E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修正后的报价，供应商不确认的；或者经供应商确认修正后的响应报价（包含首次报价、最后报价）超过所竞标分标规定的采购预算金额或者最高限价（如本项目公布了最高限价）；或者经供应商确认修正后响应报价（包含首次报价、最后报价）超过磋商文件分项采购预算金额或者最高限价的（如本项目公布了最高限价）。</w:t>
      </w:r>
    </w:p>
    <w:p w14:paraId="49B3411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6）在单价合同工程中供应商采用总价优惠或以总价百分比优惠的方式进行竞标报价的；</w:t>
      </w:r>
    </w:p>
    <w:p w14:paraId="2ECC496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7）竞标总报价与已标价工程量清单汇总表不一致的；</w:t>
      </w:r>
    </w:p>
    <w:p w14:paraId="07F4250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8）安全文明施工费和规费、增值税不按广西区费用定额及造价管理相关文件规定报价的（园林绿化及仿古建筑工程除外）；（注：适用于房屋建筑和市政工程项目，其他类型项目时请删除该条款并调整序号）</w:t>
      </w:r>
    </w:p>
    <w:p w14:paraId="192DACB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9）供应商已标价工程量清单的项目编码（12位）、计量单位、工程量任何一处与工程量清单</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招标控制价</w:t>
      </w:r>
      <w:r>
        <w:rPr>
          <w:rFonts w:hint="eastAsia" w:ascii="宋体" w:hAnsi="宋体" w:cs="宋体"/>
          <w:color w:val="auto"/>
          <w:szCs w:val="21"/>
          <w:highlight w:val="none"/>
          <w:lang w:eastAsia="zh-CN"/>
        </w:rPr>
        <w:t>）</w:t>
      </w:r>
      <w:r>
        <w:rPr>
          <w:rFonts w:hint="eastAsia" w:ascii="宋体" w:hAnsi="宋体" w:cs="宋体"/>
          <w:color w:val="auto"/>
          <w:szCs w:val="21"/>
          <w:highlight w:val="none"/>
        </w:rPr>
        <w:t>不一致的；</w:t>
      </w:r>
    </w:p>
    <w:p w14:paraId="6B24FE5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10）供应商已标价工程量清单的项目名称或项目特征与工程量清单不一致，磋商小组要求澄清、说明或补正，但供应商拒绝澄清、说明或补正的；</w:t>
      </w:r>
    </w:p>
    <w:p w14:paraId="7EC0300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11）设有暂估价、暂列金额的，竞标时未按工程量清单</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招标控制价</w:t>
      </w:r>
      <w:r>
        <w:rPr>
          <w:rFonts w:hint="eastAsia" w:ascii="宋体" w:hAnsi="宋体" w:cs="宋体"/>
          <w:color w:val="auto"/>
          <w:szCs w:val="21"/>
          <w:highlight w:val="none"/>
          <w:lang w:eastAsia="zh-CN"/>
        </w:rPr>
        <w:t>）</w:t>
      </w:r>
      <w:r>
        <w:rPr>
          <w:rFonts w:hint="eastAsia" w:ascii="宋体" w:hAnsi="宋体" w:cs="宋体"/>
          <w:color w:val="auto"/>
          <w:szCs w:val="21"/>
          <w:highlight w:val="none"/>
        </w:rPr>
        <w:t>给出的暂估价总价、暂列金额总价计入竞标总报价中的；</w:t>
      </w:r>
    </w:p>
    <w:p w14:paraId="569BCF6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12）供应商对工程量清单内容进行增减或对竞标范围进行调整的；</w:t>
      </w:r>
    </w:p>
    <w:p w14:paraId="09CA823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13）响应文件响应的标的数量及单位与竞争性磋商采购文件要求实质性不一致的；</w:t>
      </w:r>
    </w:p>
    <w:p w14:paraId="5F15E79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14）未响应磋商文件实质性要求的。</w:t>
      </w:r>
    </w:p>
    <w:p w14:paraId="103120E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3.6磋商小组对响应文件进行评审，未实质性响应磋商文件的响应文件按无效处理，磋商小组应当将资格和符合性不通过的情况告知有关供应商。磋商小组从符合磋商文件规定的相应资格条件的供应商名单中确定不少于3家的供应商参加磋商。</w:t>
      </w:r>
    </w:p>
    <w:p w14:paraId="050FB61F">
      <w:pPr>
        <w:snapToGrid w:val="0"/>
        <w:spacing w:line="360" w:lineRule="auto"/>
        <w:ind w:firstLine="420" w:firstLineChars="200"/>
        <w:textAlignment w:val="baseline"/>
        <w:rPr>
          <w:rStyle w:val="29"/>
          <w:rFonts w:hint="eastAsia" w:ascii="宋体" w:hAnsi="宋体" w:cs="宋体"/>
          <w:color w:val="auto"/>
          <w:szCs w:val="21"/>
          <w:highlight w:val="none"/>
        </w:rPr>
      </w:pPr>
      <w:r>
        <w:rPr>
          <w:rFonts w:hint="eastAsia" w:ascii="宋体" w:hAnsi="宋体" w:cs="宋体"/>
          <w:color w:val="auto"/>
          <w:szCs w:val="21"/>
          <w:highlight w:val="none"/>
        </w:rPr>
        <w:t>3.7非</w:t>
      </w:r>
      <w:r>
        <w:rPr>
          <w:rFonts w:hint="eastAsia" w:ascii="宋体" w:hAnsi="宋体"/>
          <w:color w:val="auto"/>
          <w:szCs w:val="21"/>
          <w:highlight w:val="none"/>
        </w:rPr>
        <w:t>政府购买服务项目，通过符合性审查的合格供应商不足3家的，不得进入磋商环节，采购人或者采购代理机构应当重新开展采购活动。政府购买服务项目，按《财政部关于政府采购竞争性磋商采购方式管理暂行办法有关问题的补充通知》（财库〔2015〕124号）规定，采购过程中通过符合性审查的供应商（社会资本）只有2家的，磋商采购活动可以继续进行。</w:t>
      </w:r>
    </w:p>
    <w:p w14:paraId="30727825">
      <w:pPr>
        <w:snapToGrid w:val="0"/>
        <w:spacing w:line="360" w:lineRule="auto"/>
        <w:ind w:firstLine="422" w:firstLineChars="175"/>
        <w:textAlignment w:val="baseline"/>
        <w:rPr>
          <w:rStyle w:val="29"/>
          <w:rFonts w:hint="eastAsia" w:ascii="宋体" w:hAnsi="宋体" w:cs="宋体"/>
          <w:b/>
          <w:bCs/>
          <w:color w:val="auto"/>
          <w:sz w:val="24"/>
          <w:highlight w:val="none"/>
        </w:rPr>
      </w:pPr>
      <w:r>
        <w:rPr>
          <w:rStyle w:val="29"/>
          <w:rFonts w:hint="eastAsia" w:ascii="宋体" w:hAnsi="宋体" w:cs="宋体"/>
          <w:b/>
          <w:bCs/>
          <w:color w:val="auto"/>
          <w:sz w:val="24"/>
          <w:highlight w:val="none"/>
        </w:rPr>
        <w:t>4.磋商程序</w:t>
      </w:r>
    </w:p>
    <w:p w14:paraId="49BA8D89">
      <w:pPr>
        <w:snapToGrid w:val="0"/>
        <w:spacing w:line="360" w:lineRule="auto"/>
        <w:ind w:firstLine="420" w:firstLineChars="200"/>
        <w:textAlignment w:val="baseline"/>
        <w:rPr>
          <w:rStyle w:val="29"/>
          <w:rFonts w:hint="eastAsia" w:ascii="宋体" w:hAnsi="宋体" w:cs="宋体"/>
          <w:color w:val="auto"/>
          <w:kern w:val="0"/>
          <w:szCs w:val="21"/>
          <w:highlight w:val="none"/>
        </w:rPr>
      </w:pPr>
      <w:r>
        <w:rPr>
          <w:rStyle w:val="29"/>
          <w:rFonts w:hint="eastAsia" w:ascii="宋体" w:hAnsi="宋体" w:cs="宋体"/>
          <w:color w:val="auto"/>
          <w:kern w:val="0"/>
          <w:szCs w:val="21"/>
          <w:highlight w:val="none"/>
        </w:rPr>
        <w:t>4.1磋商小组按照“供应商须知前附表”</w:t>
      </w:r>
      <w:r>
        <w:rPr>
          <w:rStyle w:val="29"/>
          <w:rFonts w:hint="eastAsia" w:ascii="宋体" w:hAnsi="宋体" w:cs="宋体"/>
          <w:color w:val="auto"/>
          <w:szCs w:val="21"/>
          <w:highlight w:val="none"/>
        </w:rPr>
        <w:t xml:space="preserve"> </w:t>
      </w:r>
      <w:r>
        <w:rPr>
          <w:rStyle w:val="29"/>
          <w:rFonts w:hint="eastAsia" w:ascii="宋体" w:hAnsi="宋体" w:cs="宋体"/>
          <w:color w:val="auto"/>
          <w:kern w:val="0"/>
          <w:szCs w:val="21"/>
          <w:highlight w:val="none"/>
        </w:rPr>
        <w:t>确定的</w:t>
      </w:r>
      <w:r>
        <w:rPr>
          <w:rStyle w:val="29"/>
          <w:rFonts w:hint="eastAsia" w:ascii="宋体" w:hAnsi="宋体" w:cs="宋体"/>
          <w:color w:val="auto"/>
          <w:szCs w:val="21"/>
          <w:highlight w:val="none"/>
        </w:rPr>
        <w:t>顺序，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14:paraId="1771F715">
      <w:pPr>
        <w:snapToGrid w:val="0"/>
        <w:spacing w:line="360" w:lineRule="auto"/>
        <w:ind w:firstLine="420" w:firstLineChars="200"/>
        <w:textAlignment w:val="baseline"/>
        <w:rPr>
          <w:rStyle w:val="29"/>
          <w:rFonts w:hint="eastAsia" w:ascii="宋体" w:hAnsi="宋体" w:cs="宋体"/>
          <w:color w:val="auto"/>
          <w:szCs w:val="21"/>
          <w:highlight w:val="none"/>
        </w:rPr>
      </w:pPr>
      <w:r>
        <w:rPr>
          <w:rStyle w:val="29"/>
          <w:rFonts w:hint="eastAsia" w:ascii="宋体" w:hAnsi="宋体" w:cs="宋体"/>
          <w:color w:val="auto"/>
          <w:szCs w:val="21"/>
          <w:highlight w:val="none"/>
        </w:rPr>
        <w:t>4.2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30EE9345">
      <w:pPr>
        <w:snapToGrid w:val="0"/>
        <w:spacing w:line="360" w:lineRule="auto"/>
        <w:ind w:firstLine="420" w:firstLineChars="200"/>
        <w:textAlignment w:val="baseline"/>
        <w:rPr>
          <w:rStyle w:val="29"/>
          <w:rFonts w:hint="eastAsia" w:ascii="宋体" w:hAnsi="宋体" w:cs="宋体"/>
          <w:color w:val="auto"/>
          <w:szCs w:val="21"/>
          <w:highlight w:val="none"/>
        </w:rPr>
      </w:pPr>
      <w:r>
        <w:rPr>
          <w:rStyle w:val="29"/>
          <w:rFonts w:hint="eastAsia" w:ascii="宋体" w:hAnsi="宋体" w:cs="宋体"/>
          <w:color w:val="auto"/>
          <w:szCs w:val="21"/>
          <w:highlight w:val="none"/>
        </w:rPr>
        <w:t>4.3对磋商文件作出的实质性变动是磋商文件的有效组成部分，由磋商小组及时以电子澄清函形式同时通知所有参加磋商的供应商。</w:t>
      </w:r>
    </w:p>
    <w:p w14:paraId="2C22E0E4">
      <w:pPr>
        <w:snapToGrid w:val="0"/>
        <w:spacing w:line="360" w:lineRule="auto"/>
        <w:ind w:firstLine="420" w:firstLineChars="200"/>
        <w:textAlignment w:val="baseline"/>
        <w:rPr>
          <w:rStyle w:val="29"/>
          <w:rFonts w:hint="eastAsia" w:ascii="宋体" w:hAnsi="宋体" w:cs="宋体"/>
          <w:color w:val="auto"/>
          <w:szCs w:val="21"/>
          <w:highlight w:val="none"/>
        </w:rPr>
      </w:pPr>
      <w:r>
        <w:rPr>
          <w:rStyle w:val="29"/>
          <w:rFonts w:hint="eastAsia" w:ascii="宋体" w:hAnsi="宋体" w:cs="宋体"/>
          <w:color w:val="auto"/>
          <w:szCs w:val="21"/>
          <w:highlight w:val="none"/>
        </w:rPr>
        <w:t>4.4供应商必须按照磋商文件的变动情况和磋商小组的要求以回函的形式重新提交响应文件，并加盖电子公章。供应商为自然人的，必须由本人签字并附身份证明。参加磋商的供应商未在规定时间内重新提交响应文件的，视同退出磋商。</w:t>
      </w:r>
    </w:p>
    <w:p w14:paraId="24C8C332">
      <w:pPr>
        <w:snapToGrid w:val="0"/>
        <w:spacing w:line="360" w:lineRule="auto"/>
        <w:ind w:firstLine="420" w:firstLineChars="200"/>
        <w:textAlignment w:val="baseline"/>
        <w:rPr>
          <w:rStyle w:val="29"/>
          <w:rFonts w:hint="eastAsia" w:ascii="宋体" w:hAnsi="宋体" w:cs="宋体"/>
          <w:color w:val="auto"/>
          <w:szCs w:val="21"/>
          <w:highlight w:val="none"/>
        </w:rPr>
      </w:pPr>
      <w:r>
        <w:rPr>
          <w:rStyle w:val="29"/>
          <w:rFonts w:hint="eastAsia" w:ascii="宋体" w:hAnsi="宋体" w:cs="宋体"/>
          <w:color w:val="auto"/>
          <w:szCs w:val="21"/>
          <w:highlight w:val="none"/>
        </w:rPr>
        <w:t>4.5磋商中，</w:t>
      </w:r>
      <w:r>
        <w:rPr>
          <w:rStyle w:val="29"/>
          <w:rFonts w:hint="eastAsia" w:ascii="宋体" w:hAnsi="宋体" w:cs="宋体"/>
          <w:color w:val="auto"/>
          <w:spacing w:val="-6"/>
          <w:szCs w:val="21"/>
          <w:highlight w:val="none"/>
        </w:rPr>
        <w:t>磋商的任何一方不得透露与磋商有关的其他供应商的技术资料、价格和其他信息。</w:t>
      </w:r>
    </w:p>
    <w:p w14:paraId="142745F1">
      <w:pPr>
        <w:widowControl/>
        <w:tabs>
          <w:tab w:val="left" w:pos="540"/>
        </w:tabs>
        <w:snapToGrid w:val="0"/>
        <w:spacing w:line="360" w:lineRule="auto"/>
        <w:ind w:firstLine="420" w:firstLineChars="200"/>
        <w:jc w:val="left"/>
        <w:textAlignment w:val="baseline"/>
        <w:rPr>
          <w:rStyle w:val="29"/>
          <w:rFonts w:hint="eastAsia" w:ascii="宋体" w:hAnsi="宋体" w:cs="宋体"/>
          <w:b/>
          <w:color w:val="auto"/>
          <w:szCs w:val="21"/>
          <w:highlight w:val="none"/>
        </w:rPr>
      </w:pPr>
      <w:r>
        <w:rPr>
          <w:rStyle w:val="29"/>
          <w:rFonts w:hint="eastAsia" w:ascii="宋体" w:hAnsi="宋体" w:cs="宋体"/>
          <w:color w:val="auto"/>
          <w:szCs w:val="21"/>
          <w:highlight w:val="none"/>
        </w:rPr>
        <w:t>4.6磋商小组应对磋商过程和重要磋商内容进行记录，作为评标报告一部分，磋商小组在记录上签字确认。</w:t>
      </w:r>
      <w:r>
        <w:rPr>
          <w:rStyle w:val="29"/>
          <w:rFonts w:hint="eastAsia" w:ascii="宋体" w:hAnsi="宋体" w:cs="宋体"/>
          <w:b/>
          <w:color w:val="auto"/>
          <w:szCs w:val="21"/>
          <w:highlight w:val="none"/>
        </w:rPr>
        <w:t>主要内容包括：</w:t>
      </w:r>
    </w:p>
    <w:p w14:paraId="20BD0DEF">
      <w:pPr>
        <w:pStyle w:val="30"/>
        <w:widowControl/>
        <w:snapToGrid w:val="0"/>
        <w:spacing w:before="0"/>
        <w:ind w:firstLine="396"/>
        <w:rPr>
          <w:rStyle w:val="29"/>
          <w:rFonts w:hint="eastAsia" w:ascii="宋体" w:hAnsi="宋体" w:cs="宋体"/>
          <w:color w:val="auto"/>
          <w:spacing w:val="-6"/>
          <w:szCs w:val="21"/>
          <w:highlight w:val="none"/>
        </w:rPr>
      </w:pPr>
      <w:r>
        <w:rPr>
          <w:rStyle w:val="29"/>
          <w:rFonts w:hint="eastAsia" w:ascii="宋体" w:hAnsi="宋体" w:cs="宋体"/>
          <w:color w:val="auto"/>
          <w:spacing w:val="-6"/>
          <w:szCs w:val="21"/>
          <w:highlight w:val="none"/>
        </w:rPr>
        <w:t>（1）按照相关规定进行公示的，公示情况说明；</w:t>
      </w:r>
    </w:p>
    <w:p w14:paraId="3491226A">
      <w:pPr>
        <w:pStyle w:val="30"/>
        <w:widowControl/>
        <w:snapToGrid w:val="0"/>
        <w:spacing w:before="0"/>
        <w:ind w:firstLine="396"/>
        <w:rPr>
          <w:rStyle w:val="29"/>
          <w:rFonts w:hint="eastAsia" w:ascii="宋体" w:hAnsi="宋体" w:cs="宋体"/>
          <w:color w:val="auto"/>
          <w:spacing w:val="-6"/>
          <w:szCs w:val="21"/>
          <w:highlight w:val="none"/>
        </w:rPr>
      </w:pPr>
      <w:r>
        <w:rPr>
          <w:rStyle w:val="29"/>
          <w:rFonts w:hint="eastAsia" w:ascii="宋体" w:hAnsi="宋体" w:cs="宋体"/>
          <w:color w:val="auto"/>
          <w:spacing w:val="-6"/>
          <w:szCs w:val="21"/>
          <w:highlight w:val="none"/>
        </w:rPr>
        <w:t>（2）磋商日期和地点，磋商人员名单；</w:t>
      </w:r>
    </w:p>
    <w:p w14:paraId="056E6444">
      <w:pPr>
        <w:pStyle w:val="30"/>
        <w:widowControl/>
        <w:snapToGrid w:val="0"/>
        <w:spacing w:before="0"/>
        <w:ind w:firstLine="396"/>
        <w:rPr>
          <w:rStyle w:val="29"/>
          <w:rFonts w:hint="eastAsia" w:ascii="宋体" w:hAnsi="宋体" w:cs="宋体"/>
          <w:color w:val="auto"/>
          <w:spacing w:val="-6"/>
          <w:szCs w:val="21"/>
          <w:highlight w:val="none"/>
        </w:rPr>
      </w:pPr>
      <w:r>
        <w:rPr>
          <w:rStyle w:val="29"/>
          <w:rFonts w:hint="eastAsia" w:ascii="宋体" w:hAnsi="宋体" w:cs="宋体"/>
          <w:color w:val="auto"/>
          <w:spacing w:val="-6"/>
          <w:szCs w:val="21"/>
          <w:highlight w:val="none"/>
        </w:rPr>
        <w:t>（3）合同主要条款及价格商定情况。</w:t>
      </w:r>
    </w:p>
    <w:p w14:paraId="5F924142">
      <w:pPr>
        <w:widowControl/>
        <w:tabs>
          <w:tab w:val="left" w:pos="540"/>
        </w:tabs>
        <w:snapToGrid w:val="0"/>
        <w:spacing w:line="360" w:lineRule="auto"/>
        <w:ind w:firstLine="420" w:firstLineChars="200"/>
        <w:jc w:val="left"/>
        <w:textAlignment w:val="baseline"/>
        <w:rPr>
          <w:rStyle w:val="29"/>
          <w:rFonts w:hint="eastAsia" w:ascii="宋体" w:hAnsi="宋体" w:cs="宋体"/>
          <w:color w:val="auto"/>
          <w:szCs w:val="21"/>
          <w:highlight w:val="none"/>
        </w:rPr>
      </w:pPr>
      <w:r>
        <w:rPr>
          <w:rStyle w:val="29"/>
          <w:rFonts w:hint="eastAsia" w:ascii="宋体" w:hAnsi="宋体" w:cs="宋体"/>
          <w:color w:val="auto"/>
          <w:szCs w:val="21"/>
          <w:highlight w:val="none"/>
        </w:rPr>
        <w:t>4.7磋商过程中重新提交的响应文件，供应商可以在开启前补充、修改。</w:t>
      </w:r>
    </w:p>
    <w:p w14:paraId="609AA9F5">
      <w:pPr>
        <w:tabs>
          <w:tab w:val="left" w:pos="2835"/>
        </w:tabs>
        <w:snapToGrid w:val="0"/>
        <w:spacing w:line="360" w:lineRule="auto"/>
        <w:ind w:firstLine="420" w:firstLineChars="200"/>
        <w:textAlignment w:val="baseline"/>
        <w:rPr>
          <w:rStyle w:val="29"/>
          <w:rFonts w:hint="eastAsia" w:ascii="宋体" w:hAnsi="宋体" w:cs="宋体"/>
          <w:color w:val="auto"/>
          <w:szCs w:val="21"/>
          <w:highlight w:val="none"/>
        </w:rPr>
      </w:pPr>
      <w:r>
        <w:rPr>
          <w:rStyle w:val="29"/>
          <w:rFonts w:hint="eastAsia" w:ascii="宋体" w:hAnsi="宋体" w:cs="宋体"/>
          <w:color w:val="auto"/>
          <w:szCs w:val="21"/>
          <w:highlight w:val="none"/>
        </w:rPr>
        <w:t>4.8对磋商过程提交的响应文件进行有效性、完整性和响应程度审查，通过审查的合格供应商不足3家的，采购人或者采购代理机构应当重新开展采购活动。</w:t>
      </w:r>
    </w:p>
    <w:p w14:paraId="14B1422F">
      <w:pPr>
        <w:snapToGrid w:val="0"/>
        <w:spacing w:line="360" w:lineRule="auto"/>
        <w:ind w:firstLine="422" w:firstLineChars="175"/>
        <w:textAlignment w:val="baseline"/>
        <w:rPr>
          <w:rStyle w:val="29"/>
          <w:rFonts w:hint="eastAsia" w:ascii="宋体" w:hAnsi="宋体" w:cs="宋体"/>
          <w:b/>
          <w:bCs/>
          <w:color w:val="auto"/>
          <w:sz w:val="24"/>
          <w:highlight w:val="none"/>
        </w:rPr>
      </w:pPr>
      <w:r>
        <w:rPr>
          <w:rStyle w:val="29"/>
          <w:rFonts w:hint="eastAsia" w:ascii="宋体" w:hAnsi="宋体" w:cs="宋体"/>
          <w:b/>
          <w:bCs/>
          <w:color w:val="auto"/>
          <w:sz w:val="24"/>
          <w:highlight w:val="none"/>
        </w:rPr>
        <w:t>5.最后报价</w:t>
      </w:r>
    </w:p>
    <w:p w14:paraId="2DA88AFE">
      <w:pPr>
        <w:snapToGrid w:val="0"/>
        <w:spacing w:line="360" w:lineRule="auto"/>
        <w:ind w:firstLine="420" w:firstLineChars="200"/>
        <w:textAlignment w:val="baseline"/>
        <w:rPr>
          <w:rStyle w:val="29"/>
          <w:rFonts w:hint="eastAsia" w:ascii="宋体" w:hAnsi="宋体" w:cs="宋体"/>
          <w:color w:val="auto"/>
          <w:szCs w:val="21"/>
          <w:highlight w:val="none"/>
        </w:rPr>
      </w:pPr>
      <w:r>
        <w:rPr>
          <w:rStyle w:val="29"/>
          <w:rFonts w:hint="eastAsia" w:ascii="宋体" w:hAnsi="宋体" w:cs="宋体"/>
          <w:color w:val="auto"/>
          <w:szCs w:val="21"/>
          <w:highlight w:val="none"/>
        </w:rPr>
        <w:t>5.1磋商文件能够详细列明采购标的的技术、服务要求的，磋商结束后，由磋商小组要求所有继续参加磋商的供应商在规定时间内密封提交最后报价，除本章第5.3条外，提交最后报价的供应商不得少于3家，否则必须重新采购。</w:t>
      </w:r>
    </w:p>
    <w:p w14:paraId="08FFD788">
      <w:pPr>
        <w:snapToGrid w:val="0"/>
        <w:spacing w:line="360" w:lineRule="auto"/>
        <w:ind w:firstLine="420" w:firstLineChars="200"/>
        <w:textAlignment w:val="baseline"/>
        <w:rPr>
          <w:rStyle w:val="29"/>
          <w:rFonts w:hint="eastAsia" w:ascii="宋体" w:hAnsi="宋体" w:cs="宋体"/>
          <w:color w:val="auto"/>
          <w:szCs w:val="21"/>
          <w:highlight w:val="none"/>
        </w:rPr>
      </w:pPr>
      <w:r>
        <w:rPr>
          <w:rStyle w:val="29"/>
          <w:rFonts w:hint="eastAsia" w:ascii="宋体" w:hAnsi="宋体" w:cs="宋体"/>
          <w:color w:val="auto"/>
          <w:szCs w:val="21"/>
          <w:highlight w:val="none"/>
        </w:rPr>
        <w:t>5.2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密封提交最后报价。</w:t>
      </w:r>
    </w:p>
    <w:p w14:paraId="4893B3FA">
      <w:pPr>
        <w:snapToGrid w:val="0"/>
        <w:spacing w:line="360" w:lineRule="auto"/>
        <w:ind w:firstLine="420" w:firstLineChars="200"/>
        <w:textAlignment w:val="baseline"/>
        <w:rPr>
          <w:rStyle w:val="29"/>
          <w:rFonts w:hint="eastAsia" w:ascii="宋体" w:hAnsi="宋体" w:cs="宋体"/>
          <w:color w:val="auto"/>
          <w:szCs w:val="21"/>
          <w:highlight w:val="none"/>
        </w:rPr>
      </w:pPr>
      <w:r>
        <w:rPr>
          <w:rStyle w:val="29"/>
          <w:rFonts w:hint="eastAsia" w:ascii="宋体" w:hAnsi="宋体" w:cs="宋体"/>
          <w:color w:val="auto"/>
          <w:szCs w:val="21"/>
          <w:highlight w:val="none"/>
        </w:rPr>
        <w:t>5.3 最后报价是供应商响应文件的有效组成部分。符合《政府采购竞争性磋商采购方式管理暂行办法》（财库〔2014〕214号）第三条第四项“市场竞争不充分的科研项目，以及需要扶持的科技成果转化项目”的，提交最后报价的供应商可以为2家。</w:t>
      </w:r>
    </w:p>
    <w:p w14:paraId="11FEEADC">
      <w:pPr>
        <w:snapToGrid w:val="0"/>
        <w:spacing w:line="360" w:lineRule="auto"/>
        <w:ind w:firstLine="420" w:firstLineChars="200"/>
        <w:textAlignment w:val="baseline"/>
        <w:rPr>
          <w:rStyle w:val="29"/>
          <w:rFonts w:hint="eastAsia" w:ascii="宋体" w:hAnsi="宋体" w:cs="宋体"/>
          <w:color w:val="auto"/>
          <w:szCs w:val="21"/>
          <w:highlight w:val="none"/>
        </w:rPr>
      </w:pPr>
      <w:r>
        <w:rPr>
          <w:rStyle w:val="29"/>
          <w:rFonts w:hint="eastAsia" w:ascii="宋体" w:hAnsi="宋体" w:cs="宋体"/>
          <w:color w:val="auto"/>
          <w:szCs w:val="21"/>
          <w:highlight w:val="none"/>
        </w:rPr>
        <w:t>5.4已经提交响应文件的供应商，在提交最后报价之前，可以根据磋商情况退出磋商，退出磋商的供应商的响应文件按无效响应处理。</w:t>
      </w:r>
    </w:p>
    <w:p w14:paraId="1B8B244A">
      <w:pPr>
        <w:snapToGrid w:val="0"/>
        <w:spacing w:line="360" w:lineRule="auto"/>
        <w:ind w:firstLine="420" w:firstLineChars="200"/>
        <w:textAlignment w:val="baseline"/>
        <w:rPr>
          <w:rStyle w:val="29"/>
          <w:rFonts w:hint="eastAsia" w:ascii="宋体" w:hAnsi="宋体" w:cs="宋体"/>
          <w:color w:val="auto"/>
          <w:szCs w:val="21"/>
          <w:highlight w:val="none"/>
        </w:rPr>
      </w:pPr>
      <w:r>
        <w:rPr>
          <w:rStyle w:val="29"/>
          <w:rFonts w:hint="eastAsia" w:ascii="宋体" w:hAnsi="宋体" w:cs="宋体"/>
          <w:color w:val="auto"/>
          <w:szCs w:val="21"/>
          <w:highlight w:val="none"/>
        </w:rPr>
        <w:t>5.5供应商未在规定时间内提交最后报价的，视同退出磋商。</w:t>
      </w:r>
    </w:p>
    <w:p w14:paraId="514CAFFC">
      <w:pPr>
        <w:snapToGrid w:val="0"/>
        <w:spacing w:line="360" w:lineRule="auto"/>
        <w:ind w:firstLine="420" w:firstLineChars="200"/>
        <w:textAlignment w:val="baseline"/>
        <w:rPr>
          <w:rStyle w:val="29"/>
          <w:rFonts w:hint="eastAsia" w:ascii="宋体" w:hAnsi="宋体" w:cs="宋体"/>
          <w:color w:val="auto"/>
          <w:szCs w:val="21"/>
          <w:highlight w:val="none"/>
        </w:rPr>
      </w:pPr>
      <w:r>
        <w:rPr>
          <w:rStyle w:val="29"/>
          <w:rFonts w:hint="eastAsia" w:ascii="宋体" w:hAnsi="宋体" w:cs="宋体"/>
          <w:color w:val="auto"/>
          <w:szCs w:val="21"/>
          <w:highlight w:val="none"/>
        </w:rPr>
        <w:t>5.6磋商小组收齐某一分标最后报价后统一开启，磋商小组对最后报价进行有效性、完整性和响应程度的审查。</w:t>
      </w:r>
    </w:p>
    <w:p w14:paraId="60551F18">
      <w:pPr>
        <w:snapToGrid w:val="0"/>
        <w:spacing w:line="360" w:lineRule="auto"/>
        <w:ind w:firstLine="420" w:firstLineChars="200"/>
        <w:textAlignment w:val="baseline"/>
        <w:rPr>
          <w:rStyle w:val="29"/>
          <w:rFonts w:hint="eastAsia" w:ascii="宋体" w:hAnsi="宋体" w:cs="宋体"/>
          <w:color w:val="auto"/>
          <w:szCs w:val="21"/>
          <w:highlight w:val="none"/>
        </w:rPr>
      </w:pPr>
      <w:r>
        <w:rPr>
          <w:rStyle w:val="29"/>
          <w:rFonts w:hint="eastAsia" w:ascii="宋体" w:hAnsi="宋体" w:cs="宋体"/>
          <w:color w:val="auto"/>
          <w:szCs w:val="21"/>
          <w:highlight w:val="none"/>
        </w:rPr>
        <w:t xml:space="preserve">5.7最终响应文件的报价出现前后不一致的，按照本章第3.4条的规定修正。 </w:t>
      </w:r>
    </w:p>
    <w:p w14:paraId="34637296">
      <w:pPr>
        <w:snapToGrid w:val="0"/>
        <w:spacing w:line="360" w:lineRule="auto"/>
        <w:ind w:firstLine="420" w:firstLineChars="200"/>
        <w:textAlignment w:val="baseline"/>
        <w:rPr>
          <w:rStyle w:val="29"/>
          <w:rFonts w:hint="eastAsia" w:ascii="宋体" w:hAnsi="宋体" w:cs="宋体"/>
          <w:color w:val="auto"/>
          <w:szCs w:val="21"/>
          <w:highlight w:val="none"/>
        </w:rPr>
      </w:pPr>
      <w:r>
        <w:rPr>
          <w:rStyle w:val="29"/>
          <w:rFonts w:hint="eastAsia" w:ascii="宋体" w:hAnsi="宋体" w:cs="宋体"/>
          <w:color w:val="auto"/>
          <w:szCs w:val="21"/>
          <w:highlight w:val="none"/>
        </w:rPr>
        <w:t>5.8修正后的最终报价出现下列情形的，按无效响应处理：</w:t>
      </w:r>
    </w:p>
    <w:p w14:paraId="56FB4347">
      <w:pPr>
        <w:snapToGrid w:val="0"/>
        <w:spacing w:line="360" w:lineRule="auto"/>
        <w:ind w:firstLine="420" w:firstLineChars="200"/>
        <w:textAlignment w:val="baseline"/>
        <w:rPr>
          <w:rStyle w:val="29"/>
          <w:rFonts w:hint="eastAsia" w:ascii="宋体" w:hAnsi="宋体" w:cs="宋体"/>
          <w:color w:val="auto"/>
          <w:szCs w:val="21"/>
          <w:highlight w:val="none"/>
        </w:rPr>
      </w:pPr>
      <w:r>
        <w:rPr>
          <w:rStyle w:val="29"/>
          <w:rFonts w:hint="eastAsia" w:ascii="宋体" w:hAnsi="宋体" w:cs="宋体"/>
          <w:color w:val="auto"/>
          <w:szCs w:val="21"/>
          <w:highlight w:val="none"/>
        </w:rPr>
        <w:t>（1）供应商不确认的（全流程电子化评标采取在线确认）；</w:t>
      </w:r>
    </w:p>
    <w:p w14:paraId="300A1BE9">
      <w:pPr>
        <w:snapToGrid w:val="0"/>
        <w:spacing w:line="360" w:lineRule="auto"/>
        <w:ind w:firstLine="420" w:firstLineChars="200"/>
        <w:textAlignment w:val="baseline"/>
        <w:rPr>
          <w:rStyle w:val="29"/>
          <w:rFonts w:hint="eastAsia" w:ascii="宋体" w:hAnsi="宋体" w:cs="宋体"/>
          <w:color w:val="auto"/>
          <w:szCs w:val="21"/>
          <w:highlight w:val="none"/>
        </w:rPr>
      </w:pPr>
      <w:r>
        <w:rPr>
          <w:rStyle w:val="29"/>
          <w:rFonts w:hint="eastAsia" w:ascii="宋体" w:hAnsi="宋体" w:cs="宋体"/>
          <w:color w:val="auto"/>
          <w:szCs w:val="21"/>
          <w:highlight w:val="none"/>
        </w:rPr>
        <w:t>（2）经供应商确认修正后的响应报价（包含首次报价、最后报价）超过所竞标分标规定的采购预算金额或者最高限价的（如本项目公布了最高限价）；</w:t>
      </w:r>
    </w:p>
    <w:p w14:paraId="0925E426">
      <w:pPr>
        <w:snapToGrid w:val="0"/>
        <w:spacing w:line="360" w:lineRule="auto"/>
        <w:ind w:firstLine="420" w:firstLineChars="200"/>
        <w:textAlignment w:val="baseline"/>
        <w:rPr>
          <w:rStyle w:val="29"/>
          <w:rFonts w:hint="eastAsia" w:ascii="宋体" w:hAnsi="宋体" w:cs="宋体"/>
          <w:color w:val="auto"/>
          <w:szCs w:val="21"/>
          <w:highlight w:val="none"/>
        </w:rPr>
      </w:pPr>
      <w:r>
        <w:rPr>
          <w:rStyle w:val="29"/>
          <w:rFonts w:hint="eastAsia" w:ascii="宋体" w:hAnsi="宋体" w:cs="宋体"/>
          <w:color w:val="auto"/>
          <w:szCs w:val="21"/>
          <w:highlight w:val="none"/>
        </w:rPr>
        <w:t>（3）经供应商确认修正后的响应报价（包含首次报价、最后报价）超过分项采购预算金额或者最高限价的（如本项目公布了最高限价）。</w:t>
      </w:r>
    </w:p>
    <w:p w14:paraId="78881881">
      <w:pPr>
        <w:snapToGrid w:val="0"/>
        <w:spacing w:line="360" w:lineRule="auto"/>
        <w:ind w:firstLine="420" w:firstLineChars="200"/>
        <w:textAlignment w:val="baseline"/>
        <w:rPr>
          <w:rStyle w:val="29"/>
          <w:rFonts w:hint="eastAsia" w:ascii="宋体" w:hAnsi="宋体" w:cs="宋体"/>
          <w:color w:val="auto"/>
          <w:szCs w:val="21"/>
          <w:highlight w:val="none"/>
        </w:rPr>
      </w:pPr>
      <w:r>
        <w:rPr>
          <w:rStyle w:val="29"/>
          <w:rFonts w:hint="eastAsia" w:ascii="宋体" w:hAnsi="宋体" w:cs="宋体"/>
          <w:color w:val="auto"/>
          <w:szCs w:val="21"/>
          <w:highlight w:val="none"/>
        </w:rPr>
        <w:t>5.9经供应商确认修正后的最后报价作为评审及签订合同的依据。</w:t>
      </w:r>
    </w:p>
    <w:p w14:paraId="6D315670">
      <w:pPr>
        <w:snapToGrid w:val="0"/>
        <w:spacing w:line="360" w:lineRule="auto"/>
        <w:ind w:firstLine="420" w:firstLineChars="200"/>
        <w:textAlignment w:val="baseline"/>
        <w:rPr>
          <w:rStyle w:val="29"/>
          <w:rFonts w:hint="eastAsia" w:ascii="宋体" w:hAnsi="宋体" w:cs="宋体"/>
          <w:color w:val="auto"/>
          <w:szCs w:val="21"/>
          <w:highlight w:val="none"/>
        </w:rPr>
      </w:pPr>
      <w:r>
        <w:rPr>
          <w:rStyle w:val="29"/>
          <w:rFonts w:hint="eastAsia" w:ascii="宋体" w:hAnsi="宋体" w:cs="宋体"/>
          <w:color w:val="auto"/>
          <w:szCs w:val="21"/>
          <w:highlight w:val="none"/>
        </w:rPr>
        <w:t>5.10供应商出现最后报价按无效响应处理或者响应文件按无效处理时，磋商小组应当告知有关供应商。</w:t>
      </w:r>
    </w:p>
    <w:p w14:paraId="2B6BFDC4">
      <w:pPr>
        <w:spacing w:line="360" w:lineRule="auto"/>
        <w:ind w:firstLine="420" w:firstLineChars="200"/>
        <w:rPr>
          <w:rStyle w:val="29"/>
          <w:rFonts w:hint="eastAsia" w:ascii="宋体" w:hAnsi="宋体" w:cs="宋体"/>
          <w:color w:val="auto"/>
          <w:szCs w:val="21"/>
          <w:highlight w:val="none"/>
        </w:rPr>
      </w:pPr>
      <w:r>
        <w:rPr>
          <w:rStyle w:val="29"/>
          <w:rFonts w:hint="eastAsia" w:ascii="宋体" w:hAnsi="宋体" w:cs="宋体"/>
          <w:color w:val="auto"/>
          <w:szCs w:val="21"/>
          <w:highlight w:val="none"/>
        </w:rPr>
        <w:t>5.11最后报价结束后，磋商小组不得再与供应商进行任何形式的商谈。</w:t>
      </w:r>
    </w:p>
    <w:p w14:paraId="0B654BA9">
      <w:pPr>
        <w:snapToGrid w:val="0"/>
        <w:spacing w:line="360" w:lineRule="auto"/>
        <w:ind w:firstLine="422" w:firstLineChars="200"/>
        <w:textAlignment w:val="baseline"/>
        <w:rPr>
          <w:rStyle w:val="29"/>
          <w:rFonts w:hint="eastAsia" w:ascii="宋体" w:hAnsi="宋体" w:cs="宋体"/>
          <w:b/>
          <w:bCs/>
          <w:color w:val="auto"/>
          <w:szCs w:val="21"/>
          <w:highlight w:val="none"/>
        </w:rPr>
      </w:pPr>
      <w:r>
        <w:rPr>
          <w:rStyle w:val="29"/>
          <w:rFonts w:hint="eastAsia" w:ascii="宋体" w:hAnsi="宋体" w:cs="宋体"/>
          <w:b/>
          <w:bCs/>
          <w:color w:val="auto"/>
          <w:szCs w:val="21"/>
          <w:highlight w:val="none"/>
        </w:rPr>
        <w:t>5.12供应商的最终竞标报价总额与首次递交响应文件中竞标报价总额不一致，须在二次报价时提交一份已标价工程量清单。</w:t>
      </w:r>
    </w:p>
    <w:p w14:paraId="2A8669DB">
      <w:pPr>
        <w:snapToGrid w:val="0"/>
        <w:spacing w:line="360" w:lineRule="auto"/>
        <w:ind w:firstLine="422" w:firstLineChars="175"/>
        <w:textAlignment w:val="baseline"/>
        <w:rPr>
          <w:rStyle w:val="29"/>
          <w:rFonts w:hint="eastAsia" w:ascii="宋体" w:hAnsi="宋体" w:cs="宋体"/>
          <w:b/>
          <w:bCs/>
          <w:color w:val="auto"/>
          <w:sz w:val="24"/>
          <w:highlight w:val="none"/>
        </w:rPr>
      </w:pPr>
      <w:r>
        <w:rPr>
          <w:rStyle w:val="29"/>
          <w:rFonts w:hint="eastAsia" w:ascii="宋体" w:hAnsi="宋体" w:cs="宋体"/>
          <w:b/>
          <w:bCs/>
          <w:color w:val="auto"/>
          <w:sz w:val="24"/>
          <w:highlight w:val="none"/>
        </w:rPr>
        <w:t>6.比较与评价</w:t>
      </w:r>
    </w:p>
    <w:p w14:paraId="1084D9AD">
      <w:pPr>
        <w:snapToGrid w:val="0"/>
        <w:spacing w:line="360" w:lineRule="auto"/>
        <w:ind w:firstLine="420" w:firstLineChars="200"/>
        <w:textAlignment w:val="baseline"/>
        <w:rPr>
          <w:rStyle w:val="29"/>
          <w:rFonts w:hint="eastAsia" w:ascii="宋体" w:hAnsi="宋体" w:cs="宋体"/>
          <w:color w:val="auto"/>
          <w:szCs w:val="21"/>
          <w:highlight w:val="none"/>
        </w:rPr>
      </w:pPr>
      <w:r>
        <w:rPr>
          <w:rStyle w:val="29"/>
          <w:rFonts w:hint="eastAsia" w:ascii="宋体" w:hAnsi="宋体" w:cs="宋体"/>
          <w:color w:val="auto"/>
          <w:szCs w:val="21"/>
          <w:highlight w:val="none"/>
        </w:rPr>
        <w:t>6.1评审方法：综合评分法。</w:t>
      </w:r>
    </w:p>
    <w:p w14:paraId="340A53AF">
      <w:pPr>
        <w:snapToGrid w:val="0"/>
        <w:spacing w:line="360" w:lineRule="auto"/>
        <w:ind w:firstLine="420" w:firstLineChars="200"/>
        <w:textAlignment w:val="baseline"/>
        <w:rPr>
          <w:rStyle w:val="29"/>
          <w:rFonts w:hint="eastAsia" w:ascii="宋体" w:hAnsi="宋体" w:cs="宋体"/>
          <w:color w:val="auto"/>
          <w:szCs w:val="21"/>
          <w:highlight w:val="none"/>
        </w:rPr>
      </w:pPr>
      <w:r>
        <w:rPr>
          <w:rStyle w:val="29"/>
          <w:rFonts w:hint="eastAsia" w:ascii="宋体" w:hAnsi="宋体" w:cs="宋体"/>
          <w:color w:val="auto"/>
          <w:szCs w:val="21"/>
          <w:highlight w:val="none"/>
        </w:rPr>
        <w:t>6.2经磋商确定最终采购需求和提交最后报价的供应商后，由磋商小组采用综合评分法对提交最后报价的供应商的响应文件和最后报价进行综合评分。</w:t>
      </w:r>
    </w:p>
    <w:p w14:paraId="21B4BBD9">
      <w:pPr>
        <w:snapToGrid w:val="0"/>
        <w:spacing w:line="360" w:lineRule="auto"/>
        <w:ind w:firstLine="420" w:firstLineChars="200"/>
        <w:textAlignment w:val="baseline"/>
        <w:rPr>
          <w:rStyle w:val="29"/>
          <w:rFonts w:hint="eastAsia" w:ascii="宋体" w:hAnsi="宋体" w:cs="宋体"/>
          <w:color w:val="auto"/>
          <w:szCs w:val="21"/>
          <w:highlight w:val="none"/>
        </w:rPr>
      </w:pPr>
      <w:r>
        <w:rPr>
          <w:rStyle w:val="29"/>
          <w:rFonts w:hint="eastAsia" w:ascii="宋体" w:hAnsi="宋体" w:cs="宋体"/>
          <w:color w:val="auto"/>
          <w:szCs w:val="21"/>
          <w:highlight w:val="none"/>
        </w:rPr>
        <w:t>6.3评审时，磋商小组各成员应当独立对每个有效响应的文件进行评价、打分，然后汇总每个供应商每项评分因素的得分。</w:t>
      </w:r>
    </w:p>
    <w:p w14:paraId="42DBE1A4">
      <w:pPr>
        <w:snapToGrid w:val="0"/>
        <w:spacing w:line="360" w:lineRule="auto"/>
        <w:ind w:firstLine="420" w:firstLineChars="200"/>
        <w:textAlignment w:val="baseline"/>
        <w:rPr>
          <w:rStyle w:val="29"/>
          <w:rFonts w:hint="eastAsia" w:ascii="宋体" w:hAnsi="宋体" w:cs="宋体"/>
          <w:color w:val="auto"/>
          <w:szCs w:val="21"/>
          <w:highlight w:val="none"/>
        </w:rPr>
      </w:pPr>
      <w:r>
        <w:rPr>
          <w:rStyle w:val="29"/>
          <w:rFonts w:hint="eastAsia" w:ascii="宋体" w:hAnsi="宋体" w:cs="宋体"/>
          <w:color w:val="auto"/>
          <w:szCs w:val="21"/>
          <w:highlight w:val="none"/>
        </w:rPr>
        <w:t>（1）评审委员会成员要根据政府采购法律法规和采购文件所载明的评审方法、标准进行评审。对供应商的价格分等客观评分项的评分应当一致，对其他需要借助专业知识评判的主观评分项，应当严格按照评分细则公正评分。</w:t>
      </w:r>
    </w:p>
    <w:p w14:paraId="54AD5763">
      <w:pPr>
        <w:snapToGrid w:val="0"/>
        <w:spacing w:line="360" w:lineRule="auto"/>
        <w:ind w:firstLine="420" w:firstLineChars="200"/>
        <w:textAlignment w:val="baseline"/>
        <w:rPr>
          <w:rStyle w:val="29"/>
          <w:rFonts w:hint="eastAsia" w:ascii="宋体" w:hAnsi="宋体" w:cs="宋体"/>
          <w:color w:val="auto"/>
          <w:szCs w:val="21"/>
          <w:highlight w:val="none"/>
        </w:rPr>
      </w:pPr>
      <w:r>
        <w:rPr>
          <w:rStyle w:val="29"/>
          <w:rFonts w:hint="eastAsia" w:ascii="宋体" w:hAnsi="宋体" w:cs="宋体"/>
          <w:color w:val="auto"/>
          <w:szCs w:val="21"/>
          <w:highlight w:val="none"/>
        </w:rPr>
        <w:t>（2）磋商小组按照磋商文件中规定的评审标准计算各供应商的报价得分。项目评审过程中，不得去掉最后报价中的最高报价和最低报价。</w:t>
      </w:r>
    </w:p>
    <w:p w14:paraId="3469E482">
      <w:pPr>
        <w:snapToGrid w:val="0"/>
        <w:spacing w:line="360" w:lineRule="auto"/>
        <w:ind w:firstLine="420" w:firstLineChars="200"/>
        <w:textAlignment w:val="baseline"/>
        <w:rPr>
          <w:rStyle w:val="29"/>
          <w:rFonts w:hint="eastAsia" w:ascii="宋体" w:hAnsi="宋体" w:cs="宋体"/>
          <w:color w:val="auto"/>
          <w:szCs w:val="21"/>
          <w:highlight w:val="none"/>
        </w:rPr>
      </w:pPr>
      <w:r>
        <w:rPr>
          <w:rStyle w:val="29"/>
          <w:rFonts w:hint="eastAsia" w:ascii="宋体" w:hAnsi="宋体" w:cs="宋体"/>
          <w:color w:val="auto"/>
          <w:szCs w:val="21"/>
          <w:highlight w:val="none"/>
        </w:rPr>
        <w:t>（3）各供应商的得分为磋商小组所有成员的有效评分的算术平均数。</w:t>
      </w:r>
    </w:p>
    <w:p w14:paraId="4177BB4F">
      <w:pPr>
        <w:snapToGrid w:val="0"/>
        <w:spacing w:line="360" w:lineRule="auto"/>
        <w:ind w:firstLine="420" w:firstLineChars="200"/>
        <w:textAlignment w:val="baseline"/>
        <w:rPr>
          <w:rStyle w:val="29"/>
          <w:rFonts w:hint="eastAsia" w:ascii="宋体" w:hAnsi="宋体" w:cs="宋体"/>
          <w:color w:val="auto"/>
          <w:szCs w:val="21"/>
          <w:highlight w:val="none"/>
        </w:rPr>
      </w:pPr>
      <w:r>
        <w:rPr>
          <w:rStyle w:val="29"/>
          <w:rFonts w:hint="eastAsia" w:ascii="宋体" w:hAnsi="宋体" w:cs="宋体"/>
          <w:color w:val="auto"/>
          <w:szCs w:val="21"/>
          <w:highlight w:val="none"/>
        </w:rPr>
        <w:t>6.4评审价为供应商的最后报价进行政策性扣除后的价格，评审价只是作为评审时使用。最终成交供应商的成交金额等于最后报价（如有修正，以确认修正后的最后报价为准）。</w:t>
      </w:r>
    </w:p>
    <w:p w14:paraId="22E924A6">
      <w:pPr>
        <w:snapToGrid w:val="0"/>
        <w:spacing w:line="360" w:lineRule="auto"/>
        <w:ind w:firstLine="420" w:firstLineChars="200"/>
        <w:textAlignment w:val="baseline"/>
        <w:rPr>
          <w:rStyle w:val="29"/>
          <w:rFonts w:hint="eastAsia" w:ascii="宋体" w:hAnsi="宋体" w:cs="宋体"/>
          <w:color w:val="auto"/>
          <w:szCs w:val="21"/>
          <w:highlight w:val="none"/>
        </w:rPr>
      </w:pPr>
      <w:r>
        <w:rPr>
          <w:rStyle w:val="29"/>
          <w:rFonts w:hint="eastAsia" w:ascii="宋体" w:hAnsi="宋体" w:cs="宋体"/>
          <w:color w:val="auto"/>
          <w:szCs w:val="21"/>
          <w:highlight w:val="none"/>
        </w:rPr>
        <w:t>6.5由磋商小组根据综合评分情况，按照评审得分由高到低顺序推荐3名以上成交候选供应商，并编写评审报告。符合本章第4.3条情形的，可以推荐2家成交候选供应商。评审得分相同的，按照最后报价由低到高的顺序推荐。评审得分且最后报价相同的，按照技术指标优劣顺序推荐。</w:t>
      </w:r>
    </w:p>
    <w:p w14:paraId="139EFBBD">
      <w:pPr>
        <w:snapToGrid w:val="0"/>
        <w:spacing w:line="360" w:lineRule="auto"/>
        <w:ind w:firstLine="420" w:firstLineChars="200"/>
        <w:textAlignment w:val="baseline"/>
        <w:rPr>
          <w:rStyle w:val="29"/>
          <w:rFonts w:hint="eastAsia" w:ascii="宋体" w:hAnsi="宋体" w:cs="宋体"/>
          <w:color w:val="auto"/>
          <w:szCs w:val="21"/>
          <w:highlight w:val="none"/>
        </w:rPr>
      </w:pPr>
      <w:r>
        <w:rPr>
          <w:rStyle w:val="29"/>
          <w:rFonts w:hint="eastAsia" w:ascii="宋体" w:hAnsi="宋体" w:cs="宋体"/>
          <w:color w:val="auto"/>
          <w:szCs w:val="21"/>
          <w:highlight w:val="none"/>
        </w:rPr>
        <w:t>6.6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5826F585">
      <w:pPr>
        <w:snapToGrid w:val="0"/>
        <w:spacing w:line="360" w:lineRule="auto"/>
        <w:ind w:firstLine="422" w:firstLineChars="175"/>
        <w:textAlignment w:val="baseline"/>
        <w:rPr>
          <w:rStyle w:val="29"/>
          <w:rFonts w:hint="eastAsia" w:ascii="宋体" w:hAnsi="宋体" w:cs="宋体"/>
          <w:b/>
          <w:bCs/>
          <w:color w:val="auto"/>
          <w:sz w:val="24"/>
          <w:highlight w:val="none"/>
        </w:rPr>
      </w:pPr>
      <w:r>
        <w:rPr>
          <w:rStyle w:val="29"/>
          <w:rFonts w:hint="eastAsia" w:ascii="宋体" w:hAnsi="宋体" w:cs="宋体"/>
          <w:b/>
          <w:bCs/>
          <w:color w:val="auto"/>
          <w:sz w:val="24"/>
          <w:highlight w:val="none"/>
        </w:rPr>
        <w:t>7.评审复核</w:t>
      </w:r>
    </w:p>
    <w:p w14:paraId="1EDDC2B9">
      <w:pPr>
        <w:snapToGrid w:val="0"/>
        <w:spacing w:line="360" w:lineRule="auto"/>
        <w:ind w:firstLine="420" w:firstLineChars="200"/>
        <w:textAlignment w:val="baseline"/>
        <w:rPr>
          <w:rStyle w:val="29"/>
          <w:rFonts w:hint="eastAsia" w:ascii="宋体" w:hAnsi="宋体" w:cs="宋体"/>
          <w:bCs/>
          <w:color w:val="auto"/>
          <w:szCs w:val="21"/>
          <w:highlight w:val="none"/>
        </w:rPr>
      </w:pPr>
      <w:r>
        <w:rPr>
          <w:rStyle w:val="29"/>
          <w:rFonts w:hint="eastAsia" w:ascii="宋体" w:hAnsi="宋体" w:cs="宋体"/>
          <w:bCs/>
          <w:color w:val="auto"/>
          <w:szCs w:val="21"/>
          <w:highlight w:val="none"/>
        </w:rPr>
        <w:t>7.1评审报告签署前，评审委员会要对评审结果进行复核，复核意见要体现在评审报告中。</w:t>
      </w:r>
    </w:p>
    <w:p w14:paraId="13C5160D">
      <w:pPr>
        <w:snapToGrid w:val="0"/>
        <w:spacing w:line="360" w:lineRule="auto"/>
        <w:ind w:firstLine="420" w:firstLineChars="200"/>
        <w:textAlignment w:val="baseline"/>
        <w:rPr>
          <w:rStyle w:val="29"/>
          <w:rFonts w:hint="eastAsia" w:ascii="宋体" w:hAnsi="宋体" w:cs="宋体"/>
          <w:bCs/>
          <w:color w:val="auto"/>
          <w:szCs w:val="21"/>
          <w:highlight w:val="none"/>
        </w:rPr>
      </w:pPr>
      <w:r>
        <w:rPr>
          <w:rStyle w:val="29"/>
          <w:rFonts w:hint="eastAsia" w:ascii="宋体" w:hAnsi="宋体" w:cs="宋体"/>
          <w:bCs/>
          <w:color w:val="auto"/>
          <w:szCs w:val="21"/>
          <w:highlight w:val="none"/>
        </w:rPr>
        <w:t>7.2评审结果汇总完成后，采购人、采购代理机构和评审委员会均不得修改评审结果或者要求重新评审，但资格性检查认定错误、分值汇总计算错误、分项评分超出评分标准范围、客观分评分不一致、经评审委员会一致认定评分畸高、畸低的情形除外。出现上述除外情形的，评审委员会应当现场修改评审结果，并在评审报告中明确记载。</w:t>
      </w:r>
    </w:p>
    <w:p w14:paraId="62ECDA10">
      <w:pPr>
        <w:snapToGrid w:val="0"/>
        <w:spacing w:line="360" w:lineRule="auto"/>
        <w:ind w:firstLine="422" w:firstLineChars="175"/>
        <w:textAlignment w:val="baseline"/>
        <w:rPr>
          <w:rStyle w:val="29"/>
          <w:rFonts w:hint="eastAsia" w:ascii="宋体" w:hAnsi="宋体" w:cs="宋体"/>
          <w:b/>
          <w:bCs/>
          <w:color w:val="auto"/>
          <w:sz w:val="24"/>
          <w:highlight w:val="none"/>
        </w:rPr>
      </w:pPr>
      <w:r>
        <w:rPr>
          <w:rStyle w:val="29"/>
          <w:rFonts w:hint="eastAsia" w:ascii="宋体" w:hAnsi="宋体" w:cs="宋体"/>
          <w:b/>
          <w:bCs/>
          <w:color w:val="auto"/>
          <w:sz w:val="24"/>
          <w:highlight w:val="none"/>
        </w:rPr>
        <w:t>8.评审标准</w:t>
      </w:r>
    </w:p>
    <w:p w14:paraId="27BD5845">
      <w:pPr>
        <w:snapToGrid w:val="0"/>
        <w:spacing w:line="360" w:lineRule="auto"/>
        <w:ind w:firstLine="420" w:firstLineChars="200"/>
        <w:textAlignment w:val="baseline"/>
        <w:rPr>
          <w:rStyle w:val="29"/>
          <w:rFonts w:ascii="宋体" w:hAnsi="宋体" w:cs="Times New Roman"/>
          <w:b/>
          <w:bCs w:val="0"/>
          <w:color w:val="auto"/>
          <w:sz w:val="28"/>
          <w:szCs w:val="28"/>
          <w:highlight w:val="none"/>
        </w:rPr>
      </w:pPr>
      <w:r>
        <w:rPr>
          <w:rStyle w:val="29"/>
          <w:rFonts w:hint="eastAsia" w:ascii="宋体" w:hAnsi="宋体" w:cs="宋体"/>
          <w:bCs/>
          <w:color w:val="auto"/>
          <w:szCs w:val="21"/>
          <w:highlight w:val="none"/>
        </w:rPr>
        <w:t>8.1评审依据：磋商小组将以磋商响应文件为评审依据，对供应商的报价、技术、商务等方面内容按百分制打分。（计分方法按四舍五入取至百分位）</w:t>
      </w:r>
    </w:p>
    <w:bookmarkEnd w:id="80"/>
    <w:tbl>
      <w:tblPr>
        <w:tblStyle w:val="23"/>
        <w:tblW w:w="5000" w:type="pct"/>
        <w:tblInd w:w="1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58"/>
        <w:gridCol w:w="1024"/>
        <w:gridCol w:w="6624"/>
        <w:gridCol w:w="641"/>
      </w:tblGrid>
      <w:tr w14:paraId="00AD3B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368" w:type="pct"/>
            <w:tcBorders>
              <w:top w:val="single" w:color="000000" w:sz="4" w:space="0"/>
              <w:left w:val="single" w:color="000000" w:sz="4" w:space="0"/>
              <w:bottom w:val="single" w:color="000000" w:sz="4" w:space="0"/>
              <w:right w:val="single" w:color="000000" w:sz="4" w:space="0"/>
            </w:tcBorders>
            <w:noWrap w:val="0"/>
            <w:vAlign w:val="center"/>
          </w:tcPr>
          <w:p w14:paraId="20652730">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color w:val="auto"/>
                <w:sz w:val="21"/>
                <w:szCs w:val="21"/>
                <w:highlight w:val="none"/>
              </w:rPr>
            </w:pPr>
            <w:bookmarkStart w:id="81" w:name="_Toc80205935"/>
            <w:r>
              <w:rPr>
                <w:rFonts w:hint="eastAsia" w:ascii="宋体" w:hAnsi="宋体" w:eastAsia="宋体" w:cs="宋体"/>
                <w:b/>
                <w:bCs/>
                <w:color w:val="auto"/>
                <w:sz w:val="21"/>
                <w:szCs w:val="21"/>
                <w:highlight w:val="none"/>
              </w:rPr>
              <w:br w:type="page"/>
            </w:r>
            <w:r>
              <w:rPr>
                <w:rFonts w:hint="eastAsia" w:ascii="宋体" w:hAnsi="宋体" w:eastAsia="宋体" w:cs="宋体"/>
                <w:b/>
                <w:bCs/>
                <w:color w:val="auto"/>
                <w:sz w:val="21"/>
                <w:szCs w:val="21"/>
                <w:highlight w:val="none"/>
              </w:rPr>
              <w:t>序号</w:t>
            </w:r>
          </w:p>
        </w:tc>
        <w:tc>
          <w:tcPr>
            <w:tcW w:w="572" w:type="pct"/>
            <w:tcBorders>
              <w:top w:val="single" w:color="000000" w:sz="4" w:space="0"/>
              <w:left w:val="nil"/>
              <w:bottom w:val="single" w:color="000000" w:sz="4" w:space="0"/>
              <w:right w:val="single" w:color="000000" w:sz="4" w:space="0"/>
            </w:tcBorders>
            <w:noWrap w:val="0"/>
            <w:vAlign w:val="center"/>
          </w:tcPr>
          <w:p w14:paraId="760A6DEE">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评审因素</w:t>
            </w:r>
          </w:p>
        </w:tc>
        <w:tc>
          <w:tcPr>
            <w:tcW w:w="3702" w:type="pct"/>
            <w:tcBorders>
              <w:top w:val="single" w:color="000000" w:sz="4" w:space="0"/>
              <w:left w:val="nil"/>
              <w:bottom w:val="single" w:color="000000" w:sz="4" w:space="0"/>
              <w:right w:val="single" w:color="000000" w:sz="4" w:space="0"/>
            </w:tcBorders>
            <w:noWrap w:val="0"/>
            <w:vAlign w:val="center"/>
          </w:tcPr>
          <w:p w14:paraId="72ADBCA0">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评审因素具体内容</w:t>
            </w:r>
          </w:p>
        </w:tc>
        <w:tc>
          <w:tcPr>
            <w:tcW w:w="356" w:type="pct"/>
            <w:tcBorders>
              <w:top w:val="single" w:color="000000" w:sz="4" w:space="0"/>
              <w:left w:val="nil"/>
              <w:bottom w:val="single" w:color="000000" w:sz="4" w:space="0"/>
              <w:right w:val="single" w:color="000000" w:sz="4" w:space="0"/>
            </w:tcBorders>
            <w:noWrap w:val="0"/>
            <w:vAlign w:val="center"/>
          </w:tcPr>
          <w:p w14:paraId="45C6AECA">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Cs/>
                <w:color w:val="auto"/>
                <w:sz w:val="21"/>
                <w:szCs w:val="21"/>
                <w:highlight w:val="none"/>
              </w:rPr>
            </w:pPr>
            <w:r>
              <w:rPr>
                <w:rFonts w:hint="eastAsia" w:ascii="宋体" w:hAnsi="宋体" w:eastAsia="宋体" w:cs="宋体"/>
                <w:b/>
                <w:color w:val="auto"/>
                <w:kern w:val="0"/>
                <w:sz w:val="21"/>
                <w:szCs w:val="21"/>
                <w:highlight w:val="none"/>
              </w:rPr>
              <w:t>分值</w:t>
            </w:r>
          </w:p>
        </w:tc>
      </w:tr>
      <w:tr w14:paraId="6CE7E3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368" w:type="pct"/>
            <w:tcBorders>
              <w:top w:val="single" w:color="000000" w:sz="4" w:space="0"/>
              <w:left w:val="single" w:color="000000" w:sz="4" w:space="0"/>
              <w:bottom w:val="single" w:color="000000" w:sz="4" w:space="0"/>
              <w:right w:val="single" w:color="000000" w:sz="4" w:space="0"/>
            </w:tcBorders>
            <w:noWrap w:val="0"/>
            <w:vAlign w:val="center"/>
          </w:tcPr>
          <w:p w14:paraId="0CC9430E">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1</w:t>
            </w:r>
          </w:p>
        </w:tc>
        <w:tc>
          <w:tcPr>
            <w:tcW w:w="572" w:type="pct"/>
            <w:tcBorders>
              <w:top w:val="single" w:color="000000" w:sz="4" w:space="0"/>
              <w:left w:val="nil"/>
              <w:bottom w:val="single" w:color="000000" w:sz="4" w:space="0"/>
              <w:right w:val="single" w:color="000000" w:sz="4" w:space="0"/>
            </w:tcBorders>
            <w:noWrap w:val="0"/>
            <w:vAlign w:val="center"/>
          </w:tcPr>
          <w:p w14:paraId="26E48461">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价格分</w:t>
            </w:r>
            <w:r>
              <w:rPr>
                <w:rFonts w:hint="eastAsia" w:ascii="宋体" w:hAnsi="宋体" w:eastAsia="宋体" w:cs="宋体"/>
                <w:b/>
                <w:bCs w:val="0"/>
                <w:color w:val="auto"/>
                <w:kern w:val="0"/>
                <w:sz w:val="21"/>
                <w:szCs w:val="21"/>
                <w:highlight w:val="none"/>
              </w:rPr>
              <w:t>（</w:t>
            </w:r>
            <w:r>
              <w:rPr>
                <w:rFonts w:hint="eastAsia" w:ascii="宋体" w:hAnsi="宋体" w:eastAsia="宋体" w:cs="宋体"/>
                <w:b/>
                <w:bCs w:val="0"/>
                <w:color w:val="auto"/>
                <w:sz w:val="21"/>
                <w:szCs w:val="21"/>
                <w:highlight w:val="none"/>
              </w:rPr>
              <w:t>满分</w:t>
            </w:r>
            <w:r>
              <w:rPr>
                <w:rFonts w:hint="eastAsia" w:ascii="宋体" w:hAnsi="宋体" w:eastAsia="宋体" w:cs="宋体"/>
                <w:b/>
                <w:bCs w:val="0"/>
                <w:color w:val="auto"/>
                <w:sz w:val="21"/>
                <w:szCs w:val="21"/>
                <w:highlight w:val="none"/>
                <w:lang w:val="en-US" w:eastAsia="zh-CN"/>
              </w:rPr>
              <w:t>10</w:t>
            </w:r>
            <w:r>
              <w:rPr>
                <w:rFonts w:hint="eastAsia" w:ascii="宋体" w:hAnsi="宋体" w:eastAsia="宋体" w:cs="宋体"/>
                <w:b/>
                <w:bCs w:val="0"/>
                <w:color w:val="auto"/>
                <w:sz w:val="21"/>
                <w:szCs w:val="21"/>
                <w:highlight w:val="none"/>
              </w:rPr>
              <w:t>分)</w:t>
            </w:r>
          </w:p>
        </w:tc>
        <w:tc>
          <w:tcPr>
            <w:tcW w:w="3702" w:type="pct"/>
            <w:tcBorders>
              <w:top w:val="single" w:color="000000" w:sz="4" w:space="0"/>
              <w:left w:val="nil"/>
              <w:bottom w:val="single" w:color="000000" w:sz="4" w:space="0"/>
              <w:right w:val="single" w:color="000000" w:sz="4" w:space="0"/>
            </w:tcBorders>
            <w:noWrap w:val="0"/>
            <w:vAlign w:val="center"/>
          </w:tcPr>
          <w:p w14:paraId="3A245AAA">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bCs/>
                <w:color w:val="auto"/>
                <w:kern w:val="2"/>
                <w:sz w:val="21"/>
                <w:szCs w:val="21"/>
                <w:highlight w:val="none"/>
                <w:lang w:val="en-US"/>
              </w:rPr>
            </w:pPr>
            <w:r>
              <w:rPr>
                <w:rFonts w:hint="eastAsia" w:ascii="宋体" w:hAnsi="宋体" w:eastAsia="宋体" w:cs="宋体"/>
                <w:bCs/>
                <w:color w:val="auto"/>
                <w:kern w:val="2"/>
                <w:sz w:val="21"/>
                <w:szCs w:val="21"/>
                <w:highlight w:val="none"/>
                <w:lang w:val="en-US"/>
              </w:rPr>
              <w:t>1.评审价为供应商的最后报价的价格，评审价只是作为评审时使用。最终成交供应商的成交金额等于最后报价（如有修正，以确认修正后的最后报价为准）。</w:t>
            </w:r>
          </w:p>
          <w:p w14:paraId="7DDF0DCA">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b/>
                <w:bCs w:val="0"/>
                <w:color w:val="auto"/>
                <w:kern w:val="2"/>
                <w:sz w:val="21"/>
                <w:szCs w:val="21"/>
                <w:highlight w:val="none"/>
                <w:lang w:val="en-US"/>
              </w:rPr>
            </w:pPr>
            <w:r>
              <w:rPr>
                <w:rFonts w:hint="eastAsia" w:ascii="宋体" w:hAnsi="宋体" w:eastAsia="宋体" w:cs="宋体"/>
                <w:b/>
                <w:bCs w:val="0"/>
                <w:color w:val="auto"/>
                <w:kern w:val="2"/>
                <w:sz w:val="21"/>
                <w:szCs w:val="21"/>
                <w:highlight w:val="none"/>
                <w:lang w:val="en-US"/>
              </w:rPr>
              <w:t>（注：本项目专门面向中小企业采购，不执行小微企业扣除政策）</w:t>
            </w:r>
          </w:p>
          <w:p w14:paraId="27433EC3">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bCs/>
                <w:color w:val="auto"/>
                <w:kern w:val="2"/>
                <w:sz w:val="21"/>
                <w:szCs w:val="21"/>
                <w:highlight w:val="none"/>
                <w:lang w:val="en-US"/>
              </w:rPr>
            </w:pPr>
            <w:r>
              <w:rPr>
                <w:rFonts w:hint="eastAsia" w:ascii="宋体" w:hAnsi="宋体" w:eastAsia="宋体" w:cs="宋体"/>
                <w:bCs/>
                <w:color w:val="auto"/>
                <w:kern w:val="2"/>
                <w:sz w:val="21"/>
                <w:szCs w:val="21"/>
                <w:highlight w:val="none"/>
                <w:lang w:val="en-US"/>
              </w:rPr>
              <w:t>2.计算方法：</w:t>
            </w:r>
          </w:p>
          <w:p w14:paraId="2FC274D6">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bCs/>
                <w:color w:val="auto"/>
                <w:kern w:val="2"/>
                <w:sz w:val="21"/>
                <w:szCs w:val="21"/>
                <w:highlight w:val="none"/>
                <w:lang w:val="en-US"/>
              </w:rPr>
            </w:pPr>
            <w:r>
              <w:rPr>
                <w:rFonts w:hint="eastAsia" w:ascii="宋体" w:hAnsi="宋体" w:eastAsia="宋体" w:cs="宋体"/>
                <w:bCs/>
                <w:color w:val="auto"/>
                <w:kern w:val="2"/>
                <w:sz w:val="21"/>
                <w:szCs w:val="21"/>
                <w:highlight w:val="none"/>
                <w:lang w:val="en-US"/>
              </w:rPr>
              <w:t>（1）评审报价＝最后报价。</w:t>
            </w:r>
          </w:p>
          <w:p w14:paraId="51A9897F">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bCs/>
                <w:color w:val="auto"/>
                <w:kern w:val="2"/>
                <w:sz w:val="21"/>
                <w:szCs w:val="21"/>
                <w:highlight w:val="none"/>
                <w:lang w:val="en-US"/>
              </w:rPr>
            </w:pPr>
            <w:r>
              <w:rPr>
                <w:rFonts w:hint="eastAsia" w:ascii="宋体" w:hAnsi="宋体" w:eastAsia="宋体" w:cs="宋体"/>
                <w:bCs/>
                <w:color w:val="auto"/>
                <w:kern w:val="2"/>
                <w:sz w:val="21"/>
                <w:szCs w:val="21"/>
                <w:highlight w:val="none"/>
                <w:lang w:val="en-US"/>
              </w:rPr>
              <w:t>（2）以进入比较与评价环节的最低评审报价为基准价，基准价得分满分。</w:t>
            </w:r>
          </w:p>
          <w:p w14:paraId="30217AB3">
            <w:pPr>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bCs/>
                <w:color w:val="auto"/>
                <w:kern w:val="2"/>
                <w:sz w:val="21"/>
                <w:szCs w:val="21"/>
                <w:highlight w:val="none"/>
                <w:lang w:val="en-US"/>
              </w:rPr>
              <w:t>（3）价格分计算公式：某供应商价格分＝基准价/某供应商评审报价×</w:t>
            </w:r>
            <w:r>
              <w:rPr>
                <w:rFonts w:hint="eastAsia" w:ascii="宋体" w:hAnsi="宋体" w:eastAsia="宋体" w:cs="宋体"/>
                <w:bCs/>
                <w:color w:val="auto"/>
                <w:kern w:val="2"/>
                <w:sz w:val="21"/>
                <w:szCs w:val="21"/>
                <w:highlight w:val="none"/>
                <w:lang w:val="en-US" w:eastAsia="zh-CN"/>
              </w:rPr>
              <w:t>10</w:t>
            </w:r>
            <w:r>
              <w:rPr>
                <w:rFonts w:hint="eastAsia" w:ascii="宋体" w:hAnsi="宋体" w:eastAsia="宋体" w:cs="宋体"/>
                <w:bCs/>
                <w:color w:val="auto"/>
                <w:kern w:val="2"/>
                <w:sz w:val="21"/>
                <w:szCs w:val="21"/>
                <w:highlight w:val="none"/>
                <w:lang w:val="en-US"/>
              </w:rPr>
              <w:t>分。</w:t>
            </w:r>
          </w:p>
        </w:tc>
        <w:tc>
          <w:tcPr>
            <w:tcW w:w="356" w:type="pct"/>
            <w:tcBorders>
              <w:top w:val="single" w:color="000000" w:sz="4" w:space="0"/>
              <w:left w:val="nil"/>
              <w:bottom w:val="single" w:color="000000" w:sz="4" w:space="0"/>
              <w:right w:val="single" w:color="000000" w:sz="4" w:space="0"/>
            </w:tcBorders>
            <w:noWrap w:val="0"/>
            <w:vAlign w:val="center"/>
          </w:tcPr>
          <w:p w14:paraId="52933A89">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10</w:t>
            </w:r>
            <w:r>
              <w:rPr>
                <w:rFonts w:hint="eastAsia" w:ascii="宋体" w:hAnsi="宋体" w:eastAsia="宋体" w:cs="宋体"/>
                <w:b/>
                <w:bCs/>
                <w:color w:val="auto"/>
                <w:sz w:val="21"/>
                <w:szCs w:val="21"/>
                <w:highlight w:val="none"/>
              </w:rPr>
              <w:t>分</w:t>
            </w:r>
          </w:p>
        </w:tc>
      </w:tr>
      <w:tr w14:paraId="75E31A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368" w:type="pct"/>
            <w:tcBorders>
              <w:top w:val="single" w:color="000000" w:sz="4" w:space="0"/>
              <w:left w:val="single" w:color="000000" w:sz="4" w:space="0"/>
              <w:bottom w:val="single" w:color="000000" w:sz="4" w:space="0"/>
              <w:right w:val="single" w:color="000000" w:sz="4" w:space="0"/>
            </w:tcBorders>
            <w:noWrap w:val="0"/>
            <w:vAlign w:val="center"/>
          </w:tcPr>
          <w:p w14:paraId="45DBB0E5">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b/>
                <w:color w:val="auto"/>
                <w:kern w:val="0"/>
                <w:sz w:val="21"/>
                <w:szCs w:val="21"/>
                <w:highlight w:val="none"/>
              </w:rPr>
            </w:pPr>
            <w:r>
              <w:rPr>
                <w:rFonts w:hint="eastAsia" w:ascii="宋体" w:hAnsi="宋体" w:eastAsia="宋体" w:cs="宋体"/>
                <w:b/>
                <w:bCs/>
                <w:color w:val="auto"/>
                <w:kern w:val="0"/>
                <w:sz w:val="21"/>
                <w:szCs w:val="21"/>
                <w:highlight w:val="none"/>
              </w:rPr>
              <w:t>2</w:t>
            </w:r>
          </w:p>
        </w:tc>
        <w:tc>
          <w:tcPr>
            <w:tcW w:w="572" w:type="pct"/>
            <w:tcBorders>
              <w:top w:val="single" w:color="000000" w:sz="4" w:space="0"/>
              <w:left w:val="nil"/>
              <w:bottom w:val="single" w:color="000000" w:sz="4" w:space="0"/>
              <w:right w:val="single" w:color="000000" w:sz="4" w:space="0"/>
            </w:tcBorders>
            <w:noWrap w:val="0"/>
            <w:vAlign w:val="center"/>
          </w:tcPr>
          <w:p w14:paraId="5074EE1E">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b/>
                <w:color w:val="auto"/>
                <w:kern w:val="0"/>
                <w:sz w:val="21"/>
                <w:szCs w:val="21"/>
                <w:highlight w:val="none"/>
              </w:rPr>
            </w:pPr>
            <w:r>
              <w:rPr>
                <w:rFonts w:hint="eastAsia" w:ascii="宋体" w:hAnsi="宋体" w:eastAsia="宋体" w:cs="宋体"/>
                <w:b/>
                <w:bCs/>
                <w:color w:val="auto"/>
                <w:kern w:val="0"/>
                <w:sz w:val="21"/>
                <w:szCs w:val="21"/>
                <w:highlight w:val="none"/>
              </w:rPr>
              <w:t>技术分</w:t>
            </w:r>
          </w:p>
        </w:tc>
        <w:tc>
          <w:tcPr>
            <w:tcW w:w="3702" w:type="pct"/>
            <w:tcBorders>
              <w:top w:val="single" w:color="000000" w:sz="4" w:space="0"/>
              <w:left w:val="nil"/>
              <w:bottom w:val="single" w:color="000000" w:sz="4" w:space="0"/>
              <w:right w:val="single" w:color="000000" w:sz="4" w:space="0"/>
            </w:tcBorders>
            <w:noWrap w:val="0"/>
            <w:vAlign w:val="center"/>
          </w:tcPr>
          <w:p w14:paraId="76DC0E6E">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评审因素</w:t>
            </w:r>
          </w:p>
        </w:tc>
        <w:tc>
          <w:tcPr>
            <w:tcW w:w="356" w:type="pct"/>
            <w:tcBorders>
              <w:top w:val="single" w:color="000000" w:sz="4" w:space="0"/>
              <w:left w:val="nil"/>
              <w:bottom w:val="single" w:color="000000" w:sz="4" w:space="0"/>
              <w:right w:val="single" w:color="000000" w:sz="4" w:space="0"/>
            </w:tcBorders>
            <w:noWrap w:val="0"/>
            <w:vAlign w:val="center"/>
          </w:tcPr>
          <w:p w14:paraId="160AAC34">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lang w:val="en-US" w:eastAsia="zh-CN"/>
              </w:rPr>
              <w:t>85</w:t>
            </w:r>
            <w:r>
              <w:rPr>
                <w:rFonts w:hint="eastAsia" w:ascii="宋体" w:hAnsi="宋体" w:eastAsia="宋体" w:cs="宋体"/>
                <w:b/>
                <w:color w:val="auto"/>
                <w:kern w:val="0"/>
                <w:sz w:val="21"/>
                <w:szCs w:val="21"/>
                <w:highlight w:val="none"/>
              </w:rPr>
              <w:t>分</w:t>
            </w:r>
          </w:p>
        </w:tc>
      </w:tr>
      <w:tr w14:paraId="41249D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368" w:type="pct"/>
            <w:tcBorders>
              <w:top w:val="single" w:color="000000" w:sz="4" w:space="0"/>
              <w:left w:val="single" w:color="000000" w:sz="4" w:space="0"/>
              <w:bottom w:val="single" w:color="000000" w:sz="4" w:space="0"/>
              <w:right w:val="single" w:color="000000" w:sz="4" w:space="0"/>
            </w:tcBorders>
            <w:noWrap w:val="0"/>
            <w:vAlign w:val="center"/>
          </w:tcPr>
          <w:p w14:paraId="21973F8E">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rPr>
              <w:t>2.1</w:t>
            </w:r>
          </w:p>
        </w:tc>
        <w:tc>
          <w:tcPr>
            <w:tcW w:w="572" w:type="pct"/>
            <w:tcBorders>
              <w:top w:val="single" w:color="000000" w:sz="4" w:space="0"/>
              <w:left w:val="nil"/>
              <w:bottom w:val="single" w:color="000000" w:sz="4" w:space="0"/>
              <w:right w:val="single" w:color="000000" w:sz="4" w:space="0"/>
            </w:tcBorders>
            <w:noWrap w:val="0"/>
            <w:vAlign w:val="center"/>
          </w:tcPr>
          <w:p w14:paraId="1558EEEA">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rPr>
              <w:t>项目管理机构</w:t>
            </w:r>
            <w:r>
              <w:rPr>
                <w:rFonts w:hint="eastAsia" w:ascii="宋体" w:hAnsi="宋体" w:eastAsia="宋体" w:cs="宋体"/>
                <w:bCs/>
                <w:color w:val="auto"/>
                <w:kern w:val="0"/>
                <w:sz w:val="21"/>
                <w:szCs w:val="21"/>
                <w:highlight w:val="none"/>
                <w:lang w:val="en-US" w:eastAsia="zh-CN"/>
              </w:rPr>
              <w:t>（客观分）</w:t>
            </w:r>
          </w:p>
        </w:tc>
        <w:tc>
          <w:tcPr>
            <w:tcW w:w="3702" w:type="pct"/>
            <w:tcBorders>
              <w:top w:val="single" w:color="000000" w:sz="4" w:space="0"/>
              <w:left w:val="nil"/>
              <w:bottom w:val="single" w:color="000000" w:sz="4" w:space="0"/>
              <w:right w:val="single" w:color="000000" w:sz="4" w:space="0"/>
            </w:tcBorders>
            <w:noWrap w:val="0"/>
            <w:vAlign w:val="center"/>
          </w:tcPr>
          <w:p w14:paraId="55F1F732">
            <w:pPr>
              <w:keepNext w:val="0"/>
              <w:keepLines w:val="0"/>
              <w:pageBreakBefore w:val="0"/>
              <w:numPr>
                <w:ilvl w:val="0"/>
                <w:numId w:val="0"/>
              </w:numPr>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highlight w:val="none"/>
                <w:lang w:val="en-US" w:eastAsia="zh-CN"/>
              </w:rPr>
              <w:t>1.拟投入本项目的</w:t>
            </w:r>
            <w:r>
              <w:rPr>
                <w:rFonts w:hint="eastAsia" w:ascii="宋体" w:hAnsi="宋体" w:eastAsia="宋体" w:cs="宋体"/>
                <w:color w:val="auto"/>
                <w:szCs w:val="21"/>
                <w:highlight w:val="none"/>
              </w:rPr>
              <w:t>项目经理具备工程类专业</w:t>
            </w:r>
            <w:r>
              <w:rPr>
                <w:rFonts w:hint="eastAsia" w:ascii="宋体" w:hAnsi="宋体" w:eastAsia="宋体" w:cs="宋体"/>
                <w:color w:val="auto"/>
                <w:szCs w:val="21"/>
                <w:highlight w:val="none"/>
                <w:lang w:val="en-US" w:eastAsia="zh-CN"/>
              </w:rPr>
              <w:t>中级（含）以上</w:t>
            </w:r>
            <w:r>
              <w:rPr>
                <w:rFonts w:hint="eastAsia" w:ascii="宋体" w:hAnsi="宋体" w:eastAsia="宋体" w:cs="宋体"/>
                <w:color w:val="auto"/>
                <w:szCs w:val="21"/>
                <w:highlight w:val="none"/>
              </w:rPr>
              <w:t>工程师职称及以上的得</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分</w:t>
            </w:r>
            <w:r>
              <w:rPr>
                <w:rFonts w:hint="eastAsia" w:ascii="宋体" w:hAnsi="宋体" w:eastAsia="宋体" w:cs="宋体"/>
                <w:color w:val="auto"/>
                <w:szCs w:val="21"/>
                <w:highlight w:val="none"/>
                <w:lang w:eastAsia="zh-CN"/>
              </w:rPr>
              <w:t>。</w:t>
            </w:r>
          </w:p>
          <w:p w14:paraId="6E3FEE52">
            <w:pPr>
              <w:keepNext w:val="0"/>
              <w:keepLines w:val="0"/>
              <w:pageBreakBefore w:val="0"/>
              <w:numPr>
                <w:ilvl w:val="0"/>
                <w:numId w:val="0"/>
              </w:numPr>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2.技术负责人具备工程类专业中级（含）以上工程师职称的得6分，满分6分。</w:t>
            </w:r>
          </w:p>
          <w:p w14:paraId="143C88D8">
            <w:pPr>
              <w:keepNext w:val="0"/>
              <w:keepLines w:val="0"/>
              <w:pageBreakBefore w:val="0"/>
              <w:numPr>
                <w:ilvl w:val="0"/>
                <w:numId w:val="0"/>
              </w:numPr>
              <w:kinsoku/>
              <w:wordWrap/>
              <w:overflowPunct/>
              <w:topLinePunct w:val="0"/>
              <w:autoSpaceDE/>
              <w:autoSpaceDN/>
              <w:bidi w:val="0"/>
              <w:adjustRightInd/>
              <w:snapToGrid/>
              <w:spacing w:line="440" w:lineRule="exact"/>
              <w:ind w:leftChars="0"/>
              <w:jc w:val="left"/>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拟投入的本项目的施工员、质量员、安全员、材料员等人员齐备，全部持证上岗，得</w:t>
            </w: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rPr>
              <w:t>分，此项满分</w:t>
            </w: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rPr>
              <w:t>分。</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缺一项不得分</w:t>
            </w:r>
            <w:r>
              <w:rPr>
                <w:rFonts w:hint="eastAsia" w:ascii="宋体" w:hAnsi="宋体" w:eastAsia="宋体" w:cs="宋体"/>
                <w:color w:val="auto"/>
                <w:highlight w:val="none"/>
                <w:lang w:eastAsia="zh-CN"/>
              </w:rPr>
              <w:t>）</w:t>
            </w:r>
          </w:p>
          <w:p w14:paraId="3F44AC56">
            <w:pPr>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注：提供相关证明材料</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项目经理、技术负责人提供职称证</w:t>
            </w:r>
            <w:r>
              <w:rPr>
                <w:rFonts w:hint="eastAsia" w:ascii="宋体" w:hAnsi="宋体" w:eastAsia="宋体" w:cs="宋体"/>
                <w:color w:val="auto"/>
                <w:highlight w:val="none"/>
              </w:rPr>
              <w:t>复印件</w:t>
            </w:r>
            <w:r>
              <w:rPr>
                <w:rFonts w:hint="eastAsia" w:ascii="宋体" w:hAnsi="宋体" w:eastAsia="宋体" w:cs="宋体"/>
                <w:color w:val="auto"/>
                <w:highlight w:val="none"/>
                <w:lang w:val="en-US" w:eastAsia="zh-CN"/>
              </w:rPr>
              <w:t>，其他人员提供岗位资格证书</w:t>
            </w:r>
            <w:r>
              <w:rPr>
                <w:rFonts w:hint="eastAsia" w:ascii="宋体" w:hAnsi="宋体" w:eastAsia="宋体" w:cs="宋体"/>
                <w:color w:val="auto"/>
                <w:highlight w:val="none"/>
              </w:rPr>
              <w:t>复印件</w:t>
            </w:r>
            <w:r>
              <w:rPr>
                <w:rFonts w:hint="eastAsia" w:ascii="宋体" w:hAnsi="宋体" w:eastAsia="宋体" w:cs="宋体"/>
                <w:color w:val="auto"/>
                <w:highlight w:val="none"/>
                <w:lang w:eastAsia="zh-CN"/>
              </w:rPr>
              <w:t>）</w:t>
            </w:r>
          </w:p>
        </w:tc>
        <w:tc>
          <w:tcPr>
            <w:tcW w:w="356" w:type="pct"/>
            <w:tcBorders>
              <w:top w:val="single" w:color="000000" w:sz="4" w:space="0"/>
              <w:left w:val="nil"/>
              <w:bottom w:val="single" w:color="000000" w:sz="4" w:space="0"/>
              <w:right w:val="single" w:color="000000" w:sz="4" w:space="0"/>
            </w:tcBorders>
            <w:noWrap w:val="0"/>
            <w:vAlign w:val="center"/>
          </w:tcPr>
          <w:p w14:paraId="39C1B536">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val="en-US" w:eastAsia="zh-CN"/>
              </w:rPr>
              <w:t>15</w:t>
            </w:r>
            <w:r>
              <w:rPr>
                <w:rFonts w:hint="eastAsia" w:ascii="宋体" w:hAnsi="宋体" w:eastAsia="宋体" w:cs="宋体"/>
                <w:bCs/>
                <w:color w:val="auto"/>
                <w:kern w:val="0"/>
                <w:sz w:val="21"/>
                <w:szCs w:val="21"/>
                <w:highlight w:val="none"/>
              </w:rPr>
              <w:t>分</w:t>
            </w:r>
          </w:p>
        </w:tc>
      </w:tr>
      <w:tr w14:paraId="5F37DF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368" w:type="pct"/>
            <w:tcBorders>
              <w:top w:val="single" w:color="000000" w:sz="4" w:space="0"/>
              <w:left w:val="single" w:color="000000" w:sz="4" w:space="0"/>
              <w:bottom w:val="single" w:color="000000" w:sz="4" w:space="0"/>
              <w:right w:val="single" w:color="000000" w:sz="4" w:space="0"/>
            </w:tcBorders>
            <w:noWrap w:val="0"/>
            <w:vAlign w:val="center"/>
          </w:tcPr>
          <w:p w14:paraId="54D3FB58">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rPr>
              <w:t>2.2</w:t>
            </w:r>
          </w:p>
        </w:tc>
        <w:tc>
          <w:tcPr>
            <w:tcW w:w="572" w:type="pct"/>
            <w:tcBorders>
              <w:top w:val="single" w:color="000000" w:sz="4" w:space="0"/>
              <w:left w:val="nil"/>
              <w:bottom w:val="single" w:color="000000" w:sz="4" w:space="0"/>
              <w:right w:val="single" w:color="000000" w:sz="4" w:space="0"/>
            </w:tcBorders>
            <w:noWrap w:val="0"/>
            <w:vAlign w:val="center"/>
          </w:tcPr>
          <w:p w14:paraId="3CDA4E54">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rPr>
              <w:t>主要施工方法</w:t>
            </w:r>
          </w:p>
        </w:tc>
        <w:tc>
          <w:tcPr>
            <w:tcW w:w="3702" w:type="pct"/>
            <w:tcBorders>
              <w:top w:val="single" w:color="000000" w:sz="4" w:space="0"/>
              <w:left w:val="nil"/>
              <w:bottom w:val="single" w:color="000000" w:sz="4" w:space="0"/>
              <w:right w:val="single" w:color="000000" w:sz="4" w:space="0"/>
            </w:tcBorders>
            <w:noWrap w:val="0"/>
            <w:vAlign w:val="center"/>
          </w:tcPr>
          <w:p w14:paraId="76EAE347">
            <w:pPr>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一档（10分）：各主要分部施工方法符合项目实际，有详尽的施工技术方案，工艺先进、方法科学合理、可行，完全能指导具体施工并确保安全。</w:t>
            </w:r>
          </w:p>
          <w:p w14:paraId="69B6C1E7">
            <w:pPr>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二档（8分）：各主要分部施工方法符合项目实际，施工技术方案基本详细，工艺较先进、方法较科学合理、可行，能较好地指导具体施工并确保安全。</w:t>
            </w:r>
          </w:p>
          <w:p w14:paraId="5B3A82A8">
            <w:pPr>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三档（5分）：各主要分部施工方法基本符合项目实际，施工技术方案基本详细，工艺较先进、方法较科学合理、可行，基本能指导具体施工并确保安全。 </w:t>
            </w:r>
          </w:p>
          <w:p w14:paraId="434AE559">
            <w:pPr>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四档（2分）：各主要分部施工方法不符合项目实际，没有详尽的施工技术方案， 工艺不先进、方法不科学合理、可行，不能 指导具体施工并确保安全。</w:t>
            </w:r>
          </w:p>
        </w:tc>
        <w:tc>
          <w:tcPr>
            <w:tcW w:w="356" w:type="pct"/>
            <w:tcBorders>
              <w:top w:val="single" w:color="000000" w:sz="4" w:space="0"/>
              <w:left w:val="nil"/>
              <w:bottom w:val="single" w:color="000000" w:sz="4" w:space="0"/>
              <w:right w:val="single" w:color="000000" w:sz="4" w:space="0"/>
            </w:tcBorders>
            <w:noWrap w:val="0"/>
            <w:vAlign w:val="center"/>
          </w:tcPr>
          <w:p w14:paraId="4B7412DA">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val="en-US" w:eastAsia="zh-CN"/>
              </w:rPr>
              <w:t>10</w:t>
            </w:r>
            <w:r>
              <w:rPr>
                <w:rFonts w:hint="eastAsia" w:ascii="宋体" w:hAnsi="宋体" w:eastAsia="宋体" w:cs="宋体"/>
                <w:bCs/>
                <w:color w:val="auto"/>
                <w:kern w:val="0"/>
                <w:sz w:val="21"/>
                <w:szCs w:val="21"/>
                <w:highlight w:val="none"/>
              </w:rPr>
              <w:t>分</w:t>
            </w:r>
          </w:p>
        </w:tc>
      </w:tr>
      <w:tr w14:paraId="683D93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368" w:type="pct"/>
            <w:tcBorders>
              <w:top w:val="single" w:color="000000" w:sz="4" w:space="0"/>
              <w:left w:val="single" w:color="000000" w:sz="4" w:space="0"/>
              <w:bottom w:val="single" w:color="000000" w:sz="4" w:space="0"/>
              <w:right w:val="single" w:color="000000" w:sz="4" w:space="0"/>
            </w:tcBorders>
            <w:noWrap w:val="0"/>
            <w:vAlign w:val="center"/>
          </w:tcPr>
          <w:p w14:paraId="59E48589">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rPr>
              <w:t>2.3</w:t>
            </w:r>
          </w:p>
        </w:tc>
        <w:tc>
          <w:tcPr>
            <w:tcW w:w="572" w:type="pct"/>
            <w:tcBorders>
              <w:top w:val="single" w:color="000000" w:sz="4" w:space="0"/>
              <w:left w:val="nil"/>
              <w:bottom w:val="single" w:color="000000" w:sz="4" w:space="0"/>
              <w:right w:val="single" w:color="000000" w:sz="4" w:space="0"/>
            </w:tcBorders>
            <w:noWrap w:val="0"/>
            <w:vAlign w:val="center"/>
          </w:tcPr>
          <w:p w14:paraId="5FE3519E">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rPr>
              <w:t>拟投入的主要物资计划</w:t>
            </w:r>
          </w:p>
        </w:tc>
        <w:tc>
          <w:tcPr>
            <w:tcW w:w="3702" w:type="pct"/>
            <w:tcBorders>
              <w:top w:val="single" w:color="000000" w:sz="4" w:space="0"/>
              <w:left w:val="nil"/>
              <w:bottom w:val="single" w:color="000000" w:sz="4" w:space="0"/>
              <w:right w:val="single" w:color="000000" w:sz="4" w:space="0"/>
            </w:tcBorders>
            <w:noWrap w:val="0"/>
            <w:vAlign w:val="center"/>
          </w:tcPr>
          <w:p w14:paraId="5D3304F9">
            <w:pPr>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一档（</w:t>
            </w: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rPr>
              <w:t>分）：投入的施工材料有详细的组织计划且计划周密，数量、选型配置、进场时间安排合理， 完全满足施工需要。</w:t>
            </w:r>
          </w:p>
          <w:p w14:paraId="33525655">
            <w:pPr>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二档（</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分）：投入的施工材料有较详细的组织计划且计划周密，数量、选型配置、进场时间安排较为合理，能较好满足施工需要。</w:t>
            </w:r>
          </w:p>
          <w:p w14:paraId="7390F11C">
            <w:pPr>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三档（</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分）：投入的施工材料有组织计划，数量、选型配置、进场时间基本安排合理，基本能满足施工需要。</w:t>
            </w:r>
          </w:p>
          <w:p w14:paraId="3A30CC55">
            <w:pPr>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四档（</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rPr>
              <w:t>分）：投入的施工材料没有详细的组织计划且计划不周密， 数量、选型配置、进场时间安排不清晰合理，不能满足施工需要。</w:t>
            </w:r>
          </w:p>
        </w:tc>
        <w:tc>
          <w:tcPr>
            <w:tcW w:w="356" w:type="pct"/>
            <w:tcBorders>
              <w:top w:val="single" w:color="000000" w:sz="4" w:space="0"/>
              <w:left w:val="nil"/>
              <w:bottom w:val="single" w:color="000000" w:sz="4" w:space="0"/>
              <w:right w:val="single" w:color="000000" w:sz="4" w:space="0"/>
            </w:tcBorders>
            <w:noWrap w:val="0"/>
            <w:vAlign w:val="center"/>
          </w:tcPr>
          <w:p w14:paraId="54A52C40">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val="en-US" w:eastAsia="zh-CN"/>
              </w:rPr>
              <w:t>4</w:t>
            </w:r>
            <w:r>
              <w:rPr>
                <w:rFonts w:hint="eastAsia" w:ascii="宋体" w:hAnsi="宋体" w:eastAsia="宋体" w:cs="宋体"/>
                <w:bCs/>
                <w:color w:val="auto"/>
                <w:kern w:val="0"/>
                <w:sz w:val="21"/>
                <w:szCs w:val="21"/>
                <w:highlight w:val="none"/>
              </w:rPr>
              <w:t>分</w:t>
            </w:r>
          </w:p>
        </w:tc>
      </w:tr>
      <w:tr w14:paraId="16296C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368" w:type="pct"/>
            <w:tcBorders>
              <w:top w:val="single" w:color="000000" w:sz="4" w:space="0"/>
              <w:left w:val="single" w:color="000000" w:sz="4" w:space="0"/>
              <w:bottom w:val="single" w:color="000000" w:sz="4" w:space="0"/>
              <w:right w:val="single" w:color="000000" w:sz="4" w:space="0"/>
            </w:tcBorders>
            <w:noWrap w:val="0"/>
            <w:vAlign w:val="center"/>
          </w:tcPr>
          <w:p w14:paraId="03EA1AE3">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rPr>
              <w:t>2.4</w:t>
            </w:r>
          </w:p>
        </w:tc>
        <w:tc>
          <w:tcPr>
            <w:tcW w:w="572" w:type="pct"/>
            <w:tcBorders>
              <w:top w:val="single" w:color="000000" w:sz="4" w:space="0"/>
              <w:left w:val="nil"/>
              <w:bottom w:val="single" w:color="000000" w:sz="4" w:space="0"/>
              <w:right w:val="single" w:color="000000" w:sz="4" w:space="0"/>
            </w:tcBorders>
            <w:noWrap w:val="0"/>
            <w:vAlign w:val="center"/>
          </w:tcPr>
          <w:p w14:paraId="1F623D09">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rPr>
              <w:t>拟投入的主要施工机械、设备计划</w:t>
            </w:r>
          </w:p>
        </w:tc>
        <w:tc>
          <w:tcPr>
            <w:tcW w:w="3702" w:type="pct"/>
            <w:tcBorders>
              <w:top w:val="single" w:color="000000" w:sz="4" w:space="0"/>
              <w:left w:val="nil"/>
              <w:bottom w:val="single" w:color="000000" w:sz="4" w:space="0"/>
              <w:right w:val="single" w:color="000000" w:sz="4" w:space="0"/>
            </w:tcBorders>
            <w:noWrap w:val="0"/>
            <w:vAlign w:val="center"/>
          </w:tcPr>
          <w:p w14:paraId="6FE68FCC">
            <w:pPr>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一档（</w:t>
            </w: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rPr>
              <w:t>分）：拟投入的主要机械设备、辅助施工设备、器具齐全且配备科学合理，设备型号、数量完全满足施工需要且配置科学合理，采用目前国际、国内先进的机械设备。</w:t>
            </w:r>
          </w:p>
          <w:p w14:paraId="0190A3CA">
            <w:pPr>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二档（</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分）：拟投入的主要机械设备、辅助施工设备、器具齐全且配备较合理，设备型号、数量满足施工需要且配置科学合理，部分设备采用目前国际、国内先进的机械设备。</w:t>
            </w:r>
          </w:p>
          <w:p w14:paraId="6B0BAE5F">
            <w:pPr>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三档（2分）：拟投入的主要机械设备、辅助施工设备、器具基本齐全，无重大缺漏，设备型号、数量基本满足施工需要且配置科学合理，部分设备采用目前国际、国内先进的机械设备。</w:t>
            </w:r>
          </w:p>
          <w:p w14:paraId="24AAC6AA">
            <w:pPr>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四档（1分）：拟投入的主要机械设备、辅助施工设备、器具不齐全，存在重大缺漏，设备型号、数量不能满足施工需要。</w:t>
            </w:r>
          </w:p>
        </w:tc>
        <w:tc>
          <w:tcPr>
            <w:tcW w:w="356" w:type="pct"/>
            <w:tcBorders>
              <w:top w:val="single" w:color="000000" w:sz="4" w:space="0"/>
              <w:left w:val="nil"/>
              <w:bottom w:val="single" w:color="000000" w:sz="4" w:space="0"/>
              <w:right w:val="single" w:color="000000" w:sz="4" w:space="0"/>
            </w:tcBorders>
            <w:noWrap w:val="0"/>
            <w:vAlign w:val="center"/>
          </w:tcPr>
          <w:p w14:paraId="500FD2EE">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val="en-US" w:eastAsia="zh-CN"/>
              </w:rPr>
              <w:t>4</w:t>
            </w:r>
            <w:r>
              <w:rPr>
                <w:rFonts w:hint="eastAsia" w:ascii="宋体" w:hAnsi="宋体" w:eastAsia="宋体" w:cs="宋体"/>
                <w:bCs/>
                <w:color w:val="auto"/>
                <w:kern w:val="0"/>
                <w:sz w:val="21"/>
                <w:szCs w:val="21"/>
                <w:highlight w:val="none"/>
              </w:rPr>
              <w:t>分</w:t>
            </w:r>
          </w:p>
        </w:tc>
      </w:tr>
      <w:tr w14:paraId="22E901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368" w:type="pct"/>
            <w:tcBorders>
              <w:top w:val="single" w:color="000000" w:sz="4" w:space="0"/>
              <w:left w:val="single" w:color="000000" w:sz="4" w:space="0"/>
              <w:bottom w:val="single" w:color="000000" w:sz="4" w:space="0"/>
              <w:right w:val="single" w:color="000000" w:sz="4" w:space="0"/>
            </w:tcBorders>
            <w:noWrap w:val="0"/>
            <w:vAlign w:val="center"/>
          </w:tcPr>
          <w:p w14:paraId="250F6730">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rPr>
              <w:t>2.5</w:t>
            </w:r>
          </w:p>
        </w:tc>
        <w:tc>
          <w:tcPr>
            <w:tcW w:w="572" w:type="pct"/>
            <w:tcBorders>
              <w:top w:val="single" w:color="000000" w:sz="4" w:space="0"/>
              <w:left w:val="nil"/>
              <w:bottom w:val="single" w:color="000000" w:sz="4" w:space="0"/>
              <w:right w:val="single" w:color="000000" w:sz="4" w:space="0"/>
            </w:tcBorders>
            <w:noWrap w:val="0"/>
            <w:vAlign w:val="center"/>
          </w:tcPr>
          <w:p w14:paraId="5C9872F8">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rPr>
              <w:t>劳动力安排计划</w:t>
            </w:r>
          </w:p>
        </w:tc>
        <w:tc>
          <w:tcPr>
            <w:tcW w:w="3702" w:type="pct"/>
            <w:tcBorders>
              <w:top w:val="single" w:color="000000" w:sz="4" w:space="0"/>
              <w:left w:val="nil"/>
              <w:bottom w:val="single" w:color="000000" w:sz="4" w:space="0"/>
              <w:right w:val="single" w:color="000000" w:sz="4" w:space="0"/>
            </w:tcBorders>
            <w:noWrap w:val="0"/>
            <w:vAlign w:val="center"/>
          </w:tcPr>
          <w:p w14:paraId="2B43B0DB">
            <w:pPr>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一档（</w:t>
            </w: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rPr>
              <w:t>分）：各主要施工工序有详细周密的劳动力安排计划，有各工种劳动力安排计划， 劳动力投入合理，完全满足施工需要。</w:t>
            </w:r>
          </w:p>
          <w:p w14:paraId="6CCE8D7B">
            <w:pPr>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二档（</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分）：各主要施工工序有劳动力安排计划，有各工种劳动力安排计划，劳动力投入合理， 较好满足施工需要。</w:t>
            </w:r>
          </w:p>
          <w:p w14:paraId="0E3C2A64">
            <w:pPr>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三档（</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分）：各主要施工工序有劳动力安排计划，有各工种劳动力 安排计划，劳动力投入基本合理，基本满足施工需要。</w:t>
            </w:r>
          </w:p>
          <w:p w14:paraId="1D84F4FD">
            <w:pPr>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四档（</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rPr>
              <w:t>分）：各主要施工工序无劳动力安排计划，无各工种劳动力安排计划， 劳动力投入不合理，不能满足施工需要。</w:t>
            </w:r>
          </w:p>
        </w:tc>
        <w:tc>
          <w:tcPr>
            <w:tcW w:w="356" w:type="pct"/>
            <w:tcBorders>
              <w:top w:val="single" w:color="000000" w:sz="4" w:space="0"/>
              <w:left w:val="nil"/>
              <w:bottom w:val="single" w:color="000000" w:sz="4" w:space="0"/>
              <w:right w:val="single" w:color="000000" w:sz="4" w:space="0"/>
            </w:tcBorders>
            <w:noWrap w:val="0"/>
            <w:vAlign w:val="center"/>
          </w:tcPr>
          <w:p w14:paraId="632B98EF">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val="en-US" w:eastAsia="zh-CN"/>
              </w:rPr>
              <w:t>4</w:t>
            </w:r>
            <w:r>
              <w:rPr>
                <w:rFonts w:hint="eastAsia" w:ascii="宋体" w:hAnsi="宋体" w:eastAsia="宋体" w:cs="宋体"/>
                <w:bCs/>
                <w:color w:val="auto"/>
                <w:kern w:val="0"/>
                <w:sz w:val="21"/>
                <w:szCs w:val="21"/>
                <w:highlight w:val="none"/>
              </w:rPr>
              <w:t>分</w:t>
            </w:r>
          </w:p>
        </w:tc>
      </w:tr>
      <w:tr w14:paraId="4F5EC6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368" w:type="pct"/>
            <w:tcBorders>
              <w:top w:val="single" w:color="000000" w:sz="4" w:space="0"/>
              <w:left w:val="single" w:color="000000" w:sz="4" w:space="0"/>
              <w:bottom w:val="single" w:color="000000" w:sz="4" w:space="0"/>
              <w:right w:val="single" w:color="000000" w:sz="4" w:space="0"/>
            </w:tcBorders>
            <w:noWrap w:val="0"/>
            <w:vAlign w:val="center"/>
          </w:tcPr>
          <w:p w14:paraId="46174B1C">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rPr>
              <w:t>2.6</w:t>
            </w:r>
          </w:p>
        </w:tc>
        <w:tc>
          <w:tcPr>
            <w:tcW w:w="572" w:type="pct"/>
            <w:tcBorders>
              <w:top w:val="single" w:color="000000" w:sz="4" w:space="0"/>
              <w:left w:val="nil"/>
              <w:bottom w:val="single" w:color="000000" w:sz="4" w:space="0"/>
              <w:right w:val="single" w:color="000000" w:sz="4" w:space="0"/>
            </w:tcBorders>
            <w:noWrap w:val="0"/>
            <w:vAlign w:val="center"/>
          </w:tcPr>
          <w:p w14:paraId="1EC4054B">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rPr>
              <w:t>确保工程质量的技术组织措施</w:t>
            </w:r>
          </w:p>
        </w:tc>
        <w:tc>
          <w:tcPr>
            <w:tcW w:w="3702" w:type="pct"/>
            <w:tcBorders>
              <w:top w:val="single" w:color="000000" w:sz="4" w:space="0"/>
              <w:left w:val="nil"/>
              <w:bottom w:val="single" w:color="000000" w:sz="4" w:space="0"/>
              <w:right w:val="single" w:color="000000" w:sz="4" w:space="0"/>
            </w:tcBorders>
            <w:noWrap w:val="0"/>
            <w:vAlign w:val="center"/>
          </w:tcPr>
          <w:p w14:paraId="143AE0C9">
            <w:pPr>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一档（</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分）：有专门的质量技术管理班子和制度，且人员配备合理，制度健全。主要工序有质量技术保证措施和手段，自控体系完整，能有效保证技术质量，达到承诺的质量标准。</w:t>
            </w:r>
            <w:r>
              <w:rPr>
                <w:rFonts w:hint="eastAsia" w:ascii="宋体" w:hAnsi="宋体" w:eastAsia="宋体" w:cs="宋体"/>
                <w:color w:val="auto"/>
                <w:sz w:val="21"/>
                <w:szCs w:val="21"/>
                <w:highlight w:val="none"/>
                <w:lang w:val="en-US" w:eastAsia="zh-CN"/>
              </w:rPr>
              <w:t xml:space="preserve"> </w:t>
            </w:r>
          </w:p>
          <w:p w14:paraId="6F08E6F2">
            <w:pPr>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二档（</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分）：有质量技术管理班子和制度，且人员配备合理，制度健全。主要工序有质量技术保证措施和手段，自控体系完整，能保证技术质量，满足</w:t>
            </w:r>
            <w:r>
              <w:rPr>
                <w:rFonts w:hint="eastAsia" w:ascii="宋体" w:hAnsi="宋体" w:eastAsia="宋体" w:cs="宋体"/>
                <w:color w:val="auto"/>
                <w:sz w:val="21"/>
                <w:szCs w:val="21"/>
                <w:highlight w:val="none"/>
                <w:lang w:eastAsia="zh-CN"/>
              </w:rPr>
              <w:t>采购文件</w:t>
            </w:r>
            <w:r>
              <w:rPr>
                <w:rFonts w:hint="eastAsia" w:ascii="宋体" w:hAnsi="宋体" w:eastAsia="宋体" w:cs="宋体"/>
                <w:color w:val="auto"/>
                <w:sz w:val="21"/>
                <w:szCs w:val="21"/>
                <w:highlight w:val="none"/>
              </w:rPr>
              <w:t>的质量要求。</w:t>
            </w:r>
          </w:p>
          <w:p w14:paraId="7EE1E72B">
            <w:pPr>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三档（</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分）：有质量技术管理班子和制度，且人员配备基本合理，制度基本健全。主要工序有质量技术保证措施和手段，自控体系，基本能保证技术质量，基本满足</w:t>
            </w:r>
            <w:r>
              <w:rPr>
                <w:rFonts w:hint="eastAsia" w:ascii="宋体" w:hAnsi="宋体" w:eastAsia="宋体" w:cs="宋体"/>
                <w:color w:val="auto"/>
                <w:sz w:val="21"/>
                <w:szCs w:val="21"/>
                <w:highlight w:val="none"/>
                <w:lang w:eastAsia="zh-CN"/>
              </w:rPr>
              <w:t>采购文件</w:t>
            </w:r>
            <w:r>
              <w:rPr>
                <w:rFonts w:hint="eastAsia" w:ascii="宋体" w:hAnsi="宋体" w:eastAsia="宋体" w:cs="宋体"/>
                <w:color w:val="auto"/>
                <w:sz w:val="21"/>
                <w:szCs w:val="21"/>
                <w:highlight w:val="none"/>
              </w:rPr>
              <w:t>的质量要求。</w:t>
            </w:r>
          </w:p>
          <w:p w14:paraId="7E0B5D20">
            <w:pPr>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四档（</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分）：工程质量技术组织措施不可行，没能满足</w:t>
            </w:r>
            <w:r>
              <w:rPr>
                <w:rFonts w:hint="eastAsia" w:ascii="宋体" w:hAnsi="宋体" w:eastAsia="宋体" w:cs="宋体"/>
                <w:color w:val="auto"/>
                <w:sz w:val="21"/>
                <w:szCs w:val="21"/>
                <w:highlight w:val="none"/>
                <w:lang w:eastAsia="zh-CN"/>
              </w:rPr>
              <w:t>采购文件</w:t>
            </w:r>
            <w:r>
              <w:rPr>
                <w:rFonts w:hint="eastAsia" w:ascii="宋体" w:hAnsi="宋体" w:eastAsia="宋体" w:cs="宋体"/>
                <w:color w:val="auto"/>
                <w:sz w:val="21"/>
                <w:szCs w:val="21"/>
                <w:highlight w:val="none"/>
              </w:rPr>
              <w:t>的质量要求。</w:t>
            </w:r>
          </w:p>
        </w:tc>
        <w:tc>
          <w:tcPr>
            <w:tcW w:w="356" w:type="pct"/>
            <w:tcBorders>
              <w:top w:val="single" w:color="000000" w:sz="4" w:space="0"/>
              <w:left w:val="nil"/>
              <w:bottom w:val="single" w:color="000000" w:sz="4" w:space="0"/>
              <w:right w:val="single" w:color="000000" w:sz="4" w:space="0"/>
            </w:tcBorders>
            <w:noWrap w:val="0"/>
            <w:vAlign w:val="center"/>
          </w:tcPr>
          <w:p w14:paraId="3D131667">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val="en-US" w:eastAsia="zh-CN"/>
              </w:rPr>
              <w:t>10</w:t>
            </w:r>
            <w:r>
              <w:rPr>
                <w:rFonts w:hint="eastAsia" w:ascii="宋体" w:hAnsi="宋体" w:eastAsia="宋体" w:cs="宋体"/>
                <w:bCs/>
                <w:color w:val="auto"/>
                <w:kern w:val="0"/>
                <w:sz w:val="21"/>
                <w:szCs w:val="21"/>
                <w:highlight w:val="none"/>
              </w:rPr>
              <w:t>分</w:t>
            </w:r>
          </w:p>
        </w:tc>
      </w:tr>
      <w:tr w14:paraId="5E8CF6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368" w:type="pct"/>
            <w:tcBorders>
              <w:top w:val="single" w:color="000000" w:sz="4" w:space="0"/>
              <w:left w:val="single" w:color="000000" w:sz="4" w:space="0"/>
              <w:bottom w:val="single" w:color="000000" w:sz="4" w:space="0"/>
              <w:right w:val="single" w:color="000000" w:sz="4" w:space="0"/>
            </w:tcBorders>
            <w:noWrap w:val="0"/>
            <w:vAlign w:val="center"/>
          </w:tcPr>
          <w:p w14:paraId="01C5B717">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rPr>
              <w:t>2.7</w:t>
            </w:r>
          </w:p>
        </w:tc>
        <w:tc>
          <w:tcPr>
            <w:tcW w:w="572" w:type="pct"/>
            <w:tcBorders>
              <w:top w:val="single" w:color="000000" w:sz="4" w:space="0"/>
              <w:left w:val="nil"/>
              <w:bottom w:val="single" w:color="000000" w:sz="4" w:space="0"/>
              <w:right w:val="single" w:color="000000" w:sz="4" w:space="0"/>
            </w:tcBorders>
            <w:noWrap w:val="0"/>
            <w:vAlign w:val="center"/>
          </w:tcPr>
          <w:p w14:paraId="3CC76FD2">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rPr>
              <w:t>确保安全生产的技术组织措施</w:t>
            </w:r>
          </w:p>
        </w:tc>
        <w:tc>
          <w:tcPr>
            <w:tcW w:w="3702" w:type="pct"/>
            <w:tcBorders>
              <w:top w:val="single" w:color="000000" w:sz="4" w:space="0"/>
              <w:left w:val="nil"/>
              <w:bottom w:val="single" w:color="000000" w:sz="4" w:space="0"/>
              <w:right w:val="single" w:color="000000" w:sz="4" w:space="0"/>
            </w:tcBorders>
            <w:noWrap w:val="0"/>
            <w:vAlign w:val="center"/>
          </w:tcPr>
          <w:p w14:paraId="07AEF6FB">
            <w:pPr>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一档（</w:t>
            </w:r>
            <w:r>
              <w:rPr>
                <w:rFonts w:hint="eastAsia" w:ascii="宋体" w:hAnsi="宋体" w:eastAsia="宋体" w:cs="宋体"/>
                <w:color w:val="auto"/>
                <w:highlight w:val="none"/>
                <w:lang w:val="en-US" w:eastAsia="zh-CN"/>
              </w:rPr>
              <w:t>10</w:t>
            </w:r>
            <w:r>
              <w:rPr>
                <w:rFonts w:hint="eastAsia" w:ascii="宋体" w:hAnsi="宋体" w:eastAsia="宋体" w:cs="宋体"/>
                <w:color w:val="auto"/>
                <w:highlight w:val="none"/>
              </w:rPr>
              <w:t>分）：有专门的安全管理人员和制度， 且人员配备合理，制度健全，各道工序安全 技术措施针对性强，完全符合实际且能满足 有关安全技术标准要求。现场防火、应急救援、社会治安安全措施得力。</w:t>
            </w:r>
          </w:p>
          <w:p w14:paraId="49C4807F">
            <w:pPr>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二档（</w:t>
            </w:r>
            <w:r>
              <w:rPr>
                <w:rFonts w:hint="eastAsia" w:ascii="宋体" w:hAnsi="宋体" w:eastAsia="宋体" w:cs="宋体"/>
                <w:color w:val="auto"/>
                <w:highlight w:val="none"/>
                <w:lang w:val="en-US" w:eastAsia="zh-CN"/>
              </w:rPr>
              <w:t>8</w:t>
            </w:r>
            <w:r>
              <w:rPr>
                <w:rFonts w:hint="eastAsia" w:ascii="宋体" w:hAnsi="宋体" w:eastAsia="宋体" w:cs="宋体"/>
                <w:color w:val="auto"/>
                <w:highlight w:val="none"/>
              </w:rPr>
              <w:t>分）：有专门的安全管理人员和制度，且人员基本 配备较为合理，制度较为健全，各道工序安 全技术措施针对性比较强，符合实际且能较 好满足有关安全技术标准要求。现场防火、 应急救援、社会治安安全措施良好。</w:t>
            </w:r>
          </w:p>
          <w:p w14:paraId="47D0A231">
            <w:pPr>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三档（</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分）：安全管理人员和制度，且人员基本配备基本合理，制度基本健全，各道工序安全技术措施针对性一般，符合实际，基本满足有关安全技术标准要求。现场防火、应急救援、社会治安安全措施一般。</w:t>
            </w:r>
          </w:p>
          <w:p w14:paraId="14D397E2">
            <w:pPr>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四档（</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分）：没有专门的安全管理人员和制度，且人员配备不合理，制度不健全，各道工序安全技术措施针对性不强，不符合实际且能满足有关安全技术标准要求。现场防火、应急救援、社会治安安全措施较差。</w:t>
            </w:r>
          </w:p>
        </w:tc>
        <w:tc>
          <w:tcPr>
            <w:tcW w:w="356" w:type="pct"/>
            <w:tcBorders>
              <w:top w:val="single" w:color="000000" w:sz="4" w:space="0"/>
              <w:left w:val="nil"/>
              <w:bottom w:val="single" w:color="000000" w:sz="4" w:space="0"/>
              <w:right w:val="single" w:color="000000" w:sz="4" w:space="0"/>
            </w:tcBorders>
            <w:noWrap w:val="0"/>
            <w:vAlign w:val="center"/>
          </w:tcPr>
          <w:p w14:paraId="5DA7AAC4">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val="en-US" w:eastAsia="zh-CN"/>
              </w:rPr>
              <w:t>10</w:t>
            </w:r>
            <w:r>
              <w:rPr>
                <w:rFonts w:hint="eastAsia" w:ascii="宋体" w:hAnsi="宋体" w:eastAsia="宋体" w:cs="宋体"/>
                <w:bCs/>
                <w:color w:val="auto"/>
                <w:kern w:val="0"/>
                <w:sz w:val="21"/>
                <w:szCs w:val="21"/>
                <w:highlight w:val="none"/>
              </w:rPr>
              <w:t>分</w:t>
            </w:r>
          </w:p>
        </w:tc>
      </w:tr>
      <w:tr w14:paraId="45DA2B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368" w:type="pct"/>
            <w:tcBorders>
              <w:top w:val="single" w:color="000000" w:sz="4" w:space="0"/>
              <w:left w:val="single" w:color="000000" w:sz="4" w:space="0"/>
              <w:bottom w:val="single" w:color="000000" w:sz="4" w:space="0"/>
              <w:right w:val="single" w:color="000000" w:sz="4" w:space="0"/>
            </w:tcBorders>
            <w:noWrap w:val="0"/>
            <w:vAlign w:val="center"/>
          </w:tcPr>
          <w:p w14:paraId="21491DE9">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rPr>
              <w:t>2.8</w:t>
            </w:r>
          </w:p>
        </w:tc>
        <w:tc>
          <w:tcPr>
            <w:tcW w:w="572" w:type="pct"/>
            <w:tcBorders>
              <w:top w:val="single" w:color="000000" w:sz="4" w:space="0"/>
              <w:left w:val="nil"/>
              <w:bottom w:val="single" w:color="000000" w:sz="4" w:space="0"/>
              <w:right w:val="single" w:color="000000" w:sz="4" w:space="0"/>
            </w:tcBorders>
            <w:noWrap w:val="0"/>
            <w:vAlign w:val="center"/>
          </w:tcPr>
          <w:p w14:paraId="6420BBF5">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rPr>
              <w:t>确保工期的技术组织措施</w:t>
            </w:r>
          </w:p>
        </w:tc>
        <w:tc>
          <w:tcPr>
            <w:tcW w:w="3702" w:type="pct"/>
            <w:tcBorders>
              <w:top w:val="single" w:color="000000" w:sz="4" w:space="0"/>
              <w:left w:val="nil"/>
              <w:bottom w:val="single" w:color="000000" w:sz="4" w:space="0"/>
              <w:right w:val="single" w:color="000000" w:sz="4" w:space="0"/>
            </w:tcBorders>
            <w:noWrap w:val="0"/>
            <w:vAlign w:val="center"/>
          </w:tcPr>
          <w:p w14:paraId="65B30A46">
            <w:pPr>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一档（</w:t>
            </w:r>
            <w:r>
              <w:rPr>
                <w:rFonts w:hint="eastAsia" w:ascii="宋体" w:hAnsi="宋体" w:eastAsia="宋体" w:cs="宋体"/>
                <w:color w:val="auto"/>
                <w:highlight w:val="none"/>
                <w:lang w:val="en-US" w:eastAsia="zh-CN"/>
              </w:rPr>
              <w:t>10</w:t>
            </w:r>
            <w:r>
              <w:rPr>
                <w:rFonts w:hint="eastAsia" w:ascii="宋体" w:hAnsi="宋体" w:eastAsia="宋体" w:cs="宋体"/>
                <w:color w:val="auto"/>
                <w:highlight w:val="none"/>
              </w:rPr>
              <w:t xml:space="preserve">分）：在施工工艺、施工方法、材料选用、劳动力安排、技术等方面有保证工期的具体措施。有控制工期的施工进度计划。有施工总进度表或施工网络图，各项计划图表编制完善，安排科学合理，符合本项目施工实际要求。 </w:t>
            </w:r>
          </w:p>
          <w:p w14:paraId="28D573E3">
            <w:pPr>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二档（</w:t>
            </w:r>
            <w:r>
              <w:rPr>
                <w:rFonts w:hint="eastAsia" w:ascii="宋体" w:hAnsi="宋体" w:eastAsia="宋体" w:cs="宋体"/>
                <w:color w:val="auto"/>
                <w:highlight w:val="none"/>
                <w:lang w:val="en-US" w:eastAsia="zh-CN"/>
              </w:rPr>
              <w:t>8</w:t>
            </w:r>
            <w:r>
              <w:rPr>
                <w:rFonts w:hint="eastAsia" w:ascii="宋体" w:hAnsi="宋体" w:eastAsia="宋体" w:cs="宋体"/>
                <w:color w:val="auto"/>
                <w:highlight w:val="none"/>
              </w:rPr>
              <w:t>分）：在施工工艺、施工方法、材料选用、劳动力安排、技术等方面有可行措施。有控制工期的施工进度可行计划。有完整的施工总进度表或施工网络图，安排合理。</w:t>
            </w:r>
          </w:p>
          <w:p w14:paraId="1BCB7B5B">
            <w:pPr>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三档（</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分）：在施工工艺、施工方法、材料选用、劳动力安排、技术等方面有简单措施。有控制工期的施工进度可行计划。有完整的施工总进度表或施工网络图，安排基本合理。</w:t>
            </w:r>
          </w:p>
          <w:p w14:paraId="4C72C737">
            <w:pPr>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四档（</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分）：在施工工艺、施工方法、材料选用、劳动力安排、技术等方面没有措施。没有控制工期的施工进度计划。没有施工总进度表或施工网络图。</w:t>
            </w:r>
          </w:p>
        </w:tc>
        <w:tc>
          <w:tcPr>
            <w:tcW w:w="356" w:type="pct"/>
            <w:tcBorders>
              <w:top w:val="single" w:color="000000" w:sz="4" w:space="0"/>
              <w:left w:val="nil"/>
              <w:bottom w:val="single" w:color="000000" w:sz="4" w:space="0"/>
              <w:right w:val="single" w:color="000000" w:sz="4" w:space="0"/>
            </w:tcBorders>
            <w:noWrap w:val="0"/>
            <w:vAlign w:val="center"/>
          </w:tcPr>
          <w:p w14:paraId="667F3353">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val="en-US" w:eastAsia="zh-CN"/>
              </w:rPr>
              <w:t>10</w:t>
            </w:r>
            <w:r>
              <w:rPr>
                <w:rFonts w:hint="eastAsia" w:ascii="宋体" w:hAnsi="宋体" w:eastAsia="宋体" w:cs="宋体"/>
                <w:bCs/>
                <w:color w:val="auto"/>
                <w:kern w:val="0"/>
                <w:sz w:val="21"/>
                <w:szCs w:val="21"/>
                <w:highlight w:val="none"/>
              </w:rPr>
              <w:t>分</w:t>
            </w:r>
          </w:p>
        </w:tc>
      </w:tr>
      <w:tr w14:paraId="71D75B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368" w:type="pct"/>
            <w:tcBorders>
              <w:top w:val="single" w:color="000000" w:sz="4" w:space="0"/>
              <w:left w:val="single" w:color="000000" w:sz="4" w:space="0"/>
              <w:bottom w:val="single" w:color="000000" w:sz="4" w:space="0"/>
              <w:right w:val="single" w:color="000000" w:sz="4" w:space="0"/>
            </w:tcBorders>
            <w:noWrap w:val="0"/>
            <w:vAlign w:val="center"/>
          </w:tcPr>
          <w:p w14:paraId="5806F322">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bCs/>
                <w:color w:val="auto"/>
                <w:kern w:val="0"/>
                <w:sz w:val="21"/>
                <w:szCs w:val="21"/>
                <w:highlight w:val="none"/>
                <w:lang w:val="en-US" w:eastAsia="zh-CN"/>
              </w:rPr>
            </w:pPr>
            <w:r>
              <w:rPr>
                <w:rFonts w:hint="eastAsia" w:ascii="宋体" w:hAnsi="宋体" w:eastAsia="宋体" w:cs="宋体"/>
                <w:bCs/>
                <w:color w:val="auto"/>
                <w:kern w:val="0"/>
                <w:sz w:val="21"/>
                <w:szCs w:val="21"/>
                <w:highlight w:val="none"/>
                <w:lang w:val="en-US" w:eastAsia="zh-CN"/>
              </w:rPr>
              <w:t>2.9</w:t>
            </w:r>
          </w:p>
        </w:tc>
        <w:tc>
          <w:tcPr>
            <w:tcW w:w="572" w:type="pct"/>
            <w:tcBorders>
              <w:top w:val="single" w:color="000000" w:sz="4" w:space="0"/>
              <w:left w:val="nil"/>
              <w:bottom w:val="single" w:color="000000" w:sz="4" w:space="0"/>
              <w:right w:val="single" w:color="000000" w:sz="4" w:space="0"/>
            </w:tcBorders>
            <w:noWrap w:val="0"/>
            <w:vAlign w:val="center"/>
          </w:tcPr>
          <w:p w14:paraId="4BFEBB2E">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确保文明施工的技术组织措施</w:t>
            </w:r>
          </w:p>
        </w:tc>
        <w:tc>
          <w:tcPr>
            <w:tcW w:w="3702" w:type="pct"/>
            <w:tcBorders>
              <w:top w:val="single" w:color="000000" w:sz="4" w:space="0"/>
              <w:left w:val="nil"/>
              <w:bottom w:val="single" w:color="000000" w:sz="4" w:space="0"/>
              <w:right w:val="single" w:color="000000" w:sz="4" w:space="0"/>
            </w:tcBorders>
            <w:noWrap w:val="0"/>
            <w:vAlign w:val="center"/>
          </w:tcPr>
          <w:p w14:paraId="2BFEABB3">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一档（</w:t>
            </w: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rPr>
              <w:t>分）：针对本工程项目特点，有现场文明施工、环境保护措施，且措施内容达到《建筑施工安全生产检查标准》（JGJ59-2011）合格标准并符合《广西壮族自治区建筑工程文明施工导则》要求。各项措施周全、具体、有效。有具体实现现场文明施工目标的承诺。</w:t>
            </w:r>
          </w:p>
          <w:p w14:paraId="6B363B65">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二档（</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分）：针对本工程项目特点，有现场文明施工、环境保护措施，且措施内容达到《建筑施工安全生产检查标准》（JGJ59-2011）合格标准并符合《广西壮族自治区建筑工程文明施工导则》要求。各项措施一般。有具体实现现场文明施工目标的承诺。</w:t>
            </w:r>
          </w:p>
          <w:p w14:paraId="1A6BC6DC">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三档（</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分）：有现场文明施工、环境保护措施，且措施内容达到《建筑施工安全生产检查标准》（JGJ59-2011）合格标准并符合《广西壮族自治区建筑工程文明施工导则》要求。各项措施一般。有具体实现现场文明施工目标的承诺。</w:t>
            </w:r>
          </w:p>
          <w:p w14:paraId="21EA16AB">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四档（</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rPr>
              <w:t>分）：应有现场文明施工、环境保护措施，且措施内容应达到《建筑施工安全生产检查标准》（JGJ59-2011）合格标准并符合《广西壮族自治区建筑工程文明施工导则》要求。各项措施不合理。无具体实现现场文明施工目标的承诺。</w:t>
            </w:r>
          </w:p>
        </w:tc>
        <w:tc>
          <w:tcPr>
            <w:tcW w:w="356" w:type="pct"/>
            <w:tcBorders>
              <w:top w:val="single" w:color="000000" w:sz="4" w:space="0"/>
              <w:left w:val="nil"/>
              <w:bottom w:val="single" w:color="000000" w:sz="4" w:space="0"/>
              <w:right w:val="single" w:color="000000" w:sz="4" w:space="0"/>
            </w:tcBorders>
            <w:noWrap w:val="0"/>
            <w:vAlign w:val="center"/>
          </w:tcPr>
          <w:p w14:paraId="3E48E004">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bCs/>
                <w:color w:val="auto"/>
                <w:kern w:val="0"/>
                <w:sz w:val="21"/>
                <w:szCs w:val="21"/>
                <w:highlight w:val="none"/>
                <w:lang w:val="en-US" w:eastAsia="zh-CN"/>
              </w:rPr>
            </w:pPr>
            <w:r>
              <w:rPr>
                <w:rFonts w:hint="eastAsia" w:ascii="宋体" w:hAnsi="宋体" w:eastAsia="宋体" w:cs="宋体"/>
                <w:bCs/>
                <w:color w:val="auto"/>
                <w:kern w:val="0"/>
                <w:sz w:val="21"/>
                <w:szCs w:val="21"/>
                <w:highlight w:val="none"/>
                <w:lang w:val="en-US" w:eastAsia="zh-CN"/>
              </w:rPr>
              <w:t>4分</w:t>
            </w:r>
          </w:p>
        </w:tc>
      </w:tr>
      <w:tr w14:paraId="5802BC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368" w:type="pct"/>
            <w:tcBorders>
              <w:top w:val="single" w:color="000000" w:sz="4" w:space="0"/>
              <w:left w:val="single" w:color="000000" w:sz="4" w:space="0"/>
              <w:bottom w:val="single" w:color="000000" w:sz="4" w:space="0"/>
              <w:right w:val="single" w:color="000000" w:sz="4" w:space="0"/>
            </w:tcBorders>
            <w:noWrap w:val="0"/>
            <w:vAlign w:val="center"/>
          </w:tcPr>
          <w:p w14:paraId="113F1B11">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bCs/>
                <w:color w:val="auto"/>
                <w:kern w:val="0"/>
                <w:sz w:val="21"/>
                <w:szCs w:val="21"/>
                <w:highlight w:val="none"/>
                <w:lang w:val="en-US" w:eastAsia="zh-CN"/>
              </w:rPr>
            </w:pPr>
            <w:r>
              <w:rPr>
                <w:rFonts w:hint="eastAsia" w:ascii="宋体" w:hAnsi="宋体" w:eastAsia="宋体" w:cs="宋体"/>
                <w:bCs/>
                <w:color w:val="auto"/>
                <w:kern w:val="0"/>
                <w:sz w:val="21"/>
                <w:szCs w:val="21"/>
                <w:highlight w:val="none"/>
              </w:rPr>
              <w:t>2.</w:t>
            </w:r>
            <w:r>
              <w:rPr>
                <w:rFonts w:hint="eastAsia" w:ascii="宋体" w:hAnsi="宋体" w:eastAsia="宋体" w:cs="宋体"/>
                <w:bCs/>
                <w:color w:val="auto"/>
                <w:kern w:val="0"/>
                <w:sz w:val="21"/>
                <w:szCs w:val="21"/>
                <w:highlight w:val="none"/>
                <w:lang w:val="en-US" w:eastAsia="zh-CN"/>
              </w:rPr>
              <w:t>10</w:t>
            </w:r>
          </w:p>
        </w:tc>
        <w:tc>
          <w:tcPr>
            <w:tcW w:w="572" w:type="pct"/>
            <w:tcBorders>
              <w:top w:val="single" w:color="000000" w:sz="4" w:space="0"/>
              <w:left w:val="nil"/>
              <w:bottom w:val="single" w:color="000000" w:sz="4" w:space="0"/>
              <w:right w:val="single" w:color="000000" w:sz="4" w:space="0"/>
            </w:tcBorders>
            <w:noWrap w:val="0"/>
            <w:vAlign w:val="center"/>
          </w:tcPr>
          <w:p w14:paraId="17312712">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工程施工的重点和难点及保证措施</w:t>
            </w:r>
          </w:p>
        </w:tc>
        <w:tc>
          <w:tcPr>
            <w:tcW w:w="3702" w:type="pct"/>
            <w:tcBorders>
              <w:top w:val="single" w:color="000000" w:sz="4" w:space="0"/>
              <w:left w:val="nil"/>
              <w:bottom w:val="single" w:color="000000" w:sz="4" w:space="0"/>
              <w:right w:val="single" w:color="000000" w:sz="4" w:space="0"/>
            </w:tcBorders>
            <w:noWrap w:val="0"/>
            <w:vAlign w:val="center"/>
          </w:tcPr>
          <w:p w14:paraId="6AD42EBD">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一档（</w:t>
            </w:r>
            <w:r>
              <w:rPr>
                <w:rFonts w:hint="eastAsia" w:ascii="宋体" w:hAnsi="宋体" w:eastAsia="宋体" w:cs="宋体"/>
                <w:color w:val="auto"/>
                <w:highlight w:val="none"/>
                <w:lang w:val="en-US" w:eastAsia="zh-CN"/>
              </w:rPr>
              <w:t>10</w:t>
            </w:r>
            <w:r>
              <w:rPr>
                <w:rFonts w:hint="eastAsia" w:ascii="宋体" w:hAnsi="宋体" w:eastAsia="宋体" w:cs="宋体"/>
                <w:color w:val="auto"/>
                <w:highlight w:val="none"/>
              </w:rPr>
              <w:t>分）：针对本工程的特点，阐述工程的重点和难点，有解决重点和难点问题的切实可行方案且措施得力。</w:t>
            </w:r>
          </w:p>
          <w:p w14:paraId="579C558A">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二档（</w:t>
            </w:r>
            <w:r>
              <w:rPr>
                <w:rFonts w:hint="eastAsia" w:ascii="宋体" w:hAnsi="宋体" w:eastAsia="宋体" w:cs="宋体"/>
                <w:color w:val="auto"/>
                <w:highlight w:val="none"/>
                <w:lang w:val="en-US" w:eastAsia="zh-CN"/>
              </w:rPr>
              <w:t>8</w:t>
            </w:r>
            <w:r>
              <w:rPr>
                <w:rFonts w:hint="eastAsia" w:ascii="宋体" w:hAnsi="宋体" w:eastAsia="宋体" w:cs="宋体"/>
                <w:color w:val="auto"/>
                <w:highlight w:val="none"/>
              </w:rPr>
              <w:t>分）：针对本工程的特点，阐述工程的重点和难点，有解决重点和难点问题的方案。</w:t>
            </w:r>
          </w:p>
          <w:p w14:paraId="16E8DEBA">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三档（</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分）：针对本工程的特点，能简单阐述工程的重点和难点，解决重点和难点问题的方案，方案基本可行。</w:t>
            </w:r>
          </w:p>
          <w:p w14:paraId="0B6726B4">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四档（</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分）：针对本工程的特点有表述，对重点、难点有建议，但解决方案不可行。</w:t>
            </w:r>
          </w:p>
        </w:tc>
        <w:tc>
          <w:tcPr>
            <w:tcW w:w="356" w:type="pct"/>
            <w:tcBorders>
              <w:top w:val="single" w:color="000000" w:sz="4" w:space="0"/>
              <w:left w:val="nil"/>
              <w:bottom w:val="single" w:color="000000" w:sz="4" w:space="0"/>
              <w:right w:val="single" w:color="000000" w:sz="4" w:space="0"/>
            </w:tcBorders>
            <w:noWrap w:val="0"/>
            <w:vAlign w:val="center"/>
          </w:tcPr>
          <w:p w14:paraId="3795F764">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lang w:val="en-US" w:eastAsia="zh-CN"/>
              </w:rPr>
              <w:t>10</w:t>
            </w:r>
            <w:r>
              <w:rPr>
                <w:rFonts w:hint="eastAsia" w:ascii="宋体" w:hAnsi="宋体" w:eastAsia="宋体" w:cs="宋体"/>
                <w:bCs/>
                <w:color w:val="auto"/>
                <w:kern w:val="0"/>
                <w:sz w:val="21"/>
                <w:szCs w:val="21"/>
                <w:highlight w:val="none"/>
              </w:rPr>
              <w:t>分</w:t>
            </w:r>
          </w:p>
        </w:tc>
      </w:tr>
      <w:tr w14:paraId="5B1AC8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368" w:type="pct"/>
            <w:tcBorders>
              <w:top w:val="single" w:color="000000" w:sz="4" w:space="0"/>
              <w:left w:val="single" w:color="000000" w:sz="4" w:space="0"/>
              <w:bottom w:val="single" w:color="000000" w:sz="4" w:space="0"/>
              <w:right w:val="single" w:color="000000" w:sz="4" w:space="0"/>
            </w:tcBorders>
            <w:noWrap w:val="0"/>
            <w:vAlign w:val="center"/>
          </w:tcPr>
          <w:p w14:paraId="36BC495D">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bCs/>
                <w:color w:val="auto"/>
                <w:kern w:val="0"/>
                <w:sz w:val="21"/>
                <w:szCs w:val="21"/>
                <w:highlight w:val="none"/>
                <w:lang w:val="en-US" w:eastAsia="zh-CN"/>
              </w:rPr>
            </w:pPr>
            <w:r>
              <w:rPr>
                <w:rFonts w:hint="eastAsia" w:ascii="宋体" w:hAnsi="宋体" w:eastAsia="宋体" w:cs="宋体"/>
                <w:bCs/>
                <w:color w:val="auto"/>
                <w:kern w:val="0"/>
                <w:sz w:val="21"/>
                <w:szCs w:val="21"/>
                <w:highlight w:val="none"/>
                <w:lang w:val="en-US" w:eastAsia="zh-CN"/>
              </w:rPr>
              <w:t>2.11</w:t>
            </w:r>
          </w:p>
        </w:tc>
        <w:tc>
          <w:tcPr>
            <w:tcW w:w="572" w:type="pct"/>
            <w:tcBorders>
              <w:top w:val="single" w:color="000000" w:sz="4" w:space="0"/>
              <w:left w:val="nil"/>
              <w:bottom w:val="single" w:color="000000" w:sz="4" w:space="0"/>
              <w:right w:val="single" w:color="000000" w:sz="4" w:space="0"/>
            </w:tcBorders>
            <w:noWrap w:val="0"/>
            <w:vAlign w:val="center"/>
          </w:tcPr>
          <w:p w14:paraId="25280B3F">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bCs/>
                <w:color w:val="auto"/>
                <w:kern w:val="0"/>
                <w:sz w:val="21"/>
                <w:szCs w:val="21"/>
                <w:highlight w:val="none"/>
              </w:rPr>
            </w:pPr>
            <w:r>
              <w:rPr>
                <w:rFonts w:hint="eastAsia" w:ascii="宋体" w:hAnsi="宋体" w:eastAsia="宋体" w:cs="宋体"/>
                <w:color w:val="auto"/>
                <w:sz w:val="21"/>
                <w:szCs w:val="21"/>
                <w:highlight w:val="none"/>
              </w:rPr>
              <w:t>施工总平面布置图</w:t>
            </w:r>
          </w:p>
        </w:tc>
        <w:tc>
          <w:tcPr>
            <w:tcW w:w="3702" w:type="pct"/>
            <w:tcBorders>
              <w:top w:val="single" w:color="000000" w:sz="4" w:space="0"/>
              <w:left w:val="nil"/>
              <w:bottom w:val="single" w:color="000000" w:sz="4" w:space="0"/>
              <w:right w:val="single" w:color="000000" w:sz="4" w:space="0"/>
            </w:tcBorders>
            <w:noWrap w:val="0"/>
            <w:vAlign w:val="center"/>
          </w:tcPr>
          <w:p w14:paraId="338FCDEF">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一档（</w:t>
            </w: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rPr>
              <w:t>分）：有施工总平面布置图，安排科学合理，很好满足本项目施工实际要求。</w:t>
            </w:r>
          </w:p>
          <w:p w14:paraId="05FB34DB">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lang w:eastAsia="zh-CN"/>
              </w:rPr>
              <w:t>二</w:t>
            </w:r>
            <w:r>
              <w:rPr>
                <w:rFonts w:hint="eastAsia" w:ascii="宋体" w:hAnsi="宋体" w:eastAsia="宋体" w:cs="宋体"/>
                <w:color w:val="auto"/>
                <w:highlight w:val="none"/>
              </w:rPr>
              <w:t>档（</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 xml:space="preserve"> 分）：有施工总平面布置图，安排合理，满足本项目施工实际要求。</w:t>
            </w:r>
          </w:p>
          <w:p w14:paraId="38D44B1A">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lang w:eastAsia="zh-CN"/>
              </w:rPr>
              <w:t>三</w:t>
            </w:r>
            <w:r>
              <w:rPr>
                <w:rFonts w:hint="eastAsia" w:ascii="宋体" w:hAnsi="宋体" w:eastAsia="宋体" w:cs="宋体"/>
                <w:color w:val="auto"/>
                <w:highlight w:val="none"/>
              </w:rPr>
              <w:t>档（</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分）：有施工总平面布置图，安排一般，基本满足本项目施工实际要求。</w:t>
            </w:r>
          </w:p>
          <w:p w14:paraId="555751D7">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lang w:eastAsia="zh-CN"/>
              </w:rPr>
              <w:t>四</w:t>
            </w:r>
            <w:r>
              <w:rPr>
                <w:rFonts w:hint="eastAsia" w:ascii="宋体" w:hAnsi="宋体" w:eastAsia="宋体" w:cs="宋体"/>
                <w:color w:val="auto"/>
                <w:highlight w:val="none"/>
              </w:rPr>
              <w:t>档（</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rPr>
              <w:t xml:space="preserve"> 分）：无施工总平面布置图，安排不合理，不满足本项目施工实际要求。</w:t>
            </w:r>
          </w:p>
        </w:tc>
        <w:tc>
          <w:tcPr>
            <w:tcW w:w="356" w:type="pct"/>
            <w:tcBorders>
              <w:top w:val="single" w:color="000000" w:sz="4" w:space="0"/>
              <w:left w:val="nil"/>
              <w:bottom w:val="single" w:color="000000" w:sz="4" w:space="0"/>
              <w:right w:val="single" w:color="000000" w:sz="4" w:space="0"/>
            </w:tcBorders>
            <w:noWrap w:val="0"/>
            <w:vAlign w:val="center"/>
          </w:tcPr>
          <w:p w14:paraId="264ED3CC">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bCs/>
                <w:color w:val="auto"/>
                <w:kern w:val="0"/>
                <w:sz w:val="21"/>
                <w:szCs w:val="21"/>
                <w:highlight w:val="none"/>
                <w:lang w:val="en-US" w:eastAsia="zh-CN"/>
              </w:rPr>
            </w:pPr>
            <w:r>
              <w:rPr>
                <w:rFonts w:hint="eastAsia" w:ascii="宋体" w:hAnsi="宋体" w:eastAsia="宋体" w:cs="宋体"/>
                <w:bCs/>
                <w:color w:val="auto"/>
                <w:kern w:val="0"/>
                <w:sz w:val="21"/>
                <w:szCs w:val="21"/>
                <w:highlight w:val="none"/>
                <w:lang w:val="en-US" w:eastAsia="zh-CN"/>
              </w:rPr>
              <w:t>4分</w:t>
            </w:r>
          </w:p>
        </w:tc>
      </w:tr>
      <w:tr w14:paraId="3D3A19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368" w:type="pct"/>
            <w:tcBorders>
              <w:top w:val="single" w:color="000000" w:sz="4" w:space="0"/>
              <w:left w:val="single" w:color="000000" w:sz="4" w:space="0"/>
              <w:bottom w:val="single" w:color="000000" w:sz="4" w:space="0"/>
              <w:right w:val="single" w:color="000000" w:sz="4" w:space="0"/>
            </w:tcBorders>
            <w:noWrap w:val="0"/>
            <w:vAlign w:val="center"/>
          </w:tcPr>
          <w:p w14:paraId="64F366D5">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rPr>
              <w:t>3</w:t>
            </w:r>
          </w:p>
        </w:tc>
        <w:tc>
          <w:tcPr>
            <w:tcW w:w="572" w:type="pct"/>
            <w:tcBorders>
              <w:top w:val="single" w:color="000000" w:sz="4" w:space="0"/>
              <w:left w:val="nil"/>
              <w:bottom w:val="single" w:color="000000" w:sz="4" w:space="0"/>
              <w:right w:val="single" w:color="000000" w:sz="4" w:space="0"/>
            </w:tcBorders>
            <w:noWrap w:val="0"/>
            <w:vAlign w:val="center"/>
          </w:tcPr>
          <w:p w14:paraId="40405BE2">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商务分</w:t>
            </w:r>
          </w:p>
        </w:tc>
        <w:tc>
          <w:tcPr>
            <w:tcW w:w="3702" w:type="pct"/>
            <w:tcBorders>
              <w:top w:val="single" w:color="000000" w:sz="4" w:space="0"/>
              <w:left w:val="nil"/>
              <w:bottom w:val="single" w:color="000000" w:sz="4" w:space="0"/>
              <w:right w:val="single" w:color="000000" w:sz="4" w:space="0"/>
            </w:tcBorders>
            <w:noWrap w:val="0"/>
            <w:vAlign w:val="center"/>
          </w:tcPr>
          <w:p w14:paraId="75D46B31">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评审因素</w:t>
            </w:r>
          </w:p>
        </w:tc>
        <w:tc>
          <w:tcPr>
            <w:tcW w:w="356" w:type="pct"/>
            <w:tcBorders>
              <w:top w:val="single" w:color="000000" w:sz="4" w:space="0"/>
              <w:left w:val="nil"/>
              <w:bottom w:val="single" w:color="000000" w:sz="4" w:space="0"/>
              <w:right w:val="single" w:color="000000" w:sz="4" w:space="0"/>
            </w:tcBorders>
            <w:noWrap w:val="0"/>
            <w:vAlign w:val="center"/>
          </w:tcPr>
          <w:p w14:paraId="5ADA3DEA">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5</w:t>
            </w:r>
            <w:r>
              <w:rPr>
                <w:rFonts w:hint="eastAsia" w:ascii="宋体" w:hAnsi="宋体" w:eastAsia="宋体" w:cs="宋体"/>
                <w:b/>
                <w:bCs/>
                <w:color w:val="auto"/>
                <w:sz w:val="21"/>
                <w:szCs w:val="21"/>
                <w:highlight w:val="none"/>
              </w:rPr>
              <w:t>分</w:t>
            </w:r>
          </w:p>
        </w:tc>
      </w:tr>
      <w:tr w14:paraId="660C0D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368" w:type="pct"/>
            <w:tcBorders>
              <w:top w:val="single" w:color="000000" w:sz="4" w:space="0"/>
              <w:left w:val="single" w:color="000000" w:sz="4" w:space="0"/>
              <w:bottom w:val="single" w:color="000000" w:sz="4" w:space="0"/>
              <w:right w:val="single" w:color="000000" w:sz="4" w:space="0"/>
            </w:tcBorders>
            <w:noWrap w:val="0"/>
            <w:vAlign w:val="center"/>
          </w:tcPr>
          <w:p w14:paraId="3EE00AFF">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3.1</w:t>
            </w:r>
          </w:p>
        </w:tc>
        <w:tc>
          <w:tcPr>
            <w:tcW w:w="572" w:type="pct"/>
            <w:tcBorders>
              <w:top w:val="single" w:color="000000" w:sz="4" w:space="0"/>
              <w:left w:val="nil"/>
              <w:bottom w:val="single" w:color="000000" w:sz="4" w:space="0"/>
              <w:right w:val="single" w:color="000000" w:sz="4" w:space="0"/>
            </w:tcBorders>
            <w:noWrap w:val="0"/>
            <w:vAlign w:val="center"/>
          </w:tcPr>
          <w:p w14:paraId="4BB55E38">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eastAsia="zh-CN"/>
              </w:rPr>
              <w:t>业绩</w:t>
            </w:r>
            <w:r>
              <w:rPr>
                <w:rFonts w:hint="eastAsia" w:ascii="宋体" w:hAnsi="宋体" w:eastAsia="宋体" w:cs="宋体"/>
                <w:b/>
                <w:bCs/>
                <w:color w:val="auto"/>
                <w:sz w:val="21"/>
                <w:szCs w:val="21"/>
                <w:highlight w:val="none"/>
                <w:lang w:val="en-US" w:eastAsia="zh-CN"/>
              </w:rPr>
              <w:t>分（客观分）</w:t>
            </w:r>
          </w:p>
        </w:tc>
        <w:tc>
          <w:tcPr>
            <w:tcW w:w="3702" w:type="pct"/>
            <w:tcBorders>
              <w:top w:val="single" w:color="000000" w:sz="4" w:space="0"/>
              <w:left w:val="nil"/>
              <w:bottom w:val="single" w:color="000000" w:sz="4" w:space="0"/>
              <w:right w:val="single" w:color="000000" w:sz="4" w:space="0"/>
            </w:tcBorders>
            <w:noWrap w:val="0"/>
            <w:vAlign w:val="center"/>
          </w:tcPr>
          <w:p w14:paraId="0C198262">
            <w:pPr>
              <w:keepNext w:val="0"/>
              <w:keepLines w:val="0"/>
              <w:pageBreakBefore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供应商自202</w:t>
            </w:r>
            <w:r>
              <w:rPr>
                <w:rFonts w:hint="eastAsia" w:ascii="宋体" w:hAnsi="宋体" w:eastAsia="宋体" w:cs="宋体"/>
                <w:b/>
                <w:bCs/>
                <w:color w:val="auto"/>
                <w:sz w:val="21"/>
                <w:szCs w:val="21"/>
                <w:highlight w:val="none"/>
                <w:lang w:val="en-US" w:eastAsia="zh-CN"/>
              </w:rPr>
              <w:t>1</w:t>
            </w:r>
            <w:r>
              <w:rPr>
                <w:rFonts w:hint="eastAsia" w:ascii="宋体" w:hAnsi="宋体" w:eastAsia="宋体" w:cs="宋体"/>
                <w:b/>
                <w:bCs/>
                <w:color w:val="auto"/>
                <w:sz w:val="21"/>
                <w:szCs w:val="21"/>
                <w:highlight w:val="none"/>
              </w:rPr>
              <w:t>年</w:t>
            </w:r>
            <w:r>
              <w:rPr>
                <w:rFonts w:hint="eastAsia" w:ascii="宋体" w:hAnsi="宋体" w:eastAsia="宋体" w:cs="宋体"/>
                <w:b/>
                <w:bCs/>
                <w:color w:val="auto"/>
                <w:sz w:val="21"/>
                <w:szCs w:val="21"/>
                <w:highlight w:val="none"/>
                <w:lang w:val="en-US" w:eastAsia="zh-CN"/>
              </w:rPr>
              <w:t>1</w:t>
            </w:r>
            <w:r>
              <w:rPr>
                <w:rFonts w:hint="eastAsia" w:ascii="宋体" w:hAnsi="宋体" w:eastAsia="宋体" w:cs="宋体"/>
                <w:b/>
                <w:bCs/>
                <w:color w:val="auto"/>
                <w:sz w:val="21"/>
                <w:szCs w:val="21"/>
                <w:highlight w:val="none"/>
              </w:rPr>
              <w:t>月1日以来，承接过类似</w:t>
            </w:r>
            <w:r>
              <w:rPr>
                <w:rFonts w:hint="eastAsia" w:ascii="宋体" w:hAnsi="宋体" w:eastAsia="宋体" w:cs="宋体"/>
                <w:b/>
                <w:bCs/>
                <w:color w:val="auto"/>
                <w:sz w:val="21"/>
                <w:szCs w:val="21"/>
                <w:highlight w:val="none"/>
                <w:lang w:val="en-US" w:eastAsia="zh-CN"/>
              </w:rPr>
              <w:t>市政或照明工程项目</w:t>
            </w:r>
            <w:r>
              <w:rPr>
                <w:rFonts w:hint="eastAsia" w:ascii="宋体" w:hAnsi="宋体" w:eastAsia="宋体" w:cs="宋体"/>
                <w:b/>
                <w:bCs/>
                <w:color w:val="auto"/>
                <w:sz w:val="21"/>
                <w:szCs w:val="21"/>
                <w:highlight w:val="none"/>
              </w:rPr>
              <w:t>业绩</w:t>
            </w:r>
            <w:r>
              <w:rPr>
                <w:rFonts w:hint="eastAsia" w:ascii="宋体" w:hAnsi="宋体" w:eastAsia="宋体" w:cs="宋体"/>
                <w:b/>
                <w:bCs/>
                <w:color w:val="auto"/>
                <w:sz w:val="21"/>
                <w:szCs w:val="21"/>
                <w:highlight w:val="none"/>
                <w:lang w:eastAsia="zh-CN"/>
              </w:rPr>
              <w:t>的</w:t>
            </w:r>
            <w:r>
              <w:rPr>
                <w:rFonts w:hint="eastAsia" w:ascii="宋体" w:hAnsi="宋体" w:eastAsia="宋体" w:cs="宋体"/>
                <w:b/>
                <w:bCs/>
                <w:color w:val="auto"/>
                <w:sz w:val="21"/>
                <w:szCs w:val="21"/>
                <w:highlight w:val="none"/>
              </w:rPr>
              <w:t>，每提供1份符合要求的业绩得2</w:t>
            </w:r>
            <w:r>
              <w:rPr>
                <w:rFonts w:hint="eastAsia" w:ascii="宋体" w:hAnsi="宋体" w:eastAsia="宋体" w:cs="宋体"/>
                <w:b/>
                <w:bCs/>
                <w:color w:val="auto"/>
                <w:sz w:val="21"/>
                <w:szCs w:val="21"/>
                <w:highlight w:val="none"/>
                <w:lang w:val="en-US" w:eastAsia="zh-CN"/>
              </w:rPr>
              <w:t>.5</w:t>
            </w:r>
            <w:r>
              <w:rPr>
                <w:rFonts w:hint="eastAsia" w:ascii="宋体" w:hAnsi="宋体" w:eastAsia="宋体" w:cs="宋体"/>
                <w:b/>
                <w:bCs/>
                <w:color w:val="auto"/>
                <w:sz w:val="21"/>
                <w:szCs w:val="21"/>
                <w:highlight w:val="none"/>
              </w:rPr>
              <w:t>分，满分</w:t>
            </w:r>
            <w:r>
              <w:rPr>
                <w:rFonts w:hint="eastAsia" w:ascii="宋体" w:hAnsi="宋体" w:eastAsia="宋体" w:cs="宋体"/>
                <w:b/>
                <w:bCs/>
                <w:color w:val="auto"/>
                <w:sz w:val="21"/>
                <w:szCs w:val="21"/>
                <w:highlight w:val="none"/>
                <w:lang w:val="en-US" w:eastAsia="zh-CN"/>
              </w:rPr>
              <w:t>5</w:t>
            </w:r>
            <w:r>
              <w:rPr>
                <w:rFonts w:hint="eastAsia" w:ascii="宋体" w:hAnsi="宋体" w:eastAsia="宋体" w:cs="宋体"/>
                <w:b/>
                <w:bCs/>
                <w:color w:val="auto"/>
                <w:sz w:val="21"/>
                <w:szCs w:val="21"/>
                <w:highlight w:val="none"/>
              </w:rPr>
              <w:t>分。（以合同或成交通知书扫描件为准）</w:t>
            </w:r>
          </w:p>
        </w:tc>
        <w:tc>
          <w:tcPr>
            <w:tcW w:w="356" w:type="pct"/>
            <w:tcBorders>
              <w:top w:val="single" w:color="000000" w:sz="4" w:space="0"/>
              <w:left w:val="nil"/>
              <w:bottom w:val="single" w:color="000000" w:sz="4" w:space="0"/>
              <w:right w:val="single" w:color="000000" w:sz="4" w:space="0"/>
            </w:tcBorders>
            <w:noWrap w:val="0"/>
            <w:vAlign w:val="center"/>
          </w:tcPr>
          <w:p w14:paraId="65FA851E">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5分</w:t>
            </w:r>
          </w:p>
        </w:tc>
      </w:tr>
      <w:tr w14:paraId="14059E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5000" w:type="pct"/>
            <w:gridSpan w:val="4"/>
            <w:tcBorders>
              <w:top w:val="single" w:color="000000" w:sz="4" w:space="0"/>
              <w:left w:val="single" w:color="000000" w:sz="4" w:space="0"/>
              <w:bottom w:val="single" w:color="000000" w:sz="4" w:space="0"/>
              <w:right w:val="single" w:color="000000" w:sz="4" w:space="0"/>
            </w:tcBorders>
            <w:noWrap w:val="0"/>
            <w:vAlign w:val="center"/>
          </w:tcPr>
          <w:p w14:paraId="7F4B1909">
            <w:pPr>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bCs/>
                <w:color w:val="auto"/>
                <w:sz w:val="21"/>
                <w:szCs w:val="21"/>
                <w:highlight w:val="none"/>
                <w:lang w:val="en-US" w:eastAsia="zh-CN"/>
              </w:rPr>
            </w:pPr>
            <w:r>
              <w:rPr>
                <w:rFonts w:hint="eastAsia" w:ascii="宋体" w:hAnsi="宋体" w:cs="宋体"/>
                <w:b/>
                <w:bCs w:val="0"/>
                <w:color w:val="auto"/>
                <w:szCs w:val="21"/>
                <w:highlight w:val="none"/>
              </w:rPr>
              <w:t>总得分= 1+2+3</w:t>
            </w:r>
          </w:p>
        </w:tc>
      </w:tr>
    </w:tbl>
    <w:p w14:paraId="2C0A3A4E">
      <w:pPr>
        <w:snapToGrid w:val="0"/>
        <w:spacing w:line="360" w:lineRule="auto"/>
        <w:ind w:firstLine="420" w:firstLineChars="200"/>
        <w:textAlignment w:val="baseline"/>
        <w:rPr>
          <w:rStyle w:val="29"/>
          <w:rFonts w:hint="eastAsia" w:ascii="宋体" w:hAnsi="宋体" w:cs="宋体"/>
          <w:color w:val="auto"/>
          <w:highlight w:val="none"/>
        </w:rPr>
      </w:pPr>
      <w:r>
        <w:rPr>
          <w:rStyle w:val="29"/>
          <w:rFonts w:hint="eastAsia" w:ascii="宋体" w:hAnsi="宋体" w:cs="宋体"/>
          <w:color w:val="auto"/>
          <w:highlight w:val="none"/>
        </w:rPr>
        <w:t>8.2商务技术评审因素为客观评分项的，应在评分项目或评分标准中予以标注为“客观分”。对供应商的客观评分项目，各评审专家评分应当一致。</w:t>
      </w:r>
    </w:p>
    <w:p w14:paraId="17224108">
      <w:pPr>
        <w:snapToGrid w:val="0"/>
        <w:spacing w:line="360" w:lineRule="auto"/>
        <w:ind w:firstLine="420" w:firstLineChars="200"/>
        <w:textAlignment w:val="baseline"/>
        <w:rPr>
          <w:rStyle w:val="29"/>
          <w:rFonts w:hint="eastAsia" w:ascii="宋体" w:hAnsi="宋体" w:cs="宋体"/>
          <w:color w:val="auto"/>
          <w:highlight w:val="none"/>
        </w:rPr>
      </w:pPr>
      <w:r>
        <w:rPr>
          <w:rStyle w:val="29"/>
          <w:rFonts w:hint="eastAsia" w:ascii="宋体" w:hAnsi="宋体" w:cs="宋体"/>
          <w:color w:val="auto"/>
          <w:highlight w:val="none"/>
        </w:rPr>
        <w:t>8.3.终止竞争性磋商采购活动</w:t>
      </w:r>
    </w:p>
    <w:p w14:paraId="7A5034DA">
      <w:pPr>
        <w:snapToGrid w:val="0"/>
        <w:spacing w:line="360" w:lineRule="auto"/>
        <w:ind w:firstLine="420" w:firstLineChars="200"/>
        <w:textAlignment w:val="baseline"/>
        <w:rPr>
          <w:rStyle w:val="29"/>
          <w:rFonts w:hint="eastAsia" w:ascii="宋体" w:hAnsi="宋体" w:cs="宋体"/>
          <w:color w:val="auto"/>
          <w:highlight w:val="none"/>
        </w:rPr>
      </w:pPr>
      <w:r>
        <w:rPr>
          <w:rStyle w:val="29"/>
          <w:rFonts w:hint="eastAsia" w:ascii="宋体" w:hAnsi="宋体" w:cs="宋体"/>
          <w:color w:val="auto"/>
          <w:highlight w:val="none"/>
        </w:rPr>
        <w:t>磋商小组发现竞争性磋商文件存在歧义、重大缺陷导致评审工作无法进行，或者竞争性磋商文件内容违反国家有关规定的，要停止评审工作并向采购人或采购代理机构书面说明情况，采购人或采购代理机构应当修改竞争性磋商文件后重新组织采购活动；发现供应商提供虚假材料、串通等违法违规行为的，要及时向采购人或采购代理机构报告。</w:t>
      </w:r>
    </w:p>
    <w:p w14:paraId="767A6057">
      <w:pPr>
        <w:pStyle w:val="28"/>
        <w:widowControl/>
        <w:snapToGrid w:val="0"/>
        <w:spacing w:before="0" w:after="0" w:line="360" w:lineRule="auto"/>
        <w:jc w:val="center"/>
        <w:outlineLvl w:val="1"/>
        <w:rPr>
          <w:rStyle w:val="29"/>
          <w:rFonts w:ascii="宋体" w:hAnsi="宋体"/>
          <w:b w:val="0"/>
          <w:color w:val="auto"/>
          <w:sz w:val="32"/>
          <w:szCs w:val="32"/>
          <w:highlight w:val="none"/>
        </w:rPr>
      </w:pPr>
      <w:bookmarkStart w:id="82" w:name="_Toc20925"/>
      <w:bookmarkStart w:id="83" w:name="_Toc30164"/>
      <w:r>
        <w:rPr>
          <w:rStyle w:val="29"/>
          <w:rFonts w:ascii="宋体" w:hAnsi="宋体"/>
          <w:b w:val="0"/>
          <w:color w:val="auto"/>
          <w:sz w:val="32"/>
          <w:szCs w:val="32"/>
          <w:highlight w:val="none"/>
        </w:rPr>
        <w:t>第二节 评标报告</w:t>
      </w:r>
      <w:bookmarkEnd w:id="82"/>
      <w:bookmarkEnd w:id="83"/>
    </w:p>
    <w:p w14:paraId="078B7DE7">
      <w:pPr>
        <w:snapToGrid w:val="0"/>
        <w:spacing w:line="360" w:lineRule="auto"/>
        <w:ind w:firstLine="422" w:firstLineChars="175"/>
        <w:textAlignment w:val="baseline"/>
        <w:rPr>
          <w:rStyle w:val="29"/>
          <w:rFonts w:hint="eastAsia" w:ascii="宋体" w:hAnsi="宋体" w:cs="宋体"/>
          <w:b/>
          <w:bCs/>
          <w:color w:val="auto"/>
          <w:sz w:val="24"/>
          <w:szCs w:val="32"/>
          <w:highlight w:val="none"/>
        </w:rPr>
      </w:pPr>
      <w:r>
        <w:rPr>
          <w:rStyle w:val="29"/>
          <w:rFonts w:hint="eastAsia" w:ascii="宋体" w:hAnsi="宋体" w:cs="宋体"/>
          <w:b/>
          <w:bCs/>
          <w:color w:val="auto"/>
          <w:sz w:val="24"/>
          <w:szCs w:val="32"/>
          <w:highlight w:val="none"/>
        </w:rPr>
        <w:t>1.成交标准</w:t>
      </w:r>
    </w:p>
    <w:p w14:paraId="4CFF154B">
      <w:pPr>
        <w:snapToGrid w:val="0"/>
        <w:spacing w:line="360" w:lineRule="auto"/>
        <w:ind w:firstLine="420" w:firstLineChars="200"/>
        <w:textAlignment w:val="baseline"/>
        <w:rPr>
          <w:rStyle w:val="29"/>
          <w:rFonts w:hint="eastAsia" w:ascii="宋体" w:hAnsi="宋体" w:cs="宋体"/>
          <w:color w:val="auto"/>
          <w:sz w:val="24"/>
          <w:highlight w:val="none"/>
        </w:rPr>
      </w:pPr>
      <w:r>
        <w:rPr>
          <w:rStyle w:val="29"/>
          <w:rFonts w:hint="eastAsia" w:ascii="宋体" w:hAnsi="宋体" w:cs="宋体"/>
          <w:bCs/>
          <w:color w:val="auto"/>
          <w:szCs w:val="21"/>
          <w:highlight w:val="none"/>
        </w:rPr>
        <w:t>由磋商小组根据综合评分情况，按照评审得分由高到低顺序推荐3名以上成交候选供应商</w:t>
      </w:r>
      <w:r>
        <w:rPr>
          <w:rStyle w:val="29"/>
          <w:rFonts w:hint="eastAsia" w:ascii="宋体" w:hAnsi="宋体" w:cs="宋体"/>
          <w:color w:val="auto"/>
          <w:highlight w:val="none"/>
        </w:rPr>
        <w:t>,并在线编写电子评审报告</w:t>
      </w:r>
      <w:r>
        <w:rPr>
          <w:rStyle w:val="29"/>
          <w:rFonts w:hint="eastAsia" w:ascii="宋体" w:hAnsi="宋体" w:cs="宋体"/>
          <w:bCs/>
          <w:color w:val="auto"/>
          <w:szCs w:val="21"/>
          <w:highlight w:val="none"/>
        </w:rPr>
        <w:t>。符合本章第一节第5.3条情形的，可以推荐2家成交候选供应商。评审得分相同的，按照最后报价（不计算价格折扣）由低到高的顺序推荐。评审得分且最后报价（不计算价格折扣）相同的，按照技术指标优劣顺序推荐（按技术得分由高到低排序，技术得分相同的按照服务需求偏离分由高到低排序）。评审得分、最后报价（不计算价格折扣）、技术得分、服务需求偏离分均相同的，由磋商小组随机抽取推荐。</w:t>
      </w:r>
    </w:p>
    <w:p w14:paraId="0EA5E610">
      <w:pPr>
        <w:snapToGrid w:val="0"/>
        <w:spacing w:line="360" w:lineRule="auto"/>
        <w:ind w:firstLine="422" w:firstLineChars="175"/>
        <w:textAlignment w:val="baseline"/>
        <w:rPr>
          <w:rStyle w:val="29"/>
          <w:rFonts w:hint="eastAsia" w:ascii="宋体" w:hAnsi="宋体" w:cs="宋体"/>
          <w:b/>
          <w:bCs/>
          <w:color w:val="auto"/>
          <w:sz w:val="24"/>
          <w:szCs w:val="32"/>
          <w:highlight w:val="none"/>
        </w:rPr>
      </w:pPr>
      <w:r>
        <w:rPr>
          <w:rStyle w:val="29"/>
          <w:rFonts w:hint="eastAsia" w:ascii="宋体" w:hAnsi="宋体" w:cs="宋体"/>
          <w:b/>
          <w:bCs/>
          <w:color w:val="auto"/>
          <w:sz w:val="24"/>
          <w:szCs w:val="32"/>
          <w:highlight w:val="none"/>
        </w:rPr>
        <w:t>2.评标争议事项处理</w:t>
      </w:r>
    </w:p>
    <w:p w14:paraId="13DBD984">
      <w:pPr>
        <w:pStyle w:val="30"/>
        <w:widowControl/>
        <w:snapToGrid w:val="0"/>
        <w:spacing w:before="0"/>
        <w:ind w:firstLine="420"/>
        <w:rPr>
          <w:rStyle w:val="29"/>
          <w:rFonts w:hint="eastAsia" w:ascii="宋体" w:hAnsi="宋体" w:cs="宋体"/>
          <w:color w:val="auto"/>
          <w:highlight w:val="none"/>
        </w:rPr>
      </w:pPr>
      <w:r>
        <w:rPr>
          <w:rStyle w:val="29"/>
          <w:rFonts w:hint="eastAsia" w:ascii="宋体" w:hAnsi="宋体" w:cs="宋体"/>
          <w:color w:val="auto"/>
          <w:highlight w:val="none"/>
        </w:rPr>
        <w:t>磋商小组成员对需要共同认定的事项存在争议的，应当按照少数服从多数的原则作出结论。持不同意见的磋商小组成员应当在评标报告上签署不同意见及理由，否则视为同意评标报告。</w:t>
      </w:r>
    </w:p>
    <w:p w14:paraId="23910FBA">
      <w:pPr>
        <w:pStyle w:val="28"/>
        <w:widowControl/>
        <w:snapToGrid w:val="0"/>
        <w:spacing w:before="0" w:after="0" w:line="360" w:lineRule="auto"/>
        <w:ind w:firstLine="640" w:firstLineChars="200"/>
        <w:jc w:val="center"/>
        <w:outlineLvl w:val="1"/>
        <w:rPr>
          <w:rStyle w:val="29"/>
          <w:rFonts w:hint="eastAsia" w:ascii="宋体" w:hAnsi="宋体" w:cs="宋体"/>
          <w:b w:val="0"/>
          <w:color w:val="auto"/>
          <w:sz w:val="32"/>
          <w:szCs w:val="32"/>
          <w:highlight w:val="none"/>
        </w:rPr>
      </w:pPr>
      <w:bookmarkStart w:id="84" w:name="_Toc13274"/>
      <w:bookmarkStart w:id="85" w:name="_Toc29454"/>
      <w:r>
        <w:rPr>
          <w:rStyle w:val="29"/>
          <w:rFonts w:hint="eastAsia" w:ascii="宋体" w:hAnsi="宋体" w:cs="宋体"/>
          <w:b w:val="0"/>
          <w:color w:val="auto"/>
          <w:sz w:val="32"/>
          <w:szCs w:val="32"/>
          <w:highlight w:val="none"/>
        </w:rPr>
        <w:t>第三节 评审过程的保密与录像</w:t>
      </w:r>
      <w:bookmarkEnd w:id="84"/>
      <w:bookmarkEnd w:id="85"/>
    </w:p>
    <w:p w14:paraId="10BD467C">
      <w:pPr>
        <w:snapToGrid w:val="0"/>
        <w:spacing w:line="360" w:lineRule="auto"/>
        <w:ind w:firstLine="422" w:firstLineChars="175"/>
        <w:textAlignment w:val="baseline"/>
        <w:rPr>
          <w:rStyle w:val="29"/>
          <w:rFonts w:hint="eastAsia" w:ascii="宋体" w:hAnsi="宋体" w:cs="宋体"/>
          <w:b/>
          <w:bCs/>
          <w:color w:val="auto"/>
          <w:sz w:val="24"/>
          <w:szCs w:val="32"/>
          <w:highlight w:val="none"/>
        </w:rPr>
      </w:pPr>
      <w:r>
        <w:rPr>
          <w:rStyle w:val="29"/>
          <w:rFonts w:hint="eastAsia" w:ascii="宋体" w:hAnsi="宋体" w:cs="宋体"/>
          <w:b/>
          <w:bCs/>
          <w:color w:val="auto"/>
          <w:sz w:val="24"/>
          <w:szCs w:val="32"/>
          <w:highlight w:val="none"/>
        </w:rPr>
        <w:t>1.保密</w:t>
      </w:r>
    </w:p>
    <w:p w14:paraId="534D3D47">
      <w:pPr>
        <w:widowControl/>
        <w:snapToGrid w:val="0"/>
        <w:spacing w:line="360" w:lineRule="auto"/>
        <w:ind w:firstLine="420" w:firstLineChars="200"/>
        <w:textAlignment w:val="baseline"/>
        <w:rPr>
          <w:rStyle w:val="29"/>
          <w:rFonts w:hint="eastAsia" w:ascii="宋体" w:hAnsi="宋体" w:cs="宋体"/>
          <w:color w:val="auto"/>
          <w:highlight w:val="none"/>
        </w:rPr>
      </w:pPr>
      <w:r>
        <w:rPr>
          <w:rStyle w:val="29"/>
          <w:rFonts w:hint="eastAsia" w:ascii="宋体" w:hAnsi="宋体" w:cs="宋体"/>
          <w:color w:val="auto"/>
          <w:highlight w:val="none"/>
        </w:rPr>
        <w:t>评审活动在严格保密的情况下进行。评审过程中凡是与采购响应文件评审和比较、中标成交供应商推荐等评审有关的情况，以及涉及国家秘密和商业秘密等信息，评审委员会成员、采购人和采购机构工作人员、相关监督人员等与评审有关的人员应当予以保密。</w:t>
      </w:r>
    </w:p>
    <w:p w14:paraId="091C352B">
      <w:pPr>
        <w:widowControl/>
        <w:snapToGrid w:val="0"/>
        <w:spacing w:line="360" w:lineRule="auto"/>
        <w:ind w:firstLine="422" w:firstLineChars="175"/>
        <w:textAlignment w:val="baseline"/>
        <w:rPr>
          <w:rStyle w:val="29"/>
          <w:rFonts w:hint="eastAsia" w:ascii="宋体" w:hAnsi="宋体" w:cs="宋体"/>
          <w:b/>
          <w:bCs/>
          <w:color w:val="auto"/>
          <w:sz w:val="24"/>
          <w:szCs w:val="32"/>
          <w:highlight w:val="none"/>
        </w:rPr>
      </w:pPr>
      <w:r>
        <w:rPr>
          <w:rStyle w:val="29"/>
          <w:rFonts w:hint="eastAsia" w:ascii="宋体" w:hAnsi="宋体" w:cs="宋体"/>
          <w:b/>
          <w:bCs/>
          <w:color w:val="auto"/>
          <w:sz w:val="24"/>
          <w:szCs w:val="32"/>
          <w:highlight w:val="none"/>
        </w:rPr>
        <w:t>2.录音录像</w:t>
      </w:r>
    </w:p>
    <w:p w14:paraId="3350541B">
      <w:pPr>
        <w:snapToGrid w:val="0"/>
        <w:spacing w:line="360" w:lineRule="auto"/>
        <w:ind w:firstLine="420" w:firstLineChars="200"/>
        <w:textAlignment w:val="baseline"/>
        <w:rPr>
          <w:rStyle w:val="29"/>
          <w:rFonts w:hint="eastAsia" w:ascii="宋体" w:hAnsi="宋体" w:cs="宋体"/>
          <w:color w:val="auto"/>
          <w:highlight w:val="none"/>
        </w:rPr>
      </w:pPr>
      <w:r>
        <w:rPr>
          <w:rStyle w:val="29"/>
          <w:rFonts w:hint="eastAsia" w:ascii="宋体" w:hAnsi="宋体" w:cs="宋体"/>
          <w:color w:val="auto"/>
          <w:highlight w:val="none"/>
        </w:rPr>
        <w:t>采购代理机构对评审工作现场及操作屏幕进行全过程录音录像，录音录像资料作为采购项目文件随其他文件一并存档。</w:t>
      </w:r>
    </w:p>
    <w:p w14:paraId="6DB6647A">
      <w:pPr>
        <w:spacing w:line="360" w:lineRule="auto"/>
        <w:ind w:firstLine="420" w:firstLineChars="200"/>
        <w:jc w:val="center"/>
        <w:outlineLvl w:val="0"/>
        <w:rPr>
          <w:rFonts w:hint="eastAsia" w:ascii="宋体" w:hAnsi="宋体" w:cs="宋体"/>
          <w:b/>
          <w:bCs/>
          <w:color w:val="auto"/>
          <w:kern w:val="44"/>
          <w:sz w:val="44"/>
          <w:szCs w:val="44"/>
          <w:highlight w:val="none"/>
        </w:rPr>
      </w:pPr>
      <w:r>
        <w:rPr>
          <w:rFonts w:hint="eastAsia" w:ascii="宋体" w:hAnsi="宋体" w:cs="宋体"/>
          <w:color w:val="auto"/>
          <w:highlight w:val="none"/>
        </w:rPr>
        <w:br w:type="page"/>
      </w:r>
      <w:bookmarkEnd w:id="81"/>
      <w:bookmarkStart w:id="86" w:name="_Toc17394"/>
      <w:bookmarkStart w:id="87" w:name="_Toc22452"/>
      <w:bookmarkStart w:id="88" w:name="_Toc17935"/>
      <w:bookmarkStart w:id="89" w:name="_Toc80205938"/>
      <w:bookmarkStart w:id="90" w:name="_Toc32402"/>
      <w:r>
        <w:rPr>
          <w:rFonts w:hint="eastAsia" w:ascii="宋体" w:hAnsi="宋体" w:cs="宋体"/>
          <w:b/>
          <w:bCs/>
          <w:color w:val="auto"/>
          <w:sz w:val="44"/>
          <w:szCs w:val="44"/>
          <w:highlight w:val="none"/>
        </w:rPr>
        <w:t>第五章 响应文件格</w:t>
      </w:r>
      <w:bookmarkEnd w:id="86"/>
      <w:r>
        <w:rPr>
          <w:rFonts w:hint="eastAsia" w:ascii="宋体" w:hAnsi="宋体" w:cs="宋体"/>
          <w:b/>
          <w:bCs/>
          <w:color w:val="auto"/>
          <w:sz w:val="44"/>
          <w:szCs w:val="44"/>
          <w:highlight w:val="none"/>
        </w:rPr>
        <w:t>式</w:t>
      </w:r>
      <w:bookmarkEnd w:id="87"/>
      <w:bookmarkEnd w:id="88"/>
    </w:p>
    <w:p w14:paraId="4A1DBA80">
      <w:pPr>
        <w:jc w:val="center"/>
        <w:rPr>
          <w:rFonts w:hint="eastAsia" w:ascii="宋体" w:hAnsi="宋体" w:cs="宋体"/>
          <w:b/>
          <w:bCs/>
          <w:color w:val="auto"/>
          <w:highlight w:val="none"/>
        </w:rPr>
      </w:pPr>
    </w:p>
    <w:p w14:paraId="07163E3A">
      <w:pPr>
        <w:pStyle w:val="3"/>
        <w:jc w:val="center"/>
        <w:rPr>
          <w:rFonts w:hint="eastAsia" w:ascii="宋体" w:hAnsi="宋体" w:cs="宋体"/>
          <w:b w:val="0"/>
          <w:bCs w:val="0"/>
          <w:color w:val="auto"/>
          <w:highlight w:val="none"/>
        </w:rPr>
      </w:pPr>
      <w:bookmarkStart w:id="91" w:name="_Toc8174"/>
      <w:bookmarkStart w:id="92" w:name="_Toc31236"/>
      <w:r>
        <w:rPr>
          <w:rFonts w:hint="eastAsia" w:ascii="宋体" w:hAnsi="宋体" w:cs="宋体"/>
          <w:b w:val="0"/>
          <w:bCs w:val="0"/>
          <w:color w:val="auto"/>
          <w:highlight w:val="none"/>
        </w:rPr>
        <w:t>第一节 封面格式</w:t>
      </w:r>
      <w:bookmarkEnd w:id="89"/>
      <w:bookmarkEnd w:id="90"/>
      <w:bookmarkEnd w:id="91"/>
      <w:bookmarkEnd w:id="92"/>
    </w:p>
    <w:p w14:paraId="22426CB4">
      <w:pPr>
        <w:snapToGrid w:val="0"/>
        <w:spacing w:before="165" w:beforeLines="50" w:after="50"/>
        <w:rPr>
          <w:rFonts w:hint="eastAsia" w:ascii="宋体" w:hAnsi="宋体" w:cs="宋体"/>
          <w:color w:val="auto"/>
          <w:sz w:val="24"/>
          <w:szCs w:val="20"/>
          <w:highlight w:val="none"/>
        </w:rPr>
      </w:pPr>
    </w:p>
    <w:p w14:paraId="7A535A43">
      <w:pPr>
        <w:snapToGrid w:val="0"/>
        <w:spacing w:before="165" w:beforeLines="50" w:after="50"/>
        <w:jc w:val="center"/>
        <w:rPr>
          <w:rFonts w:hint="eastAsia" w:ascii="宋体" w:hAnsi="宋体" w:cs="宋体"/>
          <w:bCs/>
          <w:color w:val="auto"/>
          <w:sz w:val="24"/>
          <w:szCs w:val="20"/>
          <w:highlight w:val="none"/>
        </w:rPr>
      </w:pPr>
    </w:p>
    <w:p w14:paraId="263B8651">
      <w:pPr>
        <w:snapToGrid w:val="0"/>
        <w:spacing w:before="165" w:beforeLines="50" w:after="50"/>
        <w:jc w:val="center"/>
        <w:rPr>
          <w:rFonts w:hint="eastAsia" w:ascii="宋体" w:hAnsi="宋体" w:cs="宋体"/>
          <w:b/>
          <w:color w:val="auto"/>
          <w:sz w:val="56"/>
          <w:szCs w:val="56"/>
          <w:highlight w:val="none"/>
        </w:rPr>
      </w:pPr>
      <w:r>
        <w:rPr>
          <w:rFonts w:hint="eastAsia" w:ascii="宋体" w:hAnsi="宋体" w:cs="宋体"/>
          <w:b/>
          <w:color w:val="auto"/>
          <w:sz w:val="56"/>
          <w:szCs w:val="56"/>
          <w:highlight w:val="none"/>
        </w:rPr>
        <w:t>响  应  文  件</w:t>
      </w:r>
    </w:p>
    <w:p w14:paraId="4CA68FE8">
      <w:pPr>
        <w:snapToGrid w:val="0"/>
        <w:spacing w:before="165" w:beforeLines="50" w:after="50"/>
        <w:rPr>
          <w:rFonts w:hint="eastAsia" w:ascii="宋体" w:hAnsi="宋体" w:cs="宋体"/>
          <w:bCs/>
          <w:color w:val="auto"/>
          <w:sz w:val="24"/>
          <w:szCs w:val="20"/>
          <w:highlight w:val="none"/>
        </w:rPr>
      </w:pPr>
    </w:p>
    <w:p w14:paraId="0B975D61">
      <w:pPr>
        <w:snapToGrid w:val="0"/>
        <w:spacing w:before="165" w:beforeLines="50" w:after="50"/>
        <w:rPr>
          <w:rFonts w:hint="eastAsia" w:ascii="宋体" w:hAnsi="宋体" w:cs="宋体"/>
          <w:bCs/>
          <w:color w:val="auto"/>
          <w:sz w:val="24"/>
          <w:szCs w:val="20"/>
          <w:highlight w:val="none"/>
        </w:rPr>
      </w:pPr>
    </w:p>
    <w:p w14:paraId="7331C639">
      <w:pPr>
        <w:snapToGrid w:val="0"/>
        <w:spacing w:before="165" w:beforeLines="50" w:after="50"/>
        <w:rPr>
          <w:rFonts w:hint="eastAsia" w:ascii="宋体" w:hAnsi="宋体" w:cs="宋体"/>
          <w:bCs/>
          <w:color w:val="auto"/>
          <w:sz w:val="32"/>
          <w:szCs w:val="32"/>
          <w:highlight w:val="none"/>
        </w:rPr>
      </w:pPr>
    </w:p>
    <w:p w14:paraId="153A9EBF">
      <w:pPr>
        <w:snapToGrid w:val="0"/>
        <w:spacing w:before="165" w:beforeLines="50" w:after="50"/>
        <w:ind w:firstLine="640" w:firstLineChars="200"/>
        <w:rPr>
          <w:rFonts w:hint="eastAsia" w:ascii="宋体" w:hAnsi="宋体" w:cs="宋体"/>
          <w:bCs/>
          <w:color w:val="auto"/>
          <w:sz w:val="32"/>
          <w:szCs w:val="32"/>
          <w:highlight w:val="none"/>
        </w:rPr>
      </w:pPr>
      <w:r>
        <w:rPr>
          <w:rFonts w:hint="eastAsia" w:ascii="宋体" w:hAnsi="宋体" w:cs="宋体"/>
          <w:bCs/>
          <w:color w:val="auto"/>
          <w:sz w:val="32"/>
          <w:szCs w:val="32"/>
          <w:highlight w:val="none"/>
        </w:rPr>
        <w:t>项目名称：</w:t>
      </w:r>
    </w:p>
    <w:p w14:paraId="3E4BE648">
      <w:pPr>
        <w:snapToGrid w:val="0"/>
        <w:spacing w:before="165" w:beforeLines="50" w:after="50"/>
        <w:ind w:firstLine="480" w:firstLineChars="150"/>
        <w:rPr>
          <w:rFonts w:hint="eastAsia" w:ascii="宋体" w:hAnsi="宋体" w:cs="宋体"/>
          <w:bCs/>
          <w:color w:val="auto"/>
          <w:sz w:val="32"/>
          <w:szCs w:val="32"/>
          <w:highlight w:val="none"/>
        </w:rPr>
      </w:pPr>
    </w:p>
    <w:p w14:paraId="4FE80484">
      <w:pPr>
        <w:snapToGrid w:val="0"/>
        <w:spacing w:before="165" w:beforeLines="50" w:after="50"/>
        <w:ind w:firstLine="640" w:firstLineChars="200"/>
        <w:rPr>
          <w:rFonts w:hint="eastAsia" w:ascii="宋体" w:hAnsi="宋体" w:cs="宋体"/>
          <w:bCs/>
          <w:color w:val="auto"/>
          <w:sz w:val="32"/>
          <w:szCs w:val="32"/>
          <w:highlight w:val="none"/>
        </w:rPr>
      </w:pPr>
      <w:r>
        <w:rPr>
          <w:rFonts w:hint="eastAsia" w:ascii="宋体" w:hAnsi="宋体" w:cs="宋体"/>
          <w:bCs/>
          <w:color w:val="auto"/>
          <w:sz w:val="32"/>
          <w:szCs w:val="32"/>
          <w:highlight w:val="none"/>
        </w:rPr>
        <w:t>项目编号：</w:t>
      </w:r>
    </w:p>
    <w:p w14:paraId="3BC08D98">
      <w:pPr>
        <w:snapToGrid w:val="0"/>
        <w:spacing w:before="165" w:beforeLines="50" w:after="50"/>
        <w:ind w:firstLine="480" w:firstLineChars="150"/>
        <w:rPr>
          <w:rFonts w:hint="eastAsia" w:ascii="宋体" w:hAnsi="宋体" w:cs="宋体"/>
          <w:bCs/>
          <w:color w:val="auto"/>
          <w:sz w:val="32"/>
          <w:szCs w:val="32"/>
          <w:highlight w:val="none"/>
        </w:rPr>
      </w:pPr>
    </w:p>
    <w:p w14:paraId="3097DDAA">
      <w:pPr>
        <w:snapToGrid w:val="0"/>
        <w:spacing w:before="165" w:beforeLines="50" w:after="50"/>
        <w:ind w:firstLine="640" w:firstLineChars="200"/>
        <w:rPr>
          <w:rFonts w:hint="eastAsia" w:ascii="宋体" w:hAnsi="宋体" w:cs="宋体"/>
          <w:bCs/>
          <w:color w:val="auto"/>
          <w:sz w:val="32"/>
          <w:szCs w:val="32"/>
          <w:highlight w:val="none"/>
        </w:rPr>
      </w:pPr>
      <w:r>
        <w:rPr>
          <w:rFonts w:hint="eastAsia" w:ascii="宋体" w:hAnsi="宋体" w:cs="宋体"/>
          <w:bCs/>
          <w:color w:val="auto"/>
          <w:sz w:val="32"/>
          <w:szCs w:val="32"/>
          <w:highlight w:val="none"/>
        </w:rPr>
        <w:t>所竞分标（如有则填写，无分标时填写“无”或者留空）：</w:t>
      </w:r>
    </w:p>
    <w:p w14:paraId="1784E1B7">
      <w:pPr>
        <w:snapToGrid w:val="0"/>
        <w:spacing w:before="165" w:beforeLines="50" w:after="50"/>
        <w:rPr>
          <w:rFonts w:hint="eastAsia" w:ascii="宋体" w:hAnsi="宋体" w:cs="宋体"/>
          <w:bCs/>
          <w:color w:val="auto"/>
          <w:sz w:val="32"/>
          <w:szCs w:val="32"/>
          <w:highlight w:val="none"/>
        </w:rPr>
      </w:pPr>
    </w:p>
    <w:p w14:paraId="149B5984">
      <w:pPr>
        <w:snapToGrid w:val="0"/>
        <w:spacing w:before="165" w:beforeLines="50" w:after="50"/>
        <w:ind w:firstLine="640" w:firstLineChars="200"/>
        <w:rPr>
          <w:rFonts w:hint="eastAsia" w:ascii="宋体" w:hAnsi="宋体" w:cs="宋体"/>
          <w:bCs/>
          <w:color w:val="auto"/>
          <w:sz w:val="32"/>
          <w:szCs w:val="32"/>
          <w:highlight w:val="none"/>
        </w:rPr>
      </w:pPr>
      <w:r>
        <w:rPr>
          <w:rFonts w:hint="eastAsia" w:ascii="宋体" w:hAnsi="宋体" w:cs="宋体"/>
          <w:bCs/>
          <w:color w:val="auto"/>
          <w:sz w:val="32"/>
          <w:szCs w:val="32"/>
          <w:highlight w:val="none"/>
        </w:rPr>
        <w:t>供应商名称：</w:t>
      </w:r>
    </w:p>
    <w:p w14:paraId="5077BB92">
      <w:pPr>
        <w:snapToGrid w:val="0"/>
        <w:spacing w:before="165" w:beforeLines="50" w:after="50"/>
        <w:rPr>
          <w:rFonts w:hint="eastAsia" w:ascii="宋体" w:hAnsi="宋体" w:cs="宋体"/>
          <w:bCs/>
          <w:color w:val="auto"/>
          <w:sz w:val="32"/>
          <w:szCs w:val="32"/>
          <w:highlight w:val="none"/>
        </w:rPr>
      </w:pPr>
    </w:p>
    <w:p w14:paraId="251DA442">
      <w:pPr>
        <w:snapToGrid w:val="0"/>
        <w:spacing w:before="165" w:beforeLines="50" w:after="50"/>
        <w:ind w:firstLine="480" w:firstLineChars="150"/>
        <w:jc w:val="center"/>
        <w:rPr>
          <w:rFonts w:hint="eastAsia" w:ascii="宋体" w:hAnsi="宋体" w:cs="宋体"/>
          <w:bCs/>
          <w:color w:val="auto"/>
          <w:sz w:val="32"/>
          <w:szCs w:val="32"/>
          <w:highlight w:val="none"/>
        </w:rPr>
      </w:pPr>
      <w:r>
        <w:rPr>
          <w:rFonts w:hint="eastAsia" w:ascii="宋体" w:hAnsi="宋体" w:cs="宋体"/>
          <w:bCs/>
          <w:color w:val="auto"/>
          <w:sz w:val="32"/>
          <w:szCs w:val="32"/>
          <w:highlight w:val="none"/>
        </w:rPr>
        <w:t>首次响应文件提交截止时间前不得解密</w:t>
      </w:r>
    </w:p>
    <w:p w14:paraId="1341C643">
      <w:pPr>
        <w:snapToGrid w:val="0"/>
        <w:spacing w:before="165" w:beforeLines="50" w:after="50"/>
        <w:ind w:firstLine="5440" w:firstLineChars="1700"/>
        <w:jc w:val="center"/>
        <w:rPr>
          <w:rFonts w:hint="eastAsia" w:ascii="宋体" w:hAnsi="宋体" w:cs="宋体"/>
          <w:bCs/>
          <w:color w:val="auto"/>
          <w:sz w:val="32"/>
          <w:szCs w:val="32"/>
          <w:highlight w:val="none"/>
        </w:rPr>
      </w:pPr>
    </w:p>
    <w:p w14:paraId="40B2BEE0">
      <w:pPr>
        <w:snapToGrid w:val="0"/>
        <w:spacing w:before="165" w:beforeLines="50" w:after="50"/>
        <w:ind w:firstLine="645"/>
        <w:jc w:val="center"/>
        <w:rPr>
          <w:rFonts w:hint="eastAsia" w:ascii="宋体" w:hAnsi="宋体" w:cs="宋体"/>
          <w:bCs/>
          <w:color w:val="auto"/>
          <w:sz w:val="32"/>
          <w:szCs w:val="32"/>
          <w:highlight w:val="none"/>
        </w:rPr>
      </w:pPr>
      <w:r>
        <w:rPr>
          <w:rFonts w:hint="eastAsia" w:ascii="宋体" w:hAnsi="宋体" w:cs="宋体"/>
          <w:bCs/>
          <w:color w:val="auto"/>
          <w:sz w:val="32"/>
          <w:szCs w:val="32"/>
          <w:highlight w:val="none"/>
        </w:rPr>
        <w:t>年    月    日</w:t>
      </w:r>
    </w:p>
    <w:p w14:paraId="3610FB95">
      <w:pPr>
        <w:rPr>
          <w:rFonts w:hint="eastAsia" w:ascii="宋体" w:hAnsi="宋体" w:cs="宋体"/>
          <w:color w:val="auto"/>
          <w:highlight w:val="none"/>
        </w:rPr>
        <w:sectPr>
          <w:footerReference r:id="rId9" w:type="default"/>
          <w:pgSz w:w="11905" w:h="16838"/>
          <w:pgMar w:top="1134" w:right="1587" w:bottom="1134" w:left="1587" w:header="720" w:footer="720" w:gutter="0"/>
          <w:pgBorders>
            <w:top w:val="none" w:sz="0" w:space="0"/>
            <w:left w:val="none" w:sz="0" w:space="0"/>
            <w:bottom w:val="none" w:sz="0" w:space="0"/>
            <w:right w:val="none" w:sz="0" w:space="0"/>
          </w:pgBorders>
          <w:cols w:space="720" w:num="1"/>
          <w:docGrid w:type="lines" w:linePitch="331" w:charSpace="0"/>
        </w:sectPr>
      </w:pPr>
    </w:p>
    <w:p w14:paraId="407D91CE">
      <w:pPr>
        <w:pStyle w:val="3"/>
        <w:jc w:val="center"/>
        <w:rPr>
          <w:rFonts w:hint="eastAsia" w:ascii="宋体" w:hAnsi="宋体" w:cs="宋体"/>
          <w:b w:val="0"/>
          <w:color w:val="auto"/>
          <w:highlight w:val="none"/>
        </w:rPr>
      </w:pPr>
      <w:bookmarkStart w:id="93" w:name="_Toc16608"/>
      <w:bookmarkStart w:id="94" w:name="_Toc25639"/>
      <w:bookmarkStart w:id="95" w:name="_Toc22829"/>
      <w:bookmarkStart w:id="96" w:name="_Toc80205939"/>
      <w:r>
        <w:rPr>
          <w:rFonts w:hint="eastAsia" w:ascii="宋体" w:hAnsi="宋体" w:cs="宋体"/>
          <w:b w:val="0"/>
          <w:color w:val="auto"/>
          <w:highlight w:val="none"/>
        </w:rPr>
        <w:t>第二节 资格证明文件格式</w:t>
      </w:r>
      <w:bookmarkEnd w:id="93"/>
      <w:bookmarkEnd w:id="94"/>
      <w:bookmarkEnd w:id="95"/>
      <w:bookmarkEnd w:id="96"/>
    </w:p>
    <w:p w14:paraId="7086DA92">
      <w:pPr>
        <w:snapToGrid w:val="0"/>
        <w:spacing w:before="120" w:beforeLines="50" w:after="50"/>
        <w:rPr>
          <w:rFonts w:hint="eastAsia" w:ascii="宋体" w:hAnsi="宋体" w:cs="宋体"/>
          <w:bCs/>
          <w:color w:val="auto"/>
          <w:sz w:val="32"/>
          <w:szCs w:val="20"/>
          <w:highlight w:val="none"/>
        </w:rPr>
      </w:pPr>
      <w:r>
        <w:rPr>
          <w:rFonts w:hint="eastAsia" w:ascii="宋体" w:hAnsi="宋体" w:cs="宋体"/>
          <w:color w:val="auto"/>
          <w:sz w:val="24"/>
          <w:highlight w:val="none"/>
        </w:rPr>
        <w:t xml:space="preserve">                                                    </w:t>
      </w:r>
      <w:r>
        <w:rPr>
          <w:rFonts w:hint="eastAsia" w:ascii="宋体" w:hAnsi="宋体" w:cs="宋体"/>
          <w:bCs/>
          <w:color w:val="auto"/>
          <w:highlight w:val="none"/>
        </w:rPr>
        <w:t>全流程电子文件</w:t>
      </w:r>
    </w:p>
    <w:p w14:paraId="47FFFA0A">
      <w:pPr>
        <w:snapToGrid w:val="0"/>
        <w:spacing w:before="120" w:beforeLines="50" w:after="50"/>
        <w:rPr>
          <w:rFonts w:hint="eastAsia" w:ascii="宋体" w:hAnsi="宋体" w:cs="宋体"/>
          <w:color w:val="auto"/>
          <w:sz w:val="24"/>
          <w:szCs w:val="20"/>
          <w:highlight w:val="none"/>
        </w:rPr>
      </w:pPr>
    </w:p>
    <w:p w14:paraId="06FE7443">
      <w:pPr>
        <w:snapToGrid w:val="0"/>
        <w:spacing w:before="120" w:beforeLines="50" w:after="50"/>
        <w:rPr>
          <w:rFonts w:hint="eastAsia" w:ascii="宋体" w:hAnsi="宋体" w:cs="宋体"/>
          <w:color w:val="auto"/>
          <w:sz w:val="24"/>
          <w:szCs w:val="20"/>
          <w:highlight w:val="none"/>
        </w:rPr>
      </w:pPr>
    </w:p>
    <w:p w14:paraId="2CB47290">
      <w:pPr>
        <w:snapToGrid w:val="0"/>
        <w:spacing w:before="120" w:beforeLines="50" w:after="50"/>
        <w:jc w:val="center"/>
        <w:rPr>
          <w:rFonts w:hint="eastAsia" w:ascii="宋体" w:hAnsi="宋体" w:cs="宋体"/>
          <w:b/>
          <w:color w:val="auto"/>
          <w:sz w:val="52"/>
          <w:szCs w:val="52"/>
          <w:highlight w:val="none"/>
        </w:rPr>
      </w:pPr>
      <w:r>
        <w:rPr>
          <w:rFonts w:hint="eastAsia" w:ascii="宋体" w:hAnsi="宋体" w:cs="宋体"/>
          <w:b/>
          <w:color w:val="auto"/>
          <w:sz w:val="52"/>
          <w:szCs w:val="52"/>
          <w:highlight w:val="none"/>
        </w:rPr>
        <w:t>资格证明文件（封面）</w:t>
      </w:r>
    </w:p>
    <w:p w14:paraId="3F0B187B">
      <w:pPr>
        <w:snapToGrid w:val="0"/>
        <w:spacing w:before="120" w:beforeLines="50" w:after="50"/>
        <w:rPr>
          <w:rFonts w:hint="eastAsia" w:ascii="宋体" w:hAnsi="宋体" w:cs="宋体"/>
          <w:bCs/>
          <w:color w:val="auto"/>
          <w:sz w:val="24"/>
          <w:szCs w:val="20"/>
          <w:highlight w:val="none"/>
        </w:rPr>
      </w:pPr>
    </w:p>
    <w:p w14:paraId="6BBD834E">
      <w:pPr>
        <w:snapToGrid w:val="0"/>
        <w:spacing w:before="120" w:beforeLines="50" w:after="50"/>
        <w:rPr>
          <w:rFonts w:hint="eastAsia" w:ascii="宋体" w:hAnsi="宋体" w:cs="宋体"/>
          <w:bCs/>
          <w:color w:val="auto"/>
          <w:sz w:val="24"/>
          <w:szCs w:val="20"/>
          <w:highlight w:val="none"/>
        </w:rPr>
      </w:pPr>
    </w:p>
    <w:p w14:paraId="058D0E45">
      <w:pPr>
        <w:snapToGrid w:val="0"/>
        <w:spacing w:before="120" w:beforeLines="50" w:after="50"/>
        <w:rPr>
          <w:rFonts w:hint="eastAsia" w:ascii="宋体" w:hAnsi="宋体" w:cs="宋体"/>
          <w:bCs/>
          <w:color w:val="auto"/>
          <w:sz w:val="24"/>
          <w:szCs w:val="20"/>
          <w:highlight w:val="none"/>
        </w:rPr>
      </w:pPr>
    </w:p>
    <w:p w14:paraId="0F02BAB5">
      <w:pPr>
        <w:snapToGrid w:val="0"/>
        <w:spacing w:before="120" w:beforeLines="50" w:after="50"/>
        <w:rPr>
          <w:rFonts w:hint="eastAsia" w:ascii="宋体" w:hAnsi="宋体" w:cs="宋体"/>
          <w:bCs/>
          <w:color w:val="auto"/>
          <w:sz w:val="24"/>
          <w:szCs w:val="20"/>
          <w:highlight w:val="none"/>
        </w:rPr>
      </w:pPr>
    </w:p>
    <w:p w14:paraId="374E135A">
      <w:pPr>
        <w:snapToGrid w:val="0"/>
        <w:spacing w:before="120" w:beforeLines="50" w:after="50"/>
        <w:rPr>
          <w:rFonts w:hint="eastAsia" w:ascii="宋体" w:hAnsi="宋体" w:cs="宋体"/>
          <w:bCs/>
          <w:color w:val="auto"/>
          <w:sz w:val="24"/>
          <w:szCs w:val="20"/>
          <w:highlight w:val="none"/>
        </w:rPr>
      </w:pPr>
    </w:p>
    <w:p w14:paraId="52FB9241">
      <w:pPr>
        <w:snapToGrid w:val="0"/>
        <w:spacing w:before="120" w:beforeLines="50" w:after="50"/>
        <w:ind w:firstLine="720" w:firstLineChars="225"/>
        <w:rPr>
          <w:rFonts w:hint="eastAsia" w:ascii="宋体" w:hAnsi="宋体" w:cs="宋体"/>
          <w:bCs/>
          <w:color w:val="auto"/>
          <w:sz w:val="32"/>
          <w:szCs w:val="32"/>
          <w:highlight w:val="none"/>
        </w:rPr>
      </w:pPr>
    </w:p>
    <w:p w14:paraId="2E4EEBFF">
      <w:pPr>
        <w:snapToGrid w:val="0"/>
        <w:spacing w:before="120" w:beforeLines="50" w:after="50"/>
        <w:ind w:firstLine="720" w:firstLineChars="225"/>
        <w:rPr>
          <w:rFonts w:hint="eastAsia" w:ascii="宋体" w:hAnsi="宋体" w:cs="宋体"/>
          <w:bCs/>
          <w:color w:val="auto"/>
          <w:sz w:val="32"/>
          <w:szCs w:val="32"/>
          <w:highlight w:val="none"/>
        </w:rPr>
      </w:pPr>
      <w:r>
        <w:rPr>
          <w:rFonts w:hint="eastAsia" w:ascii="宋体" w:hAnsi="宋体" w:cs="宋体"/>
          <w:bCs/>
          <w:color w:val="auto"/>
          <w:sz w:val="32"/>
          <w:szCs w:val="32"/>
          <w:highlight w:val="none"/>
        </w:rPr>
        <w:t>项目名称：</w:t>
      </w:r>
    </w:p>
    <w:p w14:paraId="1A99FE1C">
      <w:pPr>
        <w:snapToGrid w:val="0"/>
        <w:spacing w:before="120" w:beforeLines="50" w:after="50"/>
        <w:ind w:firstLine="720" w:firstLineChars="225"/>
        <w:rPr>
          <w:rFonts w:hint="eastAsia" w:ascii="宋体" w:hAnsi="宋体" w:cs="宋体"/>
          <w:bCs/>
          <w:color w:val="auto"/>
          <w:sz w:val="32"/>
          <w:szCs w:val="32"/>
          <w:highlight w:val="none"/>
        </w:rPr>
      </w:pPr>
    </w:p>
    <w:p w14:paraId="5A0924D6">
      <w:pPr>
        <w:snapToGrid w:val="0"/>
        <w:spacing w:before="120" w:beforeLines="50" w:after="50"/>
        <w:ind w:firstLine="720" w:firstLineChars="225"/>
        <w:rPr>
          <w:rFonts w:hint="eastAsia" w:ascii="宋体" w:hAnsi="宋体" w:cs="宋体"/>
          <w:bCs/>
          <w:color w:val="auto"/>
          <w:sz w:val="32"/>
          <w:szCs w:val="32"/>
          <w:highlight w:val="none"/>
        </w:rPr>
      </w:pPr>
      <w:r>
        <w:rPr>
          <w:rFonts w:hint="eastAsia" w:ascii="宋体" w:hAnsi="宋体" w:cs="宋体"/>
          <w:bCs/>
          <w:color w:val="auto"/>
          <w:sz w:val="32"/>
          <w:szCs w:val="32"/>
          <w:highlight w:val="none"/>
        </w:rPr>
        <w:t>项目编号：</w:t>
      </w:r>
    </w:p>
    <w:p w14:paraId="638936E4">
      <w:pPr>
        <w:snapToGrid w:val="0"/>
        <w:spacing w:before="120" w:beforeLines="50" w:after="50"/>
        <w:ind w:firstLine="720" w:firstLineChars="225"/>
        <w:rPr>
          <w:rFonts w:hint="eastAsia" w:ascii="宋体" w:hAnsi="宋体" w:cs="宋体"/>
          <w:bCs/>
          <w:color w:val="auto"/>
          <w:sz w:val="32"/>
          <w:szCs w:val="32"/>
          <w:highlight w:val="none"/>
        </w:rPr>
      </w:pPr>
      <w:r>
        <w:rPr>
          <w:rFonts w:hint="eastAsia" w:ascii="宋体" w:hAnsi="宋体" w:cs="宋体"/>
          <w:bCs/>
          <w:color w:val="auto"/>
          <w:sz w:val="32"/>
          <w:szCs w:val="32"/>
          <w:highlight w:val="none"/>
        </w:rPr>
        <w:t xml:space="preserve"> </w:t>
      </w:r>
    </w:p>
    <w:p w14:paraId="7D8BB7CC">
      <w:pPr>
        <w:snapToGrid w:val="0"/>
        <w:spacing w:before="120" w:beforeLines="50" w:after="50"/>
        <w:ind w:firstLine="720" w:firstLineChars="225"/>
        <w:rPr>
          <w:rFonts w:hint="eastAsia" w:ascii="宋体" w:hAnsi="宋体" w:cs="宋体"/>
          <w:bCs/>
          <w:color w:val="auto"/>
          <w:sz w:val="32"/>
          <w:szCs w:val="32"/>
          <w:highlight w:val="none"/>
        </w:rPr>
      </w:pPr>
      <w:r>
        <w:rPr>
          <w:rFonts w:hint="eastAsia" w:ascii="宋体" w:hAnsi="宋体" w:cs="宋体"/>
          <w:bCs/>
          <w:color w:val="auto"/>
          <w:sz w:val="32"/>
          <w:szCs w:val="32"/>
          <w:highlight w:val="none"/>
        </w:rPr>
        <w:t>所竞分标（如有则填写，无分标时填写“无”或者留空）：</w:t>
      </w:r>
    </w:p>
    <w:p w14:paraId="637138C3">
      <w:pPr>
        <w:snapToGrid w:val="0"/>
        <w:spacing w:before="120" w:beforeLines="50" w:after="50"/>
        <w:ind w:firstLine="720" w:firstLineChars="225"/>
        <w:rPr>
          <w:rFonts w:hint="eastAsia" w:ascii="宋体" w:hAnsi="宋体" w:cs="宋体"/>
          <w:bCs/>
          <w:color w:val="auto"/>
          <w:sz w:val="32"/>
          <w:szCs w:val="32"/>
          <w:highlight w:val="none"/>
        </w:rPr>
      </w:pPr>
    </w:p>
    <w:p w14:paraId="6FA466C7">
      <w:pPr>
        <w:pStyle w:val="7"/>
        <w:snapToGrid w:val="0"/>
        <w:spacing w:before="50" w:after="50"/>
        <w:ind w:firstLine="720" w:firstLineChars="225"/>
        <w:rPr>
          <w:rFonts w:hint="eastAsia" w:ascii="宋体" w:hAnsi="宋体" w:cs="宋体"/>
          <w:bCs/>
          <w:color w:val="auto"/>
          <w:sz w:val="32"/>
          <w:szCs w:val="32"/>
          <w:highlight w:val="none"/>
        </w:rPr>
      </w:pPr>
      <w:r>
        <w:rPr>
          <w:rFonts w:hint="eastAsia" w:ascii="宋体" w:hAnsi="宋体" w:cs="宋体"/>
          <w:bCs/>
          <w:color w:val="auto"/>
          <w:sz w:val="32"/>
          <w:szCs w:val="32"/>
          <w:highlight w:val="none"/>
        </w:rPr>
        <w:t>供应商名称：</w:t>
      </w:r>
    </w:p>
    <w:p w14:paraId="1FEF23EC">
      <w:pPr>
        <w:pStyle w:val="7"/>
        <w:snapToGrid w:val="0"/>
        <w:spacing w:before="50" w:after="50"/>
        <w:ind w:firstLine="720" w:firstLineChars="225"/>
        <w:rPr>
          <w:rFonts w:hint="eastAsia" w:ascii="宋体" w:hAnsi="宋体" w:cs="宋体"/>
          <w:bCs/>
          <w:color w:val="auto"/>
          <w:sz w:val="32"/>
          <w:szCs w:val="32"/>
          <w:highlight w:val="none"/>
        </w:rPr>
      </w:pPr>
    </w:p>
    <w:p w14:paraId="4BC8BB80">
      <w:pPr>
        <w:pStyle w:val="7"/>
        <w:snapToGrid w:val="0"/>
        <w:spacing w:before="50" w:after="50"/>
        <w:ind w:firstLine="720" w:firstLineChars="225"/>
        <w:rPr>
          <w:rFonts w:hint="eastAsia" w:ascii="宋体" w:hAnsi="宋体" w:cs="宋体"/>
          <w:bCs/>
          <w:color w:val="auto"/>
          <w:sz w:val="32"/>
          <w:szCs w:val="32"/>
          <w:highlight w:val="none"/>
        </w:rPr>
      </w:pPr>
    </w:p>
    <w:p w14:paraId="234BE5A9">
      <w:pPr>
        <w:pStyle w:val="7"/>
        <w:snapToGrid w:val="0"/>
        <w:spacing w:before="50" w:after="50"/>
        <w:ind w:firstLine="720" w:firstLineChars="225"/>
        <w:rPr>
          <w:rFonts w:hint="eastAsia" w:ascii="宋体" w:hAnsi="宋体" w:cs="宋体"/>
          <w:bCs/>
          <w:color w:val="auto"/>
          <w:sz w:val="32"/>
          <w:szCs w:val="32"/>
          <w:highlight w:val="none"/>
        </w:rPr>
      </w:pPr>
    </w:p>
    <w:p w14:paraId="30D6A4A4">
      <w:pPr>
        <w:pStyle w:val="7"/>
        <w:snapToGrid w:val="0"/>
        <w:spacing w:before="50" w:after="50"/>
        <w:ind w:firstLine="1280" w:firstLineChars="400"/>
        <w:rPr>
          <w:rFonts w:hint="eastAsia" w:ascii="宋体" w:hAnsi="宋体" w:cs="宋体"/>
          <w:bCs/>
          <w:color w:val="auto"/>
          <w:sz w:val="32"/>
          <w:szCs w:val="32"/>
          <w:highlight w:val="none"/>
        </w:rPr>
      </w:pPr>
    </w:p>
    <w:p w14:paraId="2297CEFC">
      <w:pPr>
        <w:snapToGrid w:val="0"/>
        <w:spacing w:before="120" w:beforeLines="50" w:after="50"/>
        <w:jc w:val="center"/>
        <w:rPr>
          <w:rFonts w:hint="eastAsia" w:ascii="宋体" w:hAnsi="宋体" w:cs="宋体"/>
          <w:color w:val="auto"/>
          <w:sz w:val="32"/>
          <w:szCs w:val="32"/>
          <w:highlight w:val="none"/>
        </w:rPr>
      </w:pPr>
      <w:r>
        <w:rPr>
          <w:rFonts w:hint="eastAsia" w:ascii="宋体" w:hAnsi="宋体" w:cs="宋体"/>
          <w:color w:val="auto"/>
          <w:sz w:val="32"/>
          <w:szCs w:val="32"/>
          <w:highlight w:val="none"/>
        </w:rPr>
        <w:t>年    月    日</w:t>
      </w:r>
    </w:p>
    <w:p w14:paraId="63F96288">
      <w:pPr>
        <w:snapToGrid w:val="0"/>
        <w:spacing w:before="120" w:beforeLines="50" w:after="50" w:line="360" w:lineRule="auto"/>
        <w:jc w:val="center"/>
        <w:rPr>
          <w:rFonts w:hint="eastAsia" w:ascii="宋体" w:hAnsi="宋体" w:cs="宋体"/>
          <w:b/>
          <w:color w:val="auto"/>
          <w:kern w:val="0"/>
          <w:sz w:val="36"/>
          <w:szCs w:val="36"/>
          <w:highlight w:val="none"/>
        </w:rPr>
      </w:pPr>
      <w:r>
        <w:rPr>
          <w:rFonts w:hint="eastAsia" w:ascii="宋体" w:hAnsi="宋体" w:cs="宋体"/>
          <w:color w:val="auto"/>
          <w:sz w:val="24"/>
          <w:highlight w:val="none"/>
        </w:rPr>
        <w:br w:type="page"/>
      </w:r>
      <w:r>
        <w:rPr>
          <w:rFonts w:hint="eastAsia" w:ascii="宋体" w:hAnsi="宋体" w:cs="宋体"/>
          <w:b/>
          <w:color w:val="auto"/>
          <w:kern w:val="0"/>
          <w:sz w:val="36"/>
          <w:szCs w:val="36"/>
          <w:highlight w:val="none"/>
        </w:rPr>
        <w:t>资格证明文件目录</w:t>
      </w:r>
    </w:p>
    <w:p w14:paraId="17CDCFE7">
      <w:pPr>
        <w:snapToGrid w:val="0"/>
        <w:spacing w:line="360" w:lineRule="auto"/>
        <w:rPr>
          <w:rFonts w:hint="eastAsia" w:ascii="宋体" w:hAnsi="宋体" w:cs="宋体"/>
          <w:color w:val="auto"/>
          <w:kern w:val="0"/>
          <w:sz w:val="24"/>
          <w:highlight w:val="none"/>
        </w:rPr>
      </w:pPr>
      <w:r>
        <w:rPr>
          <w:rFonts w:hint="eastAsia" w:ascii="宋体" w:hAnsi="宋体" w:cs="宋体"/>
          <w:color w:val="auto"/>
          <w:kern w:val="0"/>
          <w:sz w:val="24"/>
          <w:highlight w:val="none"/>
        </w:rPr>
        <w:t>一、</w:t>
      </w:r>
      <w:r>
        <w:rPr>
          <w:rFonts w:hint="eastAsia" w:ascii="宋体" w:hAnsi="宋体" w:cs="宋体"/>
          <w:color w:val="auto"/>
          <w:sz w:val="24"/>
          <w:highlight w:val="none"/>
        </w:rPr>
        <w:t>营业执照(或事业法人登记证或其他工商等登记证明材料)复印件（供应商为自然人的，须提供</w:t>
      </w:r>
      <w:r>
        <w:rPr>
          <w:rFonts w:hint="eastAsia" w:ascii="宋体" w:hAnsi="宋体" w:cs="宋体"/>
          <w:color w:val="auto"/>
          <w:kern w:val="0"/>
          <w:sz w:val="24"/>
          <w:highlight w:val="none"/>
        </w:rPr>
        <w:t>自然人的身份证明</w:t>
      </w:r>
      <w:r>
        <w:rPr>
          <w:rFonts w:hint="eastAsia" w:ascii="宋体" w:hAnsi="宋体" w:cs="宋体"/>
          <w:color w:val="auto"/>
          <w:sz w:val="24"/>
          <w:highlight w:val="none"/>
        </w:rPr>
        <w:t>）</w:t>
      </w:r>
      <w:r>
        <w:rPr>
          <w:rFonts w:hint="eastAsia" w:ascii="宋体" w:hAnsi="宋体" w:cs="宋体"/>
          <w:color w:val="auto"/>
          <w:kern w:val="0"/>
          <w:sz w:val="24"/>
          <w:highlight w:val="none"/>
        </w:rPr>
        <w:t>……………………………………………（页码）</w:t>
      </w:r>
    </w:p>
    <w:p w14:paraId="2193E5FF">
      <w:pPr>
        <w:snapToGrid w:val="0"/>
        <w:spacing w:line="360" w:lineRule="auto"/>
        <w:rPr>
          <w:rFonts w:hint="eastAsia" w:ascii="宋体" w:hAnsi="宋体" w:cs="宋体"/>
          <w:color w:val="auto"/>
          <w:kern w:val="0"/>
          <w:sz w:val="24"/>
          <w:highlight w:val="none"/>
        </w:rPr>
      </w:pPr>
      <w:r>
        <w:rPr>
          <w:rFonts w:hint="eastAsia" w:ascii="宋体" w:hAnsi="宋体" w:cs="宋体"/>
          <w:color w:val="auto"/>
          <w:kern w:val="0"/>
          <w:sz w:val="24"/>
          <w:highlight w:val="none"/>
        </w:rPr>
        <w:t>二、符合参与政府采购活动的资格条件依法缴纳税收、社会保障资金等方面的材料…………………………………………………………………………………（页码）</w:t>
      </w:r>
    </w:p>
    <w:p w14:paraId="059E4AA3">
      <w:pPr>
        <w:snapToGrid w:val="0"/>
        <w:spacing w:line="360" w:lineRule="auto"/>
        <w:rPr>
          <w:rFonts w:hint="eastAsia" w:ascii="宋体" w:hAnsi="宋体" w:cs="宋体"/>
          <w:color w:val="auto"/>
          <w:kern w:val="0"/>
          <w:sz w:val="24"/>
          <w:highlight w:val="none"/>
        </w:rPr>
      </w:pPr>
      <w:r>
        <w:rPr>
          <w:rFonts w:hint="eastAsia" w:ascii="宋体" w:hAnsi="宋体" w:cs="宋体"/>
          <w:color w:val="auto"/>
          <w:kern w:val="0"/>
          <w:sz w:val="24"/>
          <w:highlight w:val="none"/>
        </w:rPr>
        <w:t>三、财务状况报告方面的材料…………………………………………………（页码）</w:t>
      </w:r>
    </w:p>
    <w:p w14:paraId="572EEB8F">
      <w:pPr>
        <w:snapToGrid w:val="0"/>
        <w:spacing w:line="360" w:lineRule="auto"/>
        <w:rPr>
          <w:rFonts w:hint="eastAsia" w:ascii="宋体" w:hAnsi="宋体" w:cs="宋体"/>
          <w:color w:val="auto"/>
          <w:kern w:val="0"/>
          <w:sz w:val="24"/>
          <w:highlight w:val="none"/>
        </w:rPr>
      </w:pPr>
      <w:r>
        <w:rPr>
          <w:rFonts w:hint="eastAsia" w:ascii="宋体" w:hAnsi="宋体" w:cs="宋体"/>
          <w:color w:val="auto"/>
          <w:sz w:val="24"/>
          <w:highlight w:val="none"/>
        </w:rPr>
        <w:t>四、供应商直接控股股东信息表</w:t>
      </w:r>
      <w:r>
        <w:rPr>
          <w:rFonts w:hint="eastAsia" w:ascii="宋体" w:hAnsi="宋体" w:cs="宋体"/>
          <w:color w:val="auto"/>
          <w:kern w:val="0"/>
          <w:sz w:val="24"/>
          <w:highlight w:val="none"/>
        </w:rPr>
        <w:t>………………………………………………（页码）</w:t>
      </w:r>
    </w:p>
    <w:p w14:paraId="4341AD05">
      <w:pPr>
        <w:snapToGrid w:val="0"/>
        <w:spacing w:line="360" w:lineRule="auto"/>
        <w:rPr>
          <w:rFonts w:hint="eastAsia" w:ascii="宋体" w:hAnsi="宋体" w:cs="宋体"/>
          <w:color w:val="auto"/>
          <w:kern w:val="0"/>
          <w:sz w:val="24"/>
          <w:highlight w:val="none"/>
        </w:rPr>
      </w:pPr>
      <w:r>
        <w:rPr>
          <w:rFonts w:hint="eastAsia" w:ascii="宋体" w:hAnsi="宋体" w:cs="宋体"/>
          <w:color w:val="auto"/>
          <w:sz w:val="24"/>
          <w:highlight w:val="none"/>
        </w:rPr>
        <w:t>五、供应商直接关联关系信息表</w:t>
      </w:r>
      <w:r>
        <w:rPr>
          <w:rFonts w:hint="eastAsia" w:ascii="宋体" w:hAnsi="宋体" w:cs="宋体"/>
          <w:color w:val="auto"/>
          <w:kern w:val="0"/>
          <w:sz w:val="24"/>
          <w:highlight w:val="none"/>
        </w:rPr>
        <w:t>………………………………………………（页码）</w:t>
      </w:r>
    </w:p>
    <w:p w14:paraId="3C576108">
      <w:pPr>
        <w:snapToGrid w:val="0"/>
        <w:spacing w:line="360" w:lineRule="auto"/>
        <w:rPr>
          <w:rFonts w:hint="eastAsia" w:ascii="宋体" w:hAnsi="宋体" w:cs="宋体"/>
          <w:color w:val="auto"/>
          <w:kern w:val="0"/>
          <w:sz w:val="24"/>
          <w:highlight w:val="none"/>
        </w:rPr>
      </w:pPr>
      <w:r>
        <w:rPr>
          <w:rFonts w:hint="eastAsia" w:ascii="宋体" w:hAnsi="宋体" w:cs="宋体"/>
          <w:color w:val="auto"/>
          <w:kern w:val="0"/>
          <w:sz w:val="24"/>
          <w:highlight w:val="none"/>
        </w:rPr>
        <w:t>六、资格声明函…………………………………………………………………（页码）</w:t>
      </w:r>
    </w:p>
    <w:p w14:paraId="6A9DD00F">
      <w:pPr>
        <w:snapToGrid w:val="0"/>
        <w:spacing w:line="360" w:lineRule="auto"/>
        <w:rPr>
          <w:rFonts w:hint="eastAsia" w:ascii="宋体" w:hAnsi="宋体" w:cs="宋体"/>
          <w:color w:val="auto"/>
          <w:kern w:val="0"/>
          <w:sz w:val="24"/>
          <w:highlight w:val="none"/>
        </w:rPr>
      </w:pPr>
      <w:r>
        <w:rPr>
          <w:rFonts w:hint="eastAsia" w:ascii="宋体" w:hAnsi="宋体" w:cs="宋体"/>
          <w:color w:val="auto"/>
          <w:kern w:val="0"/>
          <w:sz w:val="24"/>
          <w:highlight w:val="none"/>
        </w:rPr>
        <w:t>七、</w:t>
      </w:r>
      <w:r>
        <w:rPr>
          <w:rFonts w:hint="eastAsia" w:ascii="宋体" w:hAnsi="宋体" w:eastAsia="宋体" w:cs="宋体"/>
          <w:color w:val="auto"/>
          <w:kern w:val="0"/>
          <w:sz w:val="24"/>
          <w:highlight w:val="none"/>
          <w:lang w:val="en-US" w:eastAsia="zh-CN"/>
        </w:rPr>
        <w:t>资格证明材料：</w:t>
      </w:r>
      <w:r>
        <w:rPr>
          <w:rFonts w:hint="eastAsia" w:ascii="宋体" w:hAnsi="宋体" w:eastAsia="宋体" w:cs="宋体"/>
          <w:color w:val="auto"/>
          <w:kern w:val="0"/>
          <w:sz w:val="24"/>
          <w:highlight w:val="none"/>
          <w:lang w:eastAsia="zh-CN"/>
        </w:rPr>
        <w:t>①</w:t>
      </w:r>
      <w:r>
        <w:rPr>
          <w:rFonts w:hint="eastAsia" w:ascii="宋体" w:hAnsi="宋体" w:eastAsia="宋体" w:cs="宋体"/>
          <w:color w:val="auto"/>
          <w:kern w:val="0"/>
          <w:sz w:val="24"/>
          <w:highlight w:val="none"/>
          <w:lang w:val="en-US" w:eastAsia="zh-CN"/>
        </w:rPr>
        <w:t>供应商</w:t>
      </w:r>
      <w:r>
        <w:rPr>
          <w:rFonts w:hint="eastAsia" w:ascii="宋体" w:hAnsi="宋体" w:eastAsia="宋体" w:cs="宋体"/>
          <w:color w:val="auto"/>
          <w:kern w:val="0"/>
          <w:sz w:val="24"/>
          <w:highlight w:val="none"/>
        </w:rPr>
        <w:t>须具备市政公用工程施工总承包三级以上（含三级）资质</w:t>
      </w:r>
      <w:r>
        <w:rPr>
          <w:rFonts w:hint="eastAsia" w:ascii="宋体" w:hAnsi="宋体" w:eastAsia="宋体" w:cs="宋体"/>
          <w:color w:val="auto"/>
          <w:kern w:val="0"/>
          <w:sz w:val="24"/>
          <w:highlight w:val="none"/>
          <w:lang w:val="en-US" w:eastAsia="zh-CN"/>
        </w:rPr>
        <w:t>证书及</w:t>
      </w:r>
      <w:r>
        <w:rPr>
          <w:rFonts w:hint="eastAsia" w:ascii="宋体" w:hAnsi="宋体" w:eastAsia="宋体" w:cs="宋体"/>
          <w:color w:val="auto"/>
          <w:kern w:val="0"/>
          <w:sz w:val="24"/>
          <w:highlight w:val="none"/>
        </w:rPr>
        <w:t>有效的</w:t>
      </w:r>
      <w:r>
        <w:rPr>
          <w:rFonts w:hint="eastAsia" w:ascii="宋体" w:hAnsi="宋体" w:eastAsia="宋体" w:cs="宋体"/>
          <w:color w:val="auto"/>
          <w:kern w:val="0"/>
          <w:sz w:val="24"/>
          <w:highlight w:val="none"/>
          <w:lang w:val="en-US" w:eastAsia="zh-CN"/>
        </w:rPr>
        <w:t>安全生产许可证</w:t>
      </w:r>
      <w:r>
        <w:rPr>
          <w:rFonts w:hint="eastAsia" w:ascii="宋体" w:hAnsi="宋体" w:eastAsia="宋体" w:cs="宋体"/>
          <w:color w:val="auto"/>
          <w:kern w:val="0"/>
          <w:sz w:val="24"/>
          <w:highlight w:val="none"/>
        </w:rPr>
        <w:t>复印件</w:t>
      </w:r>
      <w:r>
        <w:rPr>
          <w:rFonts w:hint="eastAsia" w:ascii="宋体" w:hAnsi="宋体" w:eastAsia="宋体" w:cs="宋体"/>
          <w:color w:val="auto"/>
          <w:kern w:val="0"/>
          <w:sz w:val="24"/>
          <w:highlight w:val="none"/>
          <w:lang w:val="en-US" w:eastAsia="zh-CN"/>
        </w:rPr>
        <w:t>；</w:t>
      </w:r>
      <w:r>
        <w:rPr>
          <w:rFonts w:hint="eastAsia" w:ascii="宋体" w:hAnsi="宋体" w:eastAsia="宋体" w:cs="宋体"/>
          <w:color w:val="auto"/>
          <w:kern w:val="0"/>
          <w:sz w:val="24"/>
          <w:highlight w:val="none"/>
        </w:rPr>
        <w:t>②</w:t>
      </w:r>
      <w:r>
        <w:rPr>
          <w:rFonts w:hint="eastAsia" w:ascii="宋体" w:hAnsi="宋体" w:eastAsia="宋体" w:cs="宋体"/>
          <w:color w:val="auto"/>
          <w:kern w:val="0"/>
          <w:sz w:val="24"/>
          <w:highlight w:val="none"/>
          <w:lang w:val="en-US" w:eastAsia="zh-CN"/>
        </w:rPr>
        <w:t>拟投入本项目的</w:t>
      </w:r>
      <w:r>
        <w:rPr>
          <w:rFonts w:hint="eastAsia" w:ascii="宋体" w:hAnsi="宋体" w:eastAsia="宋体" w:cs="宋体"/>
          <w:color w:val="auto"/>
          <w:kern w:val="0"/>
          <w:sz w:val="24"/>
          <w:highlight w:val="none"/>
        </w:rPr>
        <w:t>项目经理须</w:t>
      </w:r>
      <w:r>
        <w:rPr>
          <w:rFonts w:hint="eastAsia" w:ascii="宋体" w:hAnsi="宋体" w:eastAsia="宋体" w:cs="宋体"/>
          <w:color w:val="auto"/>
          <w:kern w:val="0"/>
          <w:sz w:val="24"/>
          <w:highlight w:val="none"/>
          <w:lang w:val="en-US" w:eastAsia="zh-CN"/>
        </w:rPr>
        <w:t>具备</w:t>
      </w:r>
      <w:r>
        <w:rPr>
          <w:rFonts w:hint="eastAsia" w:ascii="宋体" w:hAnsi="宋体" w:eastAsia="宋体" w:cs="宋体"/>
          <w:color w:val="auto"/>
          <w:kern w:val="0"/>
          <w:sz w:val="24"/>
          <w:highlight w:val="none"/>
        </w:rPr>
        <w:t>市政公用工程专业二级以上（含二级）注册建造师资格证书</w:t>
      </w:r>
      <w:r>
        <w:rPr>
          <w:rFonts w:hint="eastAsia" w:ascii="宋体" w:hAnsi="宋体" w:eastAsia="宋体" w:cs="宋体"/>
          <w:color w:val="auto"/>
          <w:kern w:val="0"/>
          <w:sz w:val="24"/>
          <w:highlight w:val="none"/>
          <w:lang w:val="en-US" w:eastAsia="zh-CN"/>
        </w:rPr>
        <w:t>及</w:t>
      </w:r>
      <w:r>
        <w:rPr>
          <w:rFonts w:hint="eastAsia" w:ascii="宋体" w:hAnsi="宋体" w:eastAsia="宋体" w:cs="宋体"/>
          <w:color w:val="auto"/>
          <w:kern w:val="0"/>
          <w:sz w:val="24"/>
          <w:highlight w:val="none"/>
        </w:rPr>
        <w:t>有效的安全生产考核合格证书（B类</w:t>
      </w:r>
      <w:r>
        <w:rPr>
          <w:rFonts w:hint="eastAsia" w:ascii="宋体" w:hAnsi="宋体"/>
          <w:color w:val="auto"/>
          <w:highlight w:val="none"/>
        </w:rPr>
        <w:t>）</w:t>
      </w:r>
      <w:r>
        <w:rPr>
          <w:rFonts w:hint="eastAsia" w:ascii="宋体" w:hAnsi="宋体" w:cs="宋体"/>
          <w:color w:val="auto"/>
          <w:kern w:val="0"/>
          <w:sz w:val="24"/>
          <w:highlight w:val="none"/>
        </w:rPr>
        <w:t>…………………………………………………………………………（页码）</w:t>
      </w:r>
    </w:p>
    <w:p w14:paraId="13C2A637">
      <w:pPr>
        <w:pStyle w:val="31"/>
        <w:ind w:firstLine="0" w:firstLineChars="0"/>
        <w:rPr>
          <w:rFonts w:hint="eastAsia" w:hAnsi="宋体" w:cs="宋体"/>
          <w:b/>
          <w:bCs/>
          <w:color w:val="auto"/>
          <w:szCs w:val="24"/>
          <w:highlight w:val="none"/>
        </w:rPr>
      </w:pPr>
      <w:r>
        <w:rPr>
          <w:rFonts w:hint="eastAsia" w:hAnsi="宋体" w:cs="宋体"/>
          <w:color w:val="auto"/>
          <w:szCs w:val="24"/>
          <w:highlight w:val="none"/>
          <w:lang w:val="en-US" w:eastAsia="zh-CN"/>
        </w:rPr>
        <w:t>八</w:t>
      </w:r>
      <w:r>
        <w:rPr>
          <w:rFonts w:hint="eastAsia" w:hAnsi="宋体" w:cs="宋体"/>
          <w:color w:val="auto"/>
          <w:szCs w:val="24"/>
          <w:highlight w:val="none"/>
        </w:rPr>
        <w:t>、中小企业声明函或残疾人福利性单位声明函或投标人属于监狱企业的证明材料</w:t>
      </w:r>
      <w:r>
        <w:rPr>
          <w:rFonts w:hint="eastAsia" w:hAnsi="宋体" w:cs="宋体"/>
          <w:color w:val="auto"/>
          <w:highlight w:val="none"/>
        </w:rPr>
        <w:t>…………………………………………………………………………………（页码）</w:t>
      </w:r>
    </w:p>
    <w:p w14:paraId="361B7E5A">
      <w:pPr>
        <w:pStyle w:val="31"/>
        <w:ind w:firstLine="0" w:firstLineChars="0"/>
        <w:rPr>
          <w:rFonts w:hint="eastAsia" w:hAnsi="宋体" w:cs="宋体"/>
          <w:color w:val="auto"/>
          <w:szCs w:val="24"/>
          <w:highlight w:val="none"/>
        </w:rPr>
      </w:pPr>
      <w:r>
        <w:rPr>
          <w:rFonts w:hint="eastAsia" w:hAnsi="宋体" w:cs="宋体"/>
          <w:color w:val="auto"/>
          <w:szCs w:val="24"/>
          <w:highlight w:val="none"/>
          <w:lang w:val="en-US" w:eastAsia="zh-CN"/>
        </w:rPr>
        <w:t>九</w:t>
      </w:r>
      <w:r>
        <w:rPr>
          <w:rFonts w:hint="eastAsia" w:hAnsi="宋体" w:cs="宋体"/>
          <w:color w:val="auto"/>
          <w:szCs w:val="24"/>
          <w:highlight w:val="none"/>
        </w:rPr>
        <w:t>、除磋商文件规定必须提供以外，供应商认为需要提供的其他证明材料</w:t>
      </w:r>
      <w:r>
        <w:rPr>
          <w:rFonts w:hint="eastAsia" w:hAnsi="宋体" w:cs="宋体"/>
          <w:color w:val="auto"/>
          <w:highlight w:val="none"/>
        </w:rPr>
        <w:t>…（页码）</w:t>
      </w:r>
    </w:p>
    <w:p w14:paraId="653D9CE4">
      <w:pPr>
        <w:pStyle w:val="31"/>
        <w:ind w:firstLine="0" w:firstLineChars="0"/>
        <w:rPr>
          <w:rFonts w:hint="eastAsia" w:hAnsi="宋体" w:cs="宋体"/>
          <w:color w:val="auto"/>
          <w:highlight w:val="none"/>
        </w:rPr>
      </w:pPr>
    </w:p>
    <w:p w14:paraId="014DB4AE">
      <w:pPr>
        <w:spacing w:line="360" w:lineRule="auto"/>
        <w:rPr>
          <w:rFonts w:hint="eastAsia" w:ascii="宋体" w:hAnsi="宋体" w:cs="宋体"/>
          <w:b/>
          <w:bCs/>
          <w:color w:val="auto"/>
          <w:sz w:val="24"/>
          <w:highlight w:val="none"/>
        </w:rPr>
      </w:pPr>
    </w:p>
    <w:p w14:paraId="749470C3">
      <w:pPr>
        <w:spacing w:line="360" w:lineRule="auto"/>
        <w:rPr>
          <w:rFonts w:hint="eastAsia" w:ascii="宋体" w:hAnsi="宋体" w:cs="宋体"/>
          <w:b/>
          <w:bCs/>
          <w:color w:val="auto"/>
          <w:sz w:val="24"/>
          <w:highlight w:val="none"/>
        </w:rPr>
      </w:pPr>
      <w:r>
        <w:rPr>
          <w:rFonts w:hint="eastAsia" w:ascii="宋体" w:hAnsi="宋体" w:cs="宋体"/>
          <w:b/>
          <w:bCs/>
          <w:color w:val="auto"/>
          <w:sz w:val="24"/>
          <w:highlight w:val="none"/>
        </w:rPr>
        <w:t>注：以上目录是编制供应商响应文件的基本格式要求，各供应商可根据自身情况进一步细化。</w:t>
      </w:r>
    </w:p>
    <w:p w14:paraId="1914FB57">
      <w:pPr>
        <w:snapToGrid w:val="0"/>
        <w:spacing w:before="120" w:beforeLines="50" w:after="50" w:line="360" w:lineRule="auto"/>
        <w:ind w:left="142" w:firstLine="420" w:firstLineChars="200"/>
        <w:jc w:val="left"/>
        <w:rPr>
          <w:rFonts w:hint="eastAsia" w:ascii="宋体" w:hAnsi="宋体" w:cs="宋体"/>
          <w:color w:val="auto"/>
          <w:szCs w:val="21"/>
          <w:highlight w:val="none"/>
        </w:rPr>
      </w:pPr>
    </w:p>
    <w:p w14:paraId="613DF281">
      <w:pPr>
        <w:spacing w:line="300" w:lineRule="auto"/>
        <w:rPr>
          <w:rFonts w:hint="eastAsia" w:ascii="宋体" w:hAnsi="宋体" w:cs="宋体"/>
          <w:color w:val="auto"/>
          <w:szCs w:val="21"/>
          <w:highlight w:val="none"/>
        </w:rPr>
      </w:pPr>
    </w:p>
    <w:p w14:paraId="5F60A8A0">
      <w:pPr>
        <w:spacing w:line="300" w:lineRule="auto"/>
        <w:rPr>
          <w:rFonts w:hint="eastAsia" w:ascii="宋体" w:hAnsi="宋体" w:cs="宋体"/>
          <w:color w:val="auto"/>
          <w:szCs w:val="21"/>
          <w:highlight w:val="none"/>
        </w:rPr>
      </w:pPr>
    </w:p>
    <w:p w14:paraId="51CDB067">
      <w:pPr>
        <w:spacing w:line="300" w:lineRule="auto"/>
        <w:rPr>
          <w:rFonts w:hint="eastAsia" w:ascii="宋体" w:hAnsi="宋体" w:cs="宋体"/>
          <w:color w:val="auto"/>
          <w:szCs w:val="21"/>
          <w:highlight w:val="none"/>
        </w:rPr>
      </w:pPr>
    </w:p>
    <w:p w14:paraId="2602F511">
      <w:pPr>
        <w:spacing w:line="300" w:lineRule="auto"/>
        <w:rPr>
          <w:rFonts w:hint="eastAsia" w:ascii="宋体" w:hAnsi="宋体" w:cs="宋体"/>
          <w:color w:val="auto"/>
          <w:szCs w:val="21"/>
          <w:highlight w:val="none"/>
        </w:rPr>
      </w:pPr>
    </w:p>
    <w:p w14:paraId="3EE4B3E2">
      <w:pPr>
        <w:spacing w:line="300" w:lineRule="auto"/>
        <w:rPr>
          <w:rFonts w:hint="eastAsia" w:ascii="宋体" w:hAnsi="宋体" w:cs="宋体"/>
          <w:color w:val="auto"/>
          <w:szCs w:val="21"/>
          <w:highlight w:val="none"/>
        </w:rPr>
      </w:pPr>
    </w:p>
    <w:p w14:paraId="3E1BDD2F">
      <w:pPr>
        <w:spacing w:line="300" w:lineRule="auto"/>
        <w:rPr>
          <w:rFonts w:hint="eastAsia" w:ascii="宋体" w:hAnsi="宋体" w:cs="宋体"/>
          <w:color w:val="auto"/>
          <w:szCs w:val="21"/>
          <w:highlight w:val="none"/>
        </w:rPr>
      </w:pPr>
    </w:p>
    <w:p w14:paraId="44114C7A">
      <w:pPr>
        <w:spacing w:line="300" w:lineRule="auto"/>
        <w:rPr>
          <w:rFonts w:hint="eastAsia" w:ascii="宋体" w:hAnsi="宋体" w:cs="宋体"/>
          <w:color w:val="auto"/>
          <w:szCs w:val="21"/>
          <w:highlight w:val="none"/>
        </w:rPr>
      </w:pPr>
    </w:p>
    <w:p w14:paraId="18A9947B">
      <w:pPr>
        <w:pStyle w:val="15"/>
        <w:spacing w:line="360" w:lineRule="auto"/>
        <w:ind w:firstLine="400" w:firstLineChars="200"/>
        <w:rPr>
          <w:rFonts w:hint="eastAsia" w:hAnsi="宋体" w:cs="宋体"/>
          <w:b/>
          <w:color w:val="auto"/>
          <w:sz w:val="30"/>
          <w:szCs w:val="30"/>
          <w:highlight w:val="none"/>
        </w:rPr>
      </w:pPr>
      <w:r>
        <w:rPr>
          <w:rFonts w:hint="eastAsia" w:hAnsi="宋体" w:cs="宋体"/>
          <w:color w:val="auto"/>
          <w:highlight w:val="none"/>
        </w:rPr>
        <w:br w:type="page"/>
      </w:r>
      <w:r>
        <w:rPr>
          <w:rFonts w:hint="eastAsia" w:hAnsi="宋体" w:cs="宋体"/>
          <w:b/>
          <w:color w:val="auto"/>
          <w:sz w:val="30"/>
          <w:szCs w:val="30"/>
          <w:highlight w:val="none"/>
        </w:rPr>
        <w:t>一、营业执照(或事业法人登记证或其他工商等登记证明材料)复印件（供应商为自然人的，提供自然人的身份证明）</w:t>
      </w:r>
    </w:p>
    <w:p w14:paraId="7C6F6635">
      <w:pPr>
        <w:pStyle w:val="15"/>
        <w:spacing w:line="360" w:lineRule="auto"/>
        <w:ind w:firstLine="602" w:firstLineChars="200"/>
        <w:rPr>
          <w:rFonts w:hint="eastAsia" w:hAnsi="宋体" w:cs="宋体"/>
          <w:b/>
          <w:color w:val="auto"/>
          <w:sz w:val="30"/>
          <w:szCs w:val="30"/>
          <w:highlight w:val="none"/>
        </w:rPr>
      </w:pPr>
    </w:p>
    <w:p w14:paraId="50133E4C">
      <w:pPr>
        <w:autoSpaceDE w:val="0"/>
        <w:autoSpaceDN w:val="0"/>
        <w:spacing w:line="360" w:lineRule="auto"/>
        <w:ind w:left="4365" w:leftChars="1850" w:hanging="480" w:hangingChars="200"/>
        <w:rPr>
          <w:rFonts w:hint="eastAsia"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2DD05826">
      <w:pPr>
        <w:autoSpaceDE w:val="0"/>
        <w:autoSpaceDN w:val="0"/>
        <w:spacing w:line="360" w:lineRule="auto"/>
        <w:ind w:firstLine="6120" w:firstLineChars="2550"/>
        <w:rPr>
          <w:rFonts w:hint="eastAsia" w:ascii="宋体" w:hAnsi="宋体" w:cs="宋体"/>
          <w:b/>
          <w:bCs/>
          <w:color w:val="auto"/>
          <w:sz w:val="24"/>
          <w:highlight w:val="none"/>
        </w:rPr>
      </w:pPr>
      <w:r>
        <w:rPr>
          <w:rFonts w:hint="eastAsia" w:ascii="宋体" w:hAnsi="宋体" w:cs="宋体"/>
          <w:color w:val="auto"/>
          <w:kern w:val="0"/>
          <w:sz w:val="24"/>
          <w:highlight w:val="none"/>
          <w:lang w:val="zh-CN"/>
        </w:rPr>
        <w:t xml:space="preserve">日期：  年 </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 xml:space="preserve"> 月   日</w:t>
      </w:r>
    </w:p>
    <w:p w14:paraId="07224F98">
      <w:pPr>
        <w:snapToGrid w:val="0"/>
        <w:spacing w:before="120" w:beforeLines="50" w:after="50"/>
        <w:rPr>
          <w:rFonts w:hint="eastAsia" w:ascii="宋体" w:hAnsi="宋体" w:cs="宋体"/>
          <w:color w:val="auto"/>
          <w:sz w:val="24"/>
          <w:szCs w:val="20"/>
          <w:highlight w:val="none"/>
        </w:rPr>
      </w:pPr>
    </w:p>
    <w:p w14:paraId="004C513B">
      <w:pPr>
        <w:pStyle w:val="15"/>
        <w:spacing w:line="360" w:lineRule="auto"/>
        <w:ind w:firstLine="602" w:firstLineChars="200"/>
        <w:rPr>
          <w:rFonts w:hint="eastAsia" w:hAnsi="宋体" w:cs="宋体"/>
          <w:b/>
          <w:color w:val="auto"/>
          <w:sz w:val="30"/>
          <w:szCs w:val="30"/>
          <w:highlight w:val="none"/>
        </w:rPr>
      </w:pPr>
    </w:p>
    <w:p w14:paraId="3DB486C6">
      <w:pPr>
        <w:pStyle w:val="15"/>
        <w:spacing w:line="360" w:lineRule="auto"/>
        <w:ind w:firstLine="602" w:firstLineChars="200"/>
        <w:rPr>
          <w:rFonts w:hint="eastAsia" w:hAnsi="宋体" w:cs="宋体"/>
          <w:b/>
          <w:color w:val="auto"/>
          <w:sz w:val="30"/>
          <w:szCs w:val="30"/>
          <w:highlight w:val="none"/>
        </w:rPr>
      </w:pPr>
    </w:p>
    <w:p w14:paraId="04E29A9E">
      <w:pPr>
        <w:pStyle w:val="15"/>
        <w:spacing w:line="360" w:lineRule="auto"/>
        <w:ind w:firstLine="602" w:firstLineChars="200"/>
        <w:rPr>
          <w:rFonts w:hint="eastAsia" w:hAnsi="宋体" w:cs="宋体"/>
          <w:b/>
          <w:color w:val="auto"/>
          <w:sz w:val="30"/>
          <w:szCs w:val="30"/>
          <w:highlight w:val="none"/>
        </w:rPr>
      </w:pPr>
      <w:r>
        <w:rPr>
          <w:rFonts w:hint="eastAsia" w:hAnsi="宋体" w:cs="宋体"/>
          <w:b/>
          <w:color w:val="auto"/>
          <w:sz w:val="30"/>
          <w:szCs w:val="30"/>
          <w:highlight w:val="none"/>
        </w:rPr>
        <w:t>二、符合参与政府采购活动的资格条件依法缴纳税收、社会保障资金等方面的材料</w:t>
      </w:r>
    </w:p>
    <w:p w14:paraId="753FDEF9">
      <w:pPr>
        <w:spacing w:line="300" w:lineRule="auto"/>
        <w:rPr>
          <w:rFonts w:hint="eastAsia" w:ascii="宋体" w:hAnsi="宋体" w:cs="宋体"/>
          <w:color w:val="auto"/>
          <w:szCs w:val="21"/>
          <w:highlight w:val="none"/>
        </w:rPr>
      </w:pPr>
    </w:p>
    <w:p w14:paraId="27FE08A0">
      <w:pPr>
        <w:autoSpaceDE w:val="0"/>
        <w:autoSpaceDN w:val="0"/>
        <w:spacing w:line="360" w:lineRule="auto"/>
        <w:ind w:left="4365" w:leftChars="1850" w:hanging="480" w:hangingChars="200"/>
        <w:rPr>
          <w:rFonts w:hint="eastAsia"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1608A602">
      <w:pPr>
        <w:autoSpaceDE w:val="0"/>
        <w:autoSpaceDN w:val="0"/>
        <w:spacing w:line="360" w:lineRule="auto"/>
        <w:ind w:firstLine="6120" w:firstLineChars="2550"/>
        <w:rPr>
          <w:rFonts w:hint="eastAsia" w:ascii="宋体" w:hAnsi="宋体" w:cs="宋体"/>
          <w:b/>
          <w:bCs/>
          <w:color w:val="auto"/>
          <w:sz w:val="24"/>
          <w:highlight w:val="none"/>
        </w:rPr>
      </w:pPr>
      <w:r>
        <w:rPr>
          <w:rFonts w:hint="eastAsia" w:ascii="宋体" w:hAnsi="宋体" w:cs="宋体"/>
          <w:color w:val="auto"/>
          <w:kern w:val="0"/>
          <w:sz w:val="24"/>
          <w:highlight w:val="none"/>
          <w:lang w:val="zh-CN"/>
        </w:rPr>
        <w:t xml:space="preserve">日期：  年  </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月   日</w:t>
      </w:r>
    </w:p>
    <w:p w14:paraId="6E8C1AA7">
      <w:pPr>
        <w:spacing w:line="300" w:lineRule="auto"/>
        <w:rPr>
          <w:rFonts w:hint="eastAsia" w:ascii="宋体" w:hAnsi="宋体" w:cs="宋体"/>
          <w:color w:val="auto"/>
          <w:szCs w:val="21"/>
          <w:highlight w:val="none"/>
        </w:rPr>
      </w:pPr>
    </w:p>
    <w:p w14:paraId="12B1A7E9">
      <w:pPr>
        <w:spacing w:line="300" w:lineRule="auto"/>
        <w:ind w:firstLine="596" w:firstLineChars="198"/>
        <w:rPr>
          <w:rFonts w:hint="eastAsia" w:ascii="宋体" w:hAnsi="宋体" w:cs="宋体"/>
          <w:b/>
          <w:color w:val="auto"/>
          <w:kern w:val="0"/>
          <w:sz w:val="30"/>
          <w:szCs w:val="30"/>
          <w:highlight w:val="none"/>
        </w:rPr>
      </w:pPr>
    </w:p>
    <w:p w14:paraId="2BCFE9FA">
      <w:pPr>
        <w:spacing w:line="300" w:lineRule="auto"/>
        <w:ind w:firstLine="596" w:firstLineChars="198"/>
        <w:rPr>
          <w:rFonts w:hint="eastAsia" w:ascii="宋体" w:hAnsi="宋体" w:cs="宋体"/>
          <w:b/>
          <w:color w:val="auto"/>
          <w:kern w:val="0"/>
          <w:sz w:val="30"/>
          <w:szCs w:val="30"/>
          <w:highlight w:val="none"/>
        </w:rPr>
      </w:pPr>
    </w:p>
    <w:p w14:paraId="7E6FF65E">
      <w:pPr>
        <w:spacing w:line="300" w:lineRule="auto"/>
        <w:ind w:firstLine="596" w:firstLineChars="198"/>
        <w:rPr>
          <w:rFonts w:hint="eastAsia" w:ascii="宋体" w:hAnsi="宋体" w:cs="宋体"/>
          <w:b/>
          <w:color w:val="auto"/>
          <w:kern w:val="0"/>
          <w:sz w:val="30"/>
          <w:szCs w:val="30"/>
          <w:highlight w:val="none"/>
        </w:rPr>
      </w:pPr>
    </w:p>
    <w:p w14:paraId="4F3C86F7">
      <w:pPr>
        <w:spacing w:line="300" w:lineRule="auto"/>
        <w:ind w:firstLine="596" w:firstLineChars="198"/>
        <w:rPr>
          <w:rFonts w:hint="eastAsia" w:ascii="宋体" w:hAnsi="宋体" w:cs="宋体"/>
          <w:b/>
          <w:color w:val="auto"/>
          <w:kern w:val="0"/>
          <w:sz w:val="30"/>
          <w:szCs w:val="30"/>
          <w:highlight w:val="none"/>
        </w:rPr>
      </w:pPr>
      <w:r>
        <w:rPr>
          <w:rFonts w:hint="eastAsia" w:ascii="宋体" w:hAnsi="宋体" w:cs="宋体"/>
          <w:b/>
          <w:color w:val="auto"/>
          <w:kern w:val="0"/>
          <w:sz w:val="30"/>
          <w:szCs w:val="30"/>
          <w:highlight w:val="none"/>
        </w:rPr>
        <w:t>三、财务状况报告方面的材料</w:t>
      </w:r>
    </w:p>
    <w:p w14:paraId="2A37FCD1">
      <w:pPr>
        <w:spacing w:line="300" w:lineRule="auto"/>
        <w:rPr>
          <w:rFonts w:hint="eastAsia" w:ascii="宋体" w:hAnsi="宋体" w:cs="宋体"/>
          <w:color w:val="auto"/>
          <w:szCs w:val="21"/>
          <w:highlight w:val="none"/>
        </w:rPr>
      </w:pPr>
    </w:p>
    <w:p w14:paraId="73F8C799">
      <w:pPr>
        <w:autoSpaceDE w:val="0"/>
        <w:autoSpaceDN w:val="0"/>
        <w:spacing w:line="360" w:lineRule="auto"/>
        <w:ind w:left="4365" w:leftChars="1850" w:hanging="480" w:hangingChars="200"/>
        <w:rPr>
          <w:rFonts w:hint="eastAsia"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6FBB8F00">
      <w:pPr>
        <w:autoSpaceDE w:val="0"/>
        <w:autoSpaceDN w:val="0"/>
        <w:spacing w:line="360" w:lineRule="auto"/>
        <w:ind w:firstLine="6120" w:firstLineChars="2550"/>
        <w:rPr>
          <w:rFonts w:hint="eastAsia" w:ascii="宋体" w:hAnsi="宋体" w:cs="宋体"/>
          <w:b/>
          <w:bCs/>
          <w:color w:val="auto"/>
          <w:sz w:val="24"/>
          <w:highlight w:val="none"/>
        </w:rPr>
      </w:pPr>
      <w:r>
        <w:rPr>
          <w:rFonts w:hint="eastAsia" w:ascii="宋体" w:hAnsi="宋体" w:cs="宋体"/>
          <w:color w:val="auto"/>
          <w:kern w:val="0"/>
          <w:sz w:val="24"/>
          <w:highlight w:val="none"/>
          <w:lang w:val="zh-CN"/>
        </w:rPr>
        <w:t xml:space="preserve">日期：  年 </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 xml:space="preserve"> 月   日</w:t>
      </w:r>
    </w:p>
    <w:p w14:paraId="3F67A3DB">
      <w:pPr>
        <w:spacing w:line="320" w:lineRule="exact"/>
        <w:jc w:val="left"/>
        <w:rPr>
          <w:rFonts w:hint="eastAsia" w:ascii="宋体" w:hAnsi="宋体" w:cs="宋体"/>
          <w:color w:val="auto"/>
          <w:szCs w:val="21"/>
          <w:highlight w:val="none"/>
        </w:rPr>
      </w:pPr>
      <w:r>
        <w:rPr>
          <w:rFonts w:hint="eastAsia" w:ascii="宋体" w:hAnsi="宋体" w:cs="宋体"/>
          <w:color w:val="auto"/>
          <w:szCs w:val="21"/>
          <w:highlight w:val="none"/>
        </w:rPr>
        <w:t xml:space="preserve"> </w:t>
      </w:r>
    </w:p>
    <w:p w14:paraId="3E895C11">
      <w:pPr>
        <w:snapToGrid w:val="0"/>
        <w:spacing w:before="120" w:beforeLines="50" w:after="50" w:line="360" w:lineRule="auto"/>
        <w:jc w:val="center"/>
        <w:rPr>
          <w:rFonts w:hint="eastAsia" w:ascii="宋体" w:hAnsi="宋体" w:cs="宋体"/>
          <w:b/>
          <w:color w:val="auto"/>
          <w:sz w:val="24"/>
          <w:highlight w:val="none"/>
        </w:rPr>
      </w:pPr>
    </w:p>
    <w:p w14:paraId="52877E8C">
      <w:pPr>
        <w:spacing w:line="360" w:lineRule="auto"/>
        <w:ind w:firstLine="596" w:firstLineChars="198"/>
        <w:rPr>
          <w:rFonts w:hint="eastAsia" w:ascii="宋体" w:hAnsi="宋体" w:cs="宋体"/>
          <w:b/>
          <w:color w:val="auto"/>
          <w:kern w:val="0"/>
          <w:sz w:val="30"/>
          <w:szCs w:val="30"/>
          <w:highlight w:val="none"/>
        </w:rPr>
      </w:pPr>
      <w:r>
        <w:rPr>
          <w:rFonts w:hint="eastAsia" w:ascii="宋体" w:hAnsi="宋体" w:cs="宋体"/>
          <w:b/>
          <w:color w:val="auto"/>
          <w:kern w:val="0"/>
          <w:sz w:val="30"/>
          <w:szCs w:val="30"/>
          <w:highlight w:val="none"/>
        </w:rPr>
        <w:br w:type="page"/>
      </w:r>
      <w:r>
        <w:rPr>
          <w:rFonts w:hint="eastAsia" w:ascii="宋体" w:hAnsi="宋体" w:cs="宋体"/>
          <w:b/>
          <w:color w:val="auto"/>
          <w:kern w:val="0"/>
          <w:sz w:val="30"/>
          <w:szCs w:val="30"/>
          <w:highlight w:val="none"/>
        </w:rPr>
        <w:t>四、供应商直接控股股东信息表</w:t>
      </w:r>
    </w:p>
    <w:p w14:paraId="1850E0F5">
      <w:pPr>
        <w:spacing w:line="360" w:lineRule="auto"/>
        <w:jc w:val="center"/>
        <w:rPr>
          <w:rFonts w:hint="eastAsia" w:ascii="宋体" w:hAnsi="宋体" w:cs="宋体"/>
          <w:b/>
          <w:color w:val="auto"/>
          <w:kern w:val="0"/>
          <w:sz w:val="30"/>
          <w:szCs w:val="30"/>
          <w:highlight w:val="none"/>
        </w:rPr>
      </w:pPr>
    </w:p>
    <w:p w14:paraId="14961EB1">
      <w:pPr>
        <w:spacing w:line="360" w:lineRule="auto"/>
        <w:jc w:val="center"/>
        <w:rPr>
          <w:rFonts w:hint="eastAsia" w:ascii="宋体" w:hAnsi="宋体" w:cs="宋体"/>
          <w:b/>
          <w:color w:val="auto"/>
          <w:sz w:val="24"/>
          <w:highlight w:val="none"/>
        </w:rPr>
      </w:pPr>
      <w:r>
        <w:rPr>
          <w:rFonts w:hint="eastAsia" w:ascii="宋体" w:hAnsi="宋体" w:cs="宋体"/>
          <w:b/>
          <w:color w:val="auto"/>
          <w:kern w:val="0"/>
          <w:sz w:val="30"/>
          <w:szCs w:val="30"/>
          <w:highlight w:val="none"/>
        </w:rPr>
        <w:t>供应商直接控股股东信息表</w:t>
      </w:r>
    </w:p>
    <w:tbl>
      <w:tblPr>
        <w:tblStyle w:val="23"/>
        <w:tblW w:w="0" w:type="auto"/>
        <w:jc w:val="center"/>
        <w:shd w:val="clear" w:color="auto" w:fill="FBFBFB"/>
        <w:tblLayout w:type="fixed"/>
        <w:tblCellMar>
          <w:top w:w="0" w:type="dxa"/>
          <w:left w:w="0" w:type="dxa"/>
          <w:bottom w:w="0" w:type="dxa"/>
          <w:right w:w="0" w:type="dxa"/>
        </w:tblCellMar>
      </w:tblPr>
      <w:tblGrid>
        <w:gridCol w:w="880"/>
        <w:gridCol w:w="2655"/>
        <w:gridCol w:w="1455"/>
        <w:gridCol w:w="4287"/>
        <w:gridCol w:w="870"/>
      </w:tblGrid>
      <w:tr w14:paraId="62E256F6">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0D7387A">
            <w:pPr>
              <w:widowControl/>
              <w:spacing w:line="360" w:lineRule="auto"/>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5CC5DD4">
            <w:pPr>
              <w:widowControl/>
              <w:spacing w:line="360" w:lineRule="auto"/>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C4B788D">
            <w:pPr>
              <w:widowControl/>
              <w:spacing w:line="360" w:lineRule="auto"/>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2FC8ECA">
            <w:pPr>
              <w:widowControl/>
              <w:spacing w:line="360" w:lineRule="auto"/>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CAD5D08">
            <w:pPr>
              <w:widowControl/>
              <w:spacing w:line="360" w:lineRule="auto"/>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563A7927">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FE2B05C">
            <w:pPr>
              <w:widowControl/>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1</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58CD1A4">
            <w:pPr>
              <w:widowControl/>
              <w:spacing w:line="360" w:lineRule="auto"/>
              <w:jc w:val="center"/>
              <w:rPr>
                <w:rFonts w:hint="eastAsia" w:ascii="宋体" w:hAnsi="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58A1288">
            <w:pPr>
              <w:widowControl/>
              <w:spacing w:line="360" w:lineRule="auto"/>
              <w:jc w:val="center"/>
              <w:rPr>
                <w:rFonts w:hint="eastAsia" w:ascii="宋体" w:hAnsi="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12C1FAD">
            <w:pPr>
              <w:widowControl/>
              <w:spacing w:line="360" w:lineRule="auto"/>
              <w:jc w:val="center"/>
              <w:rPr>
                <w:rFonts w:hint="eastAsia" w:ascii="宋体" w:hAnsi="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7A785BE">
            <w:pPr>
              <w:widowControl/>
              <w:spacing w:line="360" w:lineRule="auto"/>
              <w:jc w:val="center"/>
              <w:rPr>
                <w:rFonts w:hint="eastAsia" w:ascii="宋体" w:hAnsi="宋体" w:cs="宋体"/>
                <w:color w:val="auto"/>
                <w:kern w:val="0"/>
                <w:sz w:val="24"/>
                <w:highlight w:val="none"/>
              </w:rPr>
            </w:pPr>
          </w:p>
        </w:tc>
      </w:tr>
      <w:tr w14:paraId="3D53CBB3">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0403067">
            <w:pPr>
              <w:widowControl/>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2</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F7E6C22">
            <w:pPr>
              <w:widowControl/>
              <w:spacing w:line="360" w:lineRule="auto"/>
              <w:jc w:val="center"/>
              <w:rPr>
                <w:rFonts w:hint="eastAsia" w:ascii="宋体" w:hAnsi="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8F2244F">
            <w:pPr>
              <w:widowControl/>
              <w:spacing w:line="360" w:lineRule="auto"/>
              <w:jc w:val="center"/>
              <w:rPr>
                <w:rFonts w:hint="eastAsia" w:ascii="宋体" w:hAnsi="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22234ED">
            <w:pPr>
              <w:widowControl/>
              <w:spacing w:line="360" w:lineRule="auto"/>
              <w:jc w:val="center"/>
              <w:rPr>
                <w:rFonts w:hint="eastAsia" w:ascii="宋体" w:hAnsi="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3D16DF3">
            <w:pPr>
              <w:widowControl/>
              <w:spacing w:line="360" w:lineRule="auto"/>
              <w:jc w:val="center"/>
              <w:rPr>
                <w:rFonts w:hint="eastAsia" w:ascii="宋体" w:hAnsi="宋体" w:cs="宋体"/>
                <w:color w:val="auto"/>
                <w:kern w:val="0"/>
                <w:sz w:val="24"/>
                <w:highlight w:val="none"/>
              </w:rPr>
            </w:pPr>
          </w:p>
        </w:tc>
      </w:tr>
      <w:tr w14:paraId="080E33A1">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168BFAA">
            <w:pPr>
              <w:widowControl/>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3</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FD68CA3">
            <w:pPr>
              <w:widowControl/>
              <w:spacing w:line="360" w:lineRule="auto"/>
              <w:jc w:val="center"/>
              <w:rPr>
                <w:rFonts w:hint="eastAsia" w:ascii="宋体" w:hAnsi="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105647F">
            <w:pPr>
              <w:widowControl/>
              <w:spacing w:line="360" w:lineRule="auto"/>
              <w:jc w:val="center"/>
              <w:rPr>
                <w:rFonts w:hint="eastAsia" w:ascii="宋体" w:hAnsi="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6AC48BF">
            <w:pPr>
              <w:widowControl/>
              <w:spacing w:line="360" w:lineRule="auto"/>
              <w:jc w:val="center"/>
              <w:rPr>
                <w:rFonts w:hint="eastAsia" w:ascii="宋体" w:hAnsi="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0B62105">
            <w:pPr>
              <w:widowControl/>
              <w:spacing w:line="360" w:lineRule="auto"/>
              <w:jc w:val="center"/>
              <w:rPr>
                <w:rFonts w:hint="eastAsia" w:ascii="宋体" w:hAnsi="宋体" w:cs="宋体"/>
                <w:color w:val="auto"/>
                <w:kern w:val="0"/>
                <w:sz w:val="24"/>
                <w:highlight w:val="none"/>
              </w:rPr>
            </w:pPr>
          </w:p>
        </w:tc>
      </w:tr>
      <w:tr w14:paraId="12C86D49">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2669187">
            <w:pPr>
              <w:widowControl/>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03D7C89">
            <w:pPr>
              <w:widowControl/>
              <w:spacing w:line="360" w:lineRule="auto"/>
              <w:jc w:val="center"/>
              <w:rPr>
                <w:rFonts w:hint="eastAsia" w:ascii="宋体" w:hAnsi="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B67E9D6">
            <w:pPr>
              <w:widowControl/>
              <w:spacing w:line="360" w:lineRule="auto"/>
              <w:jc w:val="center"/>
              <w:rPr>
                <w:rFonts w:hint="eastAsia" w:ascii="宋体" w:hAnsi="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0CD5E1A">
            <w:pPr>
              <w:widowControl/>
              <w:spacing w:line="360" w:lineRule="auto"/>
              <w:jc w:val="center"/>
              <w:rPr>
                <w:rFonts w:hint="eastAsia" w:ascii="宋体" w:hAnsi="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41760E2">
            <w:pPr>
              <w:widowControl/>
              <w:spacing w:line="360" w:lineRule="auto"/>
              <w:jc w:val="center"/>
              <w:rPr>
                <w:rFonts w:hint="eastAsia" w:ascii="宋体" w:hAnsi="宋体" w:cs="宋体"/>
                <w:color w:val="auto"/>
                <w:kern w:val="0"/>
                <w:sz w:val="24"/>
                <w:highlight w:val="none"/>
              </w:rPr>
            </w:pPr>
          </w:p>
        </w:tc>
      </w:tr>
    </w:tbl>
    <w:p w14:paraId="1B54A81A">
      <w:pPr>
        <w:spacing w:line="360" w:lineRule="auto"/>
        <w:jc w:val="left"/>
        <w:rPr>
          <w:rFonts w:hint="eastAsia" w:ascii="宋体" w:hAnsi="宋体" w:cs="宋体"/>
          <w:color w:val="auto"/>
          <w:kern w:val="0"/>
          <w:sz w:val="24"/>
          <w:highlight w:val="none"/>
        </w:rPr>
      </w:pPr>
      <w:r>
        <w:rPr>
          <w:rFonts w:hint="eastAsia" w:ascii="宋体" w:hAnsi="宋体" w:cs="宋体"/>
          <w:color w:val="auto"/>
          <w:kern w:val="0"/>
          <w:sz w:val="24"/>
          <w:highlight w:val="none"/>
        </w:rPr>
        <w:t>注：</w:t>
      </w:r>
    </w:p>
    <w:p w14:paraId="3D618B6A">
      <w:pPr>
        <w:spacing w:line="36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547BAC5B">
      <w:pPr>
        <w:spacing w:line="36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2.本表所指的控股关系仅限于直接控股关系，不包括间接的控股关系。公司实际控制人与公司之间的关系不属于本表所指的直接控股关系。</w:t>
      </w:r>
    </w:p>
    <w:p w14:paraId="31CB5964">
      <w:pPr>
        <w:spacing w:line="36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3.供应商不存在直接控股股东的，则填“无”。</w:t>
      </w:r>
    </w:p>
    <w:p w14:paraId="15C8ECBE">
      <w:pPr>
        <w:snapToGrid w:val="0"/>
        <w:spacing w:line="360" w:lineRule="auto"/>
        <w:jc w:val="left"/>
        <w:rPr>
          <w:rFonts w:hint="eastAsia" w:ascii="宋体" w:hAnsi="宋体" w:cs="宋体"/>
          <w:color w:val="auto"/>
          <w:sz w:val="24"/>
          <w:highlight w:val="none"/>
        </w:rPr>
      </w:pPr>
    </w:p>
    <w:p w14:paraId="3586B9F3">
      <w:pPr>
        <w:snapToGrid w:val="0"/>
        <w:spacing w:line="360" w:lineRule="auto"/>
        <w:jc w:val="left"/>
        <w:rPr>
          <w:rFonts w:hint="eastAsia" w:ascii="宋体" w:hAnsi="宋体" w:cs="宋体"/>
          <w:color w:val="auto"/>
          <w:sz w:val="24"/>
          <w:highlight w:val="none"/>
        </w:rPr>
      </w:pPr>
    </w:p>
    <w:p w14:paraId="1969F686">
      <w:pPr>
        <w:autoSpaceDE w:val="0"/>
        <w:autoSpaceDN w:val="0"/>
        <w:spacing w:line="360" w:lineRule="auto"/>
        <w:ind w:left="4365" w:leftChars="1850" w:hanging="480" w:hangingChars="200"/>
        <w:rPr>
          <w:rFonts w:hint="eastAsia"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0AB2AD44">
      <w:pPr>
        <w:autoSpaceDE w:val="0"/>
        <w:autoSpaceDN w:val="0"/>
        <w:spacing w:line="360" w:lineRule="auto"/>
        <w:ind w:firstLine="6120" w:firstLineChars="2550"/>
        <w:rPr>
          <w:rFonts w:hint="eastAsia" w:ascii="宋体" w:hAnsi="宋体" w:cs="宋体"/>
          <w:b/>
          <w:bCs/>
          <w:color w:val="auto"/>
          <w:sz w:val="24"/>
          <w:highlight w:val="none"/>
        </w:rPr>
      </w:pPr>
      <w:r>
        <w:rPr>
          <w:rFonts w:hint="eastAsia" w:ascii="宋体" w:hAnsi="宋体" w:cs="宋体"/>
          <w:color w:val="auto"/>
          <w:kern w:val="0"/>
          <w:sz w:val="24"/>
          <w:highlight w:val="none"/>
          <w:lang w:val="zh-CN"/>
        </w:rPr>
        <w:t xml:space="preserve">日期：  年 </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 xml:space="preserve"> 月   日</w:t>
      </w:r>
    </w:p>
    <w:p w14:paraId="42A9B2E7">
      <w:pPr>
        <w:snapToGrid w:val="0"/>
        <w:rPr>
          <w:rFonts w:hint="eastAsia" w:ascii="宋体" w:hAnsi="宋体" w:cs="宋体"/>
          <w:b/>
          <w:color w:val="auto"/>
          <w:kern w:val="0"/>
          <w:sz w:val="30"/>
          <w:szCs w:val="30"/>
          <w:highlight w:val="none"/>
        </w:rPr>
      </w:pPr>
    </w:p>
    <w:p w14:paraId="5A39581E">
      <w:pPr>
        <w:snapToGrid w:val="0"/>
        <w:ind w:firstLine="596" w:firstLineChars="198"/>
        <w:rPr>
          <w:rFonts w:hint="eastAsia" w:ascii="宋体" w:hAnsi="宋体" w:cs="宋体"/>
          <w:b/>
          <w:color w:val="auto"/>
          <w:kern w:val="0"/>
          <w:sz w:val="30"/>
          <w:szCs w:val="30"/>
          <w:highlight w:val="none"/>
        </w:rPr>
      </w:pPr>
      <w:r>
        <w:rPr>
          <w:rFonts w:hint="eastAsia" w:ascii="宋体" w:hAnsi="宋体" w:cs="宋体"/>
          <w:b/>
          <w:color w:val="auto"/>
          <w:kern w:val="0"/>
          <w:sz w:val="30"/>
          <w:szCs w:val="30"/>
          <w:highlight w:val="none"/>
        </w:rPr>
        <w:br w:type="page"/>
      </w:r>
      <w:r>
        <w:rPr>
          <w:rFonts w:hint="eastAsia" w:ascii="宋体" w:hAnsi="宋体" w:cs="宋体"/>
          <w:b/>
          <w:color w:val="auto"/>
          <w:kern w:val="0"/>
          <w:sz w:val="30"/>
          <w:szCs w:val="30"/>
          <w:highlight w:val="none"/>
        </w:rPr>
        <w:t>五、供应商直接管理关系信息表</w:t>
      </w:r>
    </w:p>
    <w:p w14:paraId="6D17E33F">
      <w:pPr>
        <w:snapToGrid w:val="0"/>
        <w:spacing w:line="360" w:lineRule="auto"/>
        <w:jc w:val="center"/>
        <w:rPr>
          <w:rFonts w:hint="eastAsia" w:ascii="宋体" w:hAnsi="宋体" w:cs="宋体"/>
          <w:b/>
          <w:color w:val="auto"/>
          <w:kern w:val="0"/>
          <w:sz w:val="30"/>
          <w:szCs w:val="30"/>
          <w:highlight w:val="none"/>
        </w:rPr>
      </w:pPr>
    </w:p>
    <w:p w14:paraId="6B8EC553">
      <w:pPr>
        <w:snapToGrid w:val="0"/>
        <w:spacing w:line="360" w:lineRule="auto"/>
        <w:jc w:val="center"/>
        <w:rPr>
          <w:rFonts w:hint="eastAsia" w:ascii="宋体" w:hAnsi="宋体" w:cs="宋体"/>
          <w:b/>
          <w:color w:val="auto"/>
          <w:sz w:val="24"/>
          <w:highlight w:val="none"/>
        </w:rPr>
      </w:pPr>
      <w:r>
        <w:rPr>
          <w:rFonts w:hint="eastAsia" w:ascii="宋体" w:hAnsi="宋体" w:cs="宋体"/>
          <w:b/>
          <w:color w:val="auto"/>
          <w:kern w:val="0"/>
          <w:sz w:val="30"/>
          <w:szCs w:val="30"/>
          <w:highlight w:val="none"/>
        </w:rPr>
        <w:t>供应商直接管理关系信息表</w:t>
      </w:r>
    </w:p>
    <w:tbl>
      <w:tblPr>
        <w:tblStyle w:val="23"/>
        <w:tblW w:w="0" w:type="auto"/>
        <w:jc w:val="center"/>
        <w:shd w:val="clear" w:color="auto" w:fill="FBFBFB"/>
        <w:tblLayout w:type="fixed"/>
        <w:tblCellMar>
          <w:top w:w="0" w:type="dxa"/>
          <w:left w:w="0" w:type="dxa"/>
          <w:bottom w:w="0" w:type="dxa"/>
          <w:right w:w="0" w:type="dxa"/>
        </w:tblCellMar>
      </w:tblPr>
      <w:tblGrid>
        <w:gridCol w:w="808"/>
        <w:gridCol w:w="3600"/>
        <w:gridCol w:w="3555"/>
        <w:gridCol w:w="1689"/>
      </w:tblGrid>
      <w:tr w14:paraId="628D3539">
        <w:tblPrEx>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13238B3">
            <w:pPr>
              <w:widowControl/>
              <w:spacing w:line="360" w:lineRule="auto"/>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AC8BBB3">
            <w:pPr>
              <w:widowControl/>
              <w:spacing w:line="360" w:lineRule="auto"/>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05FB827">
            <w:pPr>
              <w:widowControl/>
              <w:spacing w:line="360" w:lineRule="auto"/>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4D7B4AA">
            <w:pPr>
              <w:widowControl/>
              <w:spacing w:line="360" w:lineRule="auto"/>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3AB07799">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D2FBF57">
            <w:pPr>
              <w:widowControl/>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1</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E8673DC">
            <w:pPr>
              <w:widowControl/>
              <w:spacing w:line="360" w:lineRule="auto"/>
              <w:jc w:val="center"/>
              <w:rPr>
                <w:rFonts w:hint="eastAsia" w:ascii="宋体" w:hAns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2274C33">
            <w:pPr>
              <w:widowControl/>
              <w:spacing w:line="360" w:lineRule="auto"/>
              <w:jc w:val="center"/>
              <w:rPr>
                <w:rFonts w:hint="eastAsia" w:ascii="宋体" w:hAns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8984B06">
            <w:pPr>
              <w:widowControl/>
              <w:spacing w:line="360" w:lineRule="auto"/>
              <w:jc w:val="center"/>
              <w:rPr>
                <w:rFonts w:hint="eastAsia" w:ascii="宋体" w:hAnsi="宋体" w:cs="宋体"/>
                <w:color w:val="auto"/>
                <w:kern w:val="0"/>
                <w:sz w:val="24"/>
                <w:highlight w:val="none"/>
              </w:rPr>
            </w:pPr>
          </w:p>
        </w:tc>
      </w:tr>
      <w:tr w14:paraId="193AFFA2">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B4E8829">
            <w:pPr>
              <w:widowControl/>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2</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9E4ADCC">
            <w:pPr>
              <w:widowControl/>
              <w:spacing w:line="360" w:lineRule="auto"/>
              <w:jc w:val="center"/>
              <w:rPr>
                <w:rFonts w:hint="eastAsia" w:ascii="宋体" w:hAns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4E3B43F">
            <w:pPr>
              <w:widowControl/>
              <w:spacing w:line="360" w:lineRule="auto"/>
              <w:jc w:val="center"/>
              <w:rPr>
                <w:rFonts w:hint="eastAsia" w:ascii="宋体" w:hAns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D3EBA62">
            <w:pPr>
              <w:widowControl/>
              <w:spacing w:line="360" w:lineRule="auto"/>
              <w:jc w:val="center"/>
              <w:rPr>
                <w:rFonts w:hint="eastAsia" w:ascii="宋体" w:hAnsi="宋体" w:cs="宋体"/>
                <w:color w:val="auto"/>
                <w:kern w:val="0"/>
                <w:sz w:val="24"/>
                <w:highlight w:val="none"/>
              </w:rPr>
            </w:pPr>
          </w:p>
        </w:tc>
      </w:tr>
      <w:tr w14:paraId="69E9A649">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278D0A8">
            <w:pPr>
              <w:widowControl/>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3</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AE8724A">
            <w:pPr>
              <w:widowControl/>
              <w:spacing w:line="360" w:lineRule="auto"/>
              <w:jc w:val="center"/>
              <w:rPr>
                <w:rFonts w:hint="eastAsia" w:ascii="宋体" w:hAns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4A543D2">
            <w:pPr>
              <w:widowControl/>
              <w:spacing w:line="360" w:lineRule="auto"/>
              <w:jc w:val="center"/>
              <w:rPr>
                <w:rFonts w:hint="eastAsia" w:ascii="宋体" w:hAns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8514679">
            <w:pPr>
              <w:widowControl/>
              <w:spacing w:line="360" w:lineRule="auto"/>
              <w:jc w:val="center"/>
              <w:rPr>
                <w:rFonts w:hint="eastAsia" w:ascii="宋体" w:hAnsi="宋体" w:cs="宋体"/>
                <w:color w:val="auto"/>
                <w:kern w:val="0"/>
                <w:sz w:val="24"/>
                <w:highlight w:val="none"/>
              </w:rPr>
            </w:pPr>
          </w:p>
        </w:tc>
      </w:tr>
      <w:tr w14:paraId="1EABD4AA">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15E298E">
            <w:pPr>
              <w:widowControl/>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5B57C32">
            <w:pPr>
              <w:widowControl/>
              <w:spacing w:line="360" w:lineRule="auto"/>
              <w:jc w:val="center"/>
              <w:rPr>
                <w:rFonts w:hint="eastAsia" w:ascii="宋体" w:hAns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A022253">
            <w:pPr>
              <w:widowControl/>
              <w:spacing w:line="360" w:lineRule="auto"/>
              <w:jc w:val="center"/>
              <w:rPr>
                <w:rFonts w:hint="eastAsia" w:ascii="宋体" w:hAns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126A591">
            <w:pPr>
              <w:widowControl/>
              <w:spacing w:line="360" w:lineRule="auto"/>
              <w:jc w:val="center"/>
              <w:rPr>
                <w:rFonts w:hint="eastAsia" w:ascii="宋体" w:hAnsi="宋体" w:cs="宋体"/>
                <w:color w:val="auto"/>
                <w:kern w:val="0"/>
                <w:sz w:val="24"/>
                <w:highlight w:val="none"/>
              </w:rPr>
            </w:pPr>
          </w:p>
        </w:tc>
      </w:tr>
    </w:tbl>
    <w:p w14:paraId="3E67DE82">
      <w:pPr>
        <w:spacing w:line="36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注：</w:t>
      </w:r>
    </w:p>
    <w:p w14:paraId="07EEC2DC">
      <w:pPr>
        <w:spacing w:line="36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1.管理关系：是指不具有出资持股关系的其他单位之间存在的管理与被管理关系，如一些上下级关系的事业单位和团体组织。</w:t>
      </w:r>
    </w:p>
    <w:p w14:paraId="6C5EA9B6">
      <w:pPr>
        <w:spacing w:line="36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2.本表所指的管理关系仅限于直接管理关系，不包括间接的管理关系。</w:t>
      </w:r>
    </w:p>
    <w:p w14:paraId="4E02781E">
      <w:pPr>
        <w:spacing w:line="36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3.供应商不存在直接管理关系的，则填“无”。</w:t>
      </w:r>
    </w:p>
    <w:p w14:paraId="432FB664">
      <w:pPr>
        <w:spacing w:line="360" w:lineRule="auto"/>
        <w:jc w:val="left"/>
        <w:rPr>
          <w:rFonts w:hint="eastAsia" w:ascii="宋体" w:hAnsi="宋体" w:cs="宋体"/>
          <w:color w:val="auto"/>
          <w:sz w:val="24"/>
          <w:highlight w:val="none"/>
        </w:rPr>
      </w:pPr>
    </w:p>
    <w:p w14:paraId="782FF728">
      <w:pPr>
        <w:autoSpaceDE w:val="0"/>
        <w:autoSpaceDN w:val="0"/>
        <w:spacing w:line="360" w:lineRule="auto"/>
        <w:ind w:left="4365" w:leftChars="1850" w:hanging="480" w:hangingChars="200"/>
        <w:rPr>
          <w:rFonts w:hint="eastAsia" w:ascii="宋体" w:hAnsi="宋体" w:cs="宋体"/>
          <w:color w:val="auto"/>
          <w:kern w:val="0"/>
          <w:sz w:val="24"/>
          <w:highlight w:val="none"/>
        </w:rPr>
      </w:pPr>
    </w:p>
    <w:p w14:paraId="03B83E6B">
      <w:pPr>
        <w:autoSpaceDE w:val="0"/>
        <w:autoSpaceDN w:val="0"/>
        <w:spacing w:line="360" w:lineRule="auto"/>
        <w:ind w:left="4365" w:leftChars="1850" w:hanging="480" w:hangingChars="200"/>
        <w:rPr>
          <w:rFonts w:hint="eastAsia" w:ascii="宋体" w:hAnsi="宋体" w:cs="宋体"/>
          <w:color w:val="auto"/>
          <w:kern w:val="0"/>
          <w:sz w:val="24"/>
          <w:highlight w:val="none"/>
        </w:rPr>
      </w:pPr>
    </w:p>
    <w:p w14:paraId="2FC80376">
      <w:pPr>
        <w:autoSpaceDE w:val="0"/>
        <w:autoSpaceDN w:val="0"/>
        <w:spacing w:line="360" w:lineRule="auto"/>
        <w:ind w:left="4365" w:leftChars="1850" w:hanging="480" w:hangingChars="200"/>
        <w:rPr>
          <w:rFonts w:hint="eastAsia"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00E245B0">
      <w:pPr>
        <w:autoSpaceDE w:val="0"/>
        <w:autoSpaceDN w:val="0"/>
        <w:spacing w:line="360" w:lineRule="auto"/>
        <w:ind w:firstLine="6120" w:firstLineChars="2550"/>
        <w:rPr>
          <w:rFonts w:hint="eastAsia" w:ascii="宋体" w:hAnsi="宋体" w:cs="宋体"/>
          <w:b/>
          <w:bCs/>
          <w:color w:val="auto"/>
          <w:sz w:val="24"/>
          <w:highlight w:val="none"/>
        </w:rPr>
      </w:pPr>
      <w:r>
        <w:rPr>
          <w:rFonts w:hint="eastAsia" w:ascii="宋体" w:hAnsi="宋体" w:cs="宋体"/>
          <w:color w:val="auto"/>
          <w:kern w:val="0"/>
          <w:sz w:val="24"/>
          <w:highlight w:val="none"/>
          <w:lang w:val="zh-CN"/>
        </w:rPr>
        <w:t>日期：  年  月   日</w:t>
      </w:r>
    </w:p>
    <w:p w14:paraId="781758C0">
      <w:pPr>
        <w:spacing w:line="32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 xml:space="preserve">     </w:t>
      </w:r>
    </w:p>
    <w:p w14:paraId="724B1075">
      <w:pPr>
        <w:spacing w:line="320" w:lineRule="exact"/>
        <w:ind w:firstLine="480" w:firstLineChars="200"/>
        <w:jc w:val="left"/>
        <w:rPr>
          <w:rFonts w:hint="eastAsia" w:ascii="宋体" w:hAnsi="宋体" w:cs="宋体"/>
          <w:color w:val="auto"/>
          <w:sz w:val="28"/>
          <w:szCs w:val="28"/>
          <w:highlight w:val="none"/>
        </w:rPr>
      </w:pPr>
      <w:r>
        <w:rPr>
          <w:rFonts w:hint="eastAsia" w:ascii="宋体" w:hAnsi="宋体" w:cs="宋体"/>
          <w:color w:val="auto"/>
          <w:sz w:val="24"/>
          <w:highlight w:val="none"/>
        </w:rPr>
        <w:br w:type="page"/>
      </w:r>
      <w:r>
        <w:rPr>
          <w:rFonts w:hint="eastAsia" w:ascii="宋体" w:hAnsi="宋体" w:cs="宋体"/>
          <w:b/>
          <w:color w:val="auto"/>
          <w:kern w:val="0"/>
          <w:sz w:val="30"/>
          <w:szCs w:val="30"/>
          <w:highlight w:val="none"/>
        </w:rPr>
        <w:t>六、资格声明函</w:t>
      </w:r>
    </w:p>
    <w:p w14:paraId="0BA2D57F">
      <w:pPr>
        <w:spacing w:line="320" w:lineRule="exact"/>
        <w:jc w:val="center"/>
        <w:rPr>
          <w:rFonts w:hint="eastAsia" w:ascii="宋体" w:hAnsi="宋体" w:cs="宋体"/>
          <w:b/>
          <w:color w:val="auto"/>
          <w:sz w:val="32"/>
          <w:szCs w:val="32"/>
          <w:highlight w:val="none"/>
        </w:rPr>
      </w:pPr>
    </w:p>
    <w:p w14:paraId="66CD1FE7">
      <w:pPr>
        <w:jc w:val="center"/>
        <w:rPr>
          <w:rFonts w:hint="eastAsia" w:ascii="宋体" w:hAnsi="宋体" w:cs="宋体"/>
          <w:b/>
          <w:color w:val="auto"/>
          <w:sz w:val="30"/>
          <w:szCs w:val="30"/>
          <w:highlight w:val="none"/>
        </w:rPr>
      </w:pPr>
      <w:r>
        <w:rPr>
          <w:rFonts w:hint="eastAsia" w:ascii="宋体" w:hAnsi="宋体" w:cs="宋体"/>
          <w:b/>
          <w:color w:val="auto"/>
          <w:sz w:val="30"/>
          <w:szCs w:val="30"/>
          <w:highlight w:val="none"/>
        </w:rPr>
        <w:t>资格声明函</w:t>
      </w:r>
    </w:p>
    <w:p w14:paraId="3FF2AAD2">
      <w:pPr>
        <w:spacing w:line="320" w:lineRule="exact"/>
        <w:jc w:val="center"/>
        <w:rPr>
          <w:rFonts w:hint="eastAsia" w:ascii="宋体" w:hAnsi="宋体" w:cs="宋体"/>
          <w:color w:val="auto"/>
          <w:sz w:val="24"/>
          <w:szCs w:val="20"/>
          <w:highlight w:val="none"/>
        </w:rPr>
      </w:pPr>
    </w:p>
    <w:p w14:paraId="750D44B2">
      <w:pPr>
        <w:spacing w:line="360" w:lineRule="auto"/>
        <w:rPr>
          <w:rFonts w:hint="eastAsia" w:ascii="宋体" w:hAnsi="宋体" w:eastAsia="宋体" w:cs="宋体"/>
          <w:color w:val="auto"/>
          <w:sz w:val="24"/>
          <w:highlight w:val="none"/>
          <w:lang w:eastAsia="zh-CN"/>
        </w:rPr>
      </w:pPr>
      <w:r>
        <w:rPr>
          <w:rFonts w:hint="eastAsia" w:ascii="宋体" w:hAnsi="宋体" w:cs="宋体"/>
          <w:color w:val="auto"/>
          <w:sz w:val="24"/>
          <w:highlight w:val="none"/>
        </w:rPr>
        <w:t>致：</w:t>
      </w:r>
      <w:r>
        <w:rPr>
          <w:rFonts w:hint="eastAsia" w:ascii="宋体" w:hAnsi="宋体" w:cs="宋体"/>
          <w:color w:val="auto"/>
          <w:sz w:val="24"/>
          <w:highlight w:val="none"/>
          <w:u w:val="single"/>
          <w:lang w:eastAsia="zh-CN"/>
        </w:rPr>
        <w:t>广西同泽工程项目管理股份有限公司</w:t>
      </w:r>
    </w:p>
    <w:p w14:paraId="0F5E9FE4">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u w:val="single"/>
        </w:rPr>
        <w:t>（供应商名称）</w:t>
      </w:r>
      <w:r>
        <w:rPr>
          <w:rFonts w:hint="eastAsia" w:ascii="宋体" w:hAnsi="宋体" w:cs="宋体"/>
          <w:color w:val="auto"/>
          <w:sz w:val="24"/>
          <w:highlight w:val="none"/>
        </w:rPr>
        <w:t>系中华人民共和国合法供应商，经营地址</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11DF0CAE">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我方愿意参加贵方组织的</w:t>
      </w:r>
      <w:r>
        <w:rPr>
          <w:rFonts w:hint="eastAsia" w:ascii="宋体" w:hAnsi="宋体" w:cs="宋体"/>
          <w:color w:val="auto"/>
          <w:sz w:val="24"/>
          <w:highlight w:val="none"/>
          <w:u w:val="single"/>
          <w:lang w:val="en-US" w:eastAsia="zh-CN"/>
        </w:rPr>
        <w:t>马岭镇良和村委留塘路口至校椅镇壬水村路口路段太阳能公共照明项目（一期）</w:t>
      </w:r>
      <w:r>
        <w:rPr>
          <w:rFonts w:hint="eastAsia" w:ascii="宋体" w:hAnsi="宋体" w:cs="宋体"/>
          <w:color w:val="auto"/>
          <w:sz w:val="24"/>
          <w:highlight w:val="none"/>
        </w:rPr>
        <w:t>项目的竞标，为便于贵方公正、择优地确定成交供应商及其竞标产品和服务，我方就本次竞标有关事项郑重声明如下：</w:t>
      </w:r>
    </w:p>
    <w:p w14:paraId="4BCE3797">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1.我方向贵方提交的所有响应文件、资料都是准确的和真实的。</w:t>
      </w:r>
    </w:p>
    <w:p w14:paraId="13B6D14C">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36886E3D">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3.在此，我方宣布同意如下：</w:t>
      </w:r>
    </w:p>
    <w:p w14:paraId="650635F9">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（1）将按磋商文件的约定履行合同责任和义务；</w:t>
      </w:r>
    </w:p>
    <w:p w14:paraId="59EE5020">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（2）已详细审查全部磋商文件，包括澄清或者更正公告（如有）；</w:t>
      </w:r>
    </w:p>
    <w:p w14:paraId="53E3407B">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（3）同意提供按照贵方可能要求的与磋商有关的一切数据或者资料；</w:t>
      </w:r>
    </w:p>
    <w:p w14:paraId="26DF326F">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（4）响应磋商文件规定的竞标有效期。</w:t>
      </w:r>
    </w:p>
    <w:p w14:paraId="230A120A">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我方承诺已经具备《中华人民共和国政府采购法》第二十二条中规定的参加政府采购活动的供应商应当具备的条件并按本项目响应文件“第三章”“第二节供应商须知前附表”中“资格证明文件组成”完整提供证明材料。</w:t>
      </w:r>
    </w:p>
    <w:p w14:paraId="7E8F9D6C">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4FDB3034">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11126AB8">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□我方本次响应文件</w:t>
      </w:r>
      <w:r>
        <w:rPr>
          <w:rFonts w:hint="eastAsia" w:ascii="宋体" w:hAnsi="宋体" w:cs="宋体"/>
          <w:color w:val="auto"/>
          <w:kern w:val="0"/>
          <w:sz w:val="24"/>
          <w:highlight w:val="none"/>
        </w:rPr>
        <w:t>内容中</w:t>
      </w:r>
      <w:r>
        <w:rPr>
          <w:rFonts w:hint="eastAsia" w:ascii="宋体" w:hAnsi="宋体" w:cs="宋体"/>
          <w:color w:val="auto"/>
          <w:sz w:val="24"/>
          <w:highlight w:val="none"/>
        </w:rPr>
        <w:t>未</w:t>
      </w:r>
      <w:r>
        <w:rPr>
          <w:rFonts w:hint="eastAsia" w:ascii="宋体" w:hAnsi="宋体" w:cs="宋体"/>
          <w:color w:val="auto"/>
          <w:kern w:val="0"/>
          <w:sz w:val="24"/>
          <w:highlight w:val="none"/>
        </w:rPr>
        <w:t>涉及商业秘密；</w:t>
      </w:r>
    </w:p>
    <w:p w14:paraId="4DDAB8DF">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□我方本次响应文件</w:t>
      </w:r>
      <w:r>
        <w:rPr>
          <w:rFonts w:hint="eastAsia" w:ascii="宋体" w:hAnsi="宋体" w:cs="宋体"/>
          <w:color w:val="auto"/>
          <w:kern w:val="0"/>
          <w:sz w:val="24"/>
          <w:highlight w:val="none"/>
        </w:rPr>
        <w:t>涉及商业秘密的内容有：</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w:t>
      </w:r>
    </w:p>
    <w:p w14:paraId="4DE97E02">
      <w:pPr>
        <w:pStyle w:val="15"/>
        <w:spacing w:line="360" w:lineRule="auto"/>
        <w:ind w:firstLine="480" w:firstLineChars="200"/>
        <w:rPr>
          <w:rFonts w:hint="eastAsia" w:hAnsi="宋体" w:cs="宋体"/>
          <w:color w:val="auto"/>
          <w:sz w:val="24"/>
          <w:szCs w:val="24"/>
          <w:highlight w:val="none"/>
          <w:u w:val="single"/>
        </w:rPr>
      </w:pPr>
      <w:r>
        <w:rPr>
          <w:rFonts w:hint="eastAsia" w:hAnsi="宋体" w:cs="宋体"/>
          <w:color w:val="auto"/>
          <w:sz w:val="24"/>
          <w:szCs w:val="24"/>
          <w:highlight w:val="none"/>
        </w:rPr>
        <w:t>7.与本磋商有关的一切正式往来信函请寄：</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邮政编号：</w:t>
      </w:r>
      <w:r>
        <w:rPr>
          <w:rFonts w:hint="eastAsia" w:hAnsi="宋体" w:cs="宋体"/>
          <w:color w:val="auto"/>
          <w:sz w:val="24"/>
          <w:szCs w:val="24"/>
          <w:highlight w:val="none"/>
          <w:u w:val="single"/>
        </w:rPr>
        <w:t xml:space="preserve">        </w:t>
      </w:r>
    </w:p>
    <w:p w14:paraId="6E01221F">
      <w:pPr>
        <w:pStyle w:val="15"/>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电话/传真：</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 xml:space="preserve"> 电子函件：</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 xml:space="preserve">    </w:t>
      </w:r>
    </w:p>
    <w:p w14:paraId="1AEE6247">
      <w:pPr>
        <w:pStyle w:val="13"/>
        <w:tabs>
          <w:tab w:val="left" w:pos="939"/>
        </w:tabs>
        <w:spacing w:line="360" w:lineRule="auto"/>
        <w:ind w:left="141" w:leftChars="67" w:firstLine="360" w:firstLineChars="150"/>
        <w:rPr>
          <w:rFonts w:hint="eastAsia" w:ascii="宋体" w:hAnsi="宋体" w:cs="宋体"/>
          <w:color w:val="auto"/>
          <w:sz w:val="24"/>
          <w:highlight w:val="none"/>
        </w:rPr>
      </w:pPr>
      <w:r>
        <w:rPr>
          <w:rFonts w:hint="eastAsia" w:ascii="宋体" w:hAnsi="宋体" w:cs="宋体"/>
          <w:color w:val="auto"/>
          <w:sz w:val="24"/>
          <w:highlight w:val="none"/>
        </w:rPr>
        <w:t>开户银行：</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账号：</w:t>
      </w:r>
      <w:r>
        <w:rPr>
          <w:rFonts w:hint="eastAsia" w:ascii="宋体" w:hAnsi="宋体" w:cs="宋体"/>
          <w:color w:val="auto"/>
          <w:sz w:val="24"/>
          <w:highlight w:val="none"/>
          <w:u w:val="single"/>
        </w:rPr>
        <w:t xml:space="preserve">                               </w:t>
      </w:r>
    </w:p>
    <w:p w14:paraId="7D3400DC">
      <w:pPr>
        <w:pStyle w:val="13"/>
        <w:tabs>
          <w:tab w:val="left" w:pos="939"/>
        </w:tabs>
        <w:spacing w:line="360" w:lineRule="auto"/>
        <w:ind w:left="0" w:leftChars="0" w:firstLine="480" w:firstLineChars="200"/>
        <w:rPr>
          <w:rFonts w:hint="eastAsia" w:ascii="宋体" w:hAnsi="宋体" w:cs="宋体"/>
          <w:color w:val="auto"/>
          <w:sz w:val="24"/>
          <w:highlight w:val="none"/>
        </w:rPr>
      </w:pPr>
      <w:r>
        <w:rPr>
          <w:rFonts w:hint="eastAsia" w:ascii="宋体" w:hAnsi="宋体" w:cs="宋体"/>
          <w:color w:val="auto"/>
          <w:sz w:val="24"/>
          <w:highlight w:val="none"/>
        </w:rPr>
        <w:t>8.以上事项如有虚假或者隐瞒，我方愿意承担一切后果，并不再寻求任何旨在减轻或者免除法律责任的辩解。</w:t>
      </w:r>
    </w:p>
    <w:p w14:paraId="3A233E89">
      <w:pPr>
        <w:pStyle w:val="13"/>
        <w:tabs>
          <w:tab w:val="left" w:pos="939"/>
        </w:tabs>
        <w:spacing w:line="360" w:lineRule="auto"/>
        <w:ind w:left="141" w:leftChars="67" w:firstLine="360" w:firstLineChars="150"/>
        <w:rPr>
          <w:rFonts w:hint="eastAsia" w:ascii="宋体" w:hAnsi="宋体" w:cs="宋体"/>
          <w:color w:val="auto"/>
          <w:sz w:val="24"/>
          <w:highlight w:val="none"/>
        </w:rPr>
      </w:pPr>
      <w:r>
        <w:rPr>
          <w:rFonts w:hint="eastAsia" w:ascii="宋体" w:hAnsi="宋体" w:cs="宋体"/>
          <w:color w:val="auto"/>
          <w:sz w:val="24"/>
          <w:highlight w:val="none"/>
        </w:rPr>
        <w:t>特此承诺。</w:t>
      </w:r>
    </w:p>
    <w:p w14:paraId="1BB832A4">
      <w:pPr>
        <w:pStyle w:val="13"/>
        <w:tabs>
          <w:tab w:val="left" w:pos="939"/>
        </w:tabs>
        <w:spacing w:line="360" w:lineRule="auto"/>
        <w:ind w:left="0" w:leftChars="0" w:firstLine="480" w:firstLineChars="200"/>
        <w:rPr>
          <w:rFonts w:hint="eastAsia" w:ascii="宋体" w:hAnsi="宋体" w:cs="宋体"/>
          <w:color w:val="auto"/>
          <w:sz w:val="24"/>
          <w:highlight w:val="none"/>
        </w:rPr>
      </w:pPr>
      <w:r>
        <w:rPr>
          <w:rFonts w:hint="eastAsia" w:ascii="宋体" w:hAnsi="宋体" w:cs="宋体"/>
          <w:color w:val="auto"/>
          <w:sz w:val="24"/>
          <w:highlight w:val="none"/>
        </w:rPr>
        <w:t>注：如为联合体竞标，盖章处须加盖联合体各方公章并由联合体各方法定代表人签署，否则其响应文件按无效响应处理。</w:t>
      </w:r>
    </w:p>
    <w:p w14:paraId="56418CB1">
      <w:pPr>
        <w:pStyle w:val="13"/>
        <w:tabs>
          <w:tab w:val="left" w:pos="939"/>
        </w:tabs>
        <w:spacing w:line="360" w:lineRule="auto"/>
        <w:ind w:left="0" w:leftChars="0" w:firstLine="480" w:firstLineChars="200"/>
        <w:rPr>
          <w:rFonts w:hint="eastAsia" w:ascii="宋体" w:hAnsi="宋体" w:cs="宋体"/>
          <w:color w:val="auto"/>
          <w:sz w:val="24"/>
          <w:highlight w:val="none"/>
        </w:rPr>
      </w:pPr>
    </w:p>
    <w:p w14:paraId="17577185">
      <w:pPr>
        <w:autoSpaceDE w:val="0"/>
        <w:autoSpaceDN w:val="0"/>
        <w:spacing w:line="360" w:lineRule="auto"/>
        <w:ind w:left="4365" w:leftChars="1850" w:hanging="480" w:hangingChars="200"/>
        <w:rPr>
          <w:rFonts w:hint="eastAsia"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15DA4531">
      <w:pPr>
        <w:autoSpaceDE w:val="0"/>
        <w:autoSpaceDN w:val="0"/>
        <w:spacing w:line="360" w:lineRule="auto"/>
        <w:ind w:firstLine="6120" w:firstLineChars="2550"/>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日期：  年  月   日</w:t>
      </w:r>
    </w:p>
    <w:p w14:paraId="01D33427">
      <w:pPr>
        <w:widowControl/>
        <w:spacing w:line="360" w:lineRule="auto"/>
        <w:jc w:val="left"/>
        <w:rPr>
          <w:rFonts w:hint="eastAsia" w:ascii="宋体" w:hAnsi="宋体" w:cs="宋体"/>
          <w:color w:val="auto"/>
          <w:kern w:val="0"/>
          <w:sz w:val="24"/>
          <w:highlight w:val="none"/>
          <w:lang w:val="zh-CN"/>
        </w:rPr>
        <w:sectPr>
          <w:pgSz w:w="11910" w:h="16840"/>
          <w:pgMar w:top="1134" w:right="1587" w:bottom="1134" w:left="1587" w:header="720" w:footer="720" w:gutter="0"/>
          <w:pgBorders>
            <w:top w:val="none" w:sz="0" w:space="0"/>
            <w:left w:val="none" w:sz="0" w:space="0"/>
            <w:bottom w:val="none" w:sz="0" w:space="0"/>
            <w:right w:val="none" w:sz="0" w:space="0"/>
          </w:pgBorders>
          <w:cols w:space="720" w:num="1"/>
        </w:sectPr>
      </w:pPr>
    </w:p>
    <w:p w14:paraId="2B96D004">
      <w:pPr>
        <w:snapToGrid w:val="0"/>
        <w:spacing w:line="360" w:lineRule="auto"/>
        <w:rPr>
          <w:rFonts w:hint="eastAsia" w:ascii="宋体" w:hAnsi="宋体" w:cs="宋体"/>
          <w:b/>
          <w:color w:val="auto"/>
          <w:kern w:val="0"/>
          <w:sz w:val="30"/>
          <w:szCs w:val="30"/>
          <w:highlight w:val="none"/>
        </w:rPr>
      </w:pPr>
      <w:r>
        <w:rPr>
          <w:rFonts w:hint="eastAsia" w:ascii="宋体" w:hAnsi="宋体" w:cs="宋体"/>
          <w:b/>
          <w:color w:val="auto"/>
          <w:kern w:val="0"/>
          <w:sz w:val="30"/>
          <w:szCs w:val="30"/>
          <w:highlight w:val="none"/>
        </w:rPr>
        <w:t>七、</w:t>
      </w:r>
      <w:r>
        <w:rPr>
          <w:rFonts w:hint="eastAsia" w:ascii="宋体" w:hAnsi="宋体" w:eastAsia="宋体" w:cs="宋体"/>
          <w:b/>
          <w:color w:val="auto"/>
          <w:kern w:val="0"/>
          <w:sz w:val="30"/>
          <w:szCs w:val="30"/>
          <w:highlight w:val="none"/>
          <w:lang w:val="en-US" w:eastAsia="zh-CN"/>
        </w:rPr>
        <w:t>资格证明材料：</w:t>
      </w:r>
      <w:r>
        <w:rPr>
          <w:rFonts w:hint="eastAsia" w:ascii="宋体" w:hAnsi="宋体" w:eastAsia="宋体" w:cs="宋体"/>
          <w:b/>
          <w:color w:val="auto"/>
          <w:kern w:val="0"/>
          <w:sz w:val="30"/>
          <w:szCs w:val="30"/>
          <w:highlight w:val="none"/>
          <w:lang w:eastAsia="zh-CN"/>
        </w:rPr>
        <w:t>①</w:t>
      </w:r>
      <w:r>
        <w:rPr>
          <w:rFonts w:hint="eastAsia" w:ascii="宋体" w:hAnsi="宋体" w:eastAsia="宋体" w:cs="宋体"/>
          <w:b/>
          <w:color w:val="auto"/>
          <w:kern w:val="0"/>
          <w:sz w:val="30"/>
          <w:szCs w:val="30"/>
          <w:highlight w:val="none"/>
          <w:lang w:val="en-US" w:eastAsia="zh-CN"/>
        </w:rPr>
        <w:t>供应商</w:t>
      </w:r>
      <w:r>
        <w:rPr>
          <w:rFonts w:hint="eastAsia" w:ascii="宋体" w:hAnsi="宋体" w:eastAsia="宋体" w:cs="宋体"/>
          <w:b/>
          <w:color w:val="auto"/>
          <w:kern w:val="0"/>
          <w:sz w:val="30"/>
          <w:szCs w:val="30"/>
          <w:highlight w:val="none"/>
        </w:rPr>
        <w:t>须具备市政公用工程施工总承包三级以上（含三级）资质</w:t>
      </w:r>
      <w:r>
        <w:rPr>
          <w:rFonts w:hint="eastAsia" w:ascii="宋体" w:hAnsi="宋体" w:eastAsia="宋体" w:cs="宋体"/>
          <w:b/>
          <w:color w:val="auto"/>
          <w:kern w:val="0"/>
          <w:sz w:val="30"/>
          <w:szCs w:val="30"/>
          <w:highlight w:val="none"/>
          <w:lang w:val="en-US" w:eastAsia="zh-CN"/>
        </w:rPr>
        <w:t>证书及</w:t>
      </w:r>
      <w:r>
        <w:rPr>
          <w:rFonts w:hint="eastAsia" w:ascii="宋体" w:hAnsi="宋体" w:eastAsia="宋体" w:cs="宋体"/>
          <w:b/>
          <w:color w:val="auto"/>
          <w:kern w:val="0"/>
          <w:sz w:val="30"/>
          <w:szCs w:val="30"/>
          <w:highlight w:val="none"/>
        </w:rPr>
        <w:t>有效的</w:t>
      </w:r>
      <w:r>
        <w:rPr>
          <w:rFonts w:hint="eastAsia" w:ascii="宋体" w:hAnsi="宋体" w:eastAsia="宋体" w:cs="宋体"/>
          <w:b/>
          <w:color w:val="auto"/>
          <w:kern w:val="0"/>
          <w:sz w:val="30"/>
          <w:szCs w:val="30"/>
          <w:highlight w:val="none"/>
          <w:lang w:val="en-US" w:eastAsia="zh-CN"/>
        </w:rPr>
        <w:t>安全生产许可证</w:t>
      </w:r>
      <w:r>
        <w:rPr>
          <w:rFonts w:hint="eastAsia" w:ascii="宋体" w:hAnsi="宋体" w:eastAsia="宋体" w:cs="宋体"/>
          <w:b/>
          <w:color w:val="auto"/>
          <w:kern w:val="0"/>
          <w:sz w:val="30"/>
          <w:szCs w:val="30"/>
          <w:highlight w:val="none"/>
        </w:rPr>
        <w:t>复印件</w:t>
      </w:r>
      <w:r>
        <w:rPr>
          <w:rFonts w:hint="eastAsia" w:ascii="宋体" w:hAnsi="宋体" w:eastAsia="宋体" w:cs="宋体"/>
          <w:b/>
          <w:color w:val="auto"/>
          <w:kern w:val="0"/>
          <w:sz w:val="30"/>
          <w:szCs w:val="30"/>
          <w:highlight w:val="none"/>
          <w:lang w:val="en-US" w:eastAsia="zh-CN"/>
        </w:rPr>
        <w:t>；</w:t>
      </w:r>
      <w:r>
        <w:rPr>
          <w:rFonts w:hint="eastAsia" w:ascii="宋体" w:hAnsi="宋体" w:eastAsia="宋体" w:cs="宋体"/>
          <w:b/>
          <w:color w:val="auto"/>
          <w:kern w:val="0"/>
          <w:sz w:val="30"/>
          <w:szCs w:val="30"/>
          <w:highlight w:val="none"/>
        </w:rPr>
        <w:t>②</w:t>
      </w:r>
      <w:r>
        <w:rPr>
          <w:rFonts w:hint="eastAsia" w:ascii="宋体" w:hAnsi="宋体" w:eastAsia="宋体" w:cs="宋体"/>
          <w:b/>
          <w:color w:val="auto"/>
          <w:kern w:val="0"/>
          <w:sz w:val="30"/>
          <w:szCs w:val="30"/>
          <w:highlight w:val="none"/>
          <w:lang w:val="en-US" w:eastAsia="zh-CN"/>
        </w:rPr>
        <w:t>拟投入本项目的</w:t>
      </w:r>
      <w:r>
        <w:rPr>
          <w:rFonts w:hint="eastAsia" w:ascii="宋体" w:hAnsi="宋体" w:eastAsia="宋体" w:cs="宋体"/>
          <w:b/>
          <w:color w:val="auto"/>
          <w:kern w:val="0"/>
          <w:sz w:val="30"/>
          <w:szCs w:val="30"/>
          <w:highlight w:val="none"/>
        </w:rPr>
        <w:t>项目经理须</w:t>
      </w:r>
      <w:r>
        <w:rPr>
          <w:rFonts w:hint="eastAsia" w:ascii="宋体" w:hAnsi="宋体" w:eastAsia="宋体" w:cs="宋体"/>
          <w:b/>
          <w:color w:val="auto"/>
          <w:kern w:val="0"/>
          <w:sz w:val="30"/>
          <w:szCs w:val="30"/>
          <w:highlight w:val="none"/>
          <w:lang w:val="en-US" w:eastAsia="zh-CN"/>
        </w:rPr>
        <w:t>具备</w:t>
      </w:r>
      <w:r>
        <w:rPr>
          <w:rFonts w:hint="eastAsia" w:ascii="宋体" w:hAnsi="宋体" w:eastAsia="宋体" w:cs="宋体"/>
          <w:b/>
          <w:color w:val="auto"/>
          <w:kern w:val="0"/>
          <w:sz w:val="30"/>
          <w:szCs w:val="30"/>
          <w:highlight w:val="none"/>
        </w:rPr>
        <w:t>市政</w:t>
      </w:r>
      <w:r>
        <w:rPr>
          <w:rFonts w:hint="eastAsia" w:ascii="宋体" w:hAnsi="宋体" w:eastAsia="宋体" w:cs="宋体"/>
          <w:b/>
          <w:color w:val="auto"/>
          <w:kern w:val="0"/>
          <w:sz w:val="30"/>
          <w:szCs w:val="30"/>
          <w:highlight w:val="none"/>
          <w:lang w:val="en-US" w:eastAsia="zh-CN"/>
        </w:rPr>
        <w:t>公用工程专业二级以上（含二级）注册建造师资格证书及有效的安全生产考核合格证书（B类）</w:t>
      </w:r>
    </w:p>
    <w:p w14:paraId="449D6E19">
      <w:pPr>
        <w:autoSpaceDE w:val="0"/>
        <w:autoSpaceDN w:val="0"/>
        <w:spacing w:line="360" w:lineRule="auto"/>
        <w:ind w:left="4335" w:leftChars="1950" w:hanging="240" w:hangingChars="100"/>
        <w:rPr>
          <w:rFonts w:hint="eastAsia" w:ascii="宋体" w:hAnsi="宋体" w:cs="宋体"/>
          <w:color w:val="auto"/>
          <w:kern w:val="0"/>
          <w:sz w:val="24"/>
          <w:highlight w:val="none"/>
        </w:rPr>
      </w:pPr>
    </w:p>
    <w:p w14:paraId="3B51EEC6">
      <w:pPr>
        <w:autoSpaceDE w:val="0"/>
        <w:autoSpaceDN w:val="0"/>
        <w:spacing w:line="360" w:lineRule="auto"/>
        <w:ind w:left="4335" w:leftChars="1950" w:hanging="240" w:hangingChars="100"/>
        <w:rPr>
          <w:rFonts w:hint="eastAsia" w:ascii="宋体" w:hAnsi="宋体" w:cs="宋体"/>
          <w:color w:val="auto"/>
          <w:kern w:val="0"/>
          <w:sz w:val="24"/>
          <w:highlight w:val="none"/>
        </w:rPr>
      </w:pPr>
    </w:p>
    <w:p w14:paraId="1BE05E53">
      <w:pPr>
        <w:autoSpaceDE w:val="0"/>
        <w:autoSpaceDN w:val="0"/>
        <w:spacing w:line="360" w:lineRule="auto"/>
        <w:ind w:left="4335" w:leftChars="1950" w:hanging="240" w:hangingChars="100"/>
        <w:rPr>
          <w:rFonts w:hint="eastAsia"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54428584">
      <w:pPr>
        <w:autoSpaceDE w:val="0"/>
        <w:autoSpaceDN w:val="0"/>
        <w:spacing w:line="360" w:lineRule="auto"/>
        <w:ind w:firstLine="6480" w:firstLineChars="2700"/>
        <w:rPr>
          <w:rFonts w:hint="eastAsia" w:ascii="宋体" w:hAnsi="宋体" w:cs="宋体"/>
          <w:b/>
          <w:bCs/>
          <w:color w:val="auto"/>
          <w:sz w:val="24"/>
          <w:highlight w:val="none"/>
        </w:rPr>
      </w:pPr>
      <w:r>
        <w:rPr>
          <w:rFonts w:hint="eastAsia" w:ascii="宋体" w:hAnsi="宋体" w:cs="宋体"/>
          <w:color w:val="auto"/>
          <w:kern w:val="0"/>
          <w:sz w:val="24"/>
          <w:highlight w:val="none"/>
          <w:lang w:val="zh-CN"/>
        </w:rPr>
        <w:t>日期：  年  月   日</w:t>
      </w:r>
    </w:p>
    <w:p w14:paraId="108522C8">
      <w:pPr>
        <w:autoSpaceDE w:val="0"/>
        <w:autoSpaceDN w:val="0"/>
        <w:spacing w:line="360" w:lineRule="auto"/>
        <w:rPr>
          <w:rFonts w:hint="eastAsia" w:ascii="宋体" w:hAnsi="宋体" w:cs="宋体"/>
          <w:color w:val="auto"/>
          <w:kern w:val="0"/>
          <w:sz w:val="24"/>
          <w:highlight w:val="none"/>
          <w:lang w:val="zh-CN"/>
        </w:rPr>
      </w:pPr>
    </w:p>
    <w:p w14:paraId="16F69C03">
      <w:pPr>
        <w:autoSpaceDE w:val="0"/>
        <w:autoSpaceDN w:val="0"/>
        <w:spacing w:line="360" w:lineRule="auto"/>
        <w:ind w:firstLine="6480" w:firstLineChars="2700"/>
        <w:rPr>
          <w:rFonts w:hint="eastAsia" w:ascii="宋体" w:hAnsi="宋体" w:cs="宋体"/>
          <w:color w:val="auto"/>
          <w:kern w:val="0"/>
          <w:sz w:val="24"/>
          <w:highlight w:val="none"/>
          <w:lang w:val="zh-CN"/>
        </w:rPr>
      </w:pPr>
    </w:p>
    <w:p w14:paraId="6BF5C96C">
      <w:pPr>
        <w:snapToGrid w:val="0"/>
        <w:spacing w:line="360" w:lineRule="auto"/>
        <w:rPr>
          <w:rFonts w:hint="eastAsia" w:ascii="宋体" w:hAnsi="宋体" w:cs="宋体"/>
          <w:b/>
          <w:color w:val="auto"/>
          <w:kern w:val="0"/>
          <w:sz w:val="30"/>
          <w:szCs w:val="30"/>
          <w:highlight w:val="none"/>
        </w:rPr>
      </w:pPr>
    </w:p>
    <w:p w14:paraId="1C78A0C7">
      <w:pPr>
        <w:snapToGrid w:val="0"/>
        <w:spacing w:line="360" w:lineRule="auto"/>
        <w:rPr>
          <w:rFonts w:hint="eastAsia" w:ascii="宋体" w:hAnsi="宋体" w:cs="宋体"/>
          <w:b/>
          <w:color w:val="auto"/>
          <w:sz w:val="30"/>
          <w:szCs w:val="30"/>
          <w:highlight w:val="none"/>
        </w:rPr>
      </w:pPr>
      <w:r>
        <w:rPr>
          <w:rFonts w:hint="eastAsia" w:ascii="宋体" w:hAnsi="宋体" w:cs="宋体"/>
          <w:b/>
          <w:color w:val="auto"/>
          <w:sz w:val="30"/>
          <w:szCs w:val="30"/>
          <w:highlight w:val="none"/>
          <w:lang w:val="en-US" w:eastAsia="zh-CN"/>
        </w:rPr>
        <w:t>八</w:t>
      </w:r>
      <w:r>
        <w:rPr>
          <w:rFonts w:hint="eastAsia" w:ascii="宋体" w:hAnsi="宋体" w:cs="宋体"/>
          <w:b/>
          <w:color w:val="auto"/>
          <w:sz w:val="30"/>
          <w:szCs w:val="30"/>
          <w:highlight w:val="none"/>
        </w:rPr>
        <w:t>、中小企业声明函或残疾人福利性单位声明函或投标人属于监狱企业的证明材料</w:t>
      </w:r>
    </w:p>
    <w:p w14:paraId="4E647438">
      <w:pPr>
        <w:spacing w:after="165" w:afterLines="50" w:line="360" w:lineRule="auto"/>
        <w:jc w:val="center"/>
        <w:rPr>
          <w:rFonts w:hint="eastAsia" w:ascii="宋体" w:hAnsi="宋体" w:cs="宋体"/>
          <w:b/>
          <w:bCs/>
          <w:color w:val="auto"/>
          <w:sz w:val="30"/>
          <w:szCs w:val="30"/>
          <w:highlight w:val="none"/>
        </w:rPr>
      </w:pPr>
      <w:r>
        <w:rPr>
          <w:rFonts w:hint="eastAsia" w:ascii="宋体" w:hAnsi="宋体" w:cs="宋体"/>
          <w:b/>
          <w:bCs/>
          <w:color w:val="auto"/>
          <w:sz w:val="30"/>
          <w:szCs w:val="30"/>
          <w:highlight w:val="none"/>
        </w:rPr>
        <w:t>中小企业声明函（工程类）</w:t>
      </w:r>
    </w:p>
    <w:p w14:paraId="4C535908">
      <w:pPr>
        <w:pStyle w:val="10"/>
        <w:spacing w:after="0" w:line="360" w:lineRule="auto"/>
        <w:ind w:left="-426" w:right="142" w:firstLine="640"/>
        <w:contextualSpacing/>
        <w:rPr>
          <w:rFonts w:hint="eastAsia" w:ascii="宋体" w:hAnsi="宋体" w:cs="宋体"/>
          <w:color w:val="auto"/>
          <w:sz w:val="24"/>
          <w:highlight w:val="none"/>
        </w:rPr>
      </w:pPr>
      <w:r>
        <w:rPr>
          <w:rFonts w:hint="eastAsia" w:ascii="宋体" w:hAnsi="宋体" w:cs="宋体"/>
          <w:color w:val="auto"/>
          <w:sz w:val="24"/>
          <w:highlight w:val="none"/>
        </w:rPr>
        <w:t>本公司郑重声明，根据《政府采购促进中小企业发展管理办法》（财库﹝2020﹞46号）的规定，本公司参加</w:t>
      </w:r>
      <w:r>
        <w:rPr>
          <w:rFonts w:hint="eastAsia" w:ascii="宋体" w:hAnsi="宋体" w:cs="宋体"/>
          <w:color w:val="auto"/>
          <w:sz w:val="24"/>
          <w:highlight w:val="none"/>
          <w:u w:val="single"/>
          <w:lang w:eastAsia="zh-CN"/>
        </w:rPr>
        <w:t>马岭镇良和村委留塘路口至校椅镇壬水村路口路段太阳能公共照明项目（一期）</w:t>
      </w:r>
      <w:r>
        <w:rPr>
          <w:rFonts w:hint="eastAsia" w:ascii="宋体" w:hAnsi="宋体" w:eastAsia="宋体" w:cs="宋体"/>
          <w:color w:val="auto"/>
          <w:sz w:val="24"/>
          <w:highlight w:val="none"/>
          <w:u w:val="none"/>
          <w:lang w:eastAsia="zh-CN"/>
        </w:rPr>
        <w:t>采</w:t>
      </w:r>
      <w:r>
        <w:rPr>
          <w:rFonts w:hint="eastAsia" w:ascii="宋体" w:hAnsi="宋体" w:cs="宋体"/>
          <w:color w:val="auto"/>
          <w:sz w:val="24"/>
          <w:highlight w:val="none"/>
        </w:rPr>
        <w:t>购活动，工程的施工单位全部为符合政策要求的中小企业（或者：服务全部由符合政策要求的中小企业承接）。相关企业（含联合体中的中小企业、签订分包意向协议的中小企业）的具体情况如下：</w:t>
      </w:r>
    </w:p>
    <w:p w14:paraId="6DBB0765">
      <w:pPr>
        <w:tabs>
          <w:tab w:val="left" w:pos="1384"/>
          <w:tab w:val="left" w:pos="4562"/>
          <w:tab w:val="left" w:pos="6803"/>
        </w:tabs>
        <w:spacing w:line="360" w:lineRule="auto"/>
        <w:ind w:left="-426" w:right="-58" w:firstLine="655"/>
        <w:contextualSpacing/>
        <w:rPr>
          <w:rFonts w:hint="eastAsia"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u w:val="single"/>
        </w:rPr>
        <w:t>（标的名称）</w:t>
      </w:r>
      <w:r>
        <w:rPr>
          <w:rFonts w:hint="eastAsia" w:ascii="宋体" w:hAnsi="宋体" w:cs="宋体"/>
          <w:color w:val="auto"/>
          <w:sz w:val="24"/>
          <w:highlight w:val="none"/>
        </w:rPr>
        <w:t>，属于</w:t>
      </w:r>
      <w:r>
        <w:rPr>
          <w:rFonts w:hint="eastAsia" w:ascii="宋体" w:hAnsi="宋体" w:cs="宋体"/>
          <w:color w:val="auto"/>
          <w:sz w:val="24"/>
          <w:highlight w:val="none"/>
          <w:u w:val="single"/>
        </w:rPr>
        <w:t>（采购文件中明确的所属行业）</w:t>
      </w:r>
      <w:r>
        <w:rPr>
          <w:rFonts w:hint="eastAsia" w:ascii="宋体" w:hAnsi="宋体" w:cs="宋体"/>
          <w:color w:val="auto"/>
          <w:sz w:val="24"/>
          <w:highlight w:val="none"/>
        </w:rPr>
        <w:t>行业；承建（承接）企业为</w:t>
      </w:r>
      <w:r>
        <w:rPr>
          <w:rFonts w:hint="eastAsia" w:ascii="宋体" w:hAnsi="宋体" w:cs="宋体"/>
          <w:color w:val="auto"/>
          <w:sz w:val="24"/>
          <w:highlight w:val="none"/>
          <w:u w:val="single"/>
        </w:rPr>
        <w:t>（企业名称）</w:t>
      </w:r>
      <w:r>
        <w:rPr>
          <w:rFonts w:hint="eastAsia" w:ascii="宋体" w:hAnsi="宋体" w:cs="宋体"/>
          <w:color w:val="auto"/>
          <w:sz w:val="24"/>
          <w:highlight w:val="none"/>
        </w:rPr>
        <w:t>，从业人员</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人，营业收入为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万元，资产总额为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万元，属于</w:t>
      </w:r>
      <w:r>
        <w:rPr>
          <w:rFonts w:hint="eastAsia" w:ascii="宋体" w:hAnsi="宋体" w:cs="宋体"/>
          <w:color w:val="auto"/>
          <w:sz w:val="24"/>
          <w:highlight w:val="none"/>
          <w:u w:val="single"/>
        </w:rPr>
        <w:t>（中型企业、小型企业、微型企业）</w:t>
      </w:r>
      <w:r>
        <w:rPr>
          <w:rFonts w:hint="eastAsia" w:ascii="宋体" w:hAnsi="宋体" w:cs="宋体"/>
          <w:color w:val="auto"/>
          <w:sz w:val="24"/>
          <w:highlight w:val="none"/>
        </w:rPr>
        <w:t>；</w:t>
      </w:r>
    </w:p>
    <w:p w14:paraId="768D1ACD">
      <w:pPr>
        <w:tabs>
          <w:tab w:val="left" w:pos="1065"/>
          <w:tab w:val="left" w:pos="6477"/>
        </w:tabs>
        <w:spacing w:line="360" w:lineRule="auto"/>
        <w:ind w:left="-426" w:right="-58" w:firstLine="655"/>
        <w:contextualSpacing/>
        <w:rPr>
          <w:rFonts w:hint="eastAsia"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u w:val="single"/>
        </w:rPr>
        <w:t>（标的名称）</w:t>
      </w:r>
      <w:r>
        <w:rPr>
          <w:rFonts w:hint="eastAsia" w:ascii="宋体" w:hAnsi="宋体" w:cs="宋体"/>
          <w:color w:val="auto"/>
          <w:sz w:val="24"/>
          <w:highlight w:val="none"/>
        </w:rPr>
        <w:t>，属于</w:t>
      </w:r>
      <w:r>
        <w:rPr>
          <w:rFonts w:hint="eastAsia" w:ascii="宋体" w:hAnsi="宋体" w:cs="宋体"/>
          <w:color w:val="auto"/>
          <w:sz w:val="24"/>
          <w:highlight w:val="none"/>
          <w:u w:val="single"/>
        </w:rPr>
        <w:t>（采购文件中明确的所属行业）</w:t>
      </w:r>
      <w:r>
        <w:rPr>
          <w:rFonts w:hint="eastAsia" w:ascii="宋体" w:hAnsi="宋体" w:cs="宋体"/>
          <w:color w:val="auto"/>
          <w:sz w:val="24"/>
          <w:highlight w:val="none"/>
        </w:rPr>
        <w:t>行业；承建（承接）企业为</w:t>
      </w:r>
      <w:r>
        <w:rPr>
          <w:rFonts w:hint="eastAsia" w:ascii="宋体" w:hAnsi="宋体" w:cs="宋体"/>
          <w:color w:val="auto"/>
          <w:sz w:val="24"/>
          <w:highlight w:val="none"/>
          <w:u w:val="single"/>
        </w:rPr>
        <w:t>（企业名称）</w:t>
      </w:r>
      <w:r>
        <w:rPr>
          <w:rFonts w:hint="eastAsia" w:ascii="宋体" w:hAnsi="宋体" w:cs="宋体"/>
          <w:color w:val="auto"/>
          <w:sz w:val="24"/>
          <w:highlight w:val="none"/>
        </w:rPr>
        <w:t>，从业人员</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人，营业收入为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万元，资产总额为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万元，属于</w:t>
      </w:r>
      <w:r>
        <w:rPr>
          <w:rFonts w:hint="eastAsia" w:ascii="宋体" w:hAnsi="宋体" w:cs="宋体"/>
          <w:color w:val="auto"/>
          <w:sz w:val="24"/>
          <w:highlight w:val="none"/>
          <w:u w:val="single"/>
        </w:rPr>
        <w:t>（中型企业、小型企业、微型企业）</w:t>
      </w:r>
      <w:r>
        <w:rPr>
          <w:rFonts w:hint="eastAsia" w:ascii="宋体" w:hAnsi="宋体" w:cs="宋体"/>
          <w:color w:val="auto"/>
          <w:sz w:val="24"/>
          <w:highlight w:val="none"/>
        </w:rPr>
        <w:t>；</w:t>
      </w:r>
    </w:p>
    <w:p w14:paraId="39FB6D48">
      <w:pPr>
        <w:pStyle w:val="10"/>
        <w:spacing w:after="0" w:line="360" w:lineRule="auto"/>
        <w:ind w:left="142" w:right="142"/>
        <w:contextualSpacing/>
        <w:rPr>
          <w:rFonts w:hint="eastAsia" w:ascii="宋体" w:hAnsi="宋体" w:cs="宋体"/>
          <w:color w:val="auto"/>
          <w:sz w:val="24"/>
          <w:highlight w:val="none"/>
        </w:rPr>
      </w:pPr>
      <w:r>
        <w:rPr>
          <w:rFonts w:hint="eastAsia" w:ascii="宋体" w:hAnsi="宋体" w:cs="宋体"/>
          <w:color w:val="auto"/>
          <w:sz w:val="24"/>
          <w:highlight w:val="none"/>
        </w:rPr>
        <w:t xml:space="preserve">…… </w:t>
      </w:r>
    </w:p>
    <w:p w14:paraId="14BADE49">
      <w:pPr>
        <w:pStyle w:val="10"/>
        <w:spacing w:after="0" w:line="360" w:lineRule="auto"/>
        <w:ind w:left="-405" w:leftChars="-193" w:right="142" w:firstLine="453" w:firstLineChars="189"/>
        <w:contextualSpacing/>
        <w:rPr>
          <w:rFonts w:hint="eastAsia" w:ascii="宋体" w:hAnsi="宋体" w:cs="宋体"/>
          <w:color w:val="auto"/>
          <w:sz w:val="24"/>
          <w:highlight w:val="none"/>
        </w:rPr>
      </w:pPr>
      <w:r>
        <w:rPr>
          <w:rFonts w:hint="eastAsia" w:ascii="宋体" w:hAnsi="宋体" w:cs="宋体"/>
          <w:color w:val="auto"/>
          <w:sz w:val="24"/>
          <w:highlight w:val="none"/>
        </w:rPr>
        <w:t>以上企业，不属于大企业的分支机构，不存在控股股东为大企业的情形，也不存在与大企业的负责人为同一人的情形。</w:t>
      </w:r>
    </w:p>
    <w:p w14:paraId="794F1597">
      <w:pPr>
        <w:pStyle w:val="10"/>
        <w:spacing w:after="0" w:line="360" w:lineRule="auto"/>
        <w:ind w:left="-426" w:right="142" w:firstLine="567"/>
        <w:contextualSpacing/>
        <w:rPr>
          <w:rFonts w:hint="eastAsia" w:ascii="宋体" w:hAnsi="宋体" w:cs="宋体"/>
          <w:color w:val="auto"/>
          <w:sz w:val="24"/>
          <w:highlight w:val="none"/>
        </w:rPr>
      </w:pPr>
      <w:r>
        <w:rPr>
          <w:rFonts w:hint="eastAsia" w:ascii="宋体" w:hAnsi="宋体" w:cs="宋体"/>
          <w:color w:val="auto"/>
          <w:sz w:val="24"/>
          <w:highlight w:val="none"/>
        </w:rPr>
        <w:t>本企业对上述声明内容的真实性负责。如有虚假，将依法承担相应责任。</w:t>
      </w:r>
    </w:p>
    <w:p w14:paraId="24E990D9">
      <w:pPr>
        <w:pStyle w:val="10"/>
        <w:spacing w:after="0" w:line="360" w:lineRule="auto"/>
        <w:ind w:left="3960" w:right="1808"/>
        <w:contextualSpacing/>
        <w:rPr>
          <w:rFonts w:hint="eastAsia" w:ascii="宋体" w:hAnsi="宋体" w:cs="宋体"/>
          <w:color w:val="auto"/>
          <w:sz w:val="24"/>
          <w:highlight w:val="none"/>
        </w:rPr>
      </w:pPr>
    </w:p>
    <w:p w14:paraId="3196109D">
      <w:pPr>
        <w:autoSpaceDE w:val="0"/>
        <w:autoSpaceDN w:val="0"/>
        <w:spacing w:line="360" w:lineRule="auto"/>
        <w:ind w:left="4335" w:leftChars="1950" w:hanging="240" w:hangingChars="100"/>
        <w:rPr>
          <w:rFonts w:hint="eastAsia"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5923235C">
      <w:pPr>
        <w:autoSpaceDE w:val="0"/>
        <w:autoSpaceDN w:val="0"/>
        <w:spacing w:line="360" w:lineRule="auto"/>
        <w:ind w:firstLine="6480" w:firstLineChars="2700"/>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日期：  年  月   日</w:t>
      </w:r>
    </w:p>
    <w:p w14:paraId="786A38A8">
      <w:pPr>
        <w:pStyle w:val="10"/>
        <w:spacing w:after="0" w:line="360" w:lineRule="auto"/>
        <w:ind w:left="3960" w:right="1808"/>
        <w:contextualSpacing/>
        <w:rPr>
          <w:rFonts w:hint="eastAsia" w:ascii="宋体" w:hAnsi="宋体" w:cs="宋体"/>
          <w:color w:val="auto"/>
          <w:highlight w:val="none"/>
        </w:rPr>
      </w:pPr>
    </w:p>
    <w:p w14:paraId="5FC5845B">
      <w:pPr>
        <w:spacing w:line="360" w:lineRule="auto"/>
        <w:jc w:val="left"/>
        <w:rPr>
          <w:rFonts w:hint="eastAsia" w:ascii="宋体" w:hAnsi="宋体" w:cs="宋体"/>
          <w:b/>
          <w:color w:val="auto"/>
          <w:sz w:val="32"/>
          <w:szCs w:val="32"/>
          <w:highlight w:val="none"/>
        </w:rPr>
      </w:pPr>
      <w:r>
        <w:rPr>
          <w:rFonts w:hint="eastAsia" w:ascii="宋体" w:hAnsi="宋体" w:cs="宋体"/>
          <w:color w:val="auto"/>
          <w:sz w:val="24"/>
          <w:highlight w:val="none"/>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p>
    <w:p w14:paraId="76338F56">
      <w:pPr>
        <w:autoSpaceDE w:val="0"/>
        <w:autoSpaceDN w:val="0"/>
        <w:spacing w:line="360" w:lineRule="auto"/>
        <w:ind w:left="4335" w:leftChars="1950" w:hanging="240" w:hangingChars="100"/>
        <w:rPr>
          <w:rFonts w:hint="eastAsia" w:ascii="宋体" w:hAnsi="宋体" w:cs="宋体"/>
          <w:color w:val="auto"/>
          <w:kern w:val="0"/>
          <w:sz w:val="24"/>
          <w:highlight w:val="none"/>
        </w:rPr>
      </w:pPr>
    </w:p>
    <w:p w14:paraId="77CA2D5C">
      <w:pPr>
        <w:spacing w:line="520" w:lineRule="exact"/>
        <w:jc w:val="center"/>
        <w:rPr>
          <w:rFonts w:hint="eastAsia" w:ascii="宋体" w:hAnsi="宋体" w:eastAsia="宋体" w:cs="宋体"/>
          <w:color w:val="auto"/>
          <w:sz w:val="32"/>
          <w:szCs w:val="32"/>
          <w:highlight w:val="none"/>
          <w:lang w:eastAsia="zh-CN"/>
        </w:rPr>
      </w:pPr>
      <w:r>
        <w:rPr>
          <w:rFonts w:hint="eastAsia" w:ascii="宋体" w:hAnsi="宋体" w:cs="宋体"/>
          <w:color w:val="auto"/>
          <w:sz w:val="44"/>
          <w:szCs w:val="44"/>
          <w:highlight w:val="none"/>
        </w:rPr>
        <w:br w:type="page"/>
      </w:r>
      <w:r>
        <w:rPr>
          <w:rFonts w:hint="eastAsia" w:ascii="宋体" w:hAnsi="宋体" w:cs="宋体"/>
          <w:b/>
          <w:bCs/>
          <w:color w:val="auto"/>
          <w:sz w:val="30"/>
          <w:szCs w:val="30"/>
          <w:highlight w:val="none"/>
        </w:rPr>
        <w:t>残疾人福利性单位声明函</w:t>
      </w:r>
      <w:r>
        <w:rPr>
          <w:rFonts w:hint="eastAsia" w:ascii="宋体" w:hAnsi="宋体" w:cs="宋体"/>
          <w:b/>
          <w:bCs/>
          <w:color w:val="auto"/>
          <w:sz w:val="30"/>
          <w:szCs w:val="30"/>
          <w:highlight w:val="none"/>
          <w:lang w:eastAsia="zh-CN"/>
        </w:rPr>
        <w:t>（格式）</w:t>
      </w:r>
    </w:p>
    <w:p w14:paraId="73A7FD46">
      <w:pPr>
        <w:spacing w:line="520" w:lineRule="exact"/>
        <w:rPr>
          <w:rFonts w:hint="eastAsia" w:ascii="宋体" w:hAnsi="宋体" w:cs="宋体"/>
          <w:color w:val="auto"/>
          <w:sz w:val="32"/>
          <w:szCs w:val="32"/>
          <w:highlight w:val="none"/>
        </w:rPr>
      </w:pPr>
    </w:p>
    <w:p w14:paraId="08532FA5">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color w:val="auto"/>
          <w:sz w:val="24"/>
          <w:highlight w:val="none"/>
          <w:u w:val="single"/>
          <w:lang w:eastAsia="zh-CN"/>
        </w:rPr>
        <w:t>横州市马岭镇人民政府</w:t>
      </w:r>
      <w:r>
        <w:rPr>
          <w:rFonts w:hint="eastAsia" w:ascii="宋体" w:hAnsi="宋体" w:cs="宋体"/>
          <w:color w:val="auto"/>
          <w:sz w:val="24"/>
          <w:highlight w:val="none"/>
        </w:rPr>
        <w:t>单位的</w:t>
      </w:r>
      <w:r>
        <w:rPr>
          <w:rFonts w:hint="eastAsia" w:ascii="宋体" w:hAnsi="宋体" w:cs="宋体"/>
          <w:color w:val="auto"/>
          <w:sz w:val="24"/>
          <w:highlight w:val="none"/>
          <w:u w:val="single"/>
          <w:lang w:val="en-US" w:eastAsia="zh-CN"/>
        </w:rPr>
        <w:t>马岭镇良和村委留塘路口至校椅镇壬水村路口路段太阳能公共照明项目（一期）</w:t>
      </w:r>
      <w:r>
        <w:rPr>
          <w:rFonts w:hint="eastAsia" w:ascii="宋体" w:hAnsi="宋体" w:cs="宋体"/>
          <w:color w:val="auto"/>
          <w:sz w:val="24"/>
          <w:highlight w:val="none"/>
        </w:rPr>
        <w:t>采购活动由本单位提供服务。</w:t>
      </w:r>
    </w:p>
    <w:p w14:paraId="0AA22C33">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本单位对上述声明的真实性负责。如有虚假，将依法承担相应责任。</w:t>
      </w:r>
    </w:p>
    <w:p w14:paraId="1F1DAFF5">
      <w:pPr>
        <w:spacing w:line="360" w:lineRule="auto"/>
        <w:rPr>
          <w:rFonts w:hint="eastAsia" w:ascii="宋体" w:hAnsi="宋体" w:cs="宋体"/>
          <w:color w:val="auto"/>
          <w:sz w:val="24"/>
          <w:highlight w:val="none"/>
        </w:rPr>
      </w:pPr>
    </w:p>
    <w:p w14:paraId="54744A50">
      <w:pPr>
        <w:spacing w:line="360" w:lineRule="auto"/>
        <w:rPr>
          <w:rFonts w:hint="eastAsia" w:ascii="宋体" w:hAnsi="宋体" w:cs="宋体"/>
          <w:color w:val="auto"/>
          <w:sz w:val="24"/>
          <w:highlight w:val="none"/>
        </w:rPr>
      </w:pPr>
    </w:p>
    <w:p w14:paraId="6DC7E58D">
      <w:pPr>
        <w:spacing w:line="360" w:lineRule="auto"/>
        <w:rPr>
          <w:rFonts w:hint="eastAsia" w:ascii="宋体" w:hAnsi="宋体" w:cs="宋体"/>
          <w:color w:val="auto"/>
          <w:sz w:val="24"/>
          <w:highlight w:val="none"/>
        </w:rPr>
      </w:pPr>
    </w:p>
    <w:p w14:paraId="5FC4BC11">
      <w:pPr>
        <w:spacing w:line="360" w:lineRule="auto"/>
        <w:ind w:firstLine="2400" w:firstLineChars="1000"/>
        <w:rPr>
          <w:rFonts w:hint="eastAsia" w:ascii="宋体" w:hAnsi="宋体" w:cs="宋体"/>
          <w:color w:val="auto"/>
          <w:sz w:val="24"/>
          <w:highlight w:val="none"/>
        </w:rPr>
      </w:pPr>
      <w:r>
        <w:rPr>
          <w:rFonts w:hint="eastAsia" w:ascii="宋体" w:hAnsi="宋体" w:cs="宋体"/>
          <w:color w:val="auto"/>
          <w:sz w:val="24"/>
          <w:highlight w:val="none"/>
        </w:rPr>
        <w:t>供应商名称（电子签章）：</w:t>
      </w:r>
    </w:p>
    <w:p w14:paraId="0774AB8A">
      <w:pPr>
        <w:spacing w:line="360" w:lineRule="auto"/>
        <w:ind w:firstLine="4320" w:firstLineChars="1800"/>
        <w:rPr>
          <w:rFonts w:hint="eastAsia" w:ascii="宋体" w:hAnsi="宋体" w:cs="宋体"/>
          <w:color w:val="auto"/>
          <w:sz w:val="24"/>
          <w:highlight w:val="none"/>
        </w:rPr>
      </w:pPr>
      <w:r>
        <w:rPr>
          <w:rFonts w:hint="eastAsia" w:ascii="宋体" w:hAnsi="宋体" w:cs="宋体"/>
          <w:color w:val="auto"/>
          <w:sz w:val="24"/>
          <w:highlight w:val="none"/>
        </w:rPr>
        <w:t>日  期：   年   月   日</w:t>
      </w:r>
    </w:p>
    <w:p w14:paraId="389CBB98">
      <w:pPr>
        <w:spacing w:line="360" w:lineRule="auto"/>
        <w:rPr>
          <w:rFonts w:hint="eastAsia" w:ascii="宋体" w:hAnsi="宋体" w:cs="宋体"/>
          <w:color w:val="auto"/>
          <w:sz w:val="24"/>
          <w:highlight w:val="none"/>
        </w:rPr>
      </w:pPr>
    </w:p>
    <w:p w14:paraId="2F0C2CDE">
      <w:pPr>
        <w:spacing w:line="360" w:lineRule="auto"/>
        <w:rPr>
          <w:rFonts w:hint="eastAsia" w:ascii="宋体" w:hAnsi="宋体" w:cs="宋体"/>
          <w:color w:val="auto"/>
          <w:sz w:val="24"/>
          <w:highlight w:val="none"/>
        </w:rPr>
      </w:pPr>
    </w:p>
    <w:p w14:paraId="6141DA04">
      <w:pPr>
        <w:spacing w:line="360" w:lineRule="auto"/>
        <w:rPr>
          <w:rFonts w:hint="eastAsia" w:ascii="宋体" w:hAnsi="宋体" w:cs="宋体"/>
          <w:color w:val="auto"/>
          <w:sz w:val="24"/>
          <w:highlight w:val="none"/>
        </w:rPr>
      </w:pPr>
    </w:p>
    <w:p w14:paraId="182B8D17">
      <w:pPr>
        <w:spacing w:line="360" w:lineRule="auto"/>
        <w:rPr>
          <w:rFonts w:hint="eastAsia" w:ascii="宋体" w:hAnsi="宋体" w:cs="宋体"/>
          <w:color w:val="auto"/>
          <w:sz w:val="24"/>
          <w:highlight w:val="none"/>
        </w:rPr>
      </w:pPr>
      <w:r>
        <w:rPr>
          <w:rFonts w:hint="eastAsia" w:ascii="宋体" w:hAnsi="宋体" w:cs="宋体"/>
          <w:color w:val="auto"/>
          <w:sz w:val="24"/>
          <w:highlight w:val="none"/>
        </w:rPr>
        <w:t>注：请根据自己的真实情况出具《残疾人福利性单位声明函》。依法享受中小企业优惠政策的，采购人或者采购代理机构在公告</w:t>
      </w:r>
      <w:r>
        <w:rPr>
          <w:rFonts w:hint="eastAsia" w:ascii="宋体" w:hAnsi="宋体" w:cs="宋体"/>
          <w:color w:val="auto"/>
          <w:sz w:val="24"/>
          <w:highlight w:val="none"/>
          <w:lang w:val="en-US" w:eastAsia="zh-CN"/>
        </w:rPr>
        <w:t>成交</w:t>
      </w:r>
      <w:r>
        <w:rPr>
          <w:rFonts w:hint="eastAsia" w:ascii="宋体" w:hAnsi="宋体" w:cs="宋体"/>
          <w:color w:val="auto"/>
          <w:sz w:val="24"/>
          <w:highlight w:val="none"/>
        </w:rPr>
        <w:t>结果时，同时公告其《残疾人福利性单位声明函》，接受社会监督。</w:t>
      </w:r>
    </w:p>
    <w:p w14:paraId="79A72691">
      <w:pPr>
        <w:spacing w:line="520" w:lineRule="exact"/>
        <w:jc w:val="center"/>
        <w:rPr>
          <w:rFonts w:hint="eastAsia" w:ascii="宋体" w:hAnsi="宋体" w:cs="宋体"/>
          <w:color w:val="auto"/>
          <w:sz w:val="24"/>
          <w:highlight w:val="none"/>
        </w:rPr>
      </w:pPr>
    </w:p>
    <w:p w14:paraId="5D386EA4">
      <w:pPr>
        <w:snapToGrid w:val="0"/>
        <w:spacing w:line="360" w:lineRule="auto"/>
        <w:ind w:firstLine="602" w:firstLineChars="200"/>
        <w:rPr>
          <w:rFonts w:hint="eastAsia" w:ascii="宋体" w:hAnsi="宋体" w:cs="宋体"/>
          <w:b/>
          <w:color w:val="auto"/>
          <w:sz w:val="30"/>
          <w:szCs w:val="30"/>
          <w:highlight w:val="none"/>
        </w:rPr>
      </w:pPr>
    </w:p>
    <w:p w14:paraId="46DFF96C">
      <w:pPr>
        <w:autoSpaceDE w:val="0"/>
        <w:autoSpaceDN w:val="0"/>
        <w:spacing w:line="360" w:lineRule="auto"/>
        <w:rPr>
          <w:rFonts w:hint="eastAsia" w:ascii="宋体" w:hAnsi="宋体" w:cs="宋体"/>
          <w:b/>
          <w:bCs/>
          <w:color w:val="auto"/>
          <w:sz w:val="24"/>
          <w:highlight w:val="none"/>
        </w:rPr>
      </w:pPr>
    </w:p>
    <w:p w14:paraId="19EB5F25">
      <w:pPr>
        <w:snapToGrid w:val="0"/>
        <w:spacing w:line="360" w:lineRule="auto"/>
        <w:ind w:firstLine="602" w:firstLineChars="200"/>
        <w:rPr>
          <w:rFonts w:hint="eastAsia" w:ascii="宋体" w:hAnsi="宋体" w:cs="宋体"/>
          <w:b/>
          <w:color w:val="auto"/>
          <w:sz w:val="30"/>
          <w:szCs w:val="30"/>
          <w:highlight w:val="none"/>
        </w:rPr>
      </w:pPr>
      <w:r>
        <w:rPr>
          <w:rFonts w:hint="eastAsia" w:ascii="宋体" w:hAnsi="宋体" w:cs="宋体"/>
          <w:b/>
          <w:color w:val="auto"/>
          <w:sz w:val="30"/>
          <w:szCs w:val="30"/>
          <w:highlight w:val="none"/>
          <w:lang w:val="en-US" w:eastAsia="zh-CN"/>
        </w:rPr>
        <w:t>九</w:t>
      </w:r>
      <w:r>
        <w:rPr>
          <w:rFonts w:hint="eastAsia" w:ascii="宋体" w:hAnsi="宋体" w:cs="宋体"/>
          <w:b/>
          <w:color w:val="auto"/>
          <w:sz w:val="30"/>
          <w:szCs w:val="30"/>
          <w:highlight w:val="none"/>
        </w:rPr>
        <w:t>、除磋商文件规定必须提供以外，供应商认为需要提供的其他证明材料</w:t>
      </w:r>
    </w:p>
    <w:p w14:paraId="388B20A8">
      <w:pPr>
        <w:snapToGrid w:val="0"/>
        <w:spacing w:line="360" w:lineRule="auto"/>
        <w:ind w:firstLine="602" w:firstLineChars="200"/>
        <w:rPr>
          <w:rFonts w:hint="eastAsia" w:ascii="宋体" w:hAnsi="宋体" w:cs="宋体"/>
          <w:b/>
          <w:color w:val="auto"/>
          <w:sz w:val="30"/>
          <w:szCs w:val="30"/>
          <w:highlight w:val="none"/>
        </w:rPr>
      </w:pPr>
    </w:p>
    <w:p w14:paraId="7347BCA1">
      <w:pPr>
        <w:spacing w:line="360" w:lineRule="auto"/>
        <w:ind w:firstLine="2400" w:firstLineChars="1000"/>
        <w:rPr>
          <w:rFonts w:hint="eastAsia" w:ascii="宋体" w:hAnsi="宋体" w:cs="宋体"/>
          <w:color w:val="auto"/>
          <w:sz w:val="24"/>
          <w:highlight w:val="none"/>
        </w:rPr>
      </w:pPr>
      <w:bookmarkStart w:id="97" w:name="_Toc80205940"/>
      <w:bookmarkStart w:id="98" w:name="_Toc32726"/>
      <w:r>
        <w:rPr>
          <w:rFonts w:hint="eastAsia" w:ascii="宋体" w:hAnsi="宋体" w:cs="宋体"/>
          <w:color w:val="auto"/>
          <w:sz w:val="24"/>
          <w:highlight w:val="none"/>
        </w:rPr>
        <w:t>供应商名称（电子签章）：</w:t>
      </w:r>
    </w:p>
    <w:p w14:paraId="63745028">
      <w:pPr>
        <w:spacing w:line="360" w:lineRule="auto"/>
        <w:ind w:firstLine="4320" w:firstLineChars="1800"/>
        <w:rPr>
          <w:rFonts w:hint="eastAsia" w:ascii="宋体" w:hAnsi="宋体" w:cs="宋体"/>
          <w:color w:val="auto"/>
          <w:sz w:val="24"/>
          <w:highlight w:val="none"/>
        </w:rPr>
      </w:pPr>
      <w:r>
        <w:rPr>
          <w:rFonts w:hint="eastAsia" w:ascii="宋体" w:hAnsi="宋体" w:cs="宋体"/>
          <w:color w:val="auto"/>
          <w:sz w:val="24"/>
          <w:highlight w:val="none"/>
        </w:rPr>
        <w:t>日  期：   年   月   日</w:t>
      </w:r>
    </w:p>
    <w:p w14:paraId="11C45692">
      <w:pPr>
        <w:pStyle w:val="3"/>
        <w:jc w:val="center"/>
        <w:rPr>
          <w:rFonts w:hint="eastAsia" w:ascii="宋体" w:hAnsi="宋体" w:cs="宋体"/>
          <w:color w:val="auto"/>
          <w:highlight w:val="none"/>
        </w:rPr>
      </w:pPr>
      <w:r>
        <w:rPr>
          <w:rFonts w:hint="eastAsia" w:ascii="宋体" w:hAnsi="宋体" w:cs="宋体"/>
          <w:color w:val="auto"/>
          <w:highlight w:val="none"/>
        </w:rPr>
        <w:br w:type="page"/>
      </w:r>
      <w:bookmarkStart w:id="99" w:name="_Toc7370"/>
      <w:bookmarkStart w:id="100" w:name="_Toc630"/>
      <w:r>
        <w:rPr>
          <w:rFonts w:hint="eastAsia" w:ascii="宋体" w:hAnsi="宋体" w:cs="宋体"/>
          <w:b w:val="0"/>
          <w:bCs w:val="0"/>
          <w:color w:val="auto"/>
          <w:highlight w:val="none"/>
        </w:rPr>
        <w:t>第三节 商务技术文件格式</w:t>
      </w:r>
      <w:bookmarkEnd w:id="97"/>
      <w:bookmarkEnd w:id="98"/>
      <w:bookmarkEnd w:id="99"/>
      <w:bookmarkEnd w:id="100"/>
    </w:p>
    <w:p w14:paraId="7259D0C9">
      <w:pPr>
        <w:snapToGrid w:val="0"/>
        <w:spacing w:before="165" w:beforeLines="50" w:after="50"/>
        <w:rPr>
          <w:rFonts w:hint="eastAsia" w:ascii="宋体" w:hAnsi="宋体" w:cs="宋体"/>
          <w:bCs/>
          <w:color w:val="auto"/>
          <w:sz w:val="32"/>
          <w:szCs w:val="20"/>
          <w:highlight w:val="none"/>
        </w:rPr>
      </w:pPr>
      <w:r>
        <w:rPr>
          <w:rFonts w:hint="eastAsia" w:ascii="宋体" w:hAnsi="宋体" w:cs="宋体"/>
          <w:color w:val="auto"/>
          <w:sz w:val="24"/>
          <w:highlight w:val="none"/>
        </w:rPr>
        <w:t xml:space="preserve">                                             </w:t>
      </w:r>
      <w:r>
        <w:rPr>
          <w:rFonts w:hint="eastAsia" w:ascii="宋体" w:hAnsi="宋体" w:cs="宋体"/>
          <w:b/>
          <w:bCs/>
          <w:color w:val="auto"/>
          <w:sz w:val="24"/>
          <w:highlight w:val="none"/>
        </w:rPr>
        <w:t xml:space="preserve">       </w:t>
      </w:r>
      <w:r>
        <w:rPr>
          <w:rFonts w:hint="eastAsia" w:ascii="宋体" w:hAnsi="宋体" w:cs="宋体"/>
          <w:b/>
          <w:bCs/>
          <w:color w:val="auto"/>
          <w:highlight w:val="none"/>
        </w:rPr>
        <w:t>全流程电子文件</w:t>
      </w:r>
    </w:p>
    <w:p w14:paraId="2AC50B1C">
      <w:pPr>
        <w:snapToGrid w:val="0"/>
        <w:spacing w:before="165" w:beforeLines="50" w:after="50"/>
        <w:rPr>
          <w:rFonts w:hint="eastAsia" w:ascii="宋体" w:hAnsi="宋体" w:cs="宋体"/>
          <w:color w:val="auto"/>
          <w:sz w:val="24"/>
          <w:szCs w:val="20"/>
          <w:highlight w:val="none"/>
        </w:rPr>
      </w:pPr>
    </w:p>
    <w:p w14:paraId="0AE9CB9C">
      <w:pPr>
        <w:snapToGrid w:val="0"/>
        <w:spacing w:before="165" w:beforeLines="50" w:after="50"/>
        <w:rPr>
          <w:rFonts w:hint="eastAsia" w:ascii="宋体" w:hAnsi="宋体" w:cs="宋体"/>
          <w:color w:val="auto"/>
          <w:sz w:val="24"/>
          <w:szCs w:val="20"/>
          <w:highlight w:val="none"/>
        </w:rPr>
      </w:pPr>
    </w:p>
    <w:p w14:paraId="5F603C17">
      <w:pPr>
        <w:snapToGrid w:val="0"/>
        <w:spacing w:before="165" w:beforeLines="50" w:after="50"/>
        <w:rPr>
          <w:rFonts w:hint="eastAsia" w:ascii="宋体" w:hAnsi="宋体" w:cs="宋体"/>
          <w:color w:val="auto"/>
          <w:sz w:val="24"/>
          <w:szCs w:val="20"/>
          <w:highlight w:val="none"/>
        </w:rPr>
      </w:pPr>
    </w:p>
    <w:p w14:paraId="57826F00">
      <w:pPr>
        <w:snapToGrid w:val="0"/>
        <w:spacing w:before="165" w:beforeLines="50" w:after="50"/>
        <w:jc w:val="center"/>
        <w:rPr>
          <w:rFonts w:hint="eastAsia" w:ascii="宋体" w:hAnsi="宋体" w:cs="宋体"/>
          <w:b/>
          <w:color w:val="auto"/>
          <w:sz w:val="52"/>
          <w:szCs w:val="52"/>
          <w:highlight w:val="none"/>
        </w:rPr>
      </w:pPr>
      <w:r>
        <w:rPr>
          <w:rFonts w:hint="eastAsia" w:ascii="宋体" w:hAnsi="宋体" w:cs="宋体"/>
          <w:b/>
          <w:color w:val="auto"/>
          <w:sz w:val="52"/>
          <w:szCs w:val="52"/>
          <w:highlight w:val="none"/>
        </w:rPr>
        <w:t>商务技术文件（封面）</w:t>
      </w:r>
    </w:p>
    <w:p w14:paraId="71F4F0FA">
      <w:pPr>
        <w:snapToGrid w:val="0"/>
        <w:spacing w:before="165" w:beforeLines="50" w:after="50"/>
        <w:rPr>
          <w:rFonts w:hint="eastAsia" w:ascii="宋体" w:hAnsi="宋体" w:cs="宋体"/>
          <w:bCs/>
          <w:color w:val="auto"/>
          <w:sz w:val="24"/>
          <w:szCs w:val="20"/>
          <w:highlight w:val="none"/>
        </w:rPr>
      </w:pPr>
    </w:p>
    <w:p w14:paraId="74B19979">
      <w:pPr>
        <w:snapToGrid w:val="0"/>
        <w:spacing w:before="165" w:beforeLines="50" w:after="50"/>
        <w:rPr>
          <w:rFonts w:hint="eastAsia" w:ascii="宋体" w:hAnsi="宋体" w:cs="宋体"/>
          <w:bCs/>
          <w:color w:val="auto"/>
          <w:sz w:val="24"/>
          <w:szCs w:val="20"/>
          <w:highlight w:val="none"/>
        </w:rPr>
      </w:pPr>
    </w:p>
    <w:p w14:paraId="2007261F">
      <w:pPr>
        <w:snapToGrid w:val="0"/>
        <w:spacing w:before="165" w:beforeLines="50" w:after="50"/>
        <w:rPr>
          <w:rFonts w:hint="eastAsia" w:ascii="宋体" w:hAnsi="宋体" w:cs="宋体"/>
          <w:bCs/>
          <w:color w:val="auto"/>
          <w:sz w:val="24"/>
          <w:szCs w:val="20"/>
          <w:highlight w:val="none"/>
        </w:rPr>
      </w:pPr>
    </w:p>
    <w:p w14:paraId="22DB8EC6">
      <w:pPr>
        <w:snapToGrid w:val="0"/>
        <w:spacing w:before="165" w:beforeLines="50" w:after="50"/>
        <w:rPr>
          <w:rFonts w:hint="eastAsia" w:ascii="宋体" w:hAnsi="宋体" w:cs="宋体"/>
          <w:bCs/>
          <w:color w:val="auto"/>
          <w:sz w:val="24"/>
          <w:szCs w:val="20"/>
          <w:highlight w:val="none"/>
        </w:rPr>
      </w:pPr>
    </w:p>
    <w:p w14:paraId="1673E973">
      <w:pPr>
        <w:snapToGrid w:val="0"/>
        <w:spacing w:before="165" w:beforeLines="50" w:after="50"/>
        <w:rPr>
          <w:rFonts w:hint="eastAsia" w:ascii="宋体" w:hAnsi="宋体" w:cs="宋体"/>
          <w:bCs/>
          <w:color w:val="auto"/>
          <w:sz w:val="24"/>
          <w:szCs w:val="20"/>
          <w:highlight w:val="none"/>
        </w:rPr>
      </w:pPr>
    </w:p>
    <w:p w14:paraId="1BFAEDB0">
      <w:pPr>
        <w:snapToGrid w:val="0"/>
        <w:spacing w:before="165" w:beforeLines="50" w:after="50"/>
        <w:ind w:firstLine="640" w:firstLineChars="200"/>
        <w:rPr>
          <w:rFonts w:hint="eastAsia" w:ascii="宋体" w:hAnsi="宋体" w:cs="宋体"/>
          <w:bCs/>
          <w:color w:val="auto"/>
          <w:sz w:val="32"/>
          <w:szCs w:val="32"/>
          <w:highlight w:val="none"/>
        </w:rPr>
      </w:pPr>
      <w:r>
        <w:rPr>
          <w:rFonts w:hint="eastAsia" w:ascii="宋体" w:hAnsi="宋体" w:cs="宋体"/>
          <w:bCs/>
          <w:color w:val="auto"/>
          <w:sz w:val="32"/>
          <w:szCs w:val="32"/>
          <w:highlight w:val="none"/>
        </w:rPr>
        <w:t>项目名称：</w:t>
      </w:r>
    </w:p>
    <w:p w14:paraId="7701A870">
      <w:pPr>
        <w:snapToGrid w:val="0"/>
        <w:spacing w:before="165" w:beforeLines="50" w:after="50"/>
        <w:ind w:firstLine="720" w:firstLineChars="225"/>
        <w:rPr>
          <w:rFonts w:hint="eastAsia" w:ascii="宋体" w:hAnsi="宋体" w:cs="宋体"/>
          <w:bCs/>
          <w:color w:val="auto"/>
          <w:sz w:val="32"/>
          <w:szCs w:val="32"/>
          <w:highlight w:val="none"/>
        </w:rPr>
      </w:pPr>
    </w:p>
    <w:p w14:paraId="1944844C">
      <w:pPr>
        <w:snapToGrid w:val="0"/>
        <w:spacing w:before="165" w:beforeLines="50" w:after="50"/>
        <w:ind w:firstLine="640" w:firstLineChars="200"/>
        <w:rPr>
          <w:rFonts w:hint="eastAsia" w:ascii="宋体" w:hAnsi="宋体" w:cs="宋体"/>
          <w:bCs/>
          <w:color w:val="auto"/>
          <w:sz w:val="32"/>
          <w:szCs w:val="32"/>
          <w:highlight w:val="none"/>
        </w:rPr>
      </w:pPr>
      <w:r>
        <w:rPr>
          <w:rFonts w:hint="eastAsia" w:ascii="宋体" w:hAnsi="宋体" w:cs="宋体"/>
          <w:bCs/>
          <w:color w:val="auto"/>
          <w:sz w:val="32"/>
          <w:szCs w:val="32"/>
          <w:highlight w:val="none"/>
        </w:rPr>
        <w:t>项目编号：</w:t>
      </w:r>
    </w:p>
    <w:p w14:paraId="658B48E8">
      <w:pPr>
        <w:snapToGrid w:val="0"/>
        <w:spacing w:before="165" w:beforeLines="50" w:after="50"/>
        <w:ind w:firstLine="720" w:firstLineChars="225"/>
        <w:rPr>
          <w:rFonts w:hint="eastAsia" w:ascii="宋体" w:hAnsi="宋体" w:cs="宋体"/>
          <w:bCs/>
          <w:color w:val="auto"/>
          <w:sz w:val="32"/>
          <w:szCs w:val="32"/>
          <w:highlight w:val="none"/>
        </w:rPr>
      </w:pPr>
      <w:r>
        <w:rPr>
          <w:rFonts w:hint="eastAsia" w:ascii="宋体" w:hAnsi="宋体" w:cs="宋体"/>
          <w:bCs/>
          <w:color w:val="auto"/>
          <w:sz w:val="32"/>
          <w:szCs w:val="32"/>
          <w:highlight w:val="none"/>
        </w:rPr>
        <w:t xml:space="preserve"> </w:t>
      </w:r>
    </w:p>
    <w:p w14:paraId="4B314829">
      <w:pPr>
        <w:snapToGrid w:val="0"/>
        <w:spacing w:before="165" w:beforeLines="50" w:after="50"/>
        <w:ind w:firstLine="640" w:firstLineChars="200"/>
        <w:rPr>
          <w:rFonts w:hint="eastAsia" w:ascii="宋体" w:hAnsi="宋体" w:cs="宋体"/>
          <w:bCs/>
          <w:color w:val="auto"/>
          <w:sz w:val="32"/>
          <w:szCs w:val="32"/>
          <w:highlight w:val="none"/>
        </w:rPr>
      </w:pPr>
      <w:r>
        <w:rPr>
          <w:rFonts w:hint="eastAsia" w:ascii="宋体" w:hAnsi="宋体" w:cs="宋体"/>
          <w:bCs/>
          <w:color w:val="auto"/>
          <w:sz w:val="32"/>
          <w:szCs w:val="32"/>
          <w:highlight w:val="none"/>
        </w:rPr>
        <w:t>所竞分标（如有则填写，无分标时填写“无”或者留空）：</w:t>
      </w:r>
    </w:p>
    <w:p w14:paraId="4CD5EE40">
      <w:pPr>
        <w:snapToGrid w:val="0"/>
        <w:spacing w:before="165" w:beforeLines="50" w:after="50"/>
        <w:ind w:firstLine="720" w:firstLineChars="225"/>
        <w:rPr>
          <w:rFonts w:hint="eastAsia" w:ascii="宋体" w:hAnsi="宋体" w:cs="宋体"/>
          <w:bCs/>
          <w:color w:val="auto"/>
          <w:sz w:val="32"/>
          <w:szCs w:val="32"/>
          <w:highlight w:val="none"/>
        </w:rPr>
      </w:pPr>
    </w:p>
    <w:p w14:paraId="6D899957">
      <w:pPr>
        <w:pStyle w:val="7"/>
        <w:snapToGrid w:val="0"/>
        <w:spacing w:before="50" w:after="50"/>
        <w:ind w:firstLine="640" w:firstLineChars="200"/>
        <w:rPr>
          <w:rFonts w:hint="eastAsia" w:ascii="宋体" w:hAnsi="宋体" w:cs="宋体"/>
          <w:bCs/>
          <w:color w:val="auto"/>
          <w:sz w:val="32"/>
          <w:szCs w:val="32"/>
          <w:highlight w:val="none"/>
        </w:rPr>
      </w:pPr>
      <w:r>
        <w:rPr>
          <w:rFonts w:hint="eastAsia" w:ascii="宋体" w:hAnsi="宋体" w:cs="宋体"/>
          <w:bCs/>
          <w:color w:val="auto"/>
          <w:sz w:val="32"/>
          <w:szCs w:val="32"/>
          <w:highlight w:val="none"/>
        </w:rPr>
        <w:t>供应商名称：</w:t>
      </w:r>
    </w:p>
    <w:p w14:paraId="79EC1C3A">
      <w:pPr>
        <w:pStyle w:val="7"/>
        <w:snapToGrid w:val="0"/>
        <w:spacing w:before="50" w:after="50"/>
        <w:ind w:firstLine="720" w:firstLineChars="225"/>
        <w:rPr>
          <w:rFonts w:hint="eastAsia" w:ascii="宋体" w:hAnsi="宋体" w:cs="宋体"/>
          <w:bCs/>
          <w:color w:val="auto"/>
          <w:sz w:val="32"/>
          <w:szCs w:val="32"/>
          <w:highlight w:val="none"/>
        </w:rPr>
      </w:pPr>
    </w:p>
    <w:p w14:paraId="4C1D0B5E">
      <w:pPr>
        <w:pStyle w:val="7"/>
        <w:snapToGrid w:val="0"/>
        <w:spacing w:before="50" w:after="50"/>
        <w:ind w:firstLine="720" w:firstLineChars="225"/>
        <w:rPr>
          <w:rFonts w:hint="eastAsia" w:ascii="宋体" w:hAnsi="宋体" w:cs="宋体"/>
          <w:bCs/>
          <w:color w:val="auto"/>
          <w:sz w:val="32"/>
          <w:szCs w:val="32"/>
          <w:highlight w:val="none"/>
        </w:rPr>
      </w:pPr>
    </w:p>
    <w:p w14:paraId="215737C5">
      <w:pPr>
        <w:pStyle w:val="7"/>
        <w:snapToGrid w:val="0"/>
        <w:spacing w:before="50" w:after="50"/>
        <w:ind w:firstLine="1280" w:firstLineChars="400"/>
        <w:rPr>
          <w:rFonts w:hint="eastAsia" w:ascii="宋体" w:hAnsi="宋体" w:cs="宋体"/>
          <w:bCs/>
          <w:color w:val="auto"/>
          <w:sz w:val="32"/>
          <w:szCs w:val="32"/>
          <w:highlight w:val="none"/>
        </w:rPr>
      </w:pPr>
    </w:p>
    <w:p w14:paraId="4FBB15FC">
      <w:pPr>
        <w:snapToGrid w:val="0"/>
        <w:spacing w:before="165" w:beforeLines="50" w:after="50"/>
        <w:jc w:val="center"/>
        <w:rPr>
          <w:rFonts w:hint="eastAsia" w:ascii="宋体" w:hAnsi="宋体" w:cs="宋体"/>
          <w:color w:val="auto"/>
          <w:sz w:val="32"/>
          <w:szCs w:val="32"/>
          <w:highlight w:val="none"/>
        </w:rPr>
      </w:pPr>
      <w:r>
        <w:rPr>
          <w:rFonts w:hint="eastAsia" w:ascii="宋体" w:hAnsi="宋体" w:cs="宋体"/>
          <w:color w:val="auto"/>
          <w:sz w:val="32"/>
          <w:szCs w:val="32"/>
          <w:highlight w:val="none"/>
        </w:rPr>
        <w:t>年    月    日</w:t>
      </w:r>
    </w:p>
    <w:p w14:paraId="33FDB316">
      <w:pPr>
        <w:snapToGrid w:val="0"/>
        <w:spacing w:before="165" w:beforeLines="50" w:after="50" w:line="360" w:lineRule="auto"/>
        <w:ind w:left="142" w:firstLine="643" w:firstLineChars="200"/>
        <w:jc w:val="left"/>
        <w:rPr>
          <w:rFonts w:hint="eastAsia" w:ascii="宋体" w:hAnsi="宋体" w:cs="宋体"/>
          <w:b/>
          <w:bCs/>
          <w:color w:val="auto"/>
          <w:sz w:val="32"/>
          <w:szCs w:val="32"/>
          <w:highlight w:val="none"/>
        </w:rPr>
        <w:sectPr>
          <w:pgSz w:w="11905" w:h="16838"/>
          <w:pgMar w:top="1134" w:right="1587" w:bottom="1134" w:left="1587" w:header="720" w:footer="720" w:gutter="0"/>
          <w:pgBorders>
            <w:top w:val="none" w:sz="0" w:space="0"/>
            <w:left w:val="none" w:sz="0" w:space="0"/>
            <w:bottom w:val="none" w:sz="0" w:space="0"/>
            <w:right w:val="none" w:sz="0" w:space="0"/>
          </w:pgBorders>
          <w:cols w:space="720" w:num="1"/>
          <w:docGrid w:type="lines" w:linePitch="331" w:charSpace="0"/>
        </w:sectPr>
      </w:pPr>
    </w:p>
    <w:p w14:paraId="79C6A50B">
      <w:pPr>
        <w:jc w:val="center"/>
        <w:rPr>
          <w:rFonts w:hint="eastAsia" w:ascii="宋体" w:hAnsi="宋体" w:cs="宋体"/>
          <w:b/>
          <w:color w:val="auto"/>
          <w:kern w:val="0"/>
          <w:sz w:val="28"/>
          <w:szCs w:val="28"/>
          <w:highlight w:val="none"/>
        </w:rPr>
      </w:pPr>
      <w:r>
        <w:rPr>
          <w:rFonts w:hint="eastAsia" w:ascii="宋体" w:hAnsi="宋体" w:cs="宋体"/>
          <w:b/>
          <w:color w:val="auto"/>
          <w:kern w:val="0"/>
          <w:sz w:val="28"/>
          <w:szCs w:val="28"/>
          <w:highlight w:val="none"/>
        </w:rPr>
        <w:t>商务技术文件目录</w:t>
      </w:r>
    </w:p>
    <w:p w14:paraId="7A318D72">
      <w:pPr>
        <w:jc w:val="center"/>
        <w:rPr>
          <w:rFonts w:hint="eastAsia" w:ascii="宋体" w:hAnsi="宋体" w:cs="宋体"/>
          <w:b/>
          <w:color w:val="auto"/>
          <w:kern w:val="0"/>
          <w:sz w:val="28"/>
          <w:szCs w:val="28"/>
          <w:highlight w:val="none"/>
        </w:rPr>
      </w:pPr>
    </w:p>
    <w:p w14:paraId="02B3BBE1">
      <w:pPr>
        <w:pStyle w:val="32"/>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一、无串通竞标行为的承诺函………………………………………………（页码）</w:t>
      </w:r>
    </w:p>
    <w:p w14:paraId="0D836BCA">
      <w:pPr>
        <w:pStyle w:val="32"/>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二、法定代表人身份证明书及法定代表人有效身份证正反面复印件……（页码）</w:t>
      </w:r>
    </w:p>
    <w:p w14:paraId="0FEABA26">
      <w:pPr>
        <w:pStyle w:val="32"/>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三、法定代表人授权委托书及委托代理人有效身份证正反面复印件（如有委托时）……………</w:t>
      </w:r>
      <w:r>
        <w:rPr>
          <w:rFonts w:hint="eastAsia" w:ascii="宋体" w:hAnsi="宋体" w:eastAsia="宋体" w:cs="宋体"/>
          <w:color w:val="auto"/>
          <w:highlight w:val="none"/>
          <w:lang w:val="zh-CN"/>
        </w:rPr>
        <w:t>…………………</w:t>
      </w:r>
      <w:r>
        <w:rPr>
          <w:rFonts w:hint="eastAsia" w:ascii="宋体" w:hAnsi="宋体" w:eastAsia="宋体" w:cs="宋体"/>
          <w:color w:val="auto"/>
          <w:highlight w:val="none"/>
        </w:rPr>
        <w:t>……………</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p>
    <w:p w14:paraId="27882A83">
      <w:pPr>
        <w:pStyle w:val="32"/>
        <w:spacing w:line="360" w:lineRule="auto"/>
        <w:rPr>
          <w:rFonts w:hint="eastAsia" w:ascii="宋体" w:hAnsi="宋体" w:eastAsia="宋体" w:cs="宋体"/>
          <w:color w:val="auto"/>
          <w:highlight w:val="none"/>
        </w:rPr>
      </w:pPr>
      <w:r>
        <w:rPr>
          <w:rFonts w:hint="eastAsia" w:ascii="宋体" w:hAnsi="宋体" w:eastAsia="宋体" w:cs="宋体"/>
          <w:color w:val="auto"/>
          <w:highlight w:val="none"/>
          <w:lang w:val="zh-CN"/>
        </w:rPr>
        <w:t>四、商务条款偏离表………………………………</w:t>
      </w:r>
      <w:r>
        <w:rPr>
          <w:rFonts w:hint="eastAsia" w:ascii="宋体" w:hAnsi="宋体" w:eastAsia="宋体" w:cs="宋体"/>
          <w:color w:val="auto"/>
          <w:highlight w:val="none"/>
        </w:rPr>
        <w:t>…………………………（页码）</w:t>
      </w:r>
    </w:p>
    <w:p w14:paraId="3ED1CCAB">
      <w:pPr>
        <w:pStyle w:val="32"/>
        <w:spacing w:line="360" w:lineRule="auto"/>
        <w:rPr>
          <w:rFonts w:hint="eastAsia" w:ascii="宋体" w:hAnsi="宋体" w:eastAsia="宋体" w:cs="宋体"/>
          <w:color w:val="auto"/>
          <w:highlight w:val="none"/>
          <w:lang w:val="zh-CN"/>
        </w:rPr>
      </w:pPr>
      <w:bookmarkStart w:id="101" w:name="OLE_LINK6"/>
      <w:bookmarkStart w:id="102" w:name="OLE_LINK7"/>
      <w:bookmarkStart w:id="103" w:name="OLE_LINK5"/>
      <w:r>
        <w:rPr>
          <w:rFonts w:hint="eastAsia" w:ascii="宋体" w:hAnsi="宋体" w:eastAsia="宋体" w:cs="宋体"/>
          <w:color w:val="auto"/>
          <w:highlight w:val="none"/>
          <w:lang w:val="zh-CN"/>
        </w:rPr>
        <w:t>五、企业概况表……</w:t>
      </w:r>
      <w:r>
        <w:rPr>
          <w:rFonts w:hint="eastAsia" w:ascii="宋体" w:hAnsi="宋体" w:eastAsia="宋体" w:cs="宋体"/>
          <w:color w:val="auto"/>
          <w:highlight w:val="none"/>
        </w:rPr>
        <w:t>……………………………………………………（页码）</w:t>
      </w:r>
    </w:p>
    <w:p w14:paraId="0195C139">
      <w:pPr>
        <w:pStyle w:val="32"/>
        <w:spacing w:line="360" w:lineRule="auto"/>
        <w:rPr>
          <w:rFonts w:hint="eastAsia" w:ascii="宋体" w:hAnsi="宋体" w:eastAsia="宋体" w:cs="宋体"/>
          <w:color w:val="auto"/>
          <w:highlight w:val="none"/>
        </w:rPr>
      </w:pPr>
      <w:r>
        <w:rPr>
          <w:rFonts w:hint="eastAsia" w:ascii="宋体" w:hAnsi="宋体" w:eastAsia="宋体" w:cs="宋体"/>
          <w:color w:val="auto"/>
          <w:highlight w:val="none"/>
          <w:lang w:val="zh-CN"/>
        </w:rPr>
        <w:t>六、供应商类似的业绩证明文件…………………………</w:t>
      </w:r>
      <w:r>
        <w:rPr>
          <w:rFonts w:hint="eastAsia" w:ascii="宋体" w:hAnsi="宋体" w:eastAsia="宋体" w:cs="宋体"/>
          <w:color w:val="auto"/>
          <w:highlight w:val="none"/>
        </w:rPr>
        <w:t>…………（页码）</w:t>
      </w:r>
    </w:p>
    <w:p w14:paraId="108E8355">
      <w:pPr>
        <w:pStyle w:val="32"/>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七、技术需求偏离表</w:t>
      </w:r>
      <w:r>
        <w:rPr>
          <w:rFonts w:hint="eastAsia" w:ascii="宋体" w:hAnsi="宋体" w:eastAsia="宋体" w:cs="宋体"/>
          <w:color w:val="auto"/>
          <w:highlight w:val="none"/>
          <w:lang w:val="zh-CN"/>
        </w:rPr>
        <w:t>…………………………</w:t>
      </w:r>
      <w:r>
        <w:rPr>
          <w:rFonts w:hint="eastAsia" w:ascii="宋体" w:hAnsi="宋体" w:eastAsia="宋体" w:cs="宋体"/>
          <w:color w:val="auto"/>
          <w:highlight w:val="none"/>
        </w:rPr>
        <w:t>…</w:t>
      </w:r>
      <w:r>
        <w:rPr>
          <w:rFonts w:hint="eastAsia" w:ascii="宋体" w:hAnsi="宋体" w:eastAsia="宋体" w:cs="宋体"/>
          <w:color w:val="auto"/>
          <w:highlight w:val="none"/>
          <w:lang w:val="zh-CN"/>
        </w:rPr>
        <w:t>…</w:t>
      </w:r>
      <w:r>
        <w:rPr>
          <w:rFonts w:hint="eastAsia" w:ascii="宋体" w:hAnsi="宋体" w:eastAsia="宋体" w:cs="宋体"/>
          <w:color w:val="auto"/>
          <w:highlight w:val="none"/>
        </w:rPr>
        <w:t>…</w:t>
      </w:r>
      <w:r>
        <w:rPr>
          <w:rFonts w:hint="eastAsia" w:ascii="宋体" w:hAnsi="宋体" w:eastAsia="宋体" w:cs="宋体"/>
          <w:color w:val="auto"/>
          <w:highlight w:val="none"/>
          <w:lang w:val="zh-CN"/>
        </w:rPr>
        <w:t>………</w:t>
      </w:r>
      <w:r>
        <w:rPr>
          <w:rFonts w:hint="eastAsia" w:ascii="宋体" w:hAnsi="宋体" w:eastAsia="宋体" w:cs="宋体"/>
          <w:color w:val="auto"/>
          <w:highlight w:val="none"/>
        </w:rPr>
        <w:t>……………</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bookmarkEnd w:id="101"/>
      <w:bookmarkEnd w:id="102"/>
    </w:p>
    <w:bookmarkEnd w:id="103"/>
    <w:p w14:paraId="6FD150E7">
      <w:pPr>
        <w:pStyle w:val="32"/>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八、</w:t>
      </w:r>
      <w:r>
        <w:rPr>
          <w:rFonts w:hint="eastAsia" w:ascii="宋体" w:hAnsi="宋体" w:eastAsia="宋体" w:cs="宋体"/>
          <w:bCs/>
          <w:color w:val="auto"/>
          <w:szCs w:val="21"/>
          <w:highlight w:val="none"/>
        </w:rPr>
        <w:t>施工组织设计</w:t>
      </w:r>
      <w:r>
        <w:rPr>
          <w:rFonts w:hint="eastAsia" w:ascii="宋体" w:hAnsi="宋体" w:eastAsia="宋体" w:cs="宋体"/>
          <w:color w:val="auto"/>
          <w:highlight w:val="none"/>
        </w:rPr>
        <w:t>……………………………………………………………（页码）</w:t>
      </w:r>
    </w:p>
    <w:p w14:paraId="6F3F6C2E">
      <w:pPr>
        <w:pStyle w:val="32"/>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九、</w:t>
      </w:r>
      <w:r>
        <w:rPr>
          <w:rFonts w:hint="eastAsia" w:ascii="宋体" w:hAnsi="宋体" w:eastAsia="宋体" w:cs="宋体"/>
          <w:bCs/>
          <w:color w:val="auto"/>
          <w:szCs w:val="21"/>
          <w:highlight w:val="none"/>
        </w:rPr>
        <w:t>项目管理机构</w:t>
      </w:r>
      <w:r>
        <w:rPr>
          <w:rFonts w:hint="eastAsia" w:ascii="宋体" w:hAnsi="宋体" w:eastAsia="宋体" w:cs="宋体"/>
          <w:color w:val="auto"/>
          <w:highlight w:val="none"/>
        </w:rPr>
        <w:t>……………………………………………………………（页码）</w:t>
      </w:r>
    </w:p>
    <w:p w14:paraId="74F1653B">
      <w:pPr>
        <w:pStyle w:val="32"/>
        <w:spacing w:line="360" w:lineRule="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十、建设工程项目管理承诺书</w:t>
      </w:r>
      <w:r>
        <w:rPr>
          <w:rFonts w:hint="eastAsia" w:ascii="宋体" w:hAnsi="宋体" w:eastAsia="宋体" w:cs="宋体"/>
          <w:color w:val="auto"/>
          <w:highlight w:val="none"/>
        </w:rPr>
        <w:t>………………………………………（页码）</w:t>
      </w:r>
    </w:p>
    <w:p w14:paraId="7612B1D6">
      <w:pPr>
        <w:pStyle w:val="32"/>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十</w:t>
      </w:r>
      <w:r>
        <w:rPr>
          <w:rFonts w:hint="eastAsia" w:ascii="宋体" w:hAnsi="宋体" w:eastAsia="宋体" w:cs="宋体"/>
          <w:color w:val="auto"/>
          <w:highlight w:val="none"/>
          <w:lang w:val="en-US" w:eastAsia="zh-CN"/>
        </w:rPr>
        <w:t>一</w:t>
      </w:r>
      <w:r>
        <w:rPr>
          <w:rFonts w:hint="eastAsia" w:ascii="宋体" w:hAnsi="宋体" w:eastAsia="宋体" w:cs="宋体"/>
          <w:color w:val="auto"/>
          <w:highlight w:val="none"/>
        </w:rPr>
        <w:t>、供应商认为需要提供的其他有关资料………………………………（页码）</w:t>
      </w:r>
    </w:p>
    <w:p w14:paraId="709467E7">
      <w:pPr>
        <w:spacing w:line="360" w:lineRule="auto"/>
        <w:rPr>
          <w:rFonts w:hint="eastAsia" w:ascii="宋体" w:hAnsi="宋体" w:cs="宋体"/>
          <w:b/>
          <w:bCs/>
          <w:color w:val="auto"/>
          <w:sz w:val="24"/>
          <w:highlight w:val="none"/>
        </w:rPr>
      </w:pPr>
    </w:p>
    <w:p w14:paraId="7387435D">
      <w:pPr>
        <w:spacing w:line="360" w:lineRule="auto"/>
        <w:rPr>
          <w:rFonts w:hint="eastAsia" w:ascii="宋体" w:hAnsi="宋体" w:cs="宋体"/>
          <w:b/>
          <w:bCs/>
          <w:color w:val="auto"/>
          <w:sz w:val="24"/>
          <w:highlight w:val="none"/>
        </w:rPr>
      </w:pPr>
      <w:r>
        <w:rPr>
          <w:rFonts w:hint="eastAsia" w:ascii="宋体" w:hAnsi="宋体" w:cs="宋体"/>
          <w:b/>
          <w:bCs/>
          <w:color w:val="auto"/>
          <w:sz w:val="24"/>
          <w:highlight w:val="none"/>
        </w:rPr>
        <w:t>注：以上目录是基本格式要求，各供应商可根据自身情况进一步向下增加内容或细化。</w:t>
      </w:r>
    </w:p>
    <w:p w14:paraId="32C4188C">
      <w:pPr>
        <w:spacing w:line="400" w:lineRule="exact"/>
        <w:rPr>
          <w:rFonts w:hint="eastAsia" w:ascii="宋体" w:hAnsi="宋体" w:cs="宋体"/>
          <w:color w:val="auto"/>
          <w:sz w:val="32"/>
          <w:szCs w:val="32"/>
          <w:highlight w:val="none"/>
        </w:rPr>
      </w:pPr>
    </w:p>
    <w:p w14:paraId="7FC6211D">
      <w:pPr>
        <w:spacing w:line="520" w:lineRule="exact"/>
        <w:rPr>
          <w:rFonts w:hint="eastAsia" w:ascii="宋体" w:hAnsi="宋体" w:cs="宋体"/>
          <w:color w:val="auto"/>
          <w:sz w:val="44"/>
          <w:szCs w:val="44"/>
          <w:highlight w:val="none"/>
        </w:rPr>
      </w:pPr>
      <w:r>
        <w:rPr>
          <w:rFonts w:hint="eastAsia" w:ascii="宋体" w:hAnsi="宋体" w:cs="宋体"/>
          <w:color w:val="auto"/>
          <w:sz w:val="44"/>
          <w:szCs w:val="44"/>
          <w:highlight w:val="none"/>
        </w:rPr>
        <w:br w:type="page"/>
      </w:r>
      <w:r>
        <w:rPr>
          <w:rFonts w:hint="eastAsia" w:ascii="宋体" w:hAnsi="宋体" w:cs="宋体"/>
          <w:b/>
          <w:color w:val="auto"/>
          <w:sz w:val="30"/>
          <w:szCs w:val="30"/>
          <w:highlight w:val="none"/>
        </w:rPr>
        <w:t>一、无串通竞标行为的承诺函</w:t>
      </w:r>
    </w:p>
    <w:p w14:paraId="0A314A4D">
      <w:pPr>
        <w:spacing w:line="520" w:lineRule="exact"/>
        <w:jc w:val="center"/>
        <w:rPr>
          <w:rFonts w:hint="eastAsia" w:ascii="宋体" w:hAnsi="宋体" w:cs="宋体"/>
          <w:color w:val="auto"/>
          <w:sz w:val="44"/>
          <w:szCs w:val="44"/>
          <w:highlight w:val="none"/>
        </w:rPr>
      </w:pPr>
    </w:p>
    <w:p w14:paraId="4CBAC863">
      <w:pPr>
        <w:spacing w:after="165" w:afterLines="50" w:line="520" w:lineRule="exact"/>
        <w:jc w:val="center"/>
        <w:rPr>
          <w:rFonts w:hint="eastAsia" w:ascii="宋体" w:hAnsi="宋体" w:cs="宋体"/>
          <w:b/>
          <w:bCs/>
          <w:color w:val="auto"/>
          <w:sz w:val="30"/>
          <w:szCs w:val="30"/>
          <w:highlight w:val="none"/>
        </w:rPr>
      </w:pPr>
      <w:r>
        <w:rPr>
          <w:rFonts w:hint="eastAsia" w:ascii="宋体" w:hAnsi="宋体" w:cs="宋体"/>
          <w:b/>
          <w:bCs/>
          <w:color w:val="auto"/>
          <w:sz w:val="30"/>
          <w:szCs w:val="30"/>
          <w:highlight w:val="none"/>
        </w:rPr>
        <w:t>无串通竞标行为的承诺函</w:t>
      </w:r>
    </w:p>
    <w:p w14:paraId="378EEEAD">
      <w:pPr>
        <w:spacing w:line="440" w:lineRule="exact"/>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一、我方承诺无下列相互串通竞标的情形：</w:t>
      </w:r>
    </w:p>
    <w:p w14:paraId="5A4E73FD">
      <w:pPr>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1.不同供应商的响应文件由同一单位或者个人编制；或者不同供应商报名的IP地址一致的；或者编制响应文件硬件设备CPU编号、硬盘编号、网卡地址一致的情况。</w:t>
      </w:r>
    </w:p>
    <w:p w14:paraId="24B6F106">
      <w:pPr>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2.不同供应商委托同一单位或者个人办理竞标事宜；</w:t>
      </w:r>
    </w:p>
    <w:p w14:paraId="6F3679EF">
      <w:pPr>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3.不同的供应商的响应文件载明的项目管理员为同一个人；</w:t>
      </w:r>
    </w:p>
    <w:p w14:paraId="1FBC2C3B">
      <w:pPr>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4.不</w:t>
      </w:r>
      <w:r>
        <w:rPr>
          <w:rFonts w:hint="eastAsia" w:ascii="宋体" w:hAnsi="宋体" w:cs="宋体"/>
          <w:color w:val="auto"/>
          <w:spacing w:val="-6"/>
          <w:sz w:val="24"/>
          <w:highlight w:val="none"/>
        </w:rPr>
        <w:t>同供应商的响应文件异常一致或者竞标报价呈规律性差异；</w:t>
      </w:r>
    </w:p>
    <w:p w14:paraId="06597F87">
      <w:pPr>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5.不同供应商的响应文件相互混装；</w:t>
      </w:r>
    </w:p>
    <w:p w14:paraId="25D0D6C7">
      <w:pPr>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6.不同供应商的竞标保证金从同一单位或者个人账户转出。</w:t>
      </w:r>
    </w:p>
    <w:p w14:paraId="18558D49">
      <w:pPr>
        <w:spacing w:line="440" w:lineRule="exact"/>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二、我方承诺无下列恶意串通的情形：</w:t>
      </w:r>
    </w:p>
    <w:p w14:paraId="2F958B5A">
      <w:pPr>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1.供应商直接或者间接从采购人或者采购代理机构处获得其他供应商的相关信息并修改其响应文件；</w:t>
      </w:r>
    </w:p>
    <w:p w14:paraId="0EA4A6AF">
      <w:pPr>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2.供应商按照采购人或者采购代理机构的授意撤换、修改响应文件；</w:t>
      </w:r>
    </w:p>
    <w:p w14:paraId="6F350C77">
      <w:pPr>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3.供</w:t>
      </w:r>
      <w:r>
        <w:rPr>
          <w:rFonts w:hint="eastAsia" w:ascii="宋体" w:hAnsi="宋体" w:cs="宋体"/>
          <w:color w:val="auto"/>
          <w:spacing w:val="-6"/>
          <w:sz w:val="24"/>
          <w:highlight w:val="none"/>
        </w:rPr>
        <w:t>应商之间协商报价、技术方案等响应文件的实质性内容；</w:t>
      </w:r>
    </w:p>
    <w:p w14:paraId="31F1D8C3">
      <w:pPr>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4.属于同一集团、协会、商会等组织成员的供应商按照该组织要求协同参加政府采购活动；</w:t>
      </w:r>
    </w:p>
    <w:p w14:paraId="1809FDD1">
      <w:pPr>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5.供应商之间事先约定一致抬高或者压低竞标报价,或者在竞争性磋商项目中事先约定轮流以高价位或者低价位成交,或者事先约定由某一特定供应商成交,然后再参加竞标；</w:t>
      </w:r>
    </w:p>
    <w:p w14:paraId="5F0E9FB4">
      <w:pPr>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6.供应商之间商定部分供应商放弃参加政府采购活动或者放弃成交；</w:t>
      </w:r>
    </w:p>
    <w:p w14:paraId="722FB0FE">
      <w:pPr>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7.供应商与采购人或者采购代理机构之间、供应商相互之间，为</w:t>
      </w:r>
      <w:r>
        <w:rPr>
          <w:rFonts w:hint="eastAsia" w:ascii="宋体" w:hAnsi="宋体" w:cs="宋体"/>
          <w:color w:val="auto"/>
          <w:spacing w:val="-6"/>
          <w:sz w:val="24"/>
          <w:highlight w:val="none"/>
        </w:rPr>
        <w:t>谋求特定供应商成交或者排斥其他供应商的其他串通行为。</w:t>
      </w:r>
    </w:p>
    <w:p w14:paraId="40C8EF89">
      <w:pPr>
        <w:spacing w:line="440" w:lineRule="exact"/>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以上情形一经核查属实，接受政府采购监管部门对我方认定存在围标串标行为，我方愿意承担一切后果，并不再寻求任何旨在减轻或者免除法律责任的辩解。</w:t>
      </w:r>
    </w:p>
    <w:p w14:paraId="35C2BFA5">
      <w:pPr>
        <w:autoSpaceDE w:val="0"/>
        <w:autoSpaceDN w:val="0"/>
        <w:spacing w:line="360" w:lineRule="auto"/>
        <w:ind w:left="4335" w:leftChars="1950" w:hanging="240" w:hangingChars="100"/>
        <w:rPr>
          <w:rFonts w:hint="eastAsia" w:ascii="仿宋" w:hAnsi="仿宋" w:eastAsia="仿宋" w:cs="仿宋"/>
          <w:color w:val="auto"/>
          <w:kern w:val="0"/>
          <w:sz w:val="24"/>
          <w:highlight w:val="none"/>
        </w:rPr>
      </w:pPr>
    </w:p>
    <w:p w14:paraId="4925D26B">
      <w:pPr>
        <w:autoSpaceDE w:val="0"/>
        <w:autoSpaceDN w:val="0"/>
        <w:spacing w:line="360" w:lineRule="auto"/>
        <w:ind w:left="4335" w:leftChars="1950" w:hanging="240" w:hangingChars="100"/>
        <w:rPr>
          <w:rFonts w:hint="eastAsia"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7799A818">
      <w:pPr>
        <w:autoSpaceDE w:val="0"/>
        <w:autoSpaceDN w:val="0"/>
        <w:spacing w:line="360" w:lineRule="auto"/>
        <w:ind w:firstLine="6480" w:firstLineChars="2700"/>
        <w:rPr>
          <w:rFonts w:hint="eastAsia" w:ascii="宋体" w:hAnsi="宋体" w:cs="宋体"/>
          <w:bCs/>
          <w:color w:val="auto"/>
          <w:sz w:val="44"/>
          <w:szCs w:val="44"/>
          <w:highlight w:val="none"/>
        </w:rPr>
      </w:pPr>
      <w:r>
        <w:rPr>
          <w:rFonts w:hint="eastAsia" w:ascii="宋体" w:hAnsi="宋体" w:cs="宋体"/>
          <w:color w:val="auto"/>
          <w:kern w:val="0"/>
          <w:sz w:val="24"/>
          <w:highlight w:val="none"/>
          <w:lang w:val="zh-CN"/>
        </w:rPr>
        <w:t xml:space="preserve">日期：  年  月   日 </w:t>
      </w:r>
      <w:r>
        <w:rPr>
          <w:rFonts w:hint="eastAsia" w:ascii="宋体" w:hAnsi="宋体" w:cs="宋体"/>
          <w:b/>
          <w:bCs/>
          <w:color w:val="auto"/>
          <w:sz w:val="32"/>
          <w:szCs w:val="32"/>
          <w:highlight w:val="none"/>
        </w:rPr>
        <w:br w:type="page"/>
      </w:r>
      <w:r>
        <w:rPr>
          <w:rFonts w:hint="eastAsia" w:ascii="宋体" w:hAnsi="宋体" w:cs="宋体"/>
          <w:b/>
          <w:color w:val="auto"/>
          <w:sz w:val="30"/>
          <w:szCs w:val="30"/>
          <w:highlight w:val="none"/>
        </w:rPr>
        <w:t>二、法定代表人身份证明书及法定代表人有效身份证正反面复印件</w:t>
      </w:r>
    </w:p>
    <w:p w14:paraId="1EE7FF3C">
      <w:pPr>
        <w:spacing w:line="520" w:lineRule="exact"/>
        <w:jc w:val="center"/>
        <w:rPr>
          <w:rFonts w:hint="eastAsia" w:ascii="宋体" w:hAnsi="宋体" w:cs="宋体"/>
          <w:bCs/>
          <w:color w:val="auto"/>
          <w:sz w:val="44"/>
          <w:szCs w:val="44"/>
          <w:highlight w:val="none"/>
        </w:rPr>
      </w:pPr>
    </w:p>
    <w:p w14:paraId="5A3FDDEA">
      <w:pPr>
        <w:spacing w:line="520" w:lineRule="exact"/>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法定代表人证明书</w:t>
      </w:r>
    </w:p>
    <w:p w14:paraId="3DE971A2">
      <w:pPr>
        <w:spacing w:line="360" w:lineRule="auto"/>
        <w:ind w:left="540"/>
        <w:contextualSpacing/>
        <w:rPr>
          <w:rFonts w:hint="eastAsia" w:ascii="宋体" w:hAnsi="宋体" w:cs="宋体"/>
          <w:color w:val="auto"/>
          <w:sz w:val="32"/>
          <w:szCs w:val="32"/>
          <w:highlight w:val="none"/>
        </w:rPr>
      </w:pPr>
    </w:p>
    <w:p w14:paraId="26B078C2">
      <w:pPr>
        <w:spacing w:line="360" w:lineRule="auto"/>
        <w:ind w:left="540"/>
        <w:contextualSpacing/>
        <w:rPr>
          <w:rFonts w:hint="eastAsia" w:ascii="宋体" w:hAnsi="宋体" w:cs="宋体"/>
          <w:color w:val="auto"/>
          <w:sz w:val="24"/>
          <w:highlight w:val="none"/>
        </w:rPr>
      </w:pPr>
      <w:r>
        <w:rPr>
          <w:rFonts w:hint="eastAsia" w:ascii="宋体" w:hAnsi="宋体" w:cs="宋体"/>
          <w:color w:val="auto"/>
          <w:sz w:val="24"/>
          <w:highlight w:val="none"/>
        </w:rPr>
        <w:t>供应商名称：</w:t>
      </w:r>
      <w:r>
        <w:rPr>
          <w:rFonts w:hint="eastAsia" w:ascii="宋体" w:hAnsi="宋体" w:cs="宋体"/>
          <w:color w:val="auto"/>
          <w:sz w:val="24"/>
          <w:highlight w:val="none"/>
          <w:u w:val="single"/>
        </w:rPr>
        <w:t xml:space="preserve">                                         </w:t>
      </w:r>
    </w:p>
    <w:p w14:paraId="6CD3B9A2">
      <w:pPr>
        <w:spacing w:line="360" w:lineRule="auto"/>
        <w:ind w:left="540"/>
        <w:contextualSpacing/>
        <w:rPr>
          <w:rFonts w:hint="eastAsia" w:ascii="宋体" w:hAnsi="宋体" w:cs="宋体"/>
          <w:color w:val="auto"/>
          <w:sz w:val="24"/>
          <w:highlight w:val="none"/>
        </w:rPr>
      </w:pPr>
      <w:r>
        <w:rPr>
          <w:rFonts w:hint="eastAsia" w:ascii="宋体" w:hAnsi="宋体" w:cs="宋体"/>
          <w:color w:val="auto"/>
          <w:sz w:val="24"/>
          <w:highlight w:val="none"/>
        </w:rPr>
        <w:t>地    址：</w:t>
      </w:r>
      <w:r>
        <w:rPr>
          <w:rFonts w:hint="eastAsia" w:ascii="宋体" w:hAnsi="宋体" w:cs="宋体"/>
          <w:color w:val="auto"/>
          <w:sz w:val="24"/>
          <w:highlight w:val="none"/>
          <w:u w:val="single"/>
        </w:rPr>
        <w:t xml:space="preserve">                                           </w:t>
      </w:r>
    </w:p>
    <w:p w14:paraId="0AFCD8A6">
      <w:pPr>
        <w:spacing w:line="360" w:lineRule="auto"/>
        <w:ind w:left="540"/>
        <w:contextualSpacing/>
        <w:rPr>
          <w:rFonts w:hint="eastAsia" w:ascii="宋体" w:hAnsi="宋体" w:cs="宋体"/>
          <w:color w:val="auto"/>
          <w:sz w:val="24"/>
          <w:highlight w:val="none"/>
        </w:rPr>
      </w:pPr>
      <w:r>
        <w:rPr>
          <w:rFonts w:hint="eastAsia" w:ascii="宋体" w:hAnsi="宋体" w:cs="宋体"/>
          <w:color w:val="auto"/>
          <w:sz w:val="24"/>
          <w:highlight w:val="none"/>
        </w:rPr>
        <w:t>姓    名：</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性    别：</w:t>
      </w:r>
      <w:r>
        <w:rPr>
          <w:rFonts w:hint="eastAsia" w:ascii="宋体" w:hAnsi="宋体" w:cs="宋体"/>
          <w:color w:val="auto"/>
          <w:sz w:val="24"/>
          <w:highlight w:val="none"/>
          <w:u w:val="single"/>
        </w:rPr>
        <w:t xml:space="preserve">                 </w:t>
      </w:r>
    </w:p>
    <w:p w14:paraId="01C521E5">
      <w:pPr>
        <w:spacing w:line="360" w:lineRule="auto"/>
        <w:ind w:left="540"/>
        <w:contextualSpacing/>
        <w:rPr>
          <w:rFonts w:hint="eastAsia" w:ascii="宋体" w:hAnsi="宋体" w:cs="宋体"/>
          <w:color w:val="auto"/>
          <w:sz w:val="24"/>
          <w:highlight w:val="none"/>
          <w:u w:val="single"/>
        </w:rPr>
      </w:pPr>
      <w:r>
        <w:rPr>
          <w:rFonts w:hint="eastAsia" w:ascii="宋体" w:hAnsi="宋体" w:cs="宋体"/>
          <w:color w:val="auto"/>
          <w:sz w:val="24"/>
          <w:highlight w:val="none"/>
        </w:rPr>
        <w:t>年    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职    务：</w:t>
      </w:r>
      <w:r>
        <w:rPr>
          <w:rFonts w:hint="eastAsia" w:ascii="宋体" w:hAnsi="宋体" w:cs="宋体"/>
          <w:color w:val="auto"/>
          <w:sz w:val="24"/>
          <w:highlight w:val="none"/>
          <w:u w:val="single"/>
        </w:rPr>
        <w:t xml:space="preserve">                 </w:t>
      </w:r>
    </w:p>
    <w:p w14:paraId="23127A8B">
      <w:pPr>
        <w:spacing w:line="360" w:lineRule="auto"/>
        <w:ind w:left="540"/>
        <w:contextualSpacing/>
        <w:rPr>
          <w:rFonts w:hint="eastAsia" w:ascii="宋体" w:hAnsi="宋体" w:cs="宋体"/>
          <w:color w:val="auto"/>
          <w:sz w:val="24"/>
          <w:highlight w:val="none"/>
        </w:rPr>
      </w:pPr>
      <w:r>
        <w:rPr>
          <w:rFonts w:hint="eastAsia" w:ascii="宋体" w:hAnsi="宋体" w:cs="宋体"/>
          <w:color w:val="auto"/>
          <w:sz w:val="24"/>
          <w:highlight w:val="none"/>
        </w:rPr>
        <w:t>身份证号码：</w:t>
      </w:r>
      <w:r>
        <w:rPr>
          <w:rFonts w:hint="eastAsia" w:ascii="宋体" w:hAnsi="宋体" w:cs="宋体"/>
          <w:color w:val="auto"/>
          <w:sz w:val="24"/>
          <w:highlight w:val="none"/>
          <w:u w:val="single"/>
        </w:rPr>
        <w:t xml:space="preserve">                                         </w:t>
      </w:r>
    </w:p>
    <w:p w14:paraId="51CAE44C">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系</w:t>
      </w:r>
      <w:r>
        <w:rPr>
          <w:rFonts w:hint="eastAsia" w:ascii="宋体" w:hAnsi="宋体" w:cs="宋体"/>
          <w:color w:val="auto"/>
          <w:sz w:val="24"/>
          <w:highlight w:val="none"/>
          <w:u w:val="single"/>
        </w:rPr>
        <w:t xml:space="preserve">（供应商名称） </w:t>
      </w:r>
      <w:r>
        <w:rPr>
          <w:rFonts w:hint="eastAsia" w:ascii="宋体" w:hAnsi="宋体" w:cs="宋体"/>
          <w:color w:val="auto"/>
          <w:sz w:val="24"/>
          <w:highlight w:val="none"/>
        </w:rPr>
        <w:t>的法定代表人。</w:t>
      </w:r>
    </w:p>
    <w:p w14:paraId="1101ED9C">
      <w:pPr>
        <w:spacing w:line="360" w:lineRule="auto"/>
        <w:ind w:left="540"/>
        <w:contextualSpacing/>
        <w:rPr>
          <w:rFonts w:hint="eastAsia" w:ascii="宋体" w:hAnsi="宋体" w:cs="宋体"/>
          <w:color w:val="auto"/>
          <w:sz w:val="24"/>
          <w:highlight w:val="none"/>
        </w:rPr>
      </w:pPr>
      <w:r>
        <w:rPr>
          <w:rFonts w:hint="eastAsia" w:ascii="宋体" w:hAnsi="宋体" w:cs="宋体"/>
          <w:color w:val="auto"/>
          <w:sz w:val="24"/>
          <w:highlight w:val="none"/>
        </w:rPr>
        <w:t>特此证明。</w:t>
      </w:r>
    </w:p>
    <w:p w14:paraId="341CD144">
      <w:pPr>
        <w:spacing w:line="360" w:lineRule="auto"/>
        <w:ind w:left="540"/>
        <w:contextualSpacing/>
        <w:rPr>
          <w:rFonts w:hint="eastAsia" w:ascii="宋体" w:hAnsi="宋体" w:cs="宋体"/>
          <w:color w:val="auto"/>
          <w:sz w:val="24"/>
          <w:highlight w:val="none"/>
        </w:rPr>
      </w:pPr>
    </w:p>
    <w:p w14:paraId="4A203304">
      <w:pPr>
        <w:spacing w:line="360" w:lineRule="auto"/>
        <w:ind w:left="540"/>
        <w:contextualSpacing/>
        <w:rPr>
          <w:rFonts w:hint="eastAsia" w:ascii="宋体" w:hAnsi="宋体" w:cs="宋体"/>
          <w:color w:val="auto"/>
          <w:sz w:val="24"/>
          <w:highlight w:val="none"/>
        </w:rPr>
      </w:pPr>
      <w:r>
        <w:rPr>
          <w:rFonts w:hint="eastAsia" w:ascii="宋体" w:hAnsi="宋体" w:cs="宋体"/>
          <w:color w:val="auto"/>
          <w:sz w:val="24"/>
          <w:highlight w:val="none"/>
        </w:rPr>
        <w:t>附件：法定代表人有效身份证正反面复印件</w:t>
      </w:r>
    </w:p>
    <w:p w14:paraId="219348F2">
      <w:pPr>
        <w:spacing w:line="360" w:lineRule="auto"/>
        <w:ind w:left="540"/>
        <w:contextualSpacing/>
        <w:rPr>
          <w:rFonts w:hint="eastAsia" w:ascii="宋体" w:hAnsi="宋体" w:cs="宋体"/>
          <w:color w:val="auto"/>
          <w:sz w:val="24"/>
          <w:highlight w:val="none"/>
        </w:rPr>
      </w:pPr>
      <w:r>
        <w:rPr>
          <w:color w:val="auto"/>
          <w:highlight w:val="none"/>
        </w:rPr>
        <mc:AlternateContent>
          <mc:Choice Requires="wps">
            <w:drawing>
              <wp:inline distT="0" distB="0" distL="114300" distR="114300">
                <wp:extent cx="2240915" cy="1125855"/>
                <wp:effectExtent l="4445" t="4445" r="21590" b="12700"/>
                <wp:docPr id="9" name="文本框 9"/>
                <wp:cNvGraphicFramePr/>
                <a:graphic xmlns:a="http://schemas.openxmlformats.org/drawingml/2006/main">
                  <a:graphicData uri="http://schemas.microsoft.com/office/word/2010/wordprocessingShape">
                    <wps:wsp>
                      <wps:cNvSpPr txBox="1">
                        <a:spLocks noRot="1"/>
                      </wps:cNvSpPr>
                      <wps:spPr>
                        <a:xfrm>
                          <a:off x="0" y="0"/>
                          <a:ext cx="2240915" cy="1125855"/>
                        </a:xfrm>
                        <a:prstGeom prst="rect">
                          <a:avLst/>
                        </a:prstGeom>
                        <a:solidFill>
                          <a:srgbClr val="FFFFFF"/>
                        </a:solidFill>
                        <a:ln w="9525" cap="flat" cmpd="sng">
                          <a:solidFill>
                            <a:srgbClr val="000000"/>
                          </a:solidFill>
                          <a:prstDash val="dash"/>
                          <a:miter/>
                          <a:headEnd type="none" w="med" len="med"/>
                          <a:tailEnd type="none" w="med" len="med"/>
                        </a:ln>
                      </wps:spPr>
                      <wps:txbx>
                        <w:txbxContent>
                          <w:p w14:paraId="0003FD5F">
                            <w:pPr>
                              <w:jc w:val="center"/>
                              <w:rPr>
                                <w:rFonts w:ascii="宋体"/>
                              </w:rPr>
                            </w:pPr>
                          </w:p>
                          <w:p w14:paraId="2FEA04BC">
                            <w:pPr>
                              <w:jc w:val="center"/>
                              <w:rPr>
                                <w:rFonts w:ascii="宋体" w:hAnsi="宋体"/>
                                <w:sz w:val="24"/>
                              </w:rPr>
                            </w:pPr>
                            <w:r>
                              <w:rPr>
                                <w:rFonts w:hint="eastAsia" w:ascii="宋体" w:hAnsi="宋体"/>
                                <w:sz w:val="24"/>
                              </w:rPr>
                              <w:t>法定代表人身份证复印件</w:t>
                            </w:r>
                          </w:p>
                          <w:p w14:paraId="17161122">
                            <w:pPr>
                              <w:jc w:val="center"/>
                              <w:rPr>
                                <w:sz w:val="24"/>
                              </w:rPr>
                            </w:pPr>
                            <w:r>
                              <w:rPr>
                                <w:rFonts w:hint="eastAsia" w:ascii="宋体" w:hAnsi="宋体"/>
                                <w:sz w:val="24"/>
                              </w:rPr>
                              <w:t>（正面）</w:t>
                            </w:r>
                          </w:p>
                        </w:txbxContent>
                      </wps:txbx>
                      <wps:bodyPr anchor="ctr" anchorCtr="0" upright="1"/>
                    </wps:wsp>
                  </a:graphicData>
                </a:graphic>
              </wp:inline>
            </w:drawing>
          </mc:Choice>
          <mc:Fallback>
            <w:pict>
              <v:shape id="_x0000_s1026" o:spid="_x0000_s1026" o:spt="202" type="#_x0000_t202" style="height:88.65pt;width:176.45pt;v-text-anchor:middle;" fillcolor="#FFFFFF" filled="t" stroked="t" coordsize="21600,21600" o:gfxdata="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1tzW&#10;QdMAAAAFAQAADwAAAAAAAAABACAAAAAiAAAAZHJzL2Rvd25yZXYueG1sUEsBAhQAFAAAAAgAh07i&#10;QLlB0NknAgAAdAQAAA4AAAAAAAAAAQAgAAAAIgEAAGRycy9lMm9Eb2MueG1sUEsFBgAAAAAGAAYA&#10;WQEAALsFAAAAAA==&#10;">
                <v:fill on="t" focussize="0,0"/>
                <v:stroke color="#000000" joinstyle="miter" dashstyle="dash"/>
                <v:imagedata o:title=""/>
                <o:lock v:ext="edit" rotation="t" aspectratio="f"/>
                <v:textbox>
                  <w:txbxContent>
                    <w:p w14:paraId="0003FD5F">
                      <w:pPr>
                        <w:jc w:val="center"/>
                        <w:rPr>
                          <w:rFonts w:ascii="宋体"/>
                        </w:rPr>
                      </w:pPr>
                    </w:p>
                    <w:p w14:paraId="2FEA04BC">
                      <w:pPr>
                        <w:jc w:val="center"/>
                        <w:rPr>
                          <w:rFonts w:ascii="宋体" w:hAnsi="宋体"/>
                          <w:sz w:val="24"/>
                        </w:rPr>
                      </w:pPr>
                      <w:r>
                        <w:rPr>
                          <w:rFonts w:hint="eastAsia" w:ascii="宋体" w:hAnsi="宋体"/>
                          <w:sz w:val="24"/>
                        </w:rPr>
                        <w:t>法定代表人身份证复印件</w:t>
                      </w:r>
                    </w:p>
                    <w:p w14:paraId="17161122">
                      <w:pPr>
                        <w:jc w:val="center"/>
                        <w:rPr>
                          <w:sz w:val="24"/>
                        </w:rPr>
                      </w:pPr>
                      <w:r>
                        <w:rPr>
                          <w:rFonts w:hint="eastAsia" w:ascii="宋体" w:hAnsi="宋体"/>
                          <w:sz w:val="24"/>
                        </w:rPr>
                        <w:t>（正面）</w:t>
                      </w:r>
                    </w:p>
                  </w:txbxContent>
                </v:textbox>
                <w10:wrap type="none"/>
                <w10:anchorlock/>
              </v:shape>
            </w:pict>
          </mc:Fallback>
        </mc:AlternateContent>
      </w:r>
      <w:r>
        <w:rPr>
          <w:rFonts w:hint="eastAsia"/>
          <w:color w:val="auto"/>
          <w:highlight w:val="none"/>
        </w:rPr>
        <w:t xml:space="preserve">      </w:t>
      </w:r>
      <w:r>
        <w:rPr>
          <w:color w:val="auto"/>
          <w:highlight w:val="none"/>
        </w:rPr>
        <mc:AlternateContent>
          <mc:Choice Requires="wps">
            <w:drawing>
              <wp:inline distT="0" distB="0" distL="114300" distR="114300">
                <wp:extent cx="2240915" cy="1125855"/>
                <wp:effectExtent l="4445" t="4445" r="21590" b="12700"/>
                <wp:docPr id="11" name="文本框 11"/>
                <wp:cNvGraphicFramePr/>
                <a:graphic xmlns:a="http://schemas.openxmlformats.org/drawingml/2006/main">
                  <a:graphicData uri="http://schemas.microsoft.com/office/word/2010/wordprocessingShape">
                    <wps:wsp>
                      <wps:cNvSpPr txBox="1">
                        <a:spLocks noRot="1"/>
                      </wps:cNvSpPr>
                      <wps:spPr>
                        <a:xfrm>
                          <a:off x="0" y="0"/>
                          <a:ext cx="2240915" cy="1125855"/>
                        </a:xfrm>
                        <a:prstGeom prst="rect">
                          <a:avLst/>
                        </a:prstGeom>
                        <a:solidFill>
                          <a:srgbClr val="FFFFFF"/>
                        </a:solidFill>
                        <a:ln w="9525" cap="flat" cmpd="sng">
                          <a:solidFill>
                            <a:srgbClr val="000000"/>
                          </a:solidFill>
                          <a:prstDash val="dash"/>
                          <a:miter/>
                          <a:headEnd type="none" w="med" len="med"/>
                          <a:tailEnd type="none" w="med" len="med"/>
                        </a:ln>
                      </wps:spPr>
                      <wps:txbx>
                        <w:txbxContent>
                          <w:p w14:paraId="5D72803E">
                            <w:pPr>
                              <w:jc w:val="center"/>
                              <w:rPr>
                                <w:rFonts w:ascii="宋体"/>
                              </w:rPr>
                            </w:pPr>
                          </w:p>
                          <w:p w14:paraId="7EBAE192">
                            <w:pPr>
                              <w:jc w:val="center"/>
                              <w:rPr>
                                <w:rFonts w:ascii="宋体" w:hAnsi="宋体"/>
                                <w:sz w:val="24"/>
                              </w:rPr>
                            </w:pPr>
                            <w:r>
                              <w:rPr>
                                <w:rFonts w:hint="eastAsia" w:ascii="宋体" w:hAnsi="宋体"/>
                                <w:sz w:val="24"/>
                              </w:rPr>
                              <w:t>法定代表人身份证复印件</w:t>
                            </w:r>
                          </w:p>
                          <w:p w14:paraId="6A493409">
                            <w:pPr>
                              <w:jc w:val="center"/>
                              <w:rPr>
                                <w:sz w:val="24"/>
                              </w:rPr>
                            </w:pPr>
                            <w:r>
                              <w:rPr>
                                <w:rFonts w:hint="eastAsia" w:ascii="宋体" w:hAnsi="宋体"/>
                                <w:sz w:val="24"/>
                              </w:rPr>
                              <w:t>（反面）</w:t>
                            </w:r>
                          </w:p>
                        </w:txbxContent>
                      </wps:txbx>
                      <wps:bodyPr anchor="ctr" anchorCtr="0" upright="1"/>
                    </wps:wsp>
                  </a:graphicData>
                </a:graphic>
              </wp:inline>
            </w:drawing>
          </mc:Choice>
          <mc:Fallback>
            <w:pict>
              <v:shape id="_x0000_s1026" o:spid="_x0000_s1026" o:spt="202" type="#_x0000_t202" style="height:88.65pt;width:176.45pt;v-text-anchor:middle;" fillcolor="#FFFFFF" filled="t" stroked="t" coordsize="21600,21600" o:gfxdata="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1tzW&#10;QdMAAAAFAQAADwAAAAAAAAABACAAAAAiAAAAZHJzL2Rvd25yZXYueG1sUEsBAhQAFAAAAAgAh07i&#10;QMqIAh8nAgAAdgQAAA4AAAAAAAAAAQAgAAAAIgEAAGRycy9lMm9Eb2MueG1sUEsFBgAAAAAGAAYA&#10;WQEAALsFAAAAAA==&#10;">
                <v:fill on="t" focussize="0,0"/>
                <v:stroke color="#000000" joinstyle="miter" dashstyle="dash"/>
                <v:imagedata o:title=""/>
                <o:lock v:ext="edit" rotation="t" aspectratio="f"/>
                <v:textbox>
                  <w:txbxContent>
                    <w:p w14:paraId="5D72803E">
                      <w:pPr>
                        <w:jc w:val="center"/>
                        <w:rPr>
                          <w:rFonts w:ascii="宋体"/>
                        </w:rPr>
                      </w:pPr>
                    </w:p>
                    <w:p w14:paraId="7EBAE192">
                      <w:pPr>
                        <w:jc w:val="center"/>
                        <w:rPr>
                          <w:rFonts w:ascii="宋体" w:hAnsi="宋体"/>
                          <w:sz w:val="24"/>
                        </w:rPr>
                      </w:pPr>
                      <w:r>
                        <w:rPr>
                          <w:rFonts w:hint="eastAsia" w:ascii="宋体" w:hAnsi="宋体"/>
                          <w:sz w:val="24"/>
                        </w:rPr>
                        <w:t>法定代表人身份证复印件</w:t>
                      </w:r>
                    </w:p>
                    <w:p w14:paraId="6A493409">
                      <w:pPr>
                        <w:jc w:val="center"/>
                        <w:rPr>
                          <w:sz w:val="24"/>
                        </w:rPr>
                      </w:pPr>
                      <w:r>
                        <w:rPr>
                          <w:rFonts w:hint="eastAsia" w:ascii="宋体" w:hAnsi="宋体"/>
                          <w:sz w:val="24"/>
                        </w:rPr>
                        <w:t>（反面）</w:t>
                      </w:r>
                    </w:p>
                  </w:txbxContent>
                </v:textbox>
                <w10:wrap type="none"/>
                <w10:anchorlock/>
              </v:shape>
            </w:pict>
          </mc:Fallback>
        </mc:AlternateContent>
      </w:r>
    </w:p>
    <w:p w14:paraId="512D8B6C">
      <w:pPr>
        <w:autoSpaceDE w:val="0"/>
        <w:autoSpaceDN w:val="0"/>
        <w:spacing w:line="360" w:lineRule="auto"/>
        <w:ind w:left="4335" w:leftChars="1950" w:hanging="240" w:hangingChars="100"/>
        <w:rPr>
          <w:rFonts w:hint="eastAsia" w:ascii="宋体" w:hAnsi="宋体" w:cs="宋体"/>
          <w:color w:val="auto"/>
          <w:kern w:val="0"/>
          <w:sz w:val="24"/>
          <w:highlight w:val="none"/>
        </w:rPr>
      </w:pPr>
    </w:p>
    <w:p w14:paraId="331D2ECC">
      <w:pPr>
        <w:autoSpaceDE w:val="0"/>
        <w:autoSpaceDN w:val="0"/>
        <w:spacing w:line="360" w:lineRule="auto"/>
        <w:ind w:left="4335" w:leftChars="1950" w:hanging="240" w:hangingChars="100"/>
        <w:rPr>
          <w:rFonts w:hint="eastAsia" w:ascii="宋体" w:hAnsi="宋体" w:cs="宋体"/>
          <w:color w:val="auto"/>
          <w:kern w:val="0"/>
          <w:sz w:val="24"/>
          <w:highlight w:val="none"/>
        </w:rPr>
      </w:pPr>
    </w:p>
    <w:p w14:paraId="09D1C103">
      <w:pPr>
        <w:autoSpaceDE w:val="0"/>
        <w:autoSpaceDN w:val="0"/>
        <w:spacing w:line="360" w:lineRule="auto"/>
        <w:ind w:left="4335" w:leftChars="1950" w:hanging="240" w:hangingChars="100"/>
        <w:rPr>
          <w:rFonts w:hint="eastAsia" w:ascii="宋体" w:hAnsi="宋体" w:cs="宋体"/>
          <w:color w:val="auto"/>
          <w:kern w:val="0"/>
          <w:sz w:val="24"/>
          <w:highlight w:val="none"/>
        </w:rPr>
      </w:pPr>
    </w:p>
    <w:p w14:paraId="739ABAA0">
      <w:pPr>
        <w:autoSpaceDE w:val="0"/>
        <w:autoSpaceDN w:val="0"/>
        <w:spacing w:line="360" w:lineRule="auto"/>
        <w:ind w:left="4335" w:leftChars="1950" w:hanging="240" w:hangingChars="100"/>
        <w:rPr>
          <w:rFonts w:hint="eastAsia"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44EADCC1">
      <w:pPr>
        <w:spacing w:line="360" w:lineRule="auto"/>
        <w:contextualSpacing/>
        <w:jc w:val="center"/>
        <w:rPr>
          <w:rFonts w:hint="eastAsia" w:ascii="宋体" w:hAnsi="宋体" w:cs="宋体"/>
          <w:b/>
          <w:color w:val="auto"/>
          <w:sz w:val="24"/>
          <w:highlight w:val="none"/>
        </w:rPr>
      </w:pPr>
      <w:r>
        <w:rPr>
          <w:rFonts w:hint="eastAsia" w:ascii="宋体" w:hAnsi="宋体" w:cs="宋体"/>
          <w:color w:val="auto"/>
          <w:kern w:val="0"/>
          <w:sz w:val="24"/>
          <w:highlight w:val="none"/>
          <w:lang w:val="zh-CN"/>
        </w:rPr>
        <w:t xml:space="preserve">                                                 </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 xml:space="preserve"> 日期：  </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 xml:space="preserve">年  </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月   日</w:t>
      </w:r>
    </w:p>
    <w:p w14:paraId="3CBBA15E">
      <w:pPr>
        <w:spacing w:line="360" w:lineRule="auto"/>
        <w:contextualSpacing/>
        <w:jc w:val="left"/>
        <w:rPr>
          <w:rFonts w:hint="eastAsia" w:ascii="宋体" w:hAnsi="宋体" w:cs="宋体"/>
          <w:color w:val="auto"/>
          <w:sz w:val="24"/>
          <w:highlight w:val="none"/>
        </w:rPr>
      </w:pPr>
    </w:p>
    <w:p w14:paraId="2F3B5FAD">
      <w:pPr>
        <w:spacing w:line="360" w:lineRule="auto"/>
        <w:contextualSpacing/>
        <w:jc w:val="left"/>
        <w:rPr>
          <w:rFonts w:hint="eastAsia" w:ascii="宋体" w:hAnsi="宋体" w:cs="宋体"/>
          <w:color w:val="auto"/>
          <w:sz w:val="24"/>
          <w:highlight w:val="none"/>
        </w:rPr>
      </w:pPr>
      <w:r>
        <w:rPr>
          <w:rFonts w:hint="eastAsia" w:ascii="宋体" w:hAnsi="宋体" w:cs="宋体"/>
          <w:color w:val="auto"/>
          <w:sz w:val="24"/>
          <w:highlight w:val="none"/>
        </w:rPr>
        <w:t>注：1.自然人竞标的无需提供，联合体竞标的只需牵头人出具。</w:t>
      </w:r>
    </w:p>
    <w:p w14:paraId="1D700C46">
      <w:pPr>
        <w:spacing w:line="360" w:lineRule="auto"/>
        <w:ind w:firstLine="480" w:firstLineChars="200"/>
        <w:contextualSpacing/>
        <w:jc w:val="left"/>
        <w:rPr>
          <w:rFonts w:hint="eastAsia" w:ascii="宋体" w:hAnsi="宋体" w:cs="宋体"/>
          <w:color w:val="auto"/>
          <w:sz w:val="24"/>
          <w:highlight w:val="none"/>
        </w:rPr>
        <w:sectPr>
          <w:pgSz w:w="11905" w:h="16838"/>
          <w:pgMar w:top="1134" w:right="1587" w:bottom="1134" w:left="1587" w:header="720" w:footer="720" w:gutter="0"/>
          <w:pgBorders>
            <w:top w:val="none" w:sz="0" w:space="0"/>
            <w:left w:val="none" w:sz="0" w:space="0"/>
            <w:bottom w:val="none" w:sz="0" w:space="0"/>
            <w:right w:val="none" w:sz="0" w:space="0"/>
          </w:pgBorders>
          <w:cols w:space="720" w:num="1"/>
          <w:docGrid w:type="lines" w:linePitch="331" w:charSpace="0"/>
        </w:sectPr>
      </w:pPr>
      <w:r>
        <w:rPr>
          <w:rFonts w:hint="eastAsia" w:ascii="宋体" w:hAnsi="宋体" w:cs="宋体"/>
          <w:color w:val="auto"/>
          <w:sz w:val="24"/>
          <w:highlight w:val="none"/>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11A299EA">
      <w:pPr>
        <w:spacing w:line="520" w:lineRule="exact"/>
        <w:jc w:val="left"/>
        <w:rPr>
          <w:rFonts w:hint="eastAsia" w:ascii="宋体" w:hAnsi="宋体" w:cs="宋体"/>
          <w:bCs/>
          <w:color w:val="auto"/>
          <w:sz w:val="44"/>
          <w:szCs w:val="44"/>
          <w:highlight w:val="none"/>
        </w:rPr>
      </w:pPr>
      <w:r>
        <w:rPr>
          <w:rFonts w:hint="eastAsia" w:ascii="宋体" w:hAnsi="宋体" w:cs="宋体"/>
          <w:b/>
          <w:color w:val="auto"/>
          <w:sz w:val="30"/>
          <w:szCs w:val="30"/>
          <w:highlight w:val="none"/>
        </w:rPr>
        <w:t>三、法定代表人授权委托书及委托代理人有效身份证正反面复印件（如有委托时）</w:t>
      </w:r>
    </w:p>
    <w:p w14:paraId="3221BBBD">
      <w:pPr>
        <w:spacing w:line="500" w:lineRule="exact"/>
        <w:jc w:val="center"/>
        <w:rPr>
          <w:rFonts w:hint="eastAsia" w:ascii="宋体" w:hAnsi="宋体" w:cs="宋体"/>
          <w:color w:val="auto"/>
          <w:sz w:val="44"/>
          <w:szCs w:val="44"/>
          <w:highlight w:val="none"/>
        </w:rPr>
      </w:pPr>
    </w:p>
    <w:p w14:paraId="21397226">
      <w:pPr>
        <w:spacing w:line="520" w:lineRule="exact"/>
        <w:jc w:val="center"/>
        <w:rPr>
          <w:rFonts w:hint="eastAsia" w:ascii="宋体" w:hAnsi="宋体" w:cs="宋体"/>
          <w:b/>
          <w:bCs/>
          <w:color w:val="auto"/>
          <w:sz w:val="30"/>
          <w:szCs w:val="30"/>
          <w:highlight w:val="none"/>
        </w:rPr>
      </w:pPr>
      <w:r>
        <w:rPr>
          <w:rFonts w:hint="eastAsia" w:ascii="宋体" w:hAnsi="宋体" w:cs="宋体"/>
          <w:b/>
          <w:bCs/>
          <w:color w:val="auto"/>
          <w:sz w:val="30"/>
          <w:szCs w:val="30"/>
          <w:highlight w:val="none"/>
        </w:rPr>
        <w:t>授权委托书（非联合体竞标格式）</w:t>
      </w:r>
    </w:p>
    <w:p w14:paraId="4078E575">
      <w:pPr>
        <w:spacing w:line="520" w:lineRule="exact"/>
        <w:jc w:val="center"/>
        <w:rPr>
          <w:rFonts w:hint="eastAsia" w:ascii="宋体" w:hAnsi="宋体" w:cs="宋体"/>
          <w:b/>
          <w:bCs/>
          <w:color w:val="auto"/>
          <w:sz w:val="30"/>
          <w:szCs w:val="30"/>
          <w:highlight w:val="none"/>
        </w:rPr>
      </w:pPr>
      <w:r>
        <w:rPr>
          <w:rFonts w:hint="eastAsia" w:ascii="宋体" w:hAnsi="宋体" w:cs="宋体"/>
          <w:b/>
          <w:bCs/>
          <w:color w:val="auto"/>
          <w:sz w:val="30"/>
          <w:szCs w:val="30"/>
          <w:highlight w:val="none"/>
        </w:rPr>
        <w:t>（如有委托时）</w:t>
      </w:r>
    </w:p>
    <w:p w14:paraId="093760DA">
      <w:pPr>
        <w:spacing w:line="520" w:lineRule="exact"/>
        <w:rPr>
          <w:rFonts w:hint="eastAsia" w:ascii="宋体" w:hAnsi="宋体" w:cs="宋体"/>
          <w:color w:val="auto"/>
          <w:sz w:val="32"/>
          <w:szCs w:val="32"/>
          <w:highlight w:val="none"/>
        </w:rPr>
      </w:pPr>
    </w:p>
    <w:p w14:paraId="12681C8D">
      <w:pPr>
        <w:spacing w:line="360" w:lineRule="auto"/>
        <w:rPr>
          <w:rFonts w:hint="eastAsia" w:ascii="宋体" w:hAnsi="宋体" w:eastAsia="宋体" w:cs="宋体"/>
          <w:color w:val="auto"/>
          <w:sz w:val="24"/>
          <w:highlight w:val="none"/>
          <w:lang w:eastAsia="zh-CN"/>
        </w:rPr>
      </w:pPr>
      <w:r>
        <w:rPr>
          <w:rFonts w:hint="eastAsia" w:ascii="宋体" w:hAnsi="宋体" w:cs="宋体"/>
          <w:color w:val="auto"/>
          <w:sz w:val="24"/>
          <w:highlight w:val="none"/>
        </w:rPr>
        <w:t>致：</w:t>
      </w:r>
      <w:r>
        <w:rPr>
          <w:rFonts w:hint="eastAsia" w:ascii="宋体" w:hAnsi="宋体" w:cs="宋体"/>
          <w:color w:val="auto"/>
          <w:sz w:val="24"/>
          <w:highlight w:val="none"/>
          <w:u w:val="single"/>
          <w:lang w:eastAsia="zh-CN"/>
        </w:rPr>
        <w:t>广西同泽工程项目管理股份有限公司</w:t>
      </w:r>
    </w:p>
    <w:p w14:paraId="50134A04">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我</w:t>
      </w:r>
      <w:r>
        <w:rPr>
          <w:rFonts w:hint="eastAsia" w:ascii="宋体" w:hAnsi="宋体" w:cs="宋体"/>
          <w:color w:val="auto"/>
          <w:sz w:val="24"/>
          <w:highlight w:val="none"/>
          <w:u w:val="single"/>
        </w:rPr>
        <w:t xml:space="preserve">  （姓名）  </w:t>
      </w:r>
      <w:r>
        <w:rPr>
          <w:rFonts w:hint="eastAsia" w:ascii="宋体" w:hAnsi="宋体" w:cs="宋体"/>
          <w:color w:val="auto"/>
          <w:sz w:val="24"/>
          <w:highlight w:val="none"/>
        </w:rPr>
        <w:t>系</w:t>
      </w:r>
      <w:r>
        <w:rPr>
          <w:rFonts w:hint="eastAsia" w:ascii="宋体" w:hAnsi="宋体" w:cs="宋体"/>
          <w:color w:val="auto"/>
          <w:sz w:val="24"/>
          <w:highlight w:val="none"/>
          <w:u w:val="single"/>
        </w:rPr>
        <w:t xml:space="preserve">  （供应商名称）  </w:t>
      </w:r>
      <w:r>
        <w:rPr>
          <w:rFonts w:hint="eastAsia" w:ascii="宋体" w:hAnsi="宋体" w:cs="宋体"/>
          <w:color w:val="auto"/>
          <w:sz w:val="24"/>
          <w:highlight w:val="none"/>
        </w:rPr>
        <w:t>的（</w:t>
      </w:r>
      <w:r>
        <w:rPr>
          <w:rFonts w:hint="eastAsia" w:ascii="宋体" w:hAnsi="宋体" w:cs="宋体"/>
          <w:color w:val="auto"/>
          <w:sz w:val="24"/>
          <w:highlight w:val="none"/>
          <w:u w:val="single"/>
        </w:rPr>
        <w:t>□法定代表人/□负责人/□自然人本人</w:t>
      </w:r>
      <w:r>
        <w:rPr>
          <w:rFonts w:hint="eastAsia" w:ascii="宋体" w:hAnsi="宋体" w:cs="宋体"/>
          <w:color w:val="auto"/>
          <w:sz w:val="24"/>
          <w:highlight w:val="none"/>
        </w:rPr>
        <w:t>），现授权</w:t>
      </w:r>
      <w:r>
        <w:rPr>
          <w:rFonts w:hint="eastAsia" w:ascii="宋体" w:hAnsi="宋体" w:cs="宋体"/>
          <w:color w:val="auto"/>
          <w:sz w:val="24"/>
          <w:highlight w:val="none"/>
          <w:u w:val="single"/>
        </w:rPr>
        <w:t xml:space="preserve"> （姓名、职务） </w:t>
      </w:r>
      <w:r>
        <w:rPr>
          <w:rFonts w:hint="eastAsia" w:ascii="宋体" w:hAnsi="宋体" w:cs="宋体"/>
          <w:color w:val="auto"/>
          <w:sz w:val="24"/>
          <w:highlight w:val="none"/>
        </w:rPr>
        <w:t>以我方的名义参加</w:t>
      </w:r>
      <w:r>
        <w:rPr>
          <w:rFonts w:hint="eastAsia" w:ascii="宋体" w:hAnsi="宋体" w:cs="宋体"/>
          <w:color w:val="auto"/>
          <w:sz w:val="24"/>
          <w:highlight w:val="none"/>
          <w:u w:val="single"/>
        </w:rPr>
        <w:t xml:space="preserve">    （项目名称、项目编号）   </w:t>
      </w:r>
      <w:r>
        <w:rPr>
          <w:rFonts w:hint="eastAsia" w:ascii="宋体" w:hAnsi="宋体" w:cs="宋体"/>
          <w:color w:val="auto"/>
          <w:sz w:val="24"/>
          <w:highlight w:val="none"/>
        </w:rPr>
        <w:t>项目的竞标活动，并代表我方全权办理针对上述项目的所有采购程序和环节的具体事务和签署相关文件。</w:t>
      </w:r>
    </w:p>
    <w:p w14:paraId="6798C361">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    我方对委托代理人的签字事项负全部责任。</w:t>
      </w:r>
    </w:p>
    <w:p w14:paraId="2CF867DA">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本授权书自签署之日起生效，在撤销授权的书面通知以前，本授权书一直有效。委托代理人在授权书有效期内签署的所有文件不因授权的撤销而失效。</w:t>
      </w:r>
    </w:p>
    <w:p w14:paraId="1479DC4B">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委托代理人无转委托权，特此委托。</w:t>
      </w:r>
    </w:p>
    <w:p w14:paraId="78253BEA">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附：法定代表人身份证明书及委托代理人有效身份证正反面复印件</w:t>
      </w:r>
    </w:p>
    <w:p w14:paraId="6DDCC5BA">
      <w:pPr>
        <w:spacing w:line="360" w:lineRule="auto"/>
        <w:rPr>
          <w:rFonts w:hint="eastAsia" w:ascii="宋体" w:hAnsi="宋体" w:cs="宋体"/>
          <w:color w:val="auto"/>
          <w:sz w:val="24"/>
          <w:highlight w:val="none"/>
        </w:rPr>
      </w:pPr>
    </w:p>
    <w:p w14:paraId="48BC8459">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委托代理人（签字或盖章）：              法定代表人（签字或盖章）：                    </w:t>
      </w:r>
    </w:p>
    <w:p w14:paraId="2CC462FA">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委托代理人身份证号码：                              </w:t>
      </w:r>
    </w:p>
    <w:p w14:paraId="594BED39">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                                </w:t>
      </w:r>
    </w:p>
    <w:p w14:paraId="24C70148">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cs="宋体"/>
          <w:color w:val="auto"/>
          <w:kern w:val="0"/>
          <w:sz w:val="24"/>
          <w:highlight w:val="none"/>
        </w:rPr>
        <w:t>供应商名称（电子签章）：</w:t>
      </w:r>
    </w:p>
    <w:p w14:paraId="6DCE3247">
      <w:pPr>
        <w:spacing w:line="360" w:lineRule="auto"/>
        <w:contextualSpacing/>
        <w:jc w:val="center"/>
        <w:rPr>
          <w:rFonts w:hint="eastAsia" w:ascii="宋体" w:hAnsi="宋体" w:cs="宋体"/>
          <w:b/>
          <w:color w:val="auto"/>
          <w:sz w:val="24"/>
          <w:highlight w:val="none"/>
        </w:rPr>
      </w:pPr>
      <w:r>
        <w:rPr>
          <w:rFonts w:hint="eastAsia" w:ascii="宋体" w:hAnsi="宋体" w:cs="宋体"/>
          <w:color w:val="auto"/>
          <w:kern w:val="0"/>
          <w:sz w:val="24"/>
          <w:highlight w:val="none"/>
          <w:lang w:val="zh-CN"/>
        </w:rPr>
        <w:t xml:space="preserve">                              </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 xml:space="preserve">日期：  年 </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 xml:space="preserve"> 月   日</w:t>
      </w:r>
    </w:p>
    <w:p w14:paraId="2B4E3929">
      <w:pPr>
        <w:spacing w:line="360" w:lineRule="auto"/>
        <w:rPr>
          <w:rFonts w:hint="eastAsia" w:ascii="宋体" w:hAnsi="宋体" w:cs="宋体"/>
          <w:color w:val="auto"/>
          <w:sz w:val="24"/>
          <w:highlight w:val="none"/>
        </w:rPr>
      </w:pPr>
      <w:r>
        <w:rPr>
          <w:rFonts w:hint="eastAsia" w:ascii="宋体" w:hAnsi="宋体" w:cs="宋体"/>
          <w:color w:val="auto"/>
          <w:sz w:val="24"/>
          <w:highlight w:val="none"/>
        </w:rPr>
        <w:t>注：1.法定代表人必须在授权委托书上亲笔签字或盖章，委托代理人必须在授权委托书上签字或盖章，</w:t>
      </w:r>
      <w:r>
        <w:rPr>
          <w:rFonts w:hint="eastAsia" w:ascii="宋体" w:hAnsi="宋体" w:cs="宋体"/>
          <w:b/>
          <w:color w:val="auto"/>
          <w:sz w:val="24"/>
          <w:highlight w:val="none"/>
        </w:rPr>
        <w:t>否则其响应文件按无效响应处理。</w:t>
      </w:r>
    </w:p>
    <w:p w14:paraId="4717E9EC">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47339797">
      <w:pPr>
        <w:spacing w:line="360" w:lineRule="auto"/>
        <w:ind w:firstLine="480" w:firstLineChars="200"/>
        <w:jc w:val="left"/>
        <w:rPr>
          <w:rFonts w:hint="eastAsia" w:ascii="宋体" w:hAnsi="宋体" w:cs="宋体"/>
          <w:color w:val="auto"/>
          <w:szCs w:val="21"/>
          <w:highlight w:val="none"/>
        </w:rPr>
      </w:pPr>
      <w:r>
        <w:rPr>
          <w:rFonts w:hint="eastAsia" w:ascii="宋体" w:hAnsi="宋体" w:cs="宋体"/>
          <w:color w:val="auto"/>
          <w:sz w:val="24"/>
          <w:highlight w:val="none"/>
        </w:rPr>
        <w:t>3.法人、其他组织竞标时“我方”是指“我单位”，自然人竞标时“我方”是指“本人”。</w:t>
      </w:r>
    </w:p>
    <w:p w14:paraId="1595468D">
      <w:pPr>
        <w:spacing w:line="360" w:lineRule="auto"/>
        <w:jc w:val="left"/>
        <w:rPr>
          <w:rFonts w:hint="eastAsia" w:ascii="宋体" w:hAnsi="宋体" w:cs="宋体"/>
          <w:color w:val="auto"/>
          <w:highlight w:val="none"/>
        </w:rPr>
      </w:pPr>
      <w:r>
        <w:rPr>
          <w:rFonts w:hint="eastAsia" w:ascii="宋体" w:hAnsi="宋体" w:cs="宋体"/>
          <w:color w:val="auto"/>
          <w:szCs w:val="21"/>
          <w:highlight w:val="none"/>
        </w:rPr>
        <w:br w:type="page"/>
      </w:r>
      <w:r>
        <w:rPr>
          <w:rFonts w:hint="eastAsia" w:ascii="宋体" w:hAnsi="宋体" w:cs="宋体"/>
          <w:b/>
          <w:color w:val="auto"/>
          <w:sz w:val="30"/>
          <w:szCs w:val="30"/>
          <w:highlight w:val="none"/>
        </w:rPr>
        <w:t>四、商务条款偏离表</w:t>
      </w:r>
    </w:p>
    <w:p w14:paraId="1E7D26C1">
      <w:pPr>
        <w:spacing w:line="500" w:lineRule="exact"/>
        <w:jc w:val="center"/>
        <w:rPr>
          <w:rFonts w:hint="eastAsia" w:ascii="宋体" w:hAnsi="宋体" w:cs="宋体"/>
          <w:b/>
          <w:color w:val="auto"/>
          <w:sz w:val="30"/>
          <w:szCs w:val="30"/>
          <w:highlight w:val="none"/>
        </w:rPr>
      </w:pPr>
      <w:r>
        <w:rPr>
          <w:rFonts w:hint="eastAsia" w:ascii="宋体" w:hAnsi="宋体" w:cs="宋体"/>
          <w:b/>
          <w:color w:val="auto"/>
          <w:sz w:val="30"/>
          <w:szCs w:val="30"/>
          <w:highlight w:val="none"/>
        </w:rPr>
        <w:t>商务条款偏离表</w:t>
      </w:r>
    </w:p>
    <w:p w14:paraId="235D18C7">
      <w:pPr>
        <w:spacing w:line="520" w:lineRule="exact"/>
        <w:rPr>
          <w:rFonts w:hint="eastAsia" w:ascii="宋体" w:hAnsi="宋体" w:cs="宋体"/>
          <w:color w:val="auto"/>
          <w:sz w:val="32"/>
          <w:szCs w:val="32"/>
          <w:highlight w:val="none"/>
        </w:rPr>
      </w:pPr>
    </w:p>
    <w:p w14:paraId="1F618F62">
      <w:pPr>
        <w:spacing w:line="360" w:lineRule="auto"/>
        <w:contextualSpacing/>
        <w:rPr>
          <w:rFonts w:hint="eastAsia" w:ascii="宋体" w:hAnsi="宋体" w:cs="宋体"/>
          <w:color w:val="auto"/>
          <w:sz w:val="24"/>
          <w:highlight w:val="none"/>
          <w:u w:val="single"/>
        </w:rPr>
      </w:pPr>
      <w:r>
        <w:rPr>
          <w:rFonts w:hint="eastAsia" w:ascii="宋体" w:hAnsi="宋体" w:cs="宋体"/>
          <w:color w:val="auto"/>
          <w:sz w:val="24"/>
          <w:highlight w:val="none"/>
        </w:rPr>
        <w:t>采购项目编号：</w:t>
      </w:r>
      <w:r>
        <w:rPr>
          <w:rFonts w:hint="eastAsia" w:ascii="宋体" w:hAnsi="宋体" w:cs="宋体"/>
          <w:color w:val="auto"/>
          <w:sz w:val="24"/>
          <w:highlight w:val="none"/>
          <w:u w:val="single"/>
        </w:rPr>
        <w:t xml:space="preserve">                </w:t>
      </w:r>
    </w:p>
    <w:p w14:paraId="08E313AC">
      <w:pPr>
        <w:spacing w:line="360" w:lineRule="auto"/>
        <w:contextualSpacing/>
        <w:rPr>
          <w:rFonts w:hint="eastAsia" w:ascii="宋体" w:hAnsi="宋体" w:cs="宋体"/>
          <w:color w:val="auto"/>
          <w:sz w:val="24"/>
          <w:highlight w:val="none"/>
        </w:rPr>
      </w:pPr>
      <w:r>
        <w:rPr>
          <w:rFonts w:hint="eastAsia" w:ascii="宋体" w:hAnsi="宋体" w:cs="宋体"/>
          <w:color w:val="auto"/>
          <w:sz w:val="24"/>
          <w:highlight w:val="none"/>
        </w:rPr>
        <w:t>采购项目名称：</w:t>
      </w:r>
      <w:r>
        <w:rPr>
          <w:rFonts w:hint="eastAsia" w:ascii="宋体" w:hAnsi="宋体" w:cs="宋体"/>
          <w:color w:val="auto"/>
          <w:sz w:val="24"/>
          <w:highlight w:val="none"/>
          <w:u w:val="single"/>
        </w:rPr>
        <w:t xml:space="preserve">                 </w:t>
      </w:r>
    </w:p>
    <w:p w14:paraId="36051328">
      <w:pPr>
        <w:spacing w:line="360" w:lineRule="auto"/>
        <w:contextualSpacing/>
        <w:rPr>
          <w:rFonts w:hint="eastAsia" w:ascii="宋体" w:hAnsi="宋体" w:cs="宋体"/>
          <w:color w:val="auto"/>
          <w:sz w:val="24"/>
          <w:highlight w:val="none"/>
          <w:u w:val="single"/>
        </w:rPr>
      </w:pPr>
      <w:r>
        <w:rPr>
          <w:rFonts w:hint="eastAsia" w:ascii="宋体" w:hAnsi="宋体" w:cs="宋体"/>
          <w:color w:val="auto"/>
          <w:sz w:val="24"/>
          <w:highlight w:val="none"/>
        </w:rPr>
        <w:t>分标号</w:t>
      </w:r>
      <w:r>
        <w:rPr>
          <w:rFonts w:hint="eastAsia" w:ascii="宋体" w:hAnsi="宋体" w:cs="宋体"/>
          <w:color w:val="auto"/>
          <w:szCs w:val="21"/>
          <w:highlight w:val="none"/>
        </w:rPr>
        <w:t>（此处有分标时填写具体分标号，无分标时填写“无”）</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p>
    <w:tbl>
      <w:tblPr>
        <w:tblStyle w:val="23"/>
        <w:tblpPr w:leftFromText="180" w:rightFromText="180" w:vertAnchor="text" w:horzAnchor="margin" w:tblpXSpec="center" w:tblpY="94"/>
        <w:tblW w:w="86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3449"/>
        <w:gridCol w:w="3196"/>
        <w:gridCol w:w="1274"/>
      </w:tblGrid>
      <w:tr w14:paraId="6CD7C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691" w:type="dxa"/>
            <w:tcBorders>
              <w:top w:val="single" w:color="auto" w:sz="4" w:space="0"/>
              <w:left w:val="single" w:color="auto" w:sz="4" w:space="0"/>
              <w:bottom w:val="single" w:color="auto" w:sz="4" w:space="0"/>
              <w:right w:val="single" w:color="auto" w:sz="4" w:space="0"/>
            </w:tcBorders>
            <w:noWrap w:val="0"/>
            <w:vAlign w:val="center"/>
          </w:tcPr>
          <w:p w14:paraId="3F29BD36">
            <w:pPr>
              <w:spacing w:line="340" w:lineRule="exact"/>
              <w:jc w:val="center"/>
              <w:rPr>
                <w:rFonts w:hint="eastAsia" w:ascii="宋体" w:hAnsi="宋体" w:cs="宋体"/>
                <w:color w:val="auto"/>
                <w:sz w:val="24"/>
                <w:highlight w:val="none"/>
              </w:rPr>
            </w:pPr>
            <w:r>
              <w:rPr>
                <w:rFonts w:hint="eastAsia" w:ascii="宋体" w:hAnsi="宋体" w:cs="宋体"/>
                <w:color w:val="auto"/>
                <w:sz w:val="24"/>
                <w:highlight w:val="none"/>
              </w:rPr>
              <w:t>项号</w:t>
            </w:r>
          </w:p>
        </w:tc>
        <w:tc>
          <w:tcPr>
            <w:tcW w:w="3449" w:type="dxa"/>
            <w:tcBorders>
              <w:top w:val="single" w:color="auto" w:sz="4" w:space="0"/>
              <w:left w:val="single" w:color="auto" w:sz="4" w:space="0"/>
              <w:bottom w:val="single" w:color="auto" w:sz="4" w:space="0"/>
              <w:right w:val="single" w:color="auto" w:sz="4" w:space="0"/>
            </w:tcBorders>
            <w:noWrap w:val="0"/>
            <w:vAlign w:val="center"/>
          </w:tcPr>
          <w:p w14:paraId="1991206A">
            <w:pPr>
              <w:spacing w:line="340" w:lineRule="exact"/>
              <w:jc w:val="center"/>
              <w:rPr>
                <w:rFonts w:hint="eastAsia" w:ascii="宋体" w:hAnsi="宋体" w:cs="宋体"/>
                <w:color w:val="auto"/>
                <w:sz w:val="24"/>
                <w:highlight w:val="none"/>
              </w:rPr>
            </w:pPr>
            <w:r>
              <w:rPr>
                <w:rFonts w:hint="eastAsia" w:ascii="宋体" w:hAnsi="宋体" w:cs="宋体"/>
                <w:color w:val="auto"/>
                <w:sz w:val="24"/>
                <w:highlight w:val="none"/>
              </w:rPr>
              <w:t>竞争性磋商文件的商务需求</w:t>
            </w:r>
          </w:p>
        </w:tc>
        <w:tc>
          <w:tcPr>
            <w:tcW w:w="3196" w:type="dxa"/>
            <w:tcBorders>
              <w:top w:val="single" w:color="auto" w:sz="4" w:space="0"/>
              <w:left w:val="single" w:color="auto" w:sz="4" w:space="0"/>
              <w:bottom w:val="single" w:color="auto" w:sz="4" w:space="0"/>
              <w:right w:val="single" w:color="auto" w:sz="4" w:space="0"/>
            </w:tcBorders>
            <w:noWrap w:val="0"/>
            <w:vAlign w:val="center"/>
          </w:tcPr>
          <w:p w14:paraId="2E97984E">
            <w:pPr>
              <w:spacing w:line="340" w:lineRule="exact"/>
              <w:jc w:val="center"/>
              <w:rPr>
                <w:rFonts w:hint="eastAsia" w:ascii="宋体" w:hAnsi="宋体" w:cs="宋体"/>
                <w:color w:val="auto"/>
                <w:sz w:val="24"/>
                <w:highlight w:val="none"/>
              </w:rPr>
            </w:pPr>
            <w:r>
              <w:rPr>
                <w:rFonts w:hint="eastAsia" w:ascii="宋体" w:hAnsi="宋体" w:cs="宋体"/>
                <w:color w:val="auto"/>
                <w:sz w:val="24"/>
                <w:highlight w:val="none"/>
              </w:rPr>
              <w:t>响应文件承诺的商务条款</w:t>
            </w:r>
          </w:p>
        </w:tc>
        <w:tc>
          <w:tcPr>
            <w:tcW w:w="1274" w:type="dxa"/>
            <w:tcBorders>
              <w:top w:val="single" w:color="auto" w:sz="4" w:space="0"/>
              <w:left w:val="single" w:color="auto" w:sz="4" w:space="0"/>
              <w:bottom w:val="single" w:color="auto" w:sz="4" w:space="0"/>
              <w:right w:val="single" w:color="auto" w:sz="4" w:space="0"/>
            </w:tcBorders>
            <w:noWrap w:val="0"/>
            <w:vAlign w:val="center"/>
          </w:tcPr>
          <w:p w14:paraId="213B5AAB">
            <w:pPr>
              <w:spacing w:line="340" w:lineRule="exact"/>
              <w:jc w:val="center"/>
              <w:rPr>
                <w:rFonts w:hint="eastAsia" w:ascii="宋体" w:hAnsi="宋体" w:cs="宋体"/>
                <w:color w:val="auto"/>
                <w:sz w:val="24"/>
                <w:highlight w:val="none"/>
              </w:rPr>
            </w:pPr>
            <w:r>
              <w:rPr>
                <w:rFonts w:hint="eastAsia" w:ascii="宋体" w:hAnsi="宋体" w:cs="宋体"/>
                <w:color w:val="auto"/>
                <w:sz w:val="24"/>
                <w:highlight w:val="none"/>
              </w:rPr>
              <w:t>偏离说明</w:t>
            </w:r>
          </w:p>
        </w:tc>
      </w:tr>
      <w:tr w14:paraId="678CF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noWrap w:val="0"/>
            <w:vAlign w:val="top"/>
          </w:tcPr>
          <w:p w14:paraId="4F2A08A8">
            <w:pPr>
              <w:spacing w:line="340" w:lineRule="exact"/>
              <w:rPr>
                <w:rFonts w:hint="eastAsia" w:ascii="宋体" w:hAnsi="宋体" w:cs="宋体"/>
                <w:color w:val="auto"/>
                <w:sz w:val="24"/>
                <w:highlight w:val="none"/>
              </w:rPr>
            </w:pPr>
            <w:r>
              <w:rPr>
                <w:rFonts w:hint="eastAsia" w:ascii="宋体" w:hAnsi="宋体" w:cs="宋体"/>
                <w:color w:val="auto"/>
                <w:sz w:val="24"/>
                <w:highlight w:val="none"/>
              </w:rPr>
              <w:t>1</w:t>
            </w:r>
          </w:p>
        </w:tc>
        <w:tc>
          <w:tcPr>
            <w:tcW w:w="3449" w:type="dxa"/>
            <w:tcBorders>
              <w:top w:val="single" w:color="auto" w:sz="4" w:space="0"/>
              <w:left w:val="single" w:color="auto" w:sz="4" w:space="0"/>
              <w:bottom w:val="single" w:color="auto" w:sz="4" w:space="0"/>
              <w:right w:val="single" w:color="auto" w:sz="4" w:space="0"/>
            </w:tcBorders>
            <w:noWrap w:val="0"/>
            <w:vAlign w:val="top"/>
          </w:tcPr>
          <w:p w14:paraId="29EB9768">
            <w:pPr>
              <w:spacing w:line="340" w:lineRule="exact"/>
              <w:rPr>
                <w:rFonts w:hint="eastAsia" w:ascii="宋体" w:hAnsi="宋体" w:cs="宋体"/>
                <w:color w:val="auto"/>
                <w:sz w:val="24"/>
                <w:highlight w:val="none"/>
              </w:rPr>
            </w:pPr>
            <w:r>
              <w:rPr>
                <w:rFonts w:hint="eastAsia" w:ascii="宋体" w:hAnsi="宋体" w:cs="宋体"/>
                <w:color w:val="auto"/>
                <w:sz w:val="24"/>
                <w:highlight w:val="none"/>
              </w:rPr>
              <w:t>1  ……</w:t>
            </w:r>
          </w:p>
          <w:p w14:paraId="1F08D47D">
            <w:pPr>
              <w:spacing w:line="340" w:lineRule="exact"/>
              <w:rPr>
                <w:rFonts w:hint="eastAsia" w:ascii="宋体" w:hAnsi="宋体" w:cs="宋体"/>
                <w:color w:val="auto"/>
                <w:sz w:val="24"/>
                <w:highlight w:val="none"/>
              </w:rPr>
            </w:pPr>
            <w:r>
              <w:rPr>
                <w:rFonts w:hint="eastAsia" w:ascii="宋体" w:hAnsi="宋体" w:cs="宋体"/>
                <w:color w:val="auto"/>
                <w:sz w:val="24"/>
                <w:highlight w:val="none"/>
              </w:rPr>
              <w:t>2  ……</w:t>
            </w:r>
          </w:p>
          <w:p w14:paraId="5281E1E3">
            <w:pPr>
              <w:spacing w:line="340" w:lineRule="exact"/>
              <w:rPr>
                <w:rFonts w:hint="eastAsia" w:ascii="宋体" w:hAnsi="宋体" w:cs="宋体"/>
                <w:color w:val="auto"/>
                <w:sz w:val="24"/>
                <w:highlight w:val="none"/>
              </w:rPr>
            </w:pPr>
            <w:r>
              <w:rPr>
                <w:rFonts w:hint="eastAsia" w:ascii="宋体" w:hAnsi="宋体" w:cs="宋体"/>
                <w:color w:val="auto"/>
                <w:sz w:val="24"/>
                <w:highlight w:val="none"/>
              </w:rPr>
              <w:t>3  ……</w:t>
            </w:r>
          </w:p>
          <w:p w14:paraId="12A426C8">
            <w:pPr>
              <w:spacing w:line="340" w:lineRule="exact"/>
              <w:rPr>
                <w:rFonts w:hint="eastAsia" w:ascii="宋体" w:hAnsi="宋体" w:cs="宋体"/>
                <w:color w:val="auto"/>
                <w:sz w:val="24"/>
                <w:highlight w:val="none"/>
              </w:rPr>
            </w:pPr>
            <w:r>
              <w:rPr>
                <w:rFonts w:hint="eastAsia" w:ascii="宋体" w:hAnsi="宋体" w:cs="宋体"/>
                <w:color w:val="auto"/>
                <w:sz w:val="24"/>
                <w:highlight w:val="none"/>
              </w:rPr>
              <w:t>……</w:t>
            </w:r>
          </w:p>
        </w:tc>
        <w:tc>
          <w:tcPr>
            <w:tcW w:w="3196" w:type="dxa"/>
            <w:tcBorders>
              <w:top w:val="single" w:color="auto" w:sz="4" w:space="0"/>
              <w:left w:val="single" w:color="auto" w:sz="4" w:space="0"/>
              <w:bottom w:val="single" w:color="auto" w:sz="4" w:space="0"/>
              <w:right w:val="single" w:color="auto" w:sz="4" w:space="0"/>
            </w:tcBorders>
            <w:noWrap w:val="0"/>
            <w:vAlign w:val="top"/>
          </w:tcPr>
          <w:p w14:paraId="721C2CB9">
            <w:pPr>
              <w:spacing w:line="340" w:lineRule="exact"/>
              <w:rPr>
                <w:rFonts w:hint="eastAsia" w:ascii="宋体" w:hAnsi="宋体" w:cs="宋体"/>
                <w:color w:val="auto"/>
                <w:sz w:val="24"/>
                <w:highlight w:val="none"/>
              </w:rPr>
            </w:pPr>
            <w:r>
              <w:rPr>
                <w:rFonts w:hint="eastAsia" w:ascii="宋体" w:hAnsi="宋体" w:cs="宋体"/>
                <w:color w:val="auto"/>
                <w:sz w:val="24"/>
                <w:highlight w:val="none"/>
              </w:rPr>
              <w:t>1  ……</w:t>
            </w:r>
          </w:p>
          <w:p w14:paraId="45660960">
            <w:pPr>
              <w:spacing w:line="340" w:lineRule="exact"/>
              <w:rPr>
                <w:rFonts w:hint="eastAsia" w:ascii="宋体" w:hAnsi="宋体" w:cs="宋体"/>
                <w:color w:val="auto"/>
                <w:sz w:val="24"/>
                <w:highlight w:val="none"/>
              </w:rPr>
            </w:pPr>
            <w:r>
              <w:rPr>
                <w:rFonts w:hint="eastAsia" w:ascii="宋体" w:hAnsi="宋体" w:cs="宋体"/>
                <w:color w:val="auto"/>
                <w:sz w:val="24"/>
                <w:highlight w:val="none"/>
              </w:rPr>
              <w:t>2  ……</w:t>
            </w:r>
          </w:p>
          <w:p w14:paraId="5409AB5A">
            <w:pPr>
              <w:spacing w:line="340" w:lineRule="exact"/>
              <w:rPr>
                <w:rFonts w:hint="eastAsia" w:ascii="宋体" w:hAnsi="宋体" w:cs="宋体"/>
                <w:color w:val="auto"/>
                <w:sz w:val="24"/>
                <w:highlight w:val="none"/>
              </w:rPr>
            </w:pPr>
            <w:r>
              <w:rPr>
                <w:rFonts w:hint="eastAsia" w:ascii="宋体" w:hAnsi="宋体" w:cs="宋体"/>
                <w:color w:val="auto"/>
                <w:sz w:val="24"/>
                <w:highlight w:val="none"/>
              </w:rPr>
              <w:t>3  ……</w:t>
            </w:r>
          </w:p>
          <w:p w14:paraId="4123D905">
            <w:pPr>
              <w:spacing w:line="340" w:lineRule="exact"/>
              <w:rPr>
                <w:rFonts w:hint="eastAsia" w:ascii="宋体" w:hAnsi="宋体" w:cs="宋体"/>
                <w:color w:val="auto"/>
                <w:sz w:val="24"/>
                <w:highlight w:val="none"/>
              </w:rPr>
            </w:pPr>
            <w:r>
              <w:rPr>
                <w:rFonts w:hint="eastAsia" w:ascii="宋体" w:hAnsi="宋体" w:cs="宋体"/>
                <w:color w:val="auto"/>
                <w:sz w:val="24"/>
                <w:highlight w:val="none"/>
              </w:rPr>
              <w:t>……</w:t>
            </w:r>
          </w:p>
        </w:tc>
        <w:tc>
          <w:tcPr>
            <w:tcW w:w="1274" w:type="dxa"/>
            <w:tcBorders>
              <w:top w:val="single" w:color="auto" w:sz="4" w:space="0"/>
              <w:left w:val="single" w:color="auto" w:sz="4" w:space="0"/>
              <w:bottom w:val="single" w:color="auto" w:sz="4" w:space="0"/>
              <w:right w:val="single" w:color="auto" w:sz="4" w:space="0"/>
            </w:tcBorders>
            <w:noWrap w:val="0"/>
            <w:vAlign w:val="top"/>
          </w:tcPr>
          <w:p w14:paraId="7854B98A">
            <w:pPr>
              <w:spacing w:line="300" w:lineRule="exact"/>
              <w:rPr>
                <w:rFonts w:hint="eastAsia" w:ascii="宋体" w:hAnsi="宋体" w:cs="宋体"/>
                <w:color w:val="auto"/>
                <w:sz w:val="24"/>
                <w:highlight w:val="none"/>
              </w:rPr>
            </w:pPr>
          </w:p>
        </w:tc>
      </w:tr>
      <w:tr w14:paraId="05917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9" w:hRule="atLeast"/>
        </w:trPr>
        <w:tc>
          <w:tcPr>
            <w:tcW w:w="691" w:type="dxa"/>
            <w:tcBorders>
              <w:top w:val="single" w:color="auto" w:sz="4" w:space="0"/>
              <w:left w:val="single" w:color="auto" w:sz="4" w:space="0"/>
              <w:bottom w:val="single" w:color="auto" w:sz="4" w:space="0"/>
              <w:right w:val="single" w:color="auto" w:sz="4" w:space="0"/>
            </w:tcBorders>
            <w:noWrap w:val="0"/>
            <w:vAlign w:val="top"/>
          </w:tcPr>
          <w:p w14:paraId="78BB72C0">
            <w:pPr>
              <w:spacing w:line="340" w:lineRule="exact"/>
              <w:rPr>
                <w:rFonts w:hint="eastAsia" w:ascii="宋体" w:hAnsi="宋体" w:cs="宋体"/>
                <w:color w:val="auto"/>
                <w:sz w:val="24"/>
                <w:highlight w:val="none"/>
              </w:rPr>
            </w:pPr>
            <w:r>
              <w:rPr>
                <w:rFonts w:hint="eastAsia" w:ascii="宋体" w:hAnsi="宋体" w:cs="宋体"/>
                <w:color w:val="auto"/>
                <w:sz w:val="24"/>
                <w:highlight w:val="none"/>
              </w:rPr>
              <w:t>...</w:t>
            </w:r>
          </w:p>
        </w:tc>
        <w:tc>
          <w:tcPr>
            <w:tcW w:w="3449" w:type="dxa"/>
            <w:tcBorders>
              <w:top w:val="single" w:color="auto" w:sz="4" w:space="0"/>
              <w:left w:val="single" w:color="auto" w:sz="4" w:space="0"/>
              <w:bottom w:val="single" w:color="auto" w:sz="4" w:space="0"/>
              <w:right w:val="single" w:color="auto" w:sz="4" w:space="0"/>
            </w:tcBorders>
            <w:noWrap w:val="0"/>
            <w:vAlign w:val="top"/>
          </w:tcPr>
          <w:p w14:paraId="60651BC5">
            <w:pPr>
              <w:spacing w:line="340" w:lineRule="exact"/>
              <w:rPr>
                <w:rFonts w:hint="eastAsia" w:ascii="宋体" w:hAnsi="宋体" w:cs="宋体"/>
                <w:color w:val="auto"/>
                <w:sz w:val="24"/>
                <w:highlight w:val="none"/>
              </w:rPr>
            </w:pPr>
            <w:r>
              <w:rPr>
                <w:rFonts w:hint="eastAsia" w:ascii="宋体" w:hAnsi="宋体" w:cs="宋体"/>
                <w:color w:val="auto"/>
                <w:sz w:val="24"/>
                <w:highlight w:val="none"/>
              </w:rPr>
              <w:t>1  ……</w:t>
            </w:r>
          </w:p>
          <w:p w14:paraId="05972130">
            <w:pPr>
              <w:spacing w:line="340" w:lineRule="exact"/>
              <w:rPr>
                <w:rFonts w:hint="eastAsia" w:ascii="宋体" w:hAnsi="宋体" w:cs="宋体"/>
                <w:color w:val="auto"/>
                <w:sz w:val="24"/>
                <w:highlight w:val="none"/>
              </w:rPr>
            </w:pPr>
            <w:r>
              <w:rPr>
                <w:rFonts w:hint="eastAsia" w:ascii="宋体" w:hAnsi="宋体" w:cs="宋体"/>
                <w:color w:val="auto"/>
                <w:sz w:val="24"/>
                <w:highlight w:val="none"/>
              </w:rPr>
              <w:t>2  ……</w:t>
            </w:r>
          </w:p>
          <w:p w14:paraId="4E1F335A">
            <w:pPr>
              <w:spacing w:line="340" w:lineRule="exact"/>
              <w:rPr>
                <w:rFonts w:hint="eastAsia" w:ascii="宋体" w:hAnsi="宋体" w:cs="宋体"/>
                <w:color w:val="auto"/>
                <w:sz w:val="24"/>
                <w:highlight w:val="none"/>
              </w:rPr>
            </w:pPr>
            <w:r>
              <w:rPr>
                <w:rFonts w:hint="eastAsia" w:ascii="宋体" w:hAnsi="宋体" w:cs="宋体"/>
                <w:color w:val="auto"/>
                <w:sz w:val="24"/>
                <w:highlight w:val="none"/>
              </w:rPr>
              <w:t>3  ……</w:t>
            </w:r>
          </w:p>
          <w:p w14:paraId="5E30457F">
            <w:pPr>
              <w:spacing w:line="340" w:lineRule="exact"/>
              <w:rPr>
                <w:rFonts w:hint="eastAsia" w:ascii="宋体" w:hAnsi="宋体" w:cs="宋体"/>
                <w:color w:val="auto"/>
                <w:sz w:val="24"/>
                <w:highlight w:val="none"/>
              </w:rPr>
            </w:pPr>
            <w:r>
              <w:rPr>
                <w:rFonts w:hint="eastAsia" w:ascii="宋体" w:hAnsi="宋体" w:cs="宋体"/>
                <w:color w:val="auto"/>
                <w:sz w:val="24"/>
                <w:highlight w:val="none"/>
              </w:rPr>
              <w:t>……</w:t>
            </w:r>
          </w:p>
        </w:tc>
        <w:tc>
          <w:tcPr>
            <w:tcW w:w="3196" w:type="dxa"/>
            <w:tcBorders>
              <w:top w:val="single" w:color="auto" w:sz="4" w:space="0"/>
              <w:left w:val="single" w:color="auto" w:sz="4" w:space="0"/>
              <w:bottom w:val="single" w:color="auto" w:sz="4" w:space="0"/>
              <w:right w:val="single" w:color="auto" w:sz="4" w:space="0"/>
            </w:tcBorders>
            <w:noWrap w:val="0"/>
            <w:vAlign w:val="top"/>
          </w:tcPr>
          <w:p w14:paraId="5362EE65">
            <w:pPr>
              <w:spacing w:line="340" w:lineRule="exact"/>
              <w:rPr>
                <w:rFonts w:hint="eastAsia" w:ascii="宋体" w:hAnsi="宋体" w:cs="宋体"/>
                <w:color w:val="auto"/>
                <w:sz w:val="24"/>
                <w:highlight w:val="none"/>
              </w:rPr>
            </w:pPr>
            <w:r>
              <w:rPr>
                <w:rFonts w:hint="eastAsia" w:ascii="宋体" w:hAnsi="宋体" w:cs="宋体"/>
                <w:color w:val="auto"/>
                <w:sz w:val="24"/>
                <w:highlight w:val="none"/>
              </w:rPr>
              <w:t>1  ……</w:t>
            </w:r>
          </w:p>
          <w:p w14:paraId="180F170C">
            <w:pPr>
              <w:spacing w:line="340" w:lineRule="exact"/>
              <w:rPr>
                <w:rFonts w:hint="eastAsia" w:ascii="宋体" w:hAnsi="宋体" w:cs="宋体"/>
                <w:color w:val="auto"/>
                <w:sz w:val="24"/>
                <w:highlight w:val="none"/>
              </w:rPr>
            </w:pPr>
            <w:r>
              <w:rPr>
                <w:rFonts w:hint="eastAsia" w:ascii="宋体" w:hAnsi="宋体" w:cs="宋体"/>
                <w:color w:val="auto"/>
                <w:sz w:val="24"/>
                <w:highlight w:val="none"/>
              </w:rPr>
              <w:t>2  ……</w:t>
            </w:r>
          </w:p>
          <w:p w14:paraId="5B0CC280">
            <w:pPr>
              <w:spacing w:line="340" w:lineRule="exact"/>
              <w:rPr>
                <w:rFonts w:hint="eastAsia" w:ascii="宋体" w:hAnsi="宋体" w:cs="宋体"/>
                <w:color w:val="auto"/>
                <w:sz w:val="24"/>
                <w:highlight w:val="none"/>
              </w:rPr>
            </w:pPr>
            <w:r>
              <w:rPr>
                <w:rFonts w:hint="eastAsia" w:ascii="宋体" w:hAnsi="宋体" w:cs="宋体"/>
                <w:color w:val="auto"/>
                <w:sz w:val="24"/>
                <w:highlight w:val="none"/>
              </w:rPr>
              <w:t>3  ……</w:t>
            </w:r>
          </w:p>
          <w:p w14:paraId="544EB826">
            <w:pPr>
              <w:spacing w:line="340" w:lineRule="exact"/>
              <w:rPr>
                <w:rFonts w:hint="eastAsia" w:ascii="宋体" w:hAnsi="宋体" w:cs="宋体"/>
                <w:color w:val="auto"/>
                <w:sz w:val="24"/>
                <w:highlight w:val="none"/>
              </w:rPr>
            </w:pPr>
            <w:r>
              <w:rPr>
                <w:rFonts w:hint="eastAsia" w:ascii="宋体" w:hAnsi="宋体" w:cs="宋体"/>
                <w:color w:val="auto"/>
                <w:sz w:val="24"/>
                <w:highlight w:val="none"/>
              </w:rPr>
              <w:t>……</w:t>
            </w:r>
          </w:p>
        </w:tc>
        <w:tc>
          <w:tcPr>
            <w:tcW w:w="1274" w:type="dxa"/>
            <w:tcBorders>
              <w:top w:val="single" w:color="auto" w:sz="4" w:space="0"/>
              <w:left w:val="single" w:color="auto" w:sz="4" w:space="0"/>
              <w:bottom w:val="single" w:color="auto" w:sz="4" w:space="0"/>
              <w:right w:val="single" w:color="auto" w:sz="4" w:space="0"/>
            </w:tcBorders>
            <w:noWrap w:val="0"/>
            <w:vAlign w:val="top"/>
          </w:tcPr>
          <w:p w14:paraId="21E51702">
            <w:pPr>
              <w:spacing w:line="300" w:lineRule="exact"/>
              <w:rPr>
                <w:rFonts w:hint="eastAsia" w:ascii="宋体" w:hAnsi="宋体" w:cs="宋体"/>
                <w:color w:val="auto"/>
                <w:sz w:val="24"/>
                <w:highlight w:val="none"/>
              </w:rPr>
            </w:pPr>
          </w:p>
        </w:tc>
      </w:tr>
    </w:tbl>
    <w:p w14:paraId="3DBB6233">
      <w:pPr>
        <w:pStyle w:val="12"/>
        <w:spacing w:line="400" w:lineRule="exact"/>
        <w:ind w:firstLine="0" w:firstLineChars="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w:t>
      </w:r>
    </w:p>
    <w:p w14:paraId="7D02DABC">
      <w:pPr>
        <w:pStyle w:val="12"/>
        <w:spacing w:line="400" w:lineRule="exact"/>
        <w:ind w:firstLine="0" w:firstLineChars="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1.说明：应对照磋商文件“第二章 采购需求”中的商务条款逐条作出明确响应，并作出偏离说明。</w:t>
      </w:r>
    </w:p>
    <w:p w14:paraId="4FB25F7C">
      <w:pPr>
        <w:pStyle w:val="12"/>
        <w:spacing w:line="400" w:lineRule="exact"/>
        <w:ind w:firstLine="0" w:firstLineChars="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2.供应商应根据自身的承诺，对照磋商文件要求，在“偏离说明”中注明“正偏离”、“负偏离”或者“无偏离”。既不属于“正偏离”也不属于“负偏离”即为“无偏离”。 当响应文件的商务内容低于竞争性磋商文件要求时，竞标人应当如实写明“负偏离”，否则视为虚假应标。</w:t>
      </w:r>
    </w:p>
    <w:p w14:paraId="5A52F158">
      <w:pPr>
        <w:spacing w:line="400" w:lineRule="exact"/>
        <w:rPr>
          <w:rFonts w:hint="eastAsia" w:ascii="宋体" w:hAnsi="宋体" w:cs="宋体"/>
          <w:color w:val="auto"/>
          <w:kern w:val="0"/>
          <w:szCs w:val="21"/>
          <w:highlight w:val="none"/>
        </w:rPr>
      </w:pPr>
      <w:r>
        <w:rPr>
          <w:rFonts w:hint="eastAsia" w:ascii="宋体" w:hAnsi="宋体" w:cs="宋体"/>
          <w:color w:val="auto"/>
          <w:kern w:val="0"/>
          <w:szCs w:val="21"/>
          <w:highlight w:val="none"/>
        </w:rPr>
        <w:t>3.表格内容均需按要求填写，不得留空，否则按竞标无效处理。</w:t>
      </w:r>
    </w:p>
    <w:p w14:paraId="24789F1E">
      <w:pPr>
        <w:spacing w:line="360" w:lineRule="auto"/>
        <w:ind w:firstLine="3840" w:firstLineChars="1600"/>
        <w:rPr>
          <w:rFonts w:hint="eastAsia" w:ascii="宋体" w:hAnsi="宋体" w:cs="宋体"/>
          <w:color w:val="auto"/>
          <w:kern w:val="0"/>
          <w:sz w:val="24"/>
          <w:highlight w:val="none"/>
        </w:rPr>
      </w:pPr>
    </w:p>
    <w:p w14:paraId="0B7822DE">
      <w:pPr>
        <w:spacing w:line="360" w:lineRule="auto"/>
        <w:ind w:firstLine="3840" w:firstLineChars="1600"/>
        <w:rPr>
          <w:rFonts w:hint="eastAsia" w:ascii="宋体" w:hAnsi="宋体" w:cs="宋体"/>
          <w:color w:val="auto"/>
          <w:kern w:val="0"/>
          <w:sz w:val="24"/>
          <w:highlight w:val="none"/>
        </w:rPr>
      </w:pPr>
    </w:p>
    <w:p w14:paraId="492D55B2">
      <w:pPr>
        <w:spacing w:line="360" w:lineRule="auto"/>
        <w:ind w:firstLine="3840" w:firstLineChars="1600"/>
        <w:rPr>
          <w:rFonts w:hint="eastAsia" w:ascii="宋体" w:hAnsi="宋体" w:cs="宋体"/>
          <w:color w:val="auto"/>
          <w:kern w:val="0"/>
          <w:sz w:val="24"/>
          <w:highlight w:val="none"/>
        </w:rPr>
      </w:pPr>
    </w:p>
    <w:p w14:paraId="59073E29">
      <w:pPr>
        <w:spacing w:line="360" w:lineRule="auto"/>
        <w:ind w:firstLine="3840" w:firstLineChars="1600"/>
        <w:rPr>
          <w:rFonts w:hint="eastAsia" w:ascii="宋体" w:hAnsi="宋体" w:cs="宋体"/>
          <w:color w:val="auto"/>
          <w:sz w:val="24"/>
          <w:highlight w:val="none"/>
        </w:rPr>
      </w:pPr>
      <w:r>
        <w:rPr>
          <w:rFonts w:hint="eastAsia" w:ascii="宋体" w:hAnsi="宋体" w:cs="宋体"/>
          <w:color w:val="auto"/>
          <w:kern w:val="0"/>
          <w:sz w:val="24"/>
          <w:highlight w:val="none"/>
        </w:rPr>
        <w:t>供应商名称（电子签章）：</w:t>
      </w:r>
    </w:p>
    <w:p w14:paraId="3F04022A">
      <w:pPr>
        <w:spacing w:line="360" w:lineRule="auto"/>
        <w:contextualSpacing/>
        <w:jc w:val="center"/>
        <w:rPr>
          <w:rFonts w:hint="eastAsia" w:ascii="宋体" w:hAnsi="宋体" w:cs="宋体"/>
          <w:b/>
          <w:color w:val="auto"/>
          <w:sz w:val="24"/>
          <w:highlight w:val="none"/>
        </w:rPr>
      </w:pPr>
      <w:r>
        <w:rPr>
          <w:rFonts w:hint="eastAsia" w:ascii="宋体" w:hAnsi="宋体" w:cs="宋体"/>
          <w:color w:val="auto"/>
          <w:kern w:val="0"/>
          <w:sz w:val="24"/>
          <w:highlight w:val="none"/>
          <w:lang w:val="zh-CN"/>
        </w:rPr>
        <w:t xml:space="preserve">                                            日期：  年  月  日</w:t>
      </w:r>
    </w:p>
    <w:p w14:paraId="5389D268">
      <w:pPr>
        <w:snapToGrid w:val="0"/>
        <w:spacing w:line="360" w:lineRule="auto"/>
        <w:rPr>
          <w:rFonts w:hint="eastAsia" w:ascii="仿宋" w:hAnsi="仿宋" w:eastAsia="宋体" w:cs="仿宋_GB2312"/>
          <w:b/>
          <w:color w:val="auto"/>
          <w:sz w:val="30"/>
          <w:szCs w:val="30"/>
          <w:highlight w:val="none"/>
          <w:lang w:eastAsia="zh-CN"/>
        </w:rPr>
      </w:pPr>
      <w:r>
        <w:rPr>
          <w:rFonts w:hint="eastAsia" w:ascii="宋体" w:hAnsi="宋体" w:cs="宋体"/>
          <w:b/>
          <w:color w:val="auto"/>
          <w:sz w:val="30"/>
          <w:szCs w:val="30"/>
          <w:highlight w:val="none"/>
        </w:rPr>
        <w:br w:type="page"/>
      </w:r>
      <w:r>
        <w:rPr>
          <w:rFonts w:hint="eastAsia" w:ascii="宋体" w:hAnsi="宋体" w:cs="宋体"/>
          <w:b/>
          <w:color w:val="auto"/>
          <w:sz w:val="30"/>
          <w:szCs w:val="30"/>
          <w:highlight w:val="none"/>
        </w:rPr>
        <w:t>五、</w:t>
      </w:r>
      <w:r>
        <w:rPr>
          <w:rFonts w:hint="eastAsia" w:ascii="宋体" w:hAnsi="宋体" w:cs="宋体"/>
          <w:b/>
          <w:color w:val="auto"/>
          <w:sz w:val="30"/>
          <w:szCs w:val="30"/>
          <w:highlight w:val="none"/>
          <w:lang w:eastAsia="zh-CN"/>
        </w:rPr>
        <w:t>企业概况表</w:t>
      </w:r>
    </w:p>
    <w:tbl>
      <w:tblPr>
        <w:tblStyle w:val="3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008"/>
        <w:gridCol w:w="1318"/>
        <w:gridCol w:w="1382"/>
        <w:gridCol w:w="1400"/>
        <w:gridCol w:w="1513"/>
        <w:gridCol w:w="1187"/>
      </w:tblGrid>
      <w:tr w14:paraId="49241F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00" w:hRule="atLeast"/>
          <w:jc w:val="center"/>
        </w:trPr>
        <w:tc>
          <w:tcPr>
            <w:tcW w:w="2008" w:type="dxa"/>
            <w:noWrap w:val="0"/>
            <w:vAlign w:val="center"/>
          </w:tcPr>
          <w:p w14:paraId="78E87A2D">
            <w:pPr>
              <w:pStyle w:val="33"/>
              <w:ind w:left="353" w:right="344"/>
              <w:jc w:val="center"/>
              <w:rPr>
                <w:rFonts w:ascii="仿宋" w:hAnsi="仿宋" w:eastAsia="仿宋"/>
                <w:b/>
                <w:color w:val="auto"/>
                <w:sz w:val="21"/>
                <w:szCs w:val="21"/>
                <w:highlight w:val="none"/>
              </w:rPr>
            </w:pPr>
            <w:r>
              <w:rPr>
                <w:rFonts w:hint="eastAsia" w:ascii="仿宋" w:hAnsi="仿宋" w:eastAsia="仿宋"/>
                <w:b/>
                <w:color w:val="auto"/>
                <w:sz w:val="21"/>
                <w:szCs w:val="21"/>
                <w:highlight w:val="none"/>
              </w:rPr>
              <w:t>企业注册名称</w:t>
            </w:r>
          </w:p>
        </w:tc>
        <w:tc>
          <w:tcPr>
            <w:tcW w:w="4100" w:type="dxa"/>
            <w:gridSpan w:val="3"/>
            <w:noWrap w:val="0"/>
            <w:vAlign w:val="top"/>
          </w:tcPr>
          <w:p w14:paraId="21C3C41D">
            <w:pPr>
              <w:pStyle w:val="33"/>
              <w:rPr>
                <w:rFonts w:ascii="仿宋" w:hAnsi="仿宋" w:eastAsia="仿宋"/>
                <w:b/>
                <w:color w:val="auto"/>
                <w:sz w:val="21"/>
                <w:szCs w:val="21"/>
                <w:highlight w:val="none"/>
              </w:rPr>
            </w:pPr>
          </w:p>
        </w:tc>
        <w:tc>
          <w:tcPr>
            <w:tcW w:w="1513" w:type="dxa"/>
            <w:noWrap w:val="0"/>
            <w:vAlign w:val="center"/>
          </w:tcPr>
          <w:p w14:paraId="5BA7A8AF">
            <w:pPr>
              <w:pStyle w:val="33"/>
              <w:ind w:right="290"/>
              <w:jc w:val="center"/>
              <w:rPr>
                <w:rFonts w:ascii="仿宋" w:hAnsi="仿宋" w:eastAsia="仿宋"/>
                <w:b/>
                <w:color w:val="auto"/>
                <w:sz w:val="21"/>
                <w:szCs w:val="21"/>
                <w:highlight w:val="none"/>
              </w:rPr>
            </w:pPr>
            <w:r>
              <w:rPr>
                <w:rFonts w:ascii="仿宋" w:hAnsi="仿宋" w:eastAsia="仿宋"/>
                <w:b/>
                <w:color w:val="auto"/>
                <w:sz w:val="21"/>
                <w:szCs w:val="21"/>
                <w:highlight w:val="none"/>
              </w:rPr>
              <w:t xml:space="preserve">   </w:t>
            </w:r>
            <w:r>
              <w:rPr>
                <w:rFonts w:hint="eastAsia" w:ascii="仿宋" w:hAnsi="仿宋" w:eastAsia="仿宋"/>
                <w:b/>
                <w:color w:val="auto"/>
                <w:sz w:val="21"/>
                <w:szCs w:val="21"/>
                <w:highlight w:val="none"/>
              </w:rPr>
              <w:t>注册资金</w:t>
            </w:r>
          </w:p>
        </w:tc>
        <w:tc>
          <w:tcPr>
            <w:tcW w:w="1187" w:type="dxa"/>
            <w:noWrap w:val="0"/>
            <w:vAlign w:val="top"/>
          </w:tcPr>
          <w:p w14:paraId="37A4B8B7">
            <w:pPr>
              <w:pStyle w:val="33"/>
              <w:rPr>
                <w:rFonts w:ascii="仿宋" w:hAnsi="仿宋" w:eastAsia="仿宋"/>
                <w:b/>
                <w:color w:val="auto"/>
                <w:sz w:val="21"/>
                <w:szCs w:val="21"/>
                <w:highlight w:val="none"/>
              </w:rPr>
            </w:pPr>
          </w:p>
        </w:tc>
      </w:tr>
      <w:tr w14:paraId="0C1B36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jc w:val="center"/>
        </w:trPr>
        <w:tc>
          <w:tcPr>
            <w:tcW w:w="2008" w:type="dxa"/>
            <w:noWrap w:val="0"/>
            <w:vAlign w:val="center"/>
          </w:tcPr>
          <w:p w14:paraId="0A77B1E3">
            <w:pPr>
              <w:pStyle w:val="33"/>
              <w:spacing w:before="9"/>
              <w:jc w:val="center"/>
              <w:rPr>
                <w:rFonts w:ascii="仿宋" w:hAnsi="仿宋" w:eastAsia="仿宋"/>
                <w:b/>
                <w:color w:val="auto"/>
                <w:sz w:val="21"/>
                <w:szCs w:val="21"/>
                <w:highlight w:val="none"/>
              </w:rPr>
            </w:pPr>
            <w:r>
              <w:rPr>
                <w:rFonts w:hint="eastAsia" w:ascii="仿宋" w:hAnsi="仿宋" w:eastAsia="仿宋"/>
                <w:b/>
                <w:color w:val="auto"/>
                <w:sz w:val="21"/>
                <w:szCs w:val="21"/>
                <w:highlight w:val="none"/>
              </w:rPr>
              <w:t>注册地址</w:t>
            </w:r>
          </w:p>
        </w:tc>
        <w:tc>
          <w:tcPr>
            <w:tcW w:w="6800" w:type="dxa"/>
            <w:gridSpan w:val="5"/>
            <w:noWrap w:val="0"/>
            <w:vAlign w:val="center"/>
          </w:tcPr>
          <w:p w14:paraId="47C73610">
            <w:pPr>
              <w:pStyle w:val="33"/>
              <w:jc w:val="center"/>
              <w:rPr>
                <w:rFonts w:ascii="仿宋" w:hAnsi="仿宋" w:eastAsia="仿宋"/>
                <w:b/>
                <w:color w:val="auto"/>
                <w:sz w:val="21"/>
                <w:szCs w:val="21"/>
                <w:highlight w:val="none"/>
              </w:rPr>
            </w:pPr>
          </w:p>
        </w:tc>
      </w:tr>
      <w:tr w14:paraId="6E05A9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jc w:val="center"/>
        </w:trPr>
        <w:tc>
          <w:tcPr>
            <w:tcW w:w="2008" w:type="dxa"/>
            <w:noWrap w:val="0"/>
            <w:vAlign w:val="center"/>
          </w:tcPr>
          <w:p w14:paraId="6A76CBDA">
            <w:pPr>
              <w:pStyle w:val="33"/>
              <w:spacing w:before="1"/>
              <w:ind w:left="353" w:right="344"/>
              <w:jc w:val="center"/>
              <w:rPr>
                <w:rFonts w:ascii="仿宋" w:hAnsi="仿宋" w:eastAsia="仿宋"/>
                <w:b/>
                <w:color w:val="auto"/>
                <w:sz w:val="21"/>
                <w:szCs w:val="21"/>
                <w:highlight w:val="none"/>
              </w:rPr>
            </w:pPr>
            <w:r>
              <w:rPr>
                <w:rFonts w:hint="eastAsia" w:ascii="仿宋" w:hAnsi="仿宋" w:eastAsia="仿宋"/>
                <w:b/>
                <w:color w:val="auto"/>
                <w:sz w:val="21"/>
                <w:szCs w:val="21"/>
                <w:highlight w:val="none"/>
              </w:rPr>
              <w:t>联系人姓名</w:t>
            </w:r>
          </w:p>
        </w:tc>
        <w:tc>
          <w:tcPr>
            <w:tcW w:w="1318" w:type="dxa"/>
            <w:noWrap w:val="0"/>
            <w:vAlign w:val="center"/>
          </w:tcPr>
          <w:p w14:paraId="2F89E9D4">
            <w:pPr>
              <w:pStyle w:val="33"/>
              <w:jc w:val="center"/>
              <w:rPr>
                <w:rFonts w:ascii="仿宋" w:hAnsi="仿宋" w:eastAsia="仿宋"/>
                <w:b/>
                <w:color w:val="auto"/>
                <w:sz w:val="21"/>
                <w:szCs w:val="21"/>
                <w:highlight w:val="none"/>
              </w:rPr>
            </w:pPr>
          </w:p>
        </w:tc>
        <w:tc>
          <w:tcPr>
            <w:tcW w:w="1382" w:type="dxa"/>
            <w:noWrap w:val="0"/>
            <w:vAlign w:val="center"/>
          </w:tcPr>
          <w:p w14:paraId="23AC8CEB">
            <w:pPr>
              <w:pStyle w:val="33"/>
              <w:tabs>
                <w:tab w:val="left" w:pos="638"/>
              </w:tabs>
              <w:spacing w:before="1"/>
              <w:ind w:left="7"/>
              <w:jc w:val="center"/>
              <w:rPr>
                <w:rFonts w:ascii="仿宋" w:hAnsi="仿宋" w:eastAsia="仿宋"/>
                <w:b/>
                <w:color w:val="auto"/>
                <w:sz w:val="21"/>
                <w:szCs w:val="21"/>
                <w:highlight w:val="none"/>
              </w:rPr>
            </w:pPr>
            <w:r>
              <w:rPr>
                <w:rFonts w:hint="eastAsia" w:ascii="仿宋" w:hAnsi="仿宋" w:eastAsia="仿宋"/>
                <w:b/>
                <w:color w:val="auto"/>
                <w:sz w:val="21"/>
                <w:szCs w:val="21"/>
                <w:highlight w:val="none"/>
              </w:rPr>
              <w:t>电话</w:t>
            </w:r>
          </w:p>
        </w:tc>
        <w:tc>
          <w:tcPr>
            <w:tcW w:w="1400" w:type="dxa"/>
            <w:noWrap w:val="0"/>
            <w:vAlign w:val="center"/>
          </w:tcPr>
          <w:p w14:paraId="1AC5C918">
            <w:pPr>
              <w:pStyle w:val="33"/>
              <w:jc w:val="center"/>
              <w:rPr>
                <w:rFonts w:ascii="仿宋" w:hAnsi="仿宋" w:eastAsia="仿宋"/>
                <w:b/>
                <w:color w:val="auto"/>
                <w:sz w:val="21"/>
                <w:szCs w:val="21"/>
                <w:highlight w:val="none"/>
              </w:rPr>
            </w:pPr>
          </w:p>
        </w:tc>
        <w:tc>
          <w:tcPr>
            <w:tcW w:w="1513" w:type="dxa"/>
            <w:noWrap w:val="0"/>
            <w:vAlign w:val="center"/>
          </w:tcPr>
          <w:p w14:paraId="52975637">
            <w:pPr>
              <w:pStyle w:val="33"/>
              <w:spacing w:before="1"/>
              <w:ind w:right="290"/>
              <w:jc w:val="center"/>
              <w:rPr>
                <w:rFonts w:ascii="仿宋" w:hAnsi="仿宋" w:eastAsia="仿宋"/>
                <w:b/>
                <w:color w:val="auto"/>
                <w:sz w:val="21"/>
                <w:szCs w:val="21"/>
                <w:highlight w:val="none"/>
              </w:rPr>
            </w:pPr>
            <w:r>
              <w:rPr>
                <w:rFonts w:hint="eastAsia" w:ascii="仿宋" w:hAnsi="仿宋" w:eastAsia="仿宋"/>
                <w:b/>
                <w:color w:val="auto"/>
                <w:w w:val="95"/>
                <w:sz w:val="21"/>
                <w:szCs w:val="21"/>
                <w:highlight w:val="none"/>
              </w:rPr>
              <w:t xml:space="preserve"> </w:t>
            </w:r>
            <w:r>
              <w:rPr>
                <w:rFonts w:ascii="仿宋" w:hAnsi="仿宋" w:eastAsia="仿宋"/>
                <w:b/>
                <w:color w:val="auto"/>
                <w:w w:val="95"/>
                <w:sz w:val="21"/>
                <w:szCs w:val="21"/>
                <w:highlight w:val="none"/>
              </w:rPr>
              <w:t xml:space="preserve"> </w:t>
            </w:r>
            <w:r>
              <w:rPr>
                <w:rFonts w:hint="eastAsia" w:ascii="仿宋" w:hAnsi="仿宋" w:eastAsia="仿宋"/>
                <w:b/>
                <w:color w:val="auto"/>
                <w:w w:val="95"/>
                <w:sz w:val="21"/>
                <w:szCs w:val="21"/>
                <w:highlight w:val="none"/>
              </w:rPr>
              <w:t>企业性质</w:t>
            </w:r>
          </w:p>
        </w:tc>
        <w:tc>
          <w:tcPr>
            <w:tcW w:w="1187" w:type="dxa"/>
            <w:noWrap w:val="0"/>
            <w:vAlign w:val="top"/>
          </w:tcPr>
          <w:p w14:paraId="5F304B8B">
            <w:pPr>
              <w:pStyle w:val="33"/>
              <w:rPr>
                <w:rFonts w:ascii="仿宋" w:hAnsi="仿宋" w:eastAsia="仿宋"/>
                <w:b/>
                <w:color w:val="auto"/>
                <w:sz w:val="21"/>
                <w:szCs w:val="21"/>
                <w:highlight w:val="none"/>
              </w:rPr>
            </w:pPr>
          </w:p>
        </w:tc>
      </w:tr>
      <w:tr w14:paraId="0646A2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jc w:val="center"/>
        </w:trPr>
        <w:tc>
          <w:tcPr>
            <w:tcW w:w="2008" w:type="dxa"/>
            <w:noWrap w:val="0"/>
            <w:vAlign w:val="center"/>
          </w:tcPr>
          <w:p w14:paraId="4BFE643F">
            <w:pPr>
              <w:pStyle w:val="33"/>
              <w:spacing w:before="10"/>
              <w:jc w:val="center"/>
              <w:rPr>
                <w:rFonts w:ascii="仿宋" w:hAnsi="仿宋" w:eastAsia="仿宋"/>
                <w:b/>
                <w:color w:val="auto"/>
                <w:sz w:val="21"/>
                <w:szCs w:val="21"/>
                <w:highlight w:val="none"/>
              </w:rPr>
            </w:pPr>
            <w:r>
              <w:rPr>
                <w:rFonts w:hint="eastAsia" w:ascii="仿宋" w:hAnsi="仿宋" w:eastAsia="仿宋"/>
                <w:b/>
                <w:color w:val="auto"/>
                <w:sz w:val="21"/>
                <w:szCs w:val="21"/>
                <w:highlight w:val="none"/>
              </w:rPr>
              <w:t>法人代表姓名</w:t>
            </w:r>
          </w:p>
        </w:tc>
        <w:tc>
          <w:tcPr>
            <w:tcW w:w="1318" w:type="dxa"/>
            <w:noWrap w:val="0"/>
            <w:vAlign w:val="top"/>
          </w:tcPr>
          <w:p w14:paraId="651A9F9D">
            <w:pPr>
              <w:pStyle w:val="33"/>
              <w:rPr>
                <w:rFonts w:ascii="仿宋" w:hAnsi="仿宋" w:eastAsia="仿宋"/>
                <w:b/>
                <w:color w:val="auto"/>
                <w:sz w:val="21"/>
                <w:szCs w:val="21"/>
                <w:highlight w:val="none"/>
              </w:rPr>
            </w:pPr>
          </w:p>
        </w:tc>
        <w:tc>
          <w:tcPr>
            <w:tcW w:w="1382" w:type="dxa"/>
            <w:noWrap w:val="0"/>
            <w:vAlign w:val="center"/>
          </w:tcPr>
          <w:p w14:paraId="2A7D1BBD">
            <w:pPr>
              <w:pStyle w:val="33"/>
              <w:spacing w:before="10"/>
              <w:jc w:val="center"/>
              <w:rPr>
                <w:rFonts w:ascii="仿宋" w:hAnsi="仿宋" w:eastAsia="仿宋"/>
                <w:b/>
                <w:color w:val="auto"/>
                <w:sz w:val="21"/>
                <w:szCs w:val="21"/>
                <w:highlight w:val="none"/>
              </w:rPr>
            </w:pPr>
            <w:r>
              <w:rPr>
                <w:rFonts w:hint="eastAsia" w:ascii="仿宋" w:hAnsi="仿宋" w:eastAsia="仿宋"/>
                <w:b/>
                <w:color w:val="auto"/>
                <w:sz w:val="21"/>
                <w:szCs w:val="21"/>
                <w:highlight w:val="none"/>
              </w:rPr>
              <w:t>技术职称</w:t>
            </w:r>
          </w:p>
        </w:tc>
        <w:tc>
          <w:tcPr>
            <w:tcW w:w="1400" w:type="dxa"/>
            <w:noWrap w:val="0"/>
            <w:vAlign w:val="top"/>
          </w:tcPr>
          <w:p w14:paraId="675602E2">
            <w:pPr>
              <w:pStyle w:val="33"/>
              <w:rPr>
                <w:rFonts w:ascii="仿宋" w:hAnsi="仿宋" w:eastAsia="仿宋"/>
                <w:b/>
                <w:color w:val="auto"/>
                <w:sz w:val="21"/>
                <w:szCs w:val="21"/>
                <w:highlight w:val="none"/>
              </w:rPr>
            </w:pPr>
          </w:p>
        </w:tc>
        <w:tc>
          <w:tcPr>
            <w:tcW w:w="1513" w:type="dxa"/>
            <w:noWrap w:val="0"/>
            <w:vAlign w:val="center"/>
          </w:tcPr>
          <w:p w14:paraId="24CB335E">
            <w:pPr>
              <w:pStyle w:val="33"/>
              <w:spacing w:before="10"/>
              <w:jc w:val="center"/>
              <w:rPr>
                <w:rFonts w:ascii="仿宋" w:hAnsi="仿宋" w:eastAsia="仿宋"/>
                <w:b/>
                <w:color w:val="auto"/>
                <w:sz w:val="21"/>
                <w:szCs w:val="21"/>
                <w:highlight w:val="none"/>
              </w:rPr>
            </w:pPr>
            <w:r>
              <w:rPr>
                <w:rFonts w:hint="eastAsia" w:ascii="仿宋" w:hAnsi="仿宋" w:eastAsia="仿宋"/>
                <w:b/>
                <w:color w:val="auto"/>
                <w:sz w:val="21"/>
                <w:szCs w:val="21"/>
                <w:highlight w:val="none"/>
              </w:rPr>
              <w:t>联系电话</w:t>
            </w:r>
          </w:p>
        </w:tc>
        <w:tc>
          <w:tcPr>
            <w:tcW w:w="1187" w:type="dxa"/>
            <w:noWrap w:val="0"/>
            <w:vAlign w:val="top"/>
          </w:tcPr>
          <w:p w14:paraId="024EC585">
            <w:pPr>
              <w:pStyle w:val="33"/>
              <w:rPr>
                <w:rFonts w:ascii="仿宋" w:hAnsi="仿宋" w:eastAsia="仿宋"/>
                <w:b/>
                <w:color w:val="auto"/>
                <w:sz w:val="21"/>
                <w:szCs w:val="21"/>
                <w:highlight w:val="none"/>
              </w:rPr>
            </w:pPr>
          </w:p>
        </w:tc>
      </w:tr>
      <w:tr w14:paraId="54BBF7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jc w:val="center"/>
        </w:trPr>
        <w:tc>
          <w:tcPr>
            <w:tcW w:w="2008" w:type="dxa"/>
            <w:noWrap w:val="0"/>
            <w:vAlign w:val="center"/>
          </w:tcPr>
          <w:p w14:paraId="3824B18E">
            <w:pPr>
              <w:pStyle w:val="33"/>
              <w:spacing w:before="10"/>
              <w:jc w:val="center"/>
              <w:rPr>
                <w:rFonts w:ascii="仿宋" w:hAnsi="仿宋" w:eastAsia="仿宋"/>
                <w:b/>
                <w:color w:val="auto"/>
                <w:sz w:val="21"/>
                <w:szCs w:val="21"/>
                <w:highlight w:val="none"/>
              </w:rPr>
            </w:pPr>
            <w:r>
              <w:rPr>
                <w:rFonts w:hint="eastAsia" w:ascii="仿宋" w:hAnsi="仿宋" w:eastAsia="仿宋"/>
                <w:b/>
                <w:color w:val="auto"/>
                <w:sz w:val="21"/>
                <w:szCs w:val="21"/>
                <w:highlight w:val="none"/>
              </w:rPr>
              <w:t>技术负责人姓名</w:t>
            </w:r>
          </w:p>
        </w:tc>
        <w:tc>
          <w:tcPr>
            <w:tcW w:w="1318" w:type="dxa"/>
            <w:noWrap w:val="0"/>
            <w:vAlign w:val="top"/>
          </w:tcPr>
          <w:p w14:paraId="714B5DE3">
            <w:pPr>
              <w:pStyle w:val="33"/>
              <w:rPr>
                <w:rFonts w:ascii="仿宋" w:hAnsi="仿宋" w:eastAsia="仿宋"/>
                <w:b/>
                <w:color w:val="auto"/>
                <w:sz w:val="21"/>
                <w:szCs w:val="21"/>
                <w:highlight w:val="none"/>
              </w:rPr>
            </w:pPr>
          </w:p>
        </w:tc>
        <w:tc>
          <w:tcPr>
            <w:tcW w:w="1382" w:type="dxa"/>
            <w:noWrap w:val="0"/>
            <w:vAlign w:val="center"/>
          </w:tcPr>
          <w:p w14:paraId="314814B1">
            <w:pPr>
              <w:pStyle w:val="33"/>
              <w:spacing w:before="10"/>
              <w:jc w:val="center"/>
              <w:rPr>
                <w:rFonts w:ascii="仿宋" w:hAnsi="仿宋" w:eastAsia="仿宋"/>
                <w:b/>
                <w:color w:val="auto"/>
                <w:sz w:val="21"/>
                <w:szCs w:val="21"/>
                <w:highlight w:val="none"/>
              </w:rPr>
            </w:pPr>
            <w:r>
              <w:rPr>
                <w:rFonts w:hint="eastAsia" w:ascii="仿宋" w:hAnsi="仿宋" w:eastAsia="仿宋"/>
                <w:b/>
                <w:color w:val="auto"/>
                <w:sz w:val="21"/>
                <w:szCs w:val="21"/>
                <w:highlight w:val="none"/>
              </w:rPr>
              <w:t>技术职称</w:t>
            </w:r>
          </w:p>
        </w:tc>
        <w:tc>
          <w:tcPr>
            <w:tcW w:w="1400" w:type="dxa"/>
            <w:noWrap w:val="0"/>
            <w:vAlign w:val="top"/>
          </w:tcPr>
          <w:p w14:paraId="691765B3">
            <w:pPr>
              <w:pStyle w:val="33"/>
              <w:rPr>
                <w:rFonts w:ascii="仿宋" w:hAnsi="仿宋" w:eastAsia="仿宋"/>
                <w:b/>
                <w:color w:val="auto"/>
                <w:sz w:val="21"/>
                <w:szCs w:val="21"/>
                <w:highlight w:val="none"/>
              </w:rPr>
            </w:pPr>
          </w:p>
        </w:tc>
        <w:tc>
          <w:tcPr>
            <w:tcW w:w="1513" w:type="dxa"/>
            <w:noWrap w:val="0"/>
            <w:vAlign w:val="center"/>
          </w:tcPr>
          <w:p w14:paraId="489D81FD">
            <w:pPr>
              <w:pStyle w:val="33"/>
              <w:spacing w:before="10"/>
              <w:jc w:val="center"/>
              <w:rPr>
                <w:rFonts w:ascii="仿宋" w:hAnsi="仿宋" w:eastAsia="仿宋"/>
                <w:b/>
                <w:color w:val="auto"/>
                <w:sz w:val="21"/>
                <w:szCs w:val="21"/>
                <w:highlight w:val="none"/>
              </w:rPr>
            </w:pPr>
            <w:r>
              <w:rPr>
                <w:rFonts w:hint="eastAsia" w:ascii="仿宋" w:hAnsi="仿宋" w:eastAsia="仿宋"/>
                <w:b/>
                <w:color w:val="auto"/>
                <w:sz w:val="21"/>
                <w:szCs w:val="21"/>
                <w:highlight w:val="none"/>
              </w:rPr>
              <w:t>联系电话</w:t>
            </w:r>
          </w:p>
        </w:tc>
        <w:tc>
          <w:tcPr>
            <w:tcW w:w="1187" w:type="dxa"/>
            <w:noWrap w:val="0"/>
            <w:vAlign w:val="top"/>
          </w:tcPr>
          <w:p w14:paraId="3719232A">
            <w:pPr>
              <w:pStyle w:val="33"/>
              <w:rPr>
                <w:rFonts w:ascii="仿宋" w:hAnsi="仿宋" w:eastAsia="仿宋"/>
                <w:b/>
                <w:color w:val="auto"/>
                <w:sz w:val="21"/>
                <w:szCs w:val="21"/>
                <w:highlight w:val="none"/>
              </w:rPr>
            </w:pPr>
          </w:p>
        </w:tc>
      </w:tr>
      <w:tr w14:paraId="79BDC4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jc w:val="center"/>
        </w:trPr>
        <w:tc>
          <w:tcPr>
            <w:tcW w:w="2008" w:type="dxa"/>
            <w:noWrap w:val="0"/>
            <w:vAlign w:val="center"/>
          </w:tcPr>
          <w:p w14:paraId="2C88A8D5">
            <w:pPr>
              <w:pStyle w:val="33"/>
              <w:spacing w:before="9"/>
              <w:jc w:val="center"/>
              <w:rPr>
                <w:rFonts w:ascii="仿宋" w:hAnsi="仿宋" w:eastAsia="仿宋"/>
                <w:b/>
                <w:color w:val="auto"/>
                <w:sz w:val="21"/>
                <w:szCs w:val="21"/>
                <w:highlight w:val="none"/>
              </w:rPr>
            </w:pPr>
            <w:r>
              <w:rPr>
                <w:rFonts w:hint="eastAsia" w:ascii="仿宋" w:hAnsi="仿宋" w:eastAsia="仿宋"/>
                <w:b/>
                <w:color w:val="auto"/>
                <w:sz w:val="21"/>
                <w:szCs w:val="21"/>
                <w:highlight w:val="none"/>
              </w:rPr>
              <w:t>企业资质等级</w:t>
            </w:r>
          </w:p>
        </w:tc>
        <w:tc>
          <w:tcPr>
            <w:tcW w:w="1318" w:type="dxa"/>
            <w:noWrap w:val="0"/>
            <w:vAlign w:val="center"/>
          </w:tcPr>
          <w:p w14:paraId="3608F0EE">
            <w:pPr>
              <w:pStyle w:val="33"/>
              <w:jc w:val="center"/>
              <w:rPr>
                <w:rFonts w:ascii="仿宋" w:hAnsi="仿宋" w:eastAsia="仿宋"/>
                <w:b/>
                <w:color w:val="auto"/>
                <w:sz w:val="21"/>
                <w:szCs w:val="21"/>
                <w:highlight w:val="none"/>
              </w:rPr>
            </w:pPr>
          </w:p>
        </w:tc>
        <w:tc>
          <w:tcPr>
            <w:tcW w:w="1382" w:type="dxa"/>
            <w:noWrap w:val="0"/>
            <w:vAlign w:val="center"/>
          </w:tcPr>
          <w:p w14:paraId="0E663BF0">
            <w:pPr>
              <w:pStyle w:val="33"/>
              <w:ind w:left="4"/>
              <w:jc w:val="center"/>
              <w:rPr>
                <w:rFonts w:ascii="仿宋" w:hAnsi="仿宋" w:eastAsia="仿宋"/>
                <w:b/>
                <w:color w:val="auto"/>
                <w:sz w:val="21"/>
                <w:szCs w:val="21"/>
                <w:highlight w:val="none"/>
              </w:rPr>
            </w:pPr>
            <w:r>
              <w:rPr>
                <w:rFonts w:hint="eastAsia" w:ascii="仿宋" w:hAnsi="仿宋" w:eastAsia="仿宋"/>
                <w:b/>
                <w:color w:val="auto"/>
                <w:sz w:val="21"/>
                <w:szCs w:val="21"/>
                <w:highlight w:val="none"/>
              </w:rPr>
              <w:t>证号</w:t>
            </w:r>
          </w:p>
        </w:tc>
        <w:tc>
          <w:tcPr>
            <w:tcW w:w="4100" w:type="dxa"/>
            <w:gridSpan w:val="3"/>
            <w:noWrap w:val="0"/>
            <w:vAlign w:val="top"/>
          </w:tcPr>
          <w:p w14:paraId="1809107F">
            <w:pPr>
              <w:pStyle w:val="33"/>
              <w:rPr>
                <w:rFonts w:ascii="仿宋" w:hAnsi="仿宋" w:eastAsia="仿宋"/>
                <w:b/>
                <w:color w:val="auto"/>
                <w:sz w:val="21"/>
                <w:szCs w:val="21"/>
                <w:highlight w:val="none"/>
              </w:rPr>
            </w:pPr>
          </w:p>
        </w:tc>
      </w:tr>
      <w:tr w14:paraId="675367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jc w:val="center"/>
        </w:trPr>
        <w:tc>
          <w:tcPr>
            <w:tcW w:w="2008" w:type="dxa"/>
            <w:noWrap w:val="0"/>
            <w:vAlign w:val="center"/>
          </w:tcPr>
          <w:p w14:paraId="1D8FE60B">
            <w:pPr>
              <w:pStyle w:val="33"/>
              <w:spacing w:before="9"/>
              <w:jc w:val="center"/>
              <w:rPr>
                <w:rFonts w:ascii="仿宋" w:hAnsi="仿宋" w:eastAsia="仿宋"/>
                <w:b/>
                <w:color w:val="auto"/>
                <w:sz w:val="21"/>
                <w:szCs w:val="21"/>
                <w:highlight w:val="none"/>
              </w:rPr>
            </w:pPr>
            <w:r>
              <w:rPr>
                <w:rFonts w:hint="eastAsia" w:ascii="仿宋" w:hAnsi="仿宋" w:eastAsia="仿宋"/>
                <w:b/>
                <w:color w:val="auto"/>
                <w:sz w:val="21"/>
                <w:szCs w:val="21"/>
                <w:highlight w:val="none"/>
              </w:rPr>
              <w:t>安全生产许可证号</w:t>
            </w:r>
          </w:p>
        </w:tc>
        <w:tc>
          <w:tcPr>
            <w:tcW w:w="6800" w:type="dxa"/>
            <w:gridSpan w:val="5"/>
            <w:noWrap w:val="0"/>
            <w:vAlign w:val="center"/>
          </w:tcPr>
          <w:p w14:paraId="1095EA08">
            <w:pPr>
              <w:pStyle w:val="33"/>
              <w:jc w:val="both"/>
              <w:rPr>
                <w:rFonts w:ascii="仿宋" w:hAnsi="仿宋" w:eastAsia="仿宋"/>
                <w:b/>
                <w:color w:val="auto"/>
                <w:sz w:val="21"/>
                <w:szCs w:val="21"/>
                <w:highlight w:val="none"/>
              </w:rPr>
            </w:pPr>
          </w:p>
        </w:tc>
      </w:tr>
      <w:tr w14:paraId="5B299C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jc w:val="center"/>
        </w:trPr>
        <w:tc>
          <w:tcPr>
            <w:tcW w:w="2008" w:type="dxa"/>
            <w:noWrap w:val="0"/>
            <w:vAlign w:val="center"/>
          </w:tcPr>
          <w:p w14:paraId="3B50AF90">
            <w:pPr>
              <w:pStyle w:val="33"/>
              <w:spacing w:before="10"/>
              <w:jc w:val="center"/>
              <w:rPr>
                <w:rFonts w:ascii="仿宋" w:hAnsi="仿宋" w:eastAsia="仿宋"/>
                <w:b/>
                <w:color w:val="auto"/>
                <w:sz w:val="21"/>
                <w:szCs w:val="21"/>
                <w:highlight w:val="none"/>
              </w:rPr>
            </w:pPr>
            <w:r>
              <w:rPr>
                <w:rFonts w:hint="eastAsia" w:ascii="仿宋" w:hAnsi="仿宋" w:eastAsia="仿宋"/>
                <w:b/>
                <w:color w:val="auto"/>
                <w:sz w:val="21"/>
                <w:szCs w:val="21"/>
                <w:highlight w:val="none"/>
              </w:rPr>
              <w:t>上级主管部门</w:t>
            </w:r>
          </w:p>
        </w:tc>
        <w:tc>
          <w:tcPr>
            <w:tcW w:w="6800" w:type="dxa"/>
            <w:gridSpan w:val="5"/>
            <w:noWrap w:val="0"/>
            <w:vAlign w:val="top"/>
          </w:tcPr>
          <w:p w14:paraId="4FD74EB3">
            <w:pPr>
              <w:pStyle w:val="33"/>
              <w:rPr>
                <w:rFonts w:ascii="仿宋" w:hAnsi="仿宋" w:eastAsia="仿宋"/>
                <w:b/>
                <w:color w:val="auto"/>
                <w:sz w:val="21"/>
                <w:szCs w:val="21"/>
                <w:highlight w:val="none"/>
              </w:rPr>
            </w:pPr>
          </w:p>
        </w:tc>
      </w:tr>
      <w:tr w14:paraId="63AAEA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jc w:val="center"/>
        </w:trPr>
        <w:tc>
          <w:tcPr>
            <w:tcW w:w="2008" w:type="dxa"/>
            <w:noWrap w:val="0"/>
            <w:vAlign w:val="center"/>
          </w:tcPr>
          <w:p w14:paraId="0B4E2834">
            <w:pPr>
              <w:pStyle w:val="33"/>
              <w:spacing w:before="9"/>
              <w:jc w:val="center"/>
              <w:rPr>
                <w:rFonts w:ascii="仿宋" w:hAnsi="仿宋" w:eastAsia="仿宋"/>
                <w:b/>
                <w:color w:val="auto"/>
                <w:sz w:val="21"/>
                <w:szCs w:val="21"/>
                <w:highlight w:val="none"/>
              </w:rPr>
            </w:pPr>
            <w:r>
              <w:rPr>
                <w:rFonts w:hint="eastAsia" w:ascii="仿宋" w:hAnsi="仿宋" w:eastAsia="仿宋"/>
                <w:b/>
                <w:color w:val="auto"/>
                <w:sz w:val="21"/>
                <w:szCs w:val="21"/>
                <w:highlight w:val="none"/>
              </w:rPr>
              <w:t>员工总人数</w:t>
            </w:r>
          </w:p>
        </w:tc>
        <w:tc>
          <w:tcPr>
            <w:tcW w:w="6800" w:type="dxa"/>
            <w:gridSpan w:val="5"/>
            <w:noWrap w:val="0"/>
            <w:vAlign w:val="top"/>
          </w:tcPr>
          <w:p w14:paraId="146031E3">
            <w:pPr>
              <w:pStyle w:val="33"/>
              <w:rPr>
                <w:rFonts w:ascii="仿宋" w:hAnsi="仿宋" w:eastAsia="仿宋"/>
                <w:b/>
                <w:color w:val="auto"/>
                <w:sz w:val="21"/>
                <w:szCs w:val="21"/>
                <w:highlight w:val="none"/>
              </w:rPr>
            </w:pPr>
          </w:p>
        </w:tc>
      </w:tr>
      <w:tr w14:paraId="4B1F87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jc w:val="center"/>
        </w:trPr>
        <w:tc>
          <w:tcPr>
            <w:tcW w:w="2008" w:type="dxa"/>
            <w:noWrap w:val="0"/>
            <w:vAlign w:val="center"/>
          </w:tcPr>
          <w:p w14:paraId="4E435FC8">
            <w:pPr>
              <w:pStyle w:val="33"/>
              <w:spacing w:before="9"/>
              <w:jc w:val="center"/>
              <w:rPr>
                <w:rFonts w:ascii="仿宋" w:hAnsi="仿宋" w:eastAsia="仿宋"/>
                <w:b/>
                <w:color w:val="auto"/>
                <w:sz w:val="21"/>
                <w:szCs w:val="21"/>
                <w:highlight w:val="none"/>
              </w:rPr>
            </w:pPr>
            <w:r>
              <w:rPr>
                <w:rFonts w:hint="eastAsia" w:ascii="仿宋" w:hAnsi="仿宋" w:eastAsia="仿宋"/>
                <w:b/>
                <w:color w:val="auto"/>
                <w:sz w:val="21"/>
                <w:szCs w:val="21"/>
                <w:highlight w:val="none"/>
              </w:rPr>
              <w:t>注册建造师人数</w:t>
            </w:r>
          </w:p>
        </w:tc>
        <w:tc>
          <w:tcPr>
            <w:tcW w:w="6800" w:type="dxa"/>
            <w:gridSpan w:val="5"/>
            <w:noWrap w:val="0"/>
            <w:vAlign w:val="top"/>
          </w:tcPr>
          <w:p w14:paraId="31E84497">
            <w:pPr>
              <w:pStyle w:val="33"/>
              <w:rPr>
                <w:rFonts w:ascii="仿宋" w:hAnsi="仿宋" w:eastAsia="仿宋"/>
                <w:b/>
                <w:color w:val="auto"/>
                <w:sz w:val="21"/>
                <w:szCs w:val="21"/>
                <w:highlight w:val="none"/>
              </w:rPr>
            </w:pPr>
          </w:p>
        </w:tc>
      </w:tr>
      <w:tr w14:paraId="316835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jc w:val="center"/>
        </w:trPr>
        <w:tc>
          <w:tcPr>
            <w:tcW w:w="2008" w:type="dxa"/>
            <w:noWrap w:val="0"/>
            <w:vAlign w:val="center"/>
          </w:tcPr>
          <w:p w14:paraId="737155F8">
            <w:pPr>
              <w:pStyle w:val="33"/>
              <w:spacing w:before="9"/>
              <w:jc w:val="center"/>
              <w:rPr>
                <w:rFonts w:ascii="仿宋" w:hAnsi="仿宋" w:eastAsia="仿宋"/>
                <w:b/>
                <w:color w:val="auto"/>
                <w:sz w:val="21"/>
                <w:szCs w:val="21"/>
                <w:highlight w:val="none"/>
              </w:rPr>
            </w:pPr>
            <w:r>
              <w:rPr>
                <w:rFonts w:hint="eastAsia" w:ascii="仿宋" w:hAnsi="仿宋" w:eastAsia="仿宋"/>
                <w:b/>
                <w:color w:val="auto"/>
                <w:sz w:val="21"/>
                <w:szCs w:val="21"/>
                <w:highlight w:val="none"/>
              </w:rPr>
              <w:t>高级职称人数</w:t>
            </w:r>
          </w:p>
        </w:tc>
        <w:tc>
          <w:tcPr>
            <w:tcW w:w="6800" w:type="dxa"/>
            <w:gridSpan w:val="5"/>
            <w:noWrap w:val="0"/>
            <w:vAlign w:val="top"/>
          </w:tcPr>
          <w:p w14:paraId="728E7C36">
            <w:pPr>
              <w:pStyle w:val="33"/>
              <w:rPr>
                <w:rFonts w:ascii="仿宋" w:hAnsi="仿宋" w:eastAsia="仿宋"/>
                <w:b/>
                <w:color w:val="auto"/>
                <w:sz w:val="21"/>
                <w:szCs w:val="21"/>
                <w:highlight w:val="none"/>
              </w:rPr>
            </w:pPr>
          </w:p>
        </w:tc>
      </w:tr>
      <w:tr w14:paraId="13C58A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jc w:val="center"/>
        </w:trPr>
        <w:tc>
          <w:tcPr>
            <w:tcW w:w="2008" w:type="dxa"/>
            <w:noWrap w:val="0"/>
            <w:vAlign w:val="center"/>
          </w:tcPr>
          <w:p w14:paraId="13205C19">
            <w:pPr>
              <w:pStyle w:val="33"/>
              <w:spacing w:before="9"/>
              <w:jc w:val="center"/>
              <w:rPr>
                <w:rFonts w:ascii="仿宋" w:hAnsi="仿宋" w:eastAsia="仿宋"/>
                <w:b/>
                <w:color w:val="auto"/>
                <w:sz w:val="21"/>
                <w:szCs w:val="21"/>
                <w:highlight w:val="none"/>
              </w:rPr>
            </w:pPr>
            <w:r>
              <w:rPr>
                <w:rFonts w:hint="eastAsia" w:ascii="仿宋" w:hAnsi="仿宋" w:eastAsia="仿宋"/>
                <w:b/>
                <w:color w:val="auto"/>
                <w:sz w:val="21"/>
                <w:szCs w:val="21"/>
                <w:highlight w:val="none"/>
              </w:rPr>
              <w:t>中级职称人数</w:t>
            </w:r>
          </w:p>
        </w:tc>
        <w:tc>
          <w:tcPr>
            <w:tcW w:w="6800" w:type="dxa"/>
            <w:gridSpan w:val="5"/>
            <w:noWrap w:val="0"/>
            <w:vAlign w:val="top"/>
          </w:tcPr>
          <w:p w14:paraId="19BD3F82">
            <w:pPr>
              <w:pStyle w:val="33"/>
              <w:rPr>
                <w:rFonts w:ascii="仿宋" w:hAnsi="仿宋" w:eastAsia="仿宋"/>
                <w:b/>
                <w:color w:val="auto"/>
                <w:sz w:val="21"/>
                <w:szCs w:val="21"/>
                <w:highlight w:val="none"/>
              </w:rPr>
            </w:pPr>
          </w:p>
        </w:tc>
      </w:tr>
      <w:tr w14:paraId="605E04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jc w:val="center"/>
        </w:trPr>
        <w:tc>
          <w:tcPr>
            <w:tcW w:w="2008" w:type="dxa"/>
            <w:noWrap w:val="0"/>
            <w:vAlign w:val="center"/>
          </w:tcPr>
          <w:p w14:paraId="10502C12">
            <w:pPr>
              <w:pStyle w:val="33"/>
              <w:spacing w:before="9"/>
              <w:jc w:val="center"/>
              <w:rPr>
                <w:rFonts w:ascii="仿宋" w:hAnsi="仿宋" w:eastAsia="仿宋"/>
                <w:b/>
                <w:color w:val="auto"/>
                <w:sz w:val="21"/>
                <w:szCs w:val="21"/>
                <w:highlight w:val="none"/>
              </w:rPr>
            </w:pPr>
            <w:r>
              <w:rPr>
                <w:rFonts w:hint="eastAsia" w:ascii="仿宋" w:hAnsi="仿宋" w:eastAsia="仿宋"/>
                <w:b/>
                <w:color w:val="auto"/>
                <w:sz w:val="21"/>
                <w:szCs w:val="21"/>
                <w:highlight w:val="none"/>
              </w:rPr>
              <w:t>初级职称人数</w:t>
            </w:r>
          </w:p>
        </w:tc>
        <w:tc>
          <w:tcPr>
            <w:tcW w:w="6800" w:type="dxa"/>
            <w:gridSpan w:val="5"/>
            <w:noWrap w:val="0"/>
            <w:vAlign w:val="top"/>
          </w:tcPr>
          <w:p w14:paraId="093BF72F">
            <w:pPr>
              <w:pStyle w:val="33"/>
              <w:rPr>
                <w:rFonts w:ascii="仿宋" w:hAnsi="仿宋" w:eastAsia="仿宋"/>
                <w:b/>
                <w:color w:val="auto"/>
                <w:sz w:val="21"/>
                <w:szCs w:val="21"/>
                <w:highlight w:val="none"/>
              </w:rPr>
            </w:pPr>
          </w:p>
        </w:tc>
      </w:tr>
      <w:tr w14:paraId="7A3DB6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34" w:hRule="atLeast"/>
          <w:jc w:val="center"/>
        </w:trPr>
        <w:tc>
          <w:tcPr>
            <w:tcW w:w="2008" w:type="dxa"/>
            <w:noWrap w:val="0"/>
            <w:vAlign w:val="top"/>
          </w:tcPr>
          <w:p w14:paraId="76935160">
            <w:pPr>
              <w:pStyle w:val="33"/>
              <w:rPr>
                <w:rFonts w:ascii="仿宋" w:hAnsi="仿宋" w:eastAsia="仿宋"/>
                <w:b/>
                <w:color w:val="auto"/>
                <w:sz w:val="21"/>
                <w:szCs w:val="21"/>
                <w:highlight w:val="none"/>
              </w:rPr>
            </w:pPr>
          </w:p>
          <w:p w14:paraId="6277B772">
            <w:pPr>
              <w:pStyle w:val="33"/>
              <w:spacing w:before="5"/>
              <w:rPr>
                <w:rFonts w:ascii="仿宋" w:hAnsi="仿宋" w:eastAsia="仿宋"/>
                <w:b/>
                <w:color w:val="auto"/>
                <w:sz w:val="21"/>
                <w:szCs w:val="21"/>
                <w:highlight w:val="none"/>
              </w:rPr>
            </w:pPr>
          </w:p>
          <w:p w14:paraId="0ED2CB66">
            <w:pPr>
              <w:pStyle w:val="33"/>
              <w:ind w:left="350" w:right="344"/>
              <w:jc w:val="center"/>
              <w:rPr>
                <w:rFonts w:ascii="仿宋" w:hAnsi="仿宋" w:eastAsia="仿宋"/>
                <w:b/>
                <w:color w:val="auto"/>
                <w:sz w:val="21"/>
                <w:szCs w:val="21"/>
                <w:highlight w:val="none"/>
              </w:rPr>
            </w:pPr>
            <w:r>
              <w:rPr>
                <w:rFonts w:hint="eastAsia" w:ascii="仿宋" w:hAnsi="仿宋" w:eastAsia="仿宋"/>
                <w:b/>
                <w:color w:val="auto"/>
                <w:sz w:val="21"/>
                <w:szCs w:val="21"/>
                <w:highlight w:val="none"/>
              </w:rPr>
              <w:t>经营范围</w:t>
            </w:r>
          </w:p>
        </w:tc>
        <w:tc>
          <w:tcPr>
            <w:tcW w:w="6800" w:type="dxa"/>
            <w:gridSpan w:val="5"/>
            <w:noWrap w:val="0"/>
            <w:vAlign w:val="top"/>
          </w:tcPr>
          <w:p w14:paraId="7F4822B4">
            <w:pPr>
              <w:pStyle w:val="33"/>
              <w:rPr>
                <w:rFonts w:ascii="仿宋" w:hAnsi="仿宋" w:eastAsia="仿宋"/>
                <w:b/>
                <w:color w:val="auto"/>
                <w:sz w:val="21"/>
                <w:szCs w:val="21"/>
                <w:highlight w:val="none"/>
              </w:rPr>
            </w:pPr>
          </w:p>
        </w:tc>
      </w:tr>
      <w:tr w14:paraId="7AB06C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82" w:hRule="atLeast"/>
          <w:jc w:val="center"/>
        </w:trPr>
        <w:tc>
          <w:tcPr>
            <w:tcW w:w="2008" w:type="dxa"/>
            <w:noWrap w:val="0"/>
            <w:vAlign w:val="top"/>
          </w:tcPr>
          <w:p w14:paraId="247A912C">
            <w:pPr>
              <w:pStyle w:val="33"/>
              <w:rPr>
                <w:rFonts w:ascii="仿宋" w:hAnsi="仿宋" w:eastAsia="仿宋"/>
                <w:b/>
                <w:color w:val="auto"/>
                <w:sz w:val="21"/>
                <w:szCs w:val="21"/>
                <w:highlight w:val="none"/>
              </w:rPr>
            </w:pPr>
          </w:p>
          <w:p w14:paraId="760BB221">
            <w:pPr>
              <w:pStyle w:val="33"/>
              <w:ind w:left="350" w:right="344"/>
              <w:jc w:val="center"/>
              <w:rPr>
                <w:rFonts w:ascii="仿宋" w:hAnsi="仿宋" w:eastAsia="仿宋"/>
                <w:b/>
                <w:color w:val="auto"/>
                <w:sz w:val="21"/>
                <w:szCs w:val="21"/>
                <w:highlight w:val="none"/>
              </w:rPr>
            </w:pPr>
          </w:p>
          <w:p w14:paraId="6603F7D0">
            <w:pPr>
              <w:pStyle w:val="33"/>
              <w:ind w:left="350" w:right="344"/>
              <w:jc w:val="center"/>
              <w:rPr>
                <w:rFonts w:ascii="仿宋" w:hAnsi="仿宋" w:eastAsia="仿宋"/>
                <w:b/>
                <w:color w:val="auto"/>
                <w:sz w:val="21"/>
                <w:szCs w:val="21"/>
                <w:highlight w:val="none"/>
              </w:rPr>
            </w:pPr>
          </w:p>
          <w:p w14:paraId="36B39E9E">
            <w:pPr>
              <w:pStyle w:val="33"/>
              <w:ind w:left="350" w:right="344"/>
              <w:jc w:val="center"/>
              <w:rPr>
                <w:rFonts w:ascii="仿宋" w:hAnsi="仿宋" w:eastAsia="仿宋"/>
                <w:b/>
                <w:color w:val="auto"/>
                <w:sz w:val="21"/>
                <w:szCs w:val="21"/>
                <w:highlight w:val="none"/>
              </w:rPr>
            </w:pPr>
          </w:p>
          <w:p w14:paraId="3D562584">
            <w:pPr>
              <w:pStyle w:val="33"/>
              <w:ind w:left="350" w:right="344"/>
              <w:jc w:val="center"/>
              <w:rPr>
                <w:rFonts w:ascii="仿宋" w:hAnsi="仿宋" w:eastAsia="仿宋"/>
                <w:b/>
                <w:color w:val="auto"/>
                <w:sz w:val="21"/>
                <w:szCs w:val="21"/>
                <w:highlight w:val="none"/>
              </w:rPr>
            </w:pPr>
          </w:p>
          <w:p w14:paraId="10066D47">
            <w:pPr>
              <w:pStyle w:val="33"/>
              <w:ind w:left="350" w:right="344"/>
              <w:jc w:val="center"/>
              <w:rPr>
                <w:rFonts w:ascii="仿宋" w:hAnsi="仿宋" w:eastAsia="仿宋"/>
                <w:b/>
                <w:color w:val="auto"/>
                <w:sz w:val="21"/>
                <w:szCs w:val="21"/>
                <w:highlight w:val="none"/>
              </w:rPr>
            </w:pPr>
          </w:p>
          <w:p w14:paraId="30E097CE">
            <w:pPr>
              <w:pStyle w:val="33"/>
              <w:ind w:left="350" w:right="344"/>
              <w:jc w:val="center"/>
              <w:rPr>
                <w:rFonts w:ascii="仿宋" w:hAnsi="仿宋" w:eastAsia="仿宋"/>
                <w:b/>
                <w:color w:val="auto"/>
                <w:sz w:val="21"/>
                <w:szCs w:val="21"/>
                <w:highlight w:val="none"/>
              </w:rPr>
            </w:pPr>
            <w:r>
              <w:rPr>
                <w:rFonts w:hint="eastAsia" w:ascii="仿宋" w:hAnsi="仿宋" w:eastAsia="仿宋"/>
                <w:b/>
                <w:color w:val="auto"/>
                <w:sz w:val="21"/>
                <w:szCs w:val="21"/>
                <w:highlight w:val="none"/>
              </w:rPr>
              <w:t>企业简介</w:t>
            </w:r>
          </w:p>
        </w:tc>
        <w:tc>
          <w:tcPr>
            <w:tcW w:w="6800" w:type="dxa"/>
            <w:gridSpan w:val="5"/>
            <w:noWrap w:val="0"/>
            <w:vAlign w:val="top"/>
          </w:tcPr>
          <w:p w14:paraId="4F2E22BC">
            <w:pPr>
              <w:pStyle w:val="33"/>
              <w:rPr>
                <w:rFonts w:ascii="仿宋" w:hAnsi="仿宋" w:eastAsia="仿宋"/>
                <w:b/>
                <w:color w:val="auto"/>
                <w:sz w:val="21"/>
                <w:szCs w:val="21"/>
                <w:highlight w:val="none"/>
              </w:rPr>
            </w:pPr>
          </w:p>
          <w:p w14:paraId="483BE394">
            <w:pPr>
              <w:pStyle w:val="33"/>
              <w:rPr>
                <w:rFonts w:ascii="仿宋" w:hAnsi="仿宋" w:eastAsia="仿宋"/>
                <w:b/>
                <w:color w:val="auto"/>
                <w:sz w:val="21"/>
                <w:szCs w:val="21"/>
                <w:highlight w:val="none"/>
              </w:rPr>
            </w:pPr>
          </w:p>
          <w:p w14:paraId="2E16C86A">
            <w:pPr>
              <w:pStyle w:val="33"/>
              <w:rPr>
                <w:rFonts w:ascii="仿宋" w:hAnsi="仿宋" w:eastAsia="仿宋"/>
                <w:b/>
                <w:color w:val="auto"/>
                <w:sz w:val="21"/>
                <w:szCs w:val="21"/>
                <w:highlight w:val="none"/>
              </w:rPr>
            </w:pPr>
          </w:p>
          <w:p w14:paraId="20FF203B">
            <w:pPr>
              <w:pStyle w:val="33"/>
              <w:rPr>
                <w:rFonts w:ascii="仿宋" w:hAnsi="仿宋" w:eastAsia="仿宋"/>
                <w:b/>
                <w:color w:val="auto"/>
                <w:sz w:val="21"/>
                <w:szCs w:val="21"/>
                <w:highlight w:val="none"/>
              </w:rPr>
            </w:pPr>
          </w:p>
          <w:p w14:paraId="4E256726">
            <w:pPr>
              <w:pStyle w:val="33"/>
              <w:rPr>
                <w:rFonts w:ascii="仿宋" w:hAnsi="仿宋" w:eastAsia="仿宋"/>
                <w:b/>
                <w:color w:val="auto"/>
                <w:sz w:val="21"/>
                <w:szCs w:val="21"/>
                <w:highlight w:val="none"/>
              </w:rPr>
            </w:pPr>
          </w:p>
          <w:p w14:paraId="21D24653">
            <w:pPr>
              <w:pStyle w:val="33"/>
              <w:rPr>
                <w:rFonts w:ascii="仿宋" w:hAnsi="仿宋" w:eastAsia="仿宋"/>
                <w:b/>
                <w:color w:val="auto"/>
                <w:sz w:val="21"/>
                <w:szCs w:val="21"/>
                <w:highlight w:val="none"/>
              </w:rPr>
            </w:pPr>
          </w:p>
          <w:p w14:paraId="28AF6365">
            <w:pPr>
              <w:pStyle w:val="33"/>
              <w:rPr>
                <w:rFonts w:ascii="仿宋" w:hAnsi="仿宋" w:eastAsia="仿宋"/>
                <w:b/>
                <w:color w:val="auto"/>
                <w:sz w:val="21"/>
                <w:szCs w:val="21"/>
                <w:highlight w:val="none"/>
              </w:rPr>
            </w:pPr>
          </w:p>
          <w:p w14:paraId="3B7CB736">
            <w:pPr>
              <w:pStyle w:val="33"/>
              <w:rPr>
                <w:rFonts w:ascii="仿宋" w:hAnsi="仿宋" w:eastAsia="仿宋"/>
                <w:b/>
                <w:color w:val="auto"/>
                <w:sz w:val="21"/>
                <w:szCs w:val="21"/>
                <w:highlight w:val="none"/>
              </w:rPr>
            </w:pPr>
          </w:p>
          <w:p w14:paraId="47094E85">
            <w:pPr>
              <w:pStyle w:val="33"/>
              <w:rPr>
                <w:rFonts w:ascii="仿宋" w:hAnsi="仿宋" w:eastAsia="仿宋"/>
                <w:b/>
                <w:color w:val="auto"/>
                <w:sz w:val="21"/>
                <w:szCs w:val="21"/>
                <w:highlight w:val="none"/>
              </w:rPr>
            </w:pPr>
          </w:p>
          <w:p w14:paraId="2BD30AC0">
            <w:pPr>
              <w:pStyle w:val="33"/>
              <w:rPr>
                <w:rFonts w:ascii="仿宋" w:hAnsi="仿宋" w:eastAsia="仿宋"/>
                <w:b/>
                <w:color w:val="auto"/>
                <w:sz w:val="21"/>
                <w:szCs w:val="21"/>
                <w:highlight w:val="none"/>
              </w:rPr>
            </w:pPr>
          </w:p>
          <w:p w14:paraId="1C855B74">
            <w:pPr>
              <w:pStyle w:val="33"/>
              <w:rPr>
                <w:rFonts w:ascii="仿宋" w:hAnsi="仿宋" w:eastAsia="仿宋"/>
                <w:b/>
                <w:color w:val="auto"/>
                <w:sz w:val="21"/>
                <w:szCs w:val="21"/>
                <w:highlight w:val="none"/>
              </w:rPr>
            </w:pPr>
          </w:p>
          <w:p w14:paraId="7BA78BB2">
            <w:pPr>
              <w:pStyle w:val="33"/>
              <w:rPr>
                <w:rFonts w:ascii="仿宋" w:hAnsi="仿宋" w:eastAsia="仿宋"/>
                <w:b/>
                <w:color w:val="auto"/>
                <w:sz w:val="21"/>
                <w:szCs w:val="21"/>
                <w:highlight w:val="none"/>
              </w:rPr>
            </w:pPr>
          </w:p>
          <w:p w14:paraId="7CACCB9A">
            <w:pPr>
              <w:pStyle w:val="33"/>
              <w:rPr>
                <w:rFonts w:ascii="仿宋" w:hAnsi="仿宋" w:eastAsia="仿宋"/>
                <w:b/>
                <w:color w:val="auto"/>
                <w:sz w:val="21"/>
                <w:szCs w:val="21"/>
                <w:highlight w:val="none"/>
              </w:rPr>
            </w:pPr>
          </w:p>
          <w:p w14:paraId="129D5354">
            <w:pPr>
              <w:pStyle w:val="33"/>
              <w:rPr>
                <w:rFonts w:ascii="仿宋" w:hAnsi="仿宋" w:eastAsia="仿宋"/>
                <w:b/>
                <w:color w:val="auto"/>
                <w:sz w:val="21"/>
                <w:szCs w:val="21"/>
                <w:highlight w:val="none"/>
              </w:rPr>
            </w:pPr>
          </w:p>
        </w:tc>
      </w:tr>
    </w:tbl>
    <w:p w14:paraId="098F2CB3">
      <w:pPr>
        <w:snapToGrid w:val="0"/>
        <w:spacing w:line="360" w:lineRule="auto"/>
        <w:ind w:firstLine="602" w:firstLineChars="200"/>
        <w:rPr>
          <w:rFonts w:ascii="仿宋" w:hAnsi="仿宋" w:eastAsia="仿宋" w:cs="仿宋_GB2312"/>
          <w:b/>
          <w:color w:val="auto"/>
          <w:sz w:val="30"/>
          <w:szCs w:val="30"/>
          <w:highlight w:val="none"/>
        </w:rPr>
      </w:pPr>
    </w:p>
    <w:p w14:paraId="5D8A6188">
      <w:pPr>
        <w:snapToGrid w:val="0"/>
        <w:spacing w:line="360" w:lineRule="auto"/>
        <w:ind w:left="4410" w:leftChars="2100" w:firstLine="6480" w:firstLineChars="2700"/>
        <w:rPr>
          <w:rFonts w:hint="eastAsia" w:ascii="宋体" w:hAnsi="宋体" w:cs="宋体"/>
          <w:color w:val="auto"/>
          <w:kern w:val="0"/>
          <w:sz w:val="24"/>
          <w:highlight w:val="none"/>
        </w:rPr>
      </w:pPr>
      <w:r>
        <w:rPr>
          <w:rFonts w:hint="eastAsia" w:ascii="宋体" w:hAnsi="宋体" w:cs="宋体"/>
          <w:color w:val="auto"/>
          <w:kern w:val="0"/>
          <w:sz w:val="24"/>
          <w:highlight w:val="none"/>
          <w:lang w:val="zh-CN"/>
        </w:rPr>
        <w:t>供</w:t>
      </w:r>
      <w:r>
        <w:rPr>
          <w:rFonts w:hint="eastAsia" w:ascii="宋体" w:hAnsi="宋体" w:cs="宋体"/>
          <w:color w:val="auto"/>
          <w:kern w:val="0"/>
          <w:sz w:val="24"/>
          <w:highlight w:val="none"/>
        </w:rPr>
        <w:t>供</w:t>
      </w:r>
      <w:r>
        <w:rPr>
          <w:rFonts w:hint="eastAsia" w:ascii="宋体" w:hAnsi="宋体" w:cs="宋体"/>
          <w:color w:val="auto"/>
          <w:kern w:val="0"/>
          <w:sz w:val="24"/>
          <w:highlight w:val="none"/>
          <w:lang w:val="zh-CN"/>
        </w:rPr>
        <w:t>应商名称(电子签章)：</w:t>
      </w:r>
    </w:p>
    <w:p w14:paraId="177D9E13">
      <w:pPr>
        <w:snapToGrid w:val="0"/>
        <w:spacing w:line="360" w:lineRule="auto"/>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4E12A85D">
      <w:pPr>
        <w:snapToGrid w:val="0"/>
        <w:spacing w:before="120" w:beforeLines="50" w:after="50"/>
        <w:rPr>
          <w:rFonts w:hint="eastAsia" w:ascii="宋体" w:hAnsi="宋体" w:cs="宋体"/>
          <w:b/>
          <w:color w:val="auto"/>
          <w:sz w:val="30"/>
          <w:szCs w:val="30"/>
          <w:highlight w:val="none"/>
        </w:rPr>
      </w:pPr>
    </w:p>
    <w:p w14:paraId="6C24C746">
      <w:pPr>
        <w:snapToGrid w:val="0"/>
        <w:spacing w:before="120" w:beforeLines="50" w:after="50"/>
        <w:rPr>
          <w:rFonts w:hint="eastAsia" w:ascii="宋体" w:hAnsi="宋体" w:cs="宋体"/>
          <w:b/>
          <w:color w:val="auto"/>
          <w:sz w:val="30"/>
          <w:szCs w:val="30"/>
          <w:highlight w:val="none"/>
        </w:rPr>
      </w:pPr>
      <w:r>
        <w:rPr>
          <w:rFonts w:hint="eastAsia" w:ascii="宋体" w:hAnsi="宋体" w:cs="宋体"/>
          <w:b/>
          <w:color w:val="auto"/>
          <w:sz w:val="30"/>
          <w:szCs w:val="30"/>
          <w:highlight w:val="none"/>
        </w:rPr>
        <w:t>六、供应商类似的业绩证明文件</w:t>
      </w:r>
    </w:p>
    <w:p w14:paraId="5BF35CE7">
      <w:pPr>
        <w:pStyle w:val="19"/>
        <w:snapToGrid w:val="0"/>
        <w:ind w:left="480" w:hanging="480"/>
        <w:rPr>
          <w:rFonts w:hint="eastAsia" w:ascii="宋体" w:hAnsi="宋体" w:cs="宋体"/>
          <w:color w:val="auto"/>
          <w:sz w:val="24"/>
          <w:highlight w:val="none"/>
        </w:rPr>
      </w:pPr>
    </w:p>
    <w:p w14:paraId="4AC7D68F">
      <w:pPr>
        <w:autoSpaceDE w:val="0"/>
        <w:autoSpaceDN w:val="0"/>
        <w:spacing w:line="360" w:lineRule="auto"/>
        <w:ind w:firstLine="120"/>
        <w:jc w:val="center"/>
        <w:rPr>
          <w:rFonts w:hint="eastAsia" w:ascii="宋体" w:hAnsi="宋体" w:cs="宋体"/>
          <w:b/>
          <w:color w:val="auto"/>
          <w:sz w:val="30"/>
          <w:szCs w:val="30"/>
          <w:highlight w:val="none"/>
        </w:rPr>
      </w:pPr>
      <w:r>
        <w:rPr>
          <w:rFonts w:hint="eastAsia" w:ascii="宋体" w:hAnsi="宋体" w:cs="宋体"/>
          <w:b/>
          <w:color w:val="auto"/>
          <w:sz w:val="30"/>
          <w:szCs w:val="30"/>
          <w:highlight w:val="none"/>
        </w:rPr>
        <w:t>相关项目业绩一览表</w:t>
      </w:r>
    </w:p>
    <w:tbl>
      <w:tblPr>
        <w:tblStyle w:val="23"/>
        <w:tblW w:w="87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8"/>
        <w:gridCol w:w="2260"/>
        <w:gridCol w:w="2147"/>
        <w:gridCol w:w="1483"/>
        <w:gridCol w:w="2086"/>
      </w:tblGrid>
      <w:tr w14:paraId="7B292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8" w:type="dxa"/>
            <w:noWrap w:val="0"/>
            <w:vAlign w:val="center"/>
          </w:tcPr>
          <w:p w14:paraId="07891807">
            <w:pPr>
              <w:pStyle w:val="15"/>
              <w:jc w:val="center"/>
              <w:rPr>
                <w:rFonts w:hint="eastAsia" w:hAnsi="宋体" w:cs="宋体"/>
                <w:color w:val="auto"/>
                <w:sz w:val="24"/>
                <w:szCs w:val="24"/>
                <w:highlight w:val="none"/>
              </w:rPr>
            </w:pPr>
            <w:r>
              <w:rPr>
                <w:rFonts w:hint="eastAsia" w:hAnsi="宋体" w:cs="宋体"/>
                <w:color w:val="auto"/>
                <w:sz w:val="24"/>
                <w:szCs w:val="24"/>
                <w:highlight w:val="none"/>
              </w:rPr>
              <w:t>序号</w:t>
            </w:r>
          </w:p>
        </w:tc>
        <w:tc>
          <w:tcPr>
            <w:tcW w:w="2260" w:type="dxa"/>
            <w:noWrap w:val="0"/>
            <w:vAlign w:val="center"/>
          </w:tcPr>
          <w:p w14:paraId="363A7DE1">
            <w:pPr>
              <w:pStyle w:val="15"/>
              <w:jc w:val="center"/>
              <w:rPr>
                <w:rFonts w:hAnsi="宋体" w:cs="宋体"/>
                <w:color w:val="auto"/>
                <w:sz w:val="24"/>
                <w:szCs w:val="24"/>
                <w:highlight w:val="none"/>
              </w:rPr>
            </w:pPr>
            <w:r>
              <w:rPr>
                <w:rFonts w:hint="eastAsia" w:hAnsi="宋体" w:cs="宋体"/>
                <w:color w:val="auto"/>
                <w:sz w:val="24"/>
                <w:szCs w:val="24"/>
                <w:highlight w:val="none"/>
              </w:rPr>
              <w:t>采购人名称</w:t>
            </w:r>
          </w:p>
        </w:tc>
        <w:tc>
          <w:tcPr>
            <w:tcW w:w="2147" w:type="dxa"/>
            <w:noWrap w:val="0"/>
            <w:vAlign w:val="center"/>
          </w:tcPr>
          <w:p w14:paraId="24DF22F2">
            <w:pPr>
              <w:pStyle w:val="15"/>
              <w:jc w:val="center"/>
              <w:rPr>
                <w:rFonts w:hint="eastAsia" w:hAnsi="宋体" w:cs="宋体"/>
                <w:color w:val="auto"/>
                <w:sz w:val="24"/>
                <w:szCs w:val="24"/>
                <w:highlight w:val="none"/>
              </w:rPr>
            </w:pPr>
            <w:r>
              <w:rPr>
                <w:rFonts w:hint="eastAsia" w:hAnsi="宋体" w:cs="宋体"/>
                <w:color w:val="auto"/>
                <w:sz w:val="24"/>
                <w:szCs w:val="24"/>
                <w:highlight w:val="none"/>
              </w:rPr>
              <w:t>项目名称</w:t>
            </w:r>
          </w:p>
        </w:tc>
        <w:tc>
          <w:tcPr>
            <w:tcW w:w="1483" w:type="dxa"/>
            <w:noWrap w:val="0"/>
            <w:vAlign w:val="center"/>
          </w:tcPr>
          <w:p w14:paraId="2BF6BB0B">
            <w:pPr>
              <w:pStyle w:val="15"/>
              <w:jc w:val="center"/>
              <w:rPr>
                <w:rFonts w:hint="eastAsia" w:hAnsi="宋体" w:cs="宋体"/>
                <w:color w:val="auto"/>
                <w:sz w:val="24"/>
                <w:szCs w:val="24"/>
                <w:highlight w:val="none"/>
              </w:rPr>
            </w:pPr>
            <w:r>
              <w:rPr>
                <w:rFonts w:hint="eastAsia" w:hAnsi="宋体" w:cs="宋体"/>
                <w:color w:val="auto"/>
                <w:sz w:val="24"/>
                <w:szCs w:val="24"/>
                <w:highlight w:val="none"/>
              </w:rPr>
              <w:t>合同金额（万元）</w:t>
            </w:r>
          </w:p>
        </w:tc>
        <w:tc>
          <w:tcPr>
            <w:tcW w:w="2086" w:type="dxa"/>
            <w:noWrap w:val="0"/>
            <w:vAlign w:val="center"/>
          </w:tcPr>
          <w:p w14:paraId="06A91684">
            <w:pPr>
              <w:pStyle w:val="15"/>
              <w:jc w:val="center"/>
              <w:rPr>
                <w:rFonts w:hint="eastAsia" w:hAnsi="宋体" w:cs="宋体"/>
                <w:color w:val="auto"/>
                <w:sz w:val="24"/>
                <w:szCs w:val="24"/>
                <w:highlight w:val="none"/>
              </w:rPr>
            </w:pPr>
            <w:r>
              <w:rPr>
                <w:rFonts w:hint="eastAsia" w:hAnsi="宋体" w:cs="宋体"/>
                <w:color w:val="auto"/>
                <w:sz w:val="24"/>
                <w:szCs w:val="24"/>
                <w:highlight w:val="none"/>
              </w:rPr>
              <w:t>采购人联系人及联系电话</w:t>
            </w:r>
          </w:p>
        </w:tc>
      </w:tr>
      <w:tr w14:paraId="0AAC2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48" w:type="dxa"/>
            <w:noWrap w:val="0"/>
            <w:vAlign w:val="center"/>
          </w:tcPr>
          <w:p w14:paraId="762CF5E2">
            <w:pPr>
              <w:pStyle w:val="15"/>
              <w:jc w:val="center"/>
              <w:rPr>
                <w:rFonts w:hint="eastAsia" w:hAnsi="宋体" w:cs="宋体"/>
                <w:color w:val="auto"/>
                <w:sz w:val="24"/>
                <w:szCs w:val="24"/>
                <w:highlight w:val="none"/>
              </w:rPr>
            </w:pPr>
          </w:p>
        </w:tc>
        <w:tc>
          <w:tcPr>
            <w:tcW w:w="2260" w:type="dxa"/>
            <w:noWrap w:val="0"/>
            <w:vAlign w:val="center"/>
          </w:tcPr>
          <w:p w14:paraId="0849A8F9">
            <w:pPr>
              <w:pStyle w:val="15"/>
              <w:jc w:val="center"/>
              <w:rPr>
                <w:rFonts w:hint="eastAsia" w:hAnsi="宋体" w:cs="宋体"/>
                <w:color w:val="auto"/>
                <w:sz w:val="24"/>
                <w:szCs w:val="24"/>
                <w:highlight w:val="none"/>
              </w:rPr>
            </w:pPr>
          </w:p>
        </w:tc>
        <w:tc>
          <w:tcPr>
            <w:tcW w:w="2147" w:type="dxa"/>
            <w:noWrap w:val="0"/>
            <w:vAlign w:val="center"/>
          </w:tcPr>
          <w:p w14:paraId="53074100">
            <w:pPr>
              <w:pStyle w:val="15"/>
              <w:jc w:val="center"/>
              <w:rPr>
                <w:rFonts w:hint="eastAsia" w:hAnsi="宋体" w:cs="宋体"/>
                <w:color w:val="auto"/>
                <w:sz w:val="24"/>
                <w:szCs w:val="24"/>
                <w:highlight w:val="none"/>
              </w:rPr>
            </w:pPr>
          </w:p>
        </w:tc>
        <w:tc>
          <w:tcPr>
            <w:tcW w:w="1483" w:type="dxa"/>
            <w:noWrap w:val="0"/>
            <w:vAlign w:val="center"/>
          </w:tcPr>
          <w:p w14:paraId="445328CA">
            <w:pPr>
              <w:pStyle w:val="15"/>
              <w:jc w:val="center"/>
              <w:rPr>
                <w:rFonts w:hint="eastAsia" w:hAnsi="宋体" w:cs="宋体"/>
                <w:color w:val="auto"/>
                <w:sz w:val="24"/>
                <w:szCs w:val="24"/>
                <w:highlight w:val="none"/>
              </w:rPr>
            </w:pPr>
          </w:p>
        </w:tc>
        <w:tc>
          <w:tcPr>
            <w:tcW w:w="2086" w:type="dxa"/>
            <w:noWrap w:val="0"/>
            <w:vAlign w:val="center"/>
          </w:tcPr>
          <w:p w14:paraId="5CE61AA1">
            <w:pPr>
              <w:pStyle w:val="15"/>
              <w:jc w:val="center"/>
              <w:rPr>
                <w:rFonts w:hint="eastAsia" w:hAnsi="宋体" w:cs="宋体"/>
                <w:color w:val="auto"/>
                <w:sz w:val="24"/>
                <w:szCs w:val="24"/>
                <w:highlight w:val="none"/>
              </w:rPr>
            </w:pPr>
          </w:p>
        </w:tc>
      </w:tr>
      <w:tr w14:paraId="370A4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48" w:type="dxa"/>
            <w:noWrap w:val="0"/>
            <w:vAlign w:val="center"/>
          </w:tcPr>
          <w:p w14:paraId="4F3003E6">
            <w:pPr>
              <w:pStyle w:val="15"/>
              <w:jc w:val="center"/>
              <w:rPr>
                <w:rFonts w:hint="eastAsia" w:hAnsi="宋体" w:cs="宋体"/>
                <w:color w:val="auto"/>
                <w:sz w:val="24"/>
                <w:szCs w:val="24"/>
                <w:highlight w:val="none"/>
              </w:rPr>
            </w:pPr>
          </w:p>
        </w:tc>
        <w:tc>
          <w:tcPr>
            <w:tcW w:w="2260" w:type="dxa"/>
            <w:noWrap w:val="0"/>
            <w:vAlign w:val="center"/>
          </w:tcPr>
          <w:p w14:paraId="51F84673">
            <w:pPr>
              <w:pStyle w:val="15"/>
              <w:jc w:val="center"/>
              <w:rPr>
                <w:rFonts w:hint="eastAsia" w:hAnsi="宋体" w:cs="宋体"/>
                <w:color w:val="auto"/>
                <w:sz w:val="24"/>
                <w:szCs w:val="24"/>
                <w:highlight w:val="none"/>
              </w:rPr>
            </w:pPr>
          </w:p>
        </w:tc>
        <w:tc>
          <w:tcPr>
            <w:tcW w:w="2147" w:type="dxa"/>
            <w:noWrap w:val="0"/>
            <w:vAlign w:val="center"/>
          </w:tcPr>
          <w:p w14:paraId="0DC02A7D">
            <w:pPr>
              <w:pStyle w:val="15"/>
              <w:jc w:val="center"/>
              <w:rPr>
                <w:rFonts w:hint="eastAsia" w:hAnsi="宋体" w:cs="宋体"/>
                <w:color w:val="auto"/>
                <w:sz w:val="24"/>
                <w:szCs w:val="24"/>
                <w:highlight w:val="none"/>
              </w:rPr>
            </w:pPr>
          </w:p>
        </w:tc>
        <w:tc>
          <w:tcPr>
            <w:tcW w:w="1483" w:type="dxa"/>
            <w:noWrap w:val="0"/>
            <w:vAlign w:val="center"/>
          </w:tcPr>
          <w:p w14:paraId="2C4D0842">
            <w:pPr>
              <w:pStyle w:val="15"/>
              <w:jc w:val="center"/>
              <w:rPr>
                <w:rFonts w:hint="eastAsia" w:hAnsi="宋体" w:cs="宋体"/>
                <w:color w:val="auto"/>
                <w:sz w:val="24"/>
                <w:szCs w:val="24"/>
                <w:highlight w:val="none"/>
              </w:rPr>
            </w:pPr>
          </w:p>
        </w:tc>
        <w:tc>
          <w:tcPr>
            <w:tcW w:w="2086" w:type="dxa"/>
            <w:noWrap w:val="0"/>
            <w:vAlign w:val="center"/>
          </w:tcPr>
          <w:p w14:paraId="1870540C">
            <w:pPr>
              <w:pStyle w:val="15"/>
              <w:jc w:val="center"/>
              <w:rPr>
                <w:rFonts w:hint="eastAsia" w:hAnsi="宋体" w:cs="宋体"/>
                <w:color w:val="auto"/>
                <w:sz w:val="24"/>
                <w:szCs w:val="24"/>
                <w:highlight w:val="none"/>
              </w:rPr>
            </w:pPr>
          </w:p>
        </w:tc>
      </w:tr>
      <w:tr w14:paraId="16866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48" w:type="dxa"/>
            <w:noWrap w:val="0"/>
            <w:vAlign w:val="center"/>
          </w:tcPr>
          <w:p w14:paraId="78690233">
            <w:pPr>
              <w:pStyle w:val="15"/>
              <w:jc w:val="center"/>
              <w:rPr>
                <w:rFonts w:hint="eastAsia" w:hAnsi="宋体" w:cs="宋体"/>
                <w:color w:val="auto"/>
                <w:sz w:val="24"/>
                <w:szCs w:val="24"/>
                <w:highlight w:val="none"/>
              </w:rPr>
            </w:pPr>
          </w:p>
        </w:tc>
        <w:tc>
          <w:tcPr>
            <w:tcW w:w="2260" w:type="dxa"/>
            <w:noWrap w:val="0"/>
            <w:vAlign w:val="center"/>
          </w:tcPr>
          <w:p w14:paraId="777D8556">
            <w:pPr>
              <w:pStyle w:val="15"/>
              <w:jc w:val="center"/>
              <w:rPr>
                <w:rFonts w:hint="eastAsia" w:hAnsi="宋体" w:cs="宋体"/>
                <w:color w:val="auto"/>
                <w:sz w:val="24"/>
                <w:szCs w:val="24"/>
                <w:highlight w:val="none"/>
              </w:rPr>
            </w:pPr>
          </w:p>
        </w:tc>
        <w:tc>
          <w:tcPr>
            <w:tcW w:w="2147" w:type="dxa"/>
            <w:noWrap w:val="0"/>
            <w:vAlign w:val="center"/>
          </w:tcPr>
          <w:p w14:paraId="68142DA1">
            <w:pPr>
              <w:pStyle w:val="15"/>
              <w:jc w:val="center"/>
              <w:rPr>
                <w:rFonts w:hint="eastAsia" w:hAnsi="宋体" w:cs="宋体"/>
                <w:color w:val="auto"/>
                <w:sz w:val="24"/>
                <w:szCs w:val="24"/>
                <w:highlight w:val="none"/>
              </w:rPr>
            </w:pPr>
          </w:p>
        </w:tc>
        <w:tc>
          <w:tcPr>
            <w:tcW w:w="1483" w:type="dxa"/>
            <w:noWrap w:val="0"/>
            <w:vAlign w:val="center"/>
          </w:tcPr>
          <w:p w14:paraId="42572857">
            <w:pPr>
              <w:pStyle w:val="15"/>
              <w:jc w:val="center"/>
              <w:rPr>
                <w:rFonts w:hint="eastAsia" w:hAnsi="宋体" w:cs="宋体"/>
                <w:color w:val="auto"/>
                <w:sz w:val="24"/>
                <w:szCs w:val="24"/>
                <w:highlight w:val="none"/>
              </w:rPr>
            </w:pPr>
          </w:p>
        </w:tc>
        <w:tc>
          <w:tcPr>
            <w:tcW w:w="2086" w:type="dxa"/>
            <w:noWrap w:val="0"/>
            <w:vAlign w:val="center"/>
          </w:tcPr>
          <w:p w14:paraId="489D86C1">
            <w:pPr>
              <w:pStyle w:val="15"/>
              <w:jc w:val="center"/>
              <w:rPr>
                <w:rFonts w:hint="eastAsia" w:hAnsi="宋体" w:cs="宋体"/>
                <w:color w:val="auto"/>
                <w:sz w:val="24"/>
                <w:szCs w:val="24"/>
                <w:highlight w:val="none"/>
              </w:rPr>
            </w:pPr>
          </w:p>
        </w:tc>
      </w:tr>
      <w:tr w14:paraId="04253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48" w:type="dxa"/>
            <w:noWrap w:val="0"/>
            <w:vAlign w:val="center"/>
          </w:tcPr>
          <w:p w14:paraId="431B34AC">
            <w:pPr>
              <w:pStyle w:val="15"/>
              <w:jc w:val="center"/>
              <w:rPr>
                <w:rFonts w:hint="eastAsia" w:hAnsi="宋体" w:cs="宋体"/>
                <w:color w:val="auto"/>
                <w:sz w:val="24"/>
                <w:szCs w:val="24"/>
                <w:highlight w:val="none"/>
              </w:rPr>
            </w:pPr>
          </w:p>
        </w:tc>
        <w:tc>
          <w:tcPr>
            <w:tcW w:w="2260" w:type="dxa"/>
            <w:noWrap w:val="0"/>
            <w:vAlign w:val="center"/>
          </w:tcPr>
          <w:p w14:paraId="509AF64E">
            <w:pPr>
              <w:pStyle w:val="15"/>
              <w:jc w:val="center"/>
              <w:rPr>
                <w:rFonts w:hint="eastAsia" w:hAnsi="宋体" w:cs="宋体"/>
                <w:color w:val="auto"/>
                <w:sz w:val="24"/>
                <w:szCs w:val="24"/>
                <w:highlight w:val="none"/>
              </w:rPr>
            </w:pPr>
          </w:p>
        </w:tc>
        <w:tc>
          <w:tcPr>
            <w:tcW w:w="2147" w:type="dxa"/>
            <w:noWrap w:val="0"/>
            <w:vAlign w:val="center"/>
          </w:tcPr>
          <w:p w14:paraId="1E562DA6">
            <w:pPr>
              <w:pStyle w:val="15"/>
              <w:jc w:val="center"/>
              <w:rPr>
                <w:rFonts w:hint="eastAsia" w:hAnsi="宋体" w:cs="宋体"/>
                <w:color w:val="auto"/>
                <w:sz w:val="24"/>
                <w:szCs w:val="24"/>
                <w:highlight w:val="none"/>
              </w:rPr>
            </w:pPr>
          </w:p>
        </w:tc>
        <w:tc>
          <w:tcPr>
            <w:tcW w:w="1483" w:type="dxa"/>
            <w:noWrap w:val="0"/>
            <w:vAlign w:val="center"/>
          </w:tcPr>
          <w:p w14:paraId="5AFA1361">
            <w:pPr>
              <w:pStyle w:val="15"/>
              <w:jc w:val="center"/>
              <w:rPr>
                <w:rFonts w:hint="eastAsia" w:hAnsi="宋体" w:cs="宋体"/>
                <w:color w:val="auto"/>
                <w:sz w:val="24"/>
                <w:szCs w:val="24"/>
                <w:highlight w:val="none"/>
              </w:rPr>
            </w:pPr>
          </w:p>
        </w:tc>
        <w:tc>
          <w:tcPr>
            <w:tcW w:w="2086" w:type="dxa"/>
            <w:noWrap w:val="0"/>
            <w:vAlign w:val="center"/>
          </w:tcPr>
          <w:p w14:paraId="3313FCCE">
            <w:pPr>
              <w:pStyle w:val="15"/>
              <w:jc w:val="center"/>
              <w:rPr>
                <w:rFonts w:hint="eastAsia" w:hAnsi="宋体" w:cs="宋体"/>
                <w:color w:val="auto"/>
                <w:sz w:val="24"/>
                <w:szCs w:val="24"/>
                <w:highlight w:val="none"/>
              </w:rPr>
            </w:pPr>
          </w:p>
        </w:tc>
      </w:tr>
      <w:tr w14:paraId="1CE80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748" w:type="dxa"/>
            <w:noWrap w:val="0"/>
            <w:vAlign w:val="center"/>
          </w:tcPr>
          <w:p w14:paraId="2B3A7E28">
            <w:pPr>
              <w:pStyle w:val="15"/>
              <w:jc w:val="center"/>
              <w:rPr>
                <w:rFonts w:hint="eastAsia" w:hAnsi="宋体" w:cs="宋体"/>
                <w:color w:val="auto"/>
                <w:sz w:val="24"/>
                <w:szCs w:val="24"/>
                <w:highlight w:val="none"/>
              </w:rPr>
            </w:pPr>
          </w:p>
        </w:tc>
        <w:tc>
          <w:tcPr>
            <w:tcW w:w="2260" w:type="dxa"/>
            <w:noWrap w:val="0"/>
            <w:vAlign w:val="center"/>
          </w:tcPr>
          <w:p w14:paraId="3BFDF494">
            <w:pPr>
              <w:pStyle w:val="15"/>
              <w:jc w:val="center"/>
              <w:rPr>
                <w:rFonts w:hint="eastAsia" w:hAnsi="宋体" w:cs="宋体"/>
                <w:color w:val="auto"/>
                <w:sz w:val="24"/>
                <w:szCs w:val="24"/>
                <w:highlight w:val="none"/>
              </w:rPr>
            </w:pPr>
          </w:p>
        </w:tc>
        <w:tc>
          <w:tcPr>
            <w:tcW w:w="2147" w:type="dxa"/>
            <w:noWrap w:val="0"/>
            <w:vAlign w:val="center"/>
          </w:tcPr>
          <w:p w14:paraId="6869EC63">
            <w:pPr>
              <w:pStyle w:val="15"/>
              <w:jc w:val="center"/>
              <w:rPr>
                <w:rFonts w:hint="eastAsia" w:hAnsi="宋体" w:cs="宋体"/>
                <w:color w:val="auto"/>
                <w:sz w:val="24"/>
                <w:szCs w:val="24"/>
                <w:highlight w:val="none"/>
              </w:rPr>
            </w:pPr>
          </w:p>
        </w:tc>
        <w:tc>
          <w:tcPr>
            <w:tcW w:w="1483" w:type="dxa"/>
            <w:noWrap w:val="0"/>
            <w:vAlign w:val="center"/>
          </w:tcPr>
          <w:p w14:paraId="56C6D1BB">
            <w:pPr>
              <w:pStyle w:val="15"/>
              <w:jc w:val="center"/>
              <w:rPr>
                <w:rFonts w:hint="eastAsia" w:hAnsi="宋体" w:cs="宋体"/>
                <w:color w:val="auto"/>
                <w:sz w:val="24"/>
                <w:szCs w:val="24"/>
                <w:highlight w:val="none"/>
              </w:rPr>
            </w:pPr>
          </w:p>
        </w:tc>
        <w:tc>
          <w:tcPr>
            <w:tcW w:w="2086" w:type="dxa"/>
            <w:noWrap w:val="0"/>
            <w:vAlign w:val="center"/>
          </w:tcPr>
          <w:p w14:paraId="26FF14D1">
            <w:pPr>
              <w:pStyle w:val="15"/>
              <w:jc w:val="center"/>
              <w:rPr>
                <w:rFonts w:hint="eastAsia" w:hAnsi="宋体" w:cs="宋体"/>
                <w:color w:val="auto"/>
                <w:sz w:val="24"/>
                <w:szCs w:val="24"/>
                <w:highlight w:val="none"/>
              </w:rPr>
            </w:pPr>
          </w:p>
        </w:tc>
      </w:tr>
    </w:tbl>
    <w:p w14:paraId="59805EE1">
      <w:pPr>
        <w:pStyle w:val="15"/>
        <w:spacing w:line="360" w:lineRule="auto"/>
        <w:ind w:left="72"/>
        <w:rPr>
          <w:rFonts w:hint="eastAsia" w:hAnsi="宋体" w:cs="宋体"/>
          <w:color w:val="auto"/>
          <w:sz w:val="24"/>
          <w:szCs w:val="24"/>
          <w:highlight w:val="none"/>
        </w:rPr>
      </w:pPr>
    </w:p>
    <w:p w14:paraId="369049B2">
      <w:pPr>
        <w:pStyle w:val="15"/>
        <w:spacing w:line="360" w:lineRule="auto"/>
        <w:ind w:left="72"/>
        <w:rPr>
          <w:rFonts w:hint="eastAsia" w:hAnsi="宋体" w:cs="宋体"/>
          <w:color w:val="auto"/>
          <w:sz w:val="24"/>
          <w:szCs w:val="24"/>
          <w:highlight w:val="none"/>
        </w:rPr>
      </w:pPr>
      <w:r>
        <w:rPr>
          <w:rFonts w:hint="eastAsia" w:hAnsi="宋体" w:cs="宋体"/>
          <w:color w:val="auto"/>
          <w:sz w:val="24"/>
          <w:szCs w:val="24"/>
          <w:highlight w:val="none"/>
        </w:rPr>
        <w:t>注：供应商可按上述的格式自行编制，须随表提交相应的合同或中标（成交）通知书复印件。</w:t>
      </w:r>
    </w:p>
    <w:p w14:paraId="42153FA0">
      <w:pPr>
        <w:snapToGrid w:val="0"/>
        <w:spacing w:line="360" w:lineRule="auto"/>
        <w:ind w:left="4410" w:leftChars="2100" w:firstLine="5670" w:firstLineChars="2700"/>
        <w:rPr>
          <w:rFonts w:hint="eastAsia" w:ascii="宋体" w:hAnsi="宋体" w:cs="宋体"/>
          <w:color w:val="auto"/>
          <w:kern w:val="0"/>
          <w:sz w:val="24"/>
          <w:highlight w:val="none"/>
        </w:rPr>
      </w:pPr>
      <w:r>
        <w:rPr>
          <w:rFonts w:hint="eastAsia" w:ascii="宋体" w:hAnsi="宋体" w:cs="宋体"/>
          <w:color w:val="auto"/>
          <w:szCs w:val="21"/>
          <w:highlight w:val="none"/>
        </w:rPr>
        <w:t xml:space="preserve"> </w:t>
      </w:r>
      <w:r>
        <w:rPr>
          <w:rFonts w:hint="eastAsia" w:ascii="宋体" w:hAnsi="宋体" w:cs="宋体"/>
          <w:color w:val="auto"/>
          <w:kern w:val="0"/>
          <w:sz w:val="24"/>
          <w:highlight w:val="none"/>
          <w:lang w:val="zh-CN"/>
        </w:rPr>
        <w:t>供应商名称(电子签章)：</w:t>
      </w:r>
    </w:p>
    <w:p w14:paraId="12F7F8FF">
      <w:pPr>
        <w:snapToGrid w:val="0"/>
        <w:spacing w:line="360" w:lineRule="auto"/>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4D39C411">
      <w:pPr>
        <w:snapToGrid w:val="0"/>
        <w:spacing w:before="120" w:beforeLines="50" w:after="50"/>
        <w:rPr>
          <w:rFonts w:hint="eastAsia" w:ascii="宋体" w:hAnsi="宋体" w:cs="宋体"/>
          <w:color w:val="auto"/>
          <w:kern w:val="0"/>
          <w:sz w:val="24"/>
          <w:highlight w:val="none"/>
          <w:lang w:val="zh-CN"/>
        </w:rPr>
      </w:pPr>
    </w:p>
    <w:p w14:paraId="3EA81CF2">
      <w:pPr>
        <w:snapToGrid w:val="0"/>
        <w:spacing w:before="120" w:beforeLines="50" w:after="50"/>
        <w:jc w:val="center"/>
        <w:rPr>
          <w:rFonts w:hint="eastAsia" w:ascii="宋体" w:hAnsi="宋体" w:cs="宋体"/>
          <w:b/>
          <w:color w:val="auto"/>
          <w:sz w:val="30"/>
          <w:szCs w:val="30"/>
          <w:highlight w:val="none"/>
        </w:rPr>
      </w:pPr>
      <w:r>
        <w:rPr>
          <w:rFonts w:hint="eastAsia" w:ascii="宋体" w:hAnsi="宋体" w:cs="宋体"/>
          <w:b/>
          <w:color w:val="auto"/>
          <w:sz w:val="30"/>
          <w:szCs w:val="30"/>
          <w:highlight w:val="none"/>
          <w:lang w:val="en-US" w:eastAsia="zh-CN"/>
        </w:rPr>
        <w:t xml:space="preserve">                    </w:t>
      </w:r>
      <w:r>
        <w:rPr>
          <w:rFonts w:hint="eastAsia" w:ascii="宋体" w:hAnsi="宋体" w:cs="宋体"/>
          <w:color w:val="auto"/>
          <w:kern w:val="0"/>
          <w:sz w:val="24"/>
          <w:highlight w:val="none"/>
          <w:lang w:val="zh-CN"/>
        </w:rPr>
        <w:br w:type="page"/>
      </w:r>
      <w:r>
        <w:rPr>
          <w:rFonts w:hint="eastAsia" w:ascii="宋体" w:hAnsi="宋体" w:cs="宋体"/>
          <w:b/>
          <w:color w:val="auto"/>
          <w:sz w:val="30"/>
          <w:szCs w:val="30"/>
          <w:highlight w:val="none"/>
        </w:rPr>
        <w:t>七、技术需求偏离表</w:t>
      </w:r>
    </w:p>
    <w:p w14:paraId="4057099E">
      <w:pPr>
        <w:spacing w:line="500" w:lineRule="exact"/>
        <w:jc w:val="center"/>
        <w:rPr>
          <w:rFonts w:hint="eastAsia" w:ascii="宋体" w:hAnsi="宋体" w:cs="宋体"/>
          <w:b/>
          <w:color w:val="auto"/>
          <w:sz w:val="30"/>
          <w:szCs w:val="30"/>
          <w:highlight w:val="none"/>
        </w:rPr>
      </w:pPr>
      <w:r>
        <w:rPr>
          <w:rFonts w:hint="eastAsia" w:ascii="宋体" w:hAnsi="宋体" w:cs="宋体"/>
          <w:b/>
          <w:color w:val="auto"/>
          <w:sz w:val="30"/>
          <w:szCs w:val="30"/>
          <w:highlight w:val="none"/>
        </w:rPr>
        <w:t>技术需求偏离表</w:t>
      </w:r>
    </w:p>
    <w:p w14:paraId="6508F133">
      <w:pPr>
        <w:spacing w:line="360" w:lineRule="auto"/>
        <w:contextualSpacing/>
        <w:rPr>
          <w:rFonts w:hint="eastAsia" w:ascii="宋体" w:hAnsi="宋体" w:cs="宋体"/>
          <w:color w:val="auto"/>
          <w:sz w:val="24"/>
          <w:highlight w:val="none"/>
          <w:u w:val="single"/>
        </w:rPr>
      </w:pPr>
      <w:r>
        <w:rPr>
          <w:rFonts w:hint="eastAsia" w:ascii="宋体" w:hAnsi="宋体" w:cs="宋体"/>
          <w:color w:val="auto"/>
          <w:sz w:val="24"/>
          <w:highlight w:val="none"/>
        </w:rPr>
        <w:t>采购项目编号：</w:t>
      </w:r>
      <w:r>
        <w:rPr>
          <w:rFonts w:hint="eastAsia" w:ascii="宋体" w:hAnsi="宋体" w:cs="宋体"/>
          <w:color w:val="auto"/>
          <w:sz w:val="24"/>
          <w:highlight w:val="none"/>
          <w:u w:val="single"/>
        </w:rPr>
        <w:t xml:space="preserve">                </w:t>
      </w:r>
    </w:p>
    <w:p w14:paraId="728DA236">
      <w:pPr>
        <w:spacing w:line="360" w:lineRule="auto"/>
        <w:contextualSpacing/>
        <w:rPr>
          <w:rFonts w:hint="eastAsia" w:ascii="宋体" w:hAnsi="宋体" w:cs="宋体"/>
          <w:color w:val="auto"/>
          <w:sz w:val="24"/>
          <w:highlight w:val="none"/>
        </w:rPr>
      </w:pPr>
      <w:r>
        <w:rPr>
          <w:rFonts w:hint="eastAsia" w:ascii="宋体" w:hAnsi="宋体" w:cs="宋体"/>
          <w:color w:val="auto"/>
          <w:sz w:val="24"/>
          <w:highlight w:val="none"/>
        </w:rPr>
        <w:t>采购项目名称：</w:t>
      </w:r>
      <w:r>
        <w:rPr>
          <w:rFonts w:hint="eastAsia" w:ascii="宋体" w:hAnsi="宋体" w:cs="宋体"/>
          <w:color w:val="auto"/>
          <w:sz w:val="24"/>
          <w:highlight w:val="none"/>
          <w:u w:val="single"/>
        </w:rPr>
        <w:t xml:space="preserve">                 </w:t>
      </w:r>
    </w:p>
    <w:p w14:paraId="0F31EE91">
      <w:pPr>
        <w:spacing w:line="360" w:lineRule="auto"/>
        <w:contextualSpacing/>
        <w:rPr>
          <w:rFonts w:hint="eastAsia" w:ascii="宋体" w:hAnsi="宋体" w:cs="宋体"/>
          <w:color w:val="auto"/>
          <w:sz w:val="24"/>
          <w:highlight w:val="none"/>
          <w:u w:val="single"/>
        </w:rPr>
      </w:pPr>
      <w:r>
        <w:rPr>
          <w:rFonts w:hint="eastAsia" w:ascii="宋体" w:hAnsi="宋体" w:cs="宋体"/>
          <w:color w:val="auto"/>
          <w:sz w:val="24"/>
          <w:highlight w:val="none"/>
        </w:rPr>
        <w:t>分标号</w:t>
      </w:r>
      <w:r>
        <w:rPr>
          <w:rFonts w:hint="eastAsia" w:ascii="宋体" w:hAnsi="宋体" w:cs="宋体"/>
          <w:color w:val="auto"/>
          <w:szCs w:val="21"/>
          <w:highlight w:val="none"/>
        </w:rPr>
        <w:t>（此处有分标时填写具体分标号，无分标时填写“无”）</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p>
    <w:tbl>
      <w:tblPr>
        <w:tblStyle w:val="23"/>
        <w:tblpPr w:leftFromText="180" w:rightFromText="180" w:vertAnchor="text" w:horzAnchor="margin" w:tblpXSpec="center" w:tblpY="94"/>
        <w:tblW w:w="88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3631"/>
        <w:gridCol w:w="3210"/>
        <w:gridCol w:w="1274"/>
      </w:tblGrid>
      <w:tr w14:paraId="5BD2F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691" w:type="dxa"/>
            <w:tcBorders>
              <w:top w:val="single" w:color="auto" w:sz="4" w:space="0"/>
              <w:left w:val="single" w:color="auto" w:sz="4" w:space="0"/>
              <w:bottom w:val="single" w:color="auto" w:sz="4" w:space="0"/>
              <w:right w:val="single" w:color="auto" w:sz="4" w:space="0"/>
            </w:tcBorders>
            <w:noWrap w:val="0"/>
            <w:vAlign w:val="center"/>
          </w:tcPr>
          <w:p w14:paraId="77695AF0">
            <w:pPr>
              <w:spacing w:line="340" w:lineRule="exact"/>
              <w:jc w:val="center"/>
              <w:rPr>
                <w:rFonts w:hint="eastAsia" w:ascii="宋体" w:hAnsi="宋体" w:cs="宋体"/>
                <w:color w:val="auto"/>
                <w:sz w:val="24"/>
                <w:highlight w:val="none"/>
              </w:rPr>
            </w:pPr>
            <w:r>
              <w:rPr>
                <w:rFonts w:hint="eastAsia" w:ascii="宋体" w:hAnsi="宋体" w:cs="宋体"/>
                <w:color w:val="auto"/>
                <w:sz w:val="24"/>
                <w:highlight w:val="none"/>
              </w:rPr>
              <w:t>项号</w:t>
            </w:r>
          </w:p>
        </w:tc>
        <w:tc>
          <w:tcPr>
            <w:tcW w:w="3631" w:type="dxa"/>
            <w:tcBorders>
              <w:top w:val="single" w:color="auto" w:sz="4" w:space="0"/>
              <w:left w:val="single" w:color="auto" w:sz="4" w:space="0"/>
              <w:bottom w:val="single" w:color="auto" w:sz="4" w:space="0"/>
              <w:right w:val="single" w:color="auto" w:sz="4" w:space="0"/>
            </w:tcBorders>
            <w:noWrap w:val="0"/>
            <w:vAlign w:val="center"/>
          </w:tcPr>
          <w:p w14:paraId="25DB2FA8">
            <w:pPr>
              <w:spacing w:line="340" w:lineRule="exact"/>
              <w:jc w:val="center"/>
              <w:rPr>
                <w:rFonts w:hint="eastAsia" w:ascii="宋体" w:hAnsi="宋体" w:cs="宋体"/>
                <w:color w:val="auto"/>
                <w:sz w:val="24"/>
                <w:highlight w:val="none"/>
              </w:rPr>
            </w:pPr>
            <w:r>
              <w:rPr>
                <w:rFonts w:hint="eastAsia" w:ascii="宋体" w:hAnsi="宋体" w:cs="宋体"/>
                <w:color w:val="auto"/>
                <w:sz w:val="24"/>
                <w:highlight w:val="none"/>
              </w:rPr>
              <w:t>竞争性磋商文件采购需求</w:t>
            </w:r>
          </w:p>
        </w:tc>
        <w:tc>
          <w:tcPr>
            <w:tcW w:w="3210" w:type="dxa"/>
            <w:tcBorders>
              <w:top w:val="single" w:color="auto" w:sz="4" w:space="0"/>
              <w:left w:val="single" w:color="auto" w:sz="4" w:space="0"/>
              <w:bottom w:val="single" w:color="auto" w:sz="4" w:space="0"/>
              <w:right w:val="single" w:color="auto" w:sz="4" w:space="0"/>
            </w:tcBorders>
            <w:noWrap w:val="0"/>
            <w:vAlign w:val="center"/>
          </w:tcPr>
          <w:p w14:paraId="1FAA4E58">
            <w:pPr>
              <w:spacing w:line="340" w:lineRule="exact"/>
              <w:jc w:val="center"/>
              <w:rPr>
                <w:rFonts w:hint="eastAsia" w:ascii="宋体" w:hAnsi="宋体" w:cs="宋体"/>
                <w:color w:val="auto"/>
                <w:sz w:val="24"/>
                <w:highlight w:val="none"/>
              </w:rPr>
            </w:pPr>
            <w:r>
              <w:rPr>
                <w:rFonts w:hint="eastAsia" w:ascii="宋体" w:hAnsi="宋体" w:cs="宋体"/>
                <w:color w:val="auto"/>
                <w:sz w:val="24"/>
                <w:highlight w:val="none"/>
              </w:rPr>
              <w:t>响应文件采购需求承诺</w:t>
            </w:r>
          </w:p>
        </w:tc>
        <w:tc>
          <w:tcPr>
            <w:tcW w:w="1274" w:type="dxa"/>
            <w:tcBorders>
              <w:top w:val="single" w:color="auto" w:sz="4" w:space="0"/>
              <w:left w:val="single" w:color="auto" w:sz="4" w:space="0"/>
              <w:bottom w:val="single" w:color="auto" w:sz="4" w:space="0"/>
              <w:right w:val="single" w:color="auto" w:sz="4" w:space="0"/>
            </w:tcBorders>
            <w:noWrap w:val="0"/>
            <w:vAlign w:val="center"/>
          </w:tcPr>
          <w:p w14:paraId="231C9FAE">
            <w:pPr>
              <w:spacing w:line="340" w:lineRule="exact"/>
              <w:jc w:val="center"/>
              <w:rPr>
                <w:rFonts w:hint="eastAsia" w:ascii="宋体" w:hAnsi="宋体" w:cs="宋体"/>
                <w:color w:val="auto"/>
                <w:sz w:val="24"/>
                <w:highlight w:val="none"/>
              </w:rPr>
            </w:pPr>
            <w:r>
              <w:rPr>
                <w:rFonts w:hint="eastAsia" w:ascii="宋体" w:hAnsi="宋体" w:cs="宋体"/>
                <w:color w:val="auto"/>
                <w:sz w:val="24"/>
                <w:highlight w:val="none"/>
              </w:rPr>
              <w:t>偏离说明</w:t>
            </w:r>
          </w:p>
        </w:tc>
      </w:tr>
      <w:tr w14:paraId="596BD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noWrap w:val="0"/>
            <w:vAlign w:val="top"/>
          </w:tcPr>
          <w:p w14:paraId="3D10B674">
            <w:pPr>
              <w:spacing w:line="340" w:lineRule="exact"/>
              <w:jc w:val="center"/>
              <w:rPr>
                <w:rFonts w:hint="eastAsia" w:ascii="宋体" w:hAnsi="宋体" w:cs="宋体"/>
                <w:color w:val="auto"/>
                <w:sz w:val="24"/>
                <w:highlight w:val="none"/>
              </w:rPr>
            </w:pPr>
          </w:p>
        </w:tc>
        <w:tc>
          <w:tcPr>
            <w:tcW w:w="3631" w:type="dxa"/>
            <w:tcBorders>
              <w:top w:val="single" w:color="auto" w:sz="4" w:space="0"/>
              <w:left w:val="single" w:color="auto" w:sz="4" w:space="0"/>
              <w:bottom w:val="single" w:color="auto" w:sz="4" w:space="0"/>
              <w:right w:val="single" w:color="auto" w:sz="4" w:space="0"/>
            </w:tcBorders>
            <w:noWrap w:val="0"/>
            <w:vAlign w:val="top"/>
          </w:tcPr>
          <w:p w14:paraId="3DDE8DF4">
            <w:pPr>
              <w:spacing w:line="340" w:lineRule="exact"/>
              <w:rPr>
                <w:rFonts w:hint="eastAsia" w:ascii="宋体" w:hAnsi="宋体" w:cs="宋体"/>
                <w:color w:val="auto"/>
                <w:sz w:val="24"/>
                <w:highlight w:val="none"/>
              </w:rPr>
            </w:pPr>
          </w:p>
        </w:tc>
        <w:tc>
          <w:tcPr>
            <w:tcW w:w="3210" w:type="dxa"/>
            <w:tcBorders>
              <w:top w:val="single" w:color="auto" w:sz="4" w:space="0"/>
              <w:left w:val="single" w:color="auto" w:sz="4" w:space="0"/>
              <w:bottom w:val="single" w:color="auto" w:sz="4" w:space="0"/>
              <w:right w:val="single" w:color="auto" w:sz="4" w:space="0"/>
            </w:tcBorders>
            <w:noWrap w:val="0"/>
            <w:vAlign w:val="top"/>
          </w:tcPr>
          <w:p w14:paraId="48DAC5C8">
            <w:pPr>
              <w:spacing w:line="340" w:lineRule="exact"/>
              <w:rPr>
                <w:rFonts w:hint="eastAsia" w:ascii="宋体" w:hAnsi="宋体" w:cs="宋体"/>
                <w:color w:val="auto"/>
                <w:sz w:val="24"/>
                <w:highlight w:val="none"/>
              </w:rPr>
            </w:pPr>
          </w:p>
        </w:tc>
        <w:tc>
          <w:tcPr>
            <w:tcW w:w="1274" w:type="dxa"/>
            <w:tcBorders>
              <w:top w:val="single" w:color="auto" w:sz="4" w:space="0"/>
              <w:left w:val="single" w:color="auto" w:sz="4" w:space="0"/>
              <w:bottom w:val="single" w:color="auto" w:sz="4" w:space="0"/>
              <w:right w:val="single" w:color="auto" w:sz="4" w:space="0"/>
            </w:tcBorders>
            <w:noWrap w:val="0"/>
            <w:vAlign w:val="top"/>
          </w:tcPr>
          <w:p w14:paraId="54607F3C">
            <w:pPr>
              <w:spacing w:line="300" w:lineRule="exact"/>
              <w:rPr>
                <w:rFonts w:hint="eastAsia" w:ascii="宋体" w:hAnsi="宋体" w:cs="宋体"/>
                <w:color w:val="auto"/>
                <w:sz w:val="24"/>
                <w:highlight w:val="none"/>
              </w:rPr>
            </w:pPr>
          </w:p>
        </w:tc>
      </w:tr>
      <w:tr w14:paraId="74BD4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noWrap w:val="0"/>
            <w:vAlign w:val="top"/>
          </w:tcPr>
          <w:p w14:paraId="490C14FA">
            <w:pPr>
              <w:spacing w:line="340" w:lineRule="exact"/>
              <w:jc w:val="center"/>
              <w:rPr>
                <w:rFonts w:hint="eastAsia" w:ascii="宋体" w:hAnsi="宋体" w:cs="宋体"/>
                <w:color w:val="auto"/>
                <w:sz w:val="24"/>
                <w:highlight w:val="none"/>
              </w:rPr>
            </w:pPr>
          </w:p>
        </w:tc>
        <w:tc>
          <w:tcPr>
            <w:tcW w:w="3631" w:type="dxa"/>
            <w:tcBorders>
              <w:top w:val="single" w:color="auto" w:sz="4" w:space="0"/>
              <w:left w:val="single" w:color="auto" w:sz="4" w:space="0"/>
              <w:bottom w:val="single" w:color="auto" w:sz="4" w:space="0"/>
              <w:right w:val="single" w:color="auto" w:sz="4" w:space="0"/>
            </w:tcBorders>
            <w:noWrap w:val="0"/>
            <w:vAlign w:val="top"/>
          </w:tcPr>
          <w:p w14:paraId="5B84AE78">
            <w:pPr>
              <w:spacing w:line="340" w:lineRule="exact"/>
              <w:rPr>
                <w:rFonts w:hint="eastAsia" w:ascii="宋体" w:hAnsi="宋体" w:cs="宋体"/>
                <w:color w:val="auto"/>
                <w:sz w:val="24"/>
                <w:highlight w:val="none"/>
              </w:rPr>
            </w:pPr>
          </w:p>
        </w:tc>
        <w:tc>
          <w:tcPr>
            <w:tcW w:w="3210" w:type="dxa"/>
            <w:tcBorders>
              <w:top w:val="single" w:color="auto" w:sz="4" w:space="0"/>
              <w:left w:val="single" w:color="auto" w:sz="4" w:space="0"/>
              <w:bottom w:val="single" w:color="auto" w:sz="4" w:space="0"/>
              <w:right w:val="single" w:color="auto" w:sz="4" w:space="0"/>
            </w:tcBorders>
            <w:noWrap w:val="0"/>
            <w:vAlign w:val="top"/>
          </w:tcPr>
          <w:p w14:paraId="6282A1FE">
            <w:pPr>
              <w:spacing w:line="340" w:lineRule="exact"/>
              <w:rPr>
                <w:rFonts w:hint="eastAsia" w:ascii="宋体" w:hAnsi="宋体" w:cs="宋体"/>
                <w:color w:val="auto"/>
                <w:sz w:val="24"/>
                <w:highlight w:val="none"/>
              </w:rPr>
            </w:pPr>
          </w:p>
        </w:tc>
        <w:tc>
          <w:tcPr>
            <w:tcW w:w="1274" w:type="dxa"/>
            <w:tcBorders>
              <w:top w:val="single" w:color="auto" w:sz="4" w:space="0"/>
              <w:left w:val="single" w:color="auto" w:sz="4" w:space="0"/>
              <w:bottom w:val="single" w:color="auto" w:sz="4" w:space="0"/>
              <w:right w:val="single" w:color="auto" w:sz="4" w:space="0"/>
            </w:tcBorders>
            <w:noWrap w:val="0"/>
            <w:vAlign w:val="top"/>
          </w:tcPr>
          <w:p w14:paraId="21A01FAB">
            <w:pPr>
              <w:spacing w:line="300" w:lineRule="exact"/>
              <w:rPr>
                <w:rFonts w:hint="eastAsia" w:ascii="宋体" w:hAnsi="宋体" w:cs="宋体"/>
                <w:color w:val="auto"/>
                <w:sz w:val="24"/>
                <w:highlight w:val="none"/>
              </w:rPr>
            </w:pPr>
          </w:p>
        </w:tc>
      </w:tr>
      <w:tr w14:paraId="3D628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9" w:hRule="atLeast"/>
        </w:trPr>
        <w:tc>
          <w:tcPr>
            <w:tcW w:w="691" w:type="dxa"/>
            <w:tcBorders>
              <w:top w:val="single" w:color="auto" w:sz="4" w:space="0"/>
              <w:left w:val="single" w:color="auto" w:sz="4" w:space="0"/>
              <w:bottom w:val="single" w:color="auto" w:sz="4" w:space="0"/>
              <w:right w:val="single" w:color="auto" w:sz="4" w:space="0"/>
            </w:tcBorders>
            <w:noWrap w:val="0"/>
            <w:vAlign w:val="top"/>
          </w:tcPr>
          <w:p w14:paraId="7F62E287">
            <w:pPr>
              <w:spacing w:line="340" w:lineRule="exact"/>
              <w:rPr>
                <w:rFonts w:hint="eastAsia" w:ascii="宋体" w:hAnsi="宋体" w:cs="宋体"/>
                <w:color w:val="auto"/>
                <w:sz w:val="24"/>
                <w:highlight w:val="none"/>
              </w:rPr>
            </w:pPr>
          </w:p>
        </w:tc>
        <w:tc>
          <w:tcPr>
            <w:tcW w:w="3631" w:type="dxa"/>
            <w:tcBorders>
              <w:top w:val="single" w:color="auto" w:sz="4" w:space="0"/>
              <w:left w:val="single" w:color="auto" w:sz="4" w:space="0"/>
              <w:bottom w:val="single" w:color="auto" w:sz="4" w:space="0"/>
              <w:right w:val="single" w:color="auto" w:sz="4" w:space="0"/>
            </w:tcBorders>
            <w:noWrap w:val="0"/>
            <w:vAlign w:val="top"/>
          </w:tcPr>
          <w:p w14:paraId="78A82B0F">
            <w:pPr>
              <w:spacing w:line="340" w:lineRule="exact"/>
              <w:rPr>
                <w:rFonts w:hint="eastAsia" w:ascii="宋体" w:hAnsi="宋体" w:cs="宋体"/>
                <w:color w:val="auto"/>
                <w:sz w:val="24"/>
                <w:highlight w:val="none"/>
              </w:rPr>
            </w:pPr>
          </w:p>
        </w:tc>
        <w:tc>
          <w:tcPr>
            <w:tcW w:w="3210" w:type="dxa"/>
            <w:tcBorders>
              <w:top w:val="single" w:color="auto" w:sz="4" w:space="0"/>
              <w:left w:val="single" w:color="auto" w:sz="4" w:space="0"/>
              <w:bottom w:val="single" w:color="auto" w:sz="4" w:space="0"/>
              <w:right w:val="single" w:color="auto" w:sz="4" w:space="0"/>
            </w:tcBorders>
            <w:noWrap w:val="0"/>
            <w:vAlign w:val="top"/>
          </w:tcPr>
          <w:p w14:paraId="7000884C">
            <w:pPr>
              <w:spacing w:line="340" w:lineRule="exact"/>
              <w:rPr>
                <w:rFonts w:hint="eastAsia" w:ascii="宋体" w:hAnsi="宋体" w:cs="宋体"/>
                <w:color w:val="auto"/>
                <w:sz w:val="24"/>
                <w:highlight w:val="none"/>
              </w:rPr>
            </w:pPr>
          </w:p>
        </w:tc>
        <w:tc>
          <w:tcPr>
            <w:tcW w:w="1274" w:type="dxa"/>
            <w:tcBorders>
              <w:top w:val="single" w:color="auto" w:sz="4" w:space="0"/>
              <w:left w:val="single" w:color="auto" w:sz="4" w:space="0"/>
              <w:bottom w:val="single" w:color="auto" w:sz="4" w:space="0"/>
              <w:right w:val="single" w:color="auto" w:sz="4" w:space="0"/>
            </w:tcBorders>
            <w:noWrap w:val="0"/>
            <w:vAlign w:val="top"/>
          </w:tcPr>
          <w:p w14:paraId="37ABA274">
            <w:pPr>
              <w:spacing w:line="300" w:lineRule="exact"/>
              <w:rPr>
                <w:rFonts w:hint="eastAsia" w:ascii="宋体" w:hAnsi="宋体" w:cs="宋体"/>
                <w:color w:val="auto"/>
                <w:sz w:val="24"/>
                <w:highlight w:val="none"/>
              </w:rPr>
            </w:pPr>
          </w:p>
        </w:tc>
      </w:tr>
    </w:tbl>
    <w:p w14:paraId="1B092756">
      <w:pPr>
        <w:pStyle w:val="9"/>
        <w:spacing w:after="0" w:line="360" w:lineRule="exact"/>
        <w:ind w:left="840" w:hanging="420"/>
        <w:contextualSpacing/>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注：</w:t>
      </w:r>
    </w:p>
    <w:p w14:paraId="427E83AF">
      <w:pPr>
        <w:pStyle w:val="12"/>
        <w:spacing w:line="360" w:lineRule="exact"/>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1.说明：应对照磋商文件“第二章”中“采购需求”的</w:t>
      </w:r>
      <w:r>
        <w:rPr>
          <w:rFonts w:hint="eastAsia" w:ascii="宋体" w:hAnsi="宋体" w:eastAsia="宋体" w:cs="宋体"/>
          <w:color w:val="auto"/>
          <w:sz w:val="21"/>
          <w:szCs w:val="21"/>
          <w:highlight w:val="none"/>
          <w:lang w:val="en-US" w:eastAsia="zh-CN"/>
        </w:rPr>
        <w:t>技术需求</w:t>
      </w:r>
      <w:r>
        <w:rPr>
          <w:rFonts w:hint="eastAsia" w:ascii="宋体" w:hAnsi="宋体" w:eastAsia="宋体" w:cs="宋体"/>
          <w:b/>
          <w:bCs/>
          <w:color w:val="auto"/>
          <w:sz w:val="21"/>
          <w:szCs w:val="21"/>
          <w:highlight w:val="none"/>
          <w:lang w:val="en-US" w:eastAsia="zh-CN"/>
        </w:rPr>
        <w:t>（招标控制价文件的内容可以另册提供）</w:t>
      </w:r>
      <w:r>
        <w:rPr>
          <w:rFonts w:hint="eastAsia" w:ascii="宋体" w:hAnsi="宋体" w:eastAsia="宋体" w:cs="宋体"/>
          <w:color w:val="auto"/>
          <w:sz w:val="21"/>
          <w:szCs w:val="21"/>
          <w:highlight w:val="none"/>
        </w:rPr>
        <w:t>逐条作出明确响应，并作出偏离说明。</w:t>
      </w:r>
    </w:p>
    <w:p w14:paraId="43F3A228">
      <w:pPr>
        <w:pStyle w:val="12"/>
        <w:spacing w:line="360" w:lineRule="exact"/>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2.供应商应根据自身的承诺，对照磋商文件要求，在“偏离说明”中注明“正偏离”、“负偏离”或者“无偏离”。既不属于“正偏离”也不属于“负偏离”即为“无偏离”。 当响应文件的商务内容低于竞争性磋商文件要求时，竞标人应当如实写明“负偏离”，否则视为虚假应标</w:t>
      </w:r>
    </w:p>
    <w:p w14:paraId="5CCAD161">
      <w:pPr>
        <w:spacing w:line="36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3.表格内容均需按要求填写并盖章，不得留空，否则按竞标无效处理。</w:t>
      </w:r>
    </w:p>
    <w:p w14:paraId="4DA27019">
      <w:pPr>
        <w:pStyle w:val="12"/>
        <w:spacing w:line="360" w:lineRule="exact"/>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4.如技术偏离表中的竞标响应与佐证材料不一致的，以佐证材料为准。</w:t>
      </w:r>
    </w:p>
    <w:p w14:paraId="6CF584FA">
      <w:pPr>
        <w:autoSpaceDE w:val="0"/>
        <w:autoSpaceDN w:val="0"/>
        <w:spacing w:line="360" w:lineRule="auto"/>
        <w:ind w:left="4335" w:leftChars="1950" w:hanging="240" w:hangingChars="100"/>
        <w:rPr>
          <w:rFonts w:hint="eastAsia" w:ascii="宋体" w:hAnsi="宋体" w:cs="宋体"/>
          <w:color w:val="auto"/>
          <w:kern w:val="0"/>
          <w:sz w:val="24"/>
          <w:highlight w:val="none"/>
        </w:rPr>
      </w:pPr>
    </w:p>
    <w:p w14:paraId="005CB9E7">
      <w:pPr>
        <w:autoSpaceDE w:val="0"/>
        <w:autoSpaceDN w:val="0"/>
        <w:spacing w:line="360" w:lineRule="auto"/>
        <w:ind w:left="4335" w:leftChars="1950" w:hanging="240" w:hangingChars="100"/>
        <w:rPr>
          <w:rFonts w:hint="eastAsia"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10BE688A">
      <w:pPr>
        <w:autoSpaceDE w:val="0"/>
        <w:autoSpaceDN w:val="0"/>
        <w:spacing w:line="360" w:lineRule="auto"/>
        <w:ind w:firstLine="6336" w:firstLineChars="2640"/>
        <w:rPr>
          <w:rFonts w:hint="eastAsia" w:ascii="宋体" w:hAnsi="宋体" w:cs="宋体"/>
          <w:b/>
          <w:bCs/>
          <w:color w:val="auto"/>
          <w:sz w:val="24"/>
          <w:highlight w:val="none"/>
        </w:rPr>
      </w:pPr>
      <w:r>
        <w:rPr>
          <w:rFonts w:hint="eastAsia" w:ascii="宋体" w:hAnsi="宋体" w:cs="宋体"/>
          <w:color w:val="auto"/>
          <w:kern w:val="0"/>
          <w:sz w:val="24"/>
          <w:highlight w:val="none"/>
          <w:lang w:val="zh-CN"/>
        </w:rPr>
        <w:t>日期：  年  月  日</w:t>
      </w:r>
    </w:p>
    <w:p w14:paraId="4E1A3342">
      <w:pPr>
        <w:snapToGrid w:val="0"/>
        <w:spacing w:line="360" w:lineRule="auto"/>
        <w:rPr>
          <w:rFonts w:hint="eastAsia" w:ascii="宋体" w:hAnsi="宋体" w:cs="宋体"/>
          <w:b/>
          <w:color w:val="auto"/>
          <w:sz w:val="30"/>
          <w:szCs w:val="30"/>
          <w:highlight w:val="none"/>
        </w:rPr>
      </w:pPr>
      <w:r>
        <w:rPr>
          <w:rFonts w:hint="eastAsia" w:ascii="宋体" w:hAnsi="宋体" w:cs="宋体"/>
          <w:b/>
          <w:color w:val="auto"/>
          <w:sz w:val="30"/>
          <w:szCs w:val="30"/>
          <w:highlight w:val="none"/>
        </w:rPr>
        <w:br w:type="page"/>
      </w:r>
      <w:r>
        <w:rPr>
          <w:rFonts w:hint="eastAsia" w:ascii="宋体" w:hAnsi="宋体" w:cs="宋体"/>
          <w:b/>
          <w:color w:val="auto"/>
          <w:sz w:val="30"/>
          <w:szCs w:val="30"/>
          <w:highlight w:val="none"/>
        </w:rPr>
        <w:t>八、施工组织设计</w:t>
      </w:r>
    </w:p>
    <w:p w14:paraId="05D5CE68">
      <w:pPr>
        <w:pStyle w:val="35"/>
        <w:tabs>
          <w:tab w:val="left" w:pos="923"/>
        </w:tabs>
        <w:ind w:firstLine="420" w:firstLineChars="200"/>
        <w:rPr>
          <w:rFonts w:hint="eastAsia"/>
          <w:color w:val="auto"/>
          <w:sz w:val="21"/>
          <w:szCs w:val="21"/>
          <w:highlight w:val="none"/>
          <w:lang w:val="en-US"/>
        </w:rPr>
      </w:pPr>
      <w:r>
        <w:rPr>
          <w:rFonts w:hint="eastAsia"/>
          <w:color w:val="auto"/>
          <w:sz w:val="21"/>
          <w:szCs w:val="21"/>
          <w:highlight w:val="none"/>
          <w:lang w:val="en-US"/>
        </w:rPr>
        <w:t>1.</w:t>
      </w:r>
      <w:r>
        <w:rPr>
          <w:rFonts w:hint="eastAsia"/>
          <w:color w:val="auto"/>
          <w:sz w:val="21"/>
          <w:szCs w:val="21"/>
          <w:highlight w:val="none"/>
        </w:rPr>
        <w:t>投标人编制施工组织设计时，应采用文字并结合图表形式说明工程的施工组织、施工方法、技术组织措施，同时应对关键工序、复杂环节重点提出相应技术措施，如冬雨季施工技术、减少噪音、降低环境污染、地下管线及其它地上地下设施的保护加固措施等。施工组织设计还应结合工程特点提出切实可行的工程质量、工程进度、安全生产、防汛度汛、文明施工、水土保持、环境保护管理方案。</w:t>
      </w:r>
    </w:p>
    <w:p w14:paraId="3EEA001D">
      <w:pPr>
        <w:pStyle w:val="35"/>
        <w:ind w:firstLine="420" w:firstLineChars="200"/>
        <w:rPr>
          <w:rFonts w:hint="eastAsia"/>
          <w:color w:val="auto"/>
          <w:sz w:val="21"/>
          <w:szCs w:val="21"/>
          <w:highlight w:val="none"/>
          <w:lang w:val="en-US"/>
        </w:rPr>
      </w:pPr>
      <w:bookmarkStart w:id="104" w:name="bookmark2227"/>
      <w:bookmarkEnd w:id="104"/>
      <w:r>
        <w:rPr>
          <w:rFonts w:hint="eastAsia"/>
          <w:color w:val="auto"/>
          <w:sz w:val="21"/>
          <w:szCs w:val="21"/>
          <w:highlight w:val="none"/>
          <w:lang w:val="en-US"/>
        </w:rPr>
        <w:t>施工组织设计应附的文字说明如下(包括但不限于以下内容，否则响应文件无效)：</w:t>
      </w:r>
    </w:p>
    <w:p w14:paraId="3B09D33C">
      <w:pPr>
        <w:pStyle w:val="35"/>
        <w:ind w:firstLine="420" w:firstLineChars="200"/>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val="en-US"/>
        </w:rPr>
        <w:t>主要施工方法</w:t>
      </w:r>
    </w:p>
    <w:p w14:paraId="747C2D62">
      <w:pPr>
        <w:pStyle w:val="35"/>
        <w:ind w:firstLine="420" w:firstLineChars="200"/>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val="en-US"/>
        </w:rPr>
        <w:t>拟投入的主要物资计划</w:t>
      </w:r>
    </w:p>
    <w:p w14:paraId="4AF42426">
      <w:pPr>
        <w:pStyle w:val="35"/>
        <w:ind w:firstLine="420" w:firstLineChars="200"/>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val="en-US"/>
        </w:rPr>
        <w:t>拟投入的主要施工机械、设备计划</w:t>
      </w:r>
    </w:p>
    <w:p w14:paraId="2F492CD5">
      <w:pPr>
        <w:pStyle w:val="35"/>
        <w:ind w:firstLine="420" w:firstLineChars="200"/>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val="en-US"/>
        </w:rPr>
        <w:t>劳动力安排计划</w:t>
      </w:r>
    </w:p>
    <w:p w14:paraId="069FD27C">
      <w:pPr>
        <w:pStyle w:val="35"/>
        <w:ind w:firstLine="420" w:firstLineChars="200"/>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val="en-US"/>
        </w:rPr>
        <w:t>确保工程质量的技术组织措施</w:t>
      </w:r>
    </w:p>
    <w:p w14:paraId="543C73D1">
      <w:pPr>
        <w:pStyle w:val="35"/>
        <w:ind w:firstLine="420" w:firstLineChars="200"/>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lang w:val="en-US"/>
        </w:rPr>
        <w:t>确保安全生产的技术组织措施</w:t>
      </w:r>
    </w:p>
    <w:p w14:paraId="75A6F28E">
      <w:pPr>
        <w:pStyle w:val="35"/>
        <w:ind w:firstLine="420" w:firstLineChars="200"/>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lang w:val="en-US"/>
        </w:rPr>
        <w:t>确保工期的技术组织措施</w:t>
      </w:r>
    </w:p>
    <w:p w14:paraId="257B1566">
      <w:pPr>
        <w:pStyle w:val="35"/>
        <w:ind w:firstLine="420" w:firstLineChars="200"/>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lang w:val="en-US"/>
        </w:rPr>
        <w:t>工程施工的重点和难点及保证措施</w:t>
      </w:r>
    </w:p>
    <w:p w14:paraId="625DD6F5">
      <w:pPr>
        <w:pStyle w:val="35"/>
        <w:ind w:firstLine="420" w:firstLineChars="200"/>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w:t>
      </w:r>
    </w:p>
    <w:p w14:paraId="4E98F7F0">
      <w:pPr>
        <w:pStyle w:val="35"/>
        <w:ind w:firstLine="420" w:firstLineChars="200"/>
        <w:rPr>
          <w:rFonts w:hint="eastAsia"/>
          <w:color w:val="auto"/>
          <w:sz w:val="21"/>
          <w:szCs w:val="21"/>
          <w:highlight w:val="none"/>
          <w:lang w:val="en-US"/>
        </w:rPr>
      </w:pPr>
    </w:p>
    <w:p w14:paraId="1A1D284E">
      <w:pPr>
        <w:pStyle w:val="35"/>
        <w:ind w:firstLine="420" w:firstLineChars="200"/>
        <w:rPr>
          <w:rFonts w:hint="eastAsia"/>
          <w:color w:val="auto"/>
          <w:sz w:val="21"/>
          <w:szCs w:val="21"/>
          <w:highlight w:val="none"/>
        </w:rPr>
      </w:pPr>
      <w:r>
        <w:rPr>
          <w:rFonts w:hint="eastAsia"/>
          <w:color w:val="auto"/>
          <w:sz w:val="21"/>
          <w:szCs w:val="21"/>
          <w:highlight w:val="none"/>
          <w:lang w:val="en-US"/>
        </w:rPr>
        <w:t>2.</w:t>
      </w:r>
      <w:r>
        <w:rPr>
          <w:rFonts w:hint="eastAsia"/>
          <w:color w:val="auto"/>
          <w:sz w:val="21"/>
          <w:szCs w:val="21"/>
          <w:highlight w:val="none"/>
        </w:rPr>
        <w:t xml:space="preserve">施工组织设计除采用文字表述外应附下列图表，图表及格式要求附后。 </w:t>
      </w:r>
    </w:p>
    <w:p w14:paraId="65411E77">
      <w:pPr>
        <w:pStyle w:val="35"/>
        <w:ind w:firstLine="420" w:firstLineChars="200"/>
        <w:rPr>
          <w:rFonts w:hint="eastAsia"/>
          <w:color w:val="auto"/>
          <w:sz w:val="21"/>
          <w:szCs w:val="21"/>
          <w:highlight w:val="none"/>
        </w:rPr>
      </w:pPr>
      <w:r>
        <w:rPr>
          <w:rFonts w:hint="eastAsia"/>
          <w:color w:val="auto"/>
          <w:sz w:val="21"/>
          <w:szCs w:val="21"/>
          <w:highlight w:val="none"/>
        </w:rPr>
        <w:t>附件一：拟投入本合同工程的主要施工设备表</w:t>
      </w:r>
    </w:p>
    <w:p w14:paraId="79A9382E">
      <w:pPr>
        <w:pStyle w:val="35"/>
        <w:ind w:firstLine="420" w:firstLineChars="200"/>
        <w:rPr>
          <w:rFonts w:hint="eastAsia"/>
          <w:color w:val="auto"/>
          <w:sz w:val="21"/>
          <w:szCs w:val="21"/>
          <w:highlight w:val="none"/>
        </w:rPr>
      </w:pPr>
      <w:r>
        <w:rPr>
          <w:rFonts w:hint="eastAsia"/>
          <w:color w:val="auto"/>
          <w:sz w:val="21"/>
          <w:szCs w:val="21"/>
          <w:highlight w:val="none"/>
        </w:rPr>
        <w:t>附件二：拟投入本合同工程的试验和检测仪器设备表</w:t>
      </w:r>
    </w:p>
    <w:p w14:paraId="6F6FE46B">
      <w:pPr>
        <w:pStyle w:val="35"/>
        <w:ind w:firstLine="420" w:firstLineChars="200"/>
        <w:rPr>
          <w:rFonts w:hint="eastAsia"/>
          <w:color w:val="auto"/>
          <w:sz w:val="21"/>
          <w:szCs w:val="21"/>
          <w:highlight w:val="none"/>
        </w:rPr>
      </w:pPr>
      <w:r>
        <w:rPr>
          <w:rFonts w:hint="eastAsia"/>
          <w:color w:val="auto"/>
          <w:sz w:val="21"/>
          <w:szCs w:val="21"/>
          <w:highlight w:val="none"/>
        </w:rPr>
        <w:t>附件三：拟投入本合同工程的劳动力计划表</w:t>
      </w:r>
    </w:p>
    <w:p w14:paraId="1354C1AC">
      <w:pPr>
        <w:pStyle w:val="35"/>
        <w:ind w:firstLine="420" w:firstLineChars="200"/>
        <w:rPr>
          <w:rFonts w:hint="eastAsia"/>
          <w:color w:val="auto"/>
          <w:sz w:val="21"/>
          <w:szCs w:val="21"/>
          <w:highlight w:val="none"/>
        </w:rPr>
      </w:pPr>
      <w:r>
        <w:rPr>
          <w:rFonts w:hint="eastAsia"/>
          <w:color w:val="auto"/>
          <w:sz w:val="21"/>
          <w:szCs w:val="21"/>
          <w:highlight w:val="none"/>
        </w:rPr>
        <w:t>附件四、拟投入本合同工程的材料进场计划表</w:t>
      </w:r>
    </w:p>
    <w:p w14:paraId="2E46097A">
      <w:pPr>
        <w:pStyle w:val="35"/>
        <w:ind w:firstLine="420" w:firstLineChars="200"/>
        <w:rPr>
          <w:rFonts w:hint="eastAsia"/>
          <w:color w:val="auto"/>
          <w:sz w:val="21"/>
          <w:szCs w:val="21"/>
          <w:highlight w:val="none"/>
        </w:rPr>
      </w:pPr>
      <w:r>
        <w:rPr>
          <w:rFonts w:hint="eastAsia"/>
          <w:color w:val="auto"/>
          <w:sz w:val="21"/>
          <w:szCs w:val="21"/>
          <w:highlight w:val="none"/>
        </w:rPr>
        <w:t>附件五：计划开工日期、完工日期和施工进度网络图(或横递图)</w:t>
      </w:r>
    </w:p>
    <w:p w14:paraId="51807DE0">
      <w:pPr>
        <w:pStyle w:val="35"/>
        <w:ind w:firstLine="420" w:firstLineChars="200"/>
        <w:rPr>
          <w:rFonts w:hint="eastAsia"/>
          <w:color w:val="auto"/>
          <w:sz w:val="21"/>
          <w:szCs w:val="21"/>
          <w:highlight w:val="none"/>
        </w:rPr>
      </w:pPr>
      <w:r>
        <w:rPr>
          <w:rFonts w:hint="eastAsia"/>
          <w:color w:val="auto"/>
          <w:sz w:val="21"/>
          <w:szCs w:val="21"/>
          <w:highlight w:val="none"/>
        </w:rPr>
        <w:t>附件六：施工总平面图</w:t>
      </w:r>
    </w:p>
    <w:p w14:paraId="1AF531DA">
      <w:pPr>
        <w:pStyle w:val="35"/>
        <w:ind w:firstLine="420" w:firstLineChars="200"/>
        <w:rPr>
          <w:rFonts w:hint="eastAsia"/>
          <w:color w:val="auto"/>
          <w:sz w:val="21"/>
          <w:szCs w:val="21"/>
          <w:highlight w:val="none"/>
        </w:rPr>
      </w:pPr>
      <w:r>
        <w:rPr>
          <w:rFonts w:hint="eastAsia"/>
          <w:color w:val="auto"/>
          <w:sz w:val="21"/>
          <w:szCs w:val="21"/>
          <w:highlight w:val="none"/>
        </w:rPr>
        <w:t>附件七：临时用地表</w:t>
      </w:r>
    </w:p>
    <w:p w14:paraId="66F31CC7">
      <w:pPr>
        <w:rPr>
          <w:rFonts w:hint="eastAsia" w:ascii="宋体" w:hAnsi="宋体" w:cs="宋体"/>
          <w:b/>
          <w:color w:val="auto"/>
          <w:szCs w:val="21"/>
          <w:highlight w:val="none"/>
        </w:rPr>
      </w:pPr>
      <w:r>
        <w:rPr>
          <w:rFonts w:hint="eastAsia" w:ascii="仿宋" w:hAnsi="仿宋" w:eastAsia="仿宋" w:cs="仿宋"/>
          <w:b/>
          <w:color w:val="auto"/>
          <w:sz w:val="30"/>
          <w:szCs w:val="30"/>
          <w:highlight w:val="none"/>
        </w:rPr>
        <w:br w:type="page"/>
      </w:r>
      <w:bookmarkStart w:id="105" w:name="bookmark2228"/>
      <w:bookmarkStart w:id="106" w:name="bookmark2229"/>
      <w:bookmarkStart w:id="107" w:name="bookmark2230"/>
      <w:r>
        <w:rPr>
          <w:rFonts w:hint="eastAsia" w:ascii="宋体" w:hAnsi="宋体" w:cs="宋体"/>
          <w:b/>
          <w:color w:val="auto"/>
          <w:szCs w:val="21"/>
          <w:highlight w:val="none"/>
        </w:rPr>
        <w:t>附件一：拟投入本标段的主要施工设备表</w:t>
      </w:r>
      <w:bookmarkEnd w:id="105"/>
      <w:bookmarkEnd w:id="106"/>
      <w:bookmarkEnd w:id="107"/>
    </w:p>
    <w:p w14:paraId="4C716D4C">
      <w:pPr>
        <w:rPr>
          <w:rFonts w:hint="eastAsia" w:ascii="宋体" w:hAnsi="宋体" w:cs="宋体"/>
          <w:color w:val="auto"/>
          <w:szCs w:val="21"/>
          <w:highlight w:val="none"/>
        </w:rPr>
      </w:pPr>
    </w:p>
    <w:p w14:paraId="1110BA70">
      <w:pPr>
        <w:jc w:val="center"/>
        <w:rPr>
          <w:rFonts w:hint="eastAsia" w:ascii="宋体" w:hAnsi="宋体" w:cs="宋体"/>
          <w:b/>
          <w:color w:val="auto"/>
          <w:szCs w:val="21"/>
          <w:highlight w:val="none"/>
        </w:rPr>
      </w:pPr>
      <w:bookmarkStart w:id="108" w:name="bookmark2232"/>
      <w:bookmarkStart w:id="109" w:name="_Toc19570"/>
      <w:bookmarkStart w:id="110" w:name="_Toc13379"/>
      <w:bookmarkStart w:id="111" w:name="bookmark2231"/>
      <w:bookmarkStart w:id="112" w:name="bookmark2233"/>
      <w:r>
        <w:rPr>
          <w:rFonts w:hint="eastAsia" w:ascii="宋体" w:hAnsi="宋体" w:cs="宋体"/>
          <w:b/>
          <w:color w:val="auto"/>
          <w:szCs w:val="21"/>
          <w:highlight w:val="none"/>
        </w:rPr>
        <w:t>拟投入本标段的主要施工设备表</w:t>
      </w:r>
      <w:bookmarkEnd w:id="108"/>
      <w:bookmarkEnd w:id="109"/>
      <w:bookmarkEnd w:id="110"/>
      <w:bookmarkEnd w:id="111"/>
      <w:bookmarkEnd w:id="112"/>
    </w:p>
    <w:p w14:paraId="41D0141B">
      <w:pPr>
        <w:jc w:val="center"/>
        <w:rPr>
          <w:rFonts w:hint="eastAsia" w:ascii="宋体" w:hAnsi="宋体" w:cs="宋体"/>
          <w:color w:val="auto"/>
          <w:highlight w:val="none"/>
        </w:rPr>
      </w:pPr>
    </w:p>
    <w:tbl>
      <w:tblPr>
        <w:tblStyle w:val="23"/>
        <w:tblW w:w="9351" w:type="dxa"/>
        <w:jc w:val="center"/>
        <w:tblLayout w:type="fixed"/>
        <w:tblCellMar>
          <w:top w:w="0" w:type="dxa"/>
          <w:left w:w="10" w:type="dxa"/>
          <w:bottom w:w="0" w:type="dxa"/>
          <w:right w:w="10" w:type="dxa"/>
        </w:tblCellMar>
      </w:tblPr>
      <w:tblGrid>
        <w:gridCol w:w="427"/>
        <w:gridCol w:w="1133"/>
        <w:gridCol w:w="864"/>
        <w:gridCol w:w="869"/>
        <w:gridCol w:w="864"/>
        <w:gridCol w:w="864"/>
        <w:gridCol w:w="864"/>
        <w:gridCol w:w="864"/>
        <w:gridCol w:w="864"/>
        <w:gridCol w:w="864"/>
        <w:gridCol w:w="874"/>
      </w:tblGrid>
      <w:tr w14:paraId="40106792">
        <w:tblPrEx>
          <w:tblCellMar>
            <w:top w:w="0" w:type="dxa"/>
            <w:left w:w="10" w:type="dxa"/>
            <w:bottom w:w="0" w:type="dxa"/>
            <w:right w:w="10" w:type="dxa"/>
          </w:tblCellMar>
        </w:tblPrEx>
        <w:trPr>
          <w:trHeight w:val="832" w:hRule="exact"/>
          <w:jc w:val="center"/>
        </w:trPr>
        <w:tc>
          <w:tcPr>
            <w:tcW w:w="427" w:type="dxa"/>
            <w:tcBorders>
              <w:top w:val="single" w:color="auto" w:sz="4" w:space="0"/>
              <w:left w:val="single" w:color="auto" w:sz="4" w:space="0"/>
            </w:tcBorders>
            <w:shd w:val="clear" w:color="auto" w:fill="FFFFFF"/>
            <w:noWrap w:val="0"/>
            <w:vAlign w:val="center"/>
          </w:tcPr>
          <w:p w14:paraId="153B2150">
            <w:pPr>
              <w:pStyle w:val="36"/>
              <w:spacing w:line="264" w:lineRule="exact"/>
              <w:jc w:val="center"/>
              <w:rPr>
                <w:rFonts w:hint="eastAsia"/>
                <w:color w:val="auto"/>
                <w:sz w:val="21"/>
                <w:szCs w:val="21"/>
                <w:highlight w:val="none"/>
              </w:rPr>
            </w:pPr>
            <w:r>
              <w:rPr>
                <w:rFonts w:hint="eastAsia"/>
                <w:color w:val="auto"/>
                <w:sz w:val="21"/>
                <w:szCs w:val="21"/>
                <w:highlight w:val="none"/>
              </w:rPr>
              <w:t>序 号</w:t>
            </w:r>
          </w:p>
        </w:tc>
        <w:tc>
          <w:tcPr>
            <w:tcW w:w="1133" w:type="dxa"/>
            <w:tcBorders>
              <w:top w:val="single" w:color="auto" w:sz="4" w:space="0"/>
              <w:left w:val="single" w:color="auto" w:sz="4" w:space="0"/>
            </w:tcBorders>
            <w:shd w:val="clear" w:color="auto" w:fill="FFFFFF"/>
            <w:noWrap w:val="0"/>
            <w:vAlign w:val="center"/>
          </w:tcPr>
          <w:p w14:paraId="71AFCDD2">
            <w:pPr>
              <w:pStyle w:val="36"/>
              <w:spacing w:line="269" w:lineRule="exact"/>
              <w:jc w:val="center"/>
              <w:rPr>
                <w:rFonts w:hint="eastAsia"/>
                <w:color w:val="auto"/>
                <w:sz w:val="21"/>
                <w:szCs w:val="21"/>
                <w:highlight w:val="none"/>
              </w:rPr>
            </w:pPr>
            <w:r>
              <w:rPr>
                <w:rFonts w:hint="eastAsia"/>
                <w:color w:val="auto"/>
                <w:sz w:val="21"/>
                <w:szCs w:val="21"/>
                <w:highlight w:val="none"/>
              </w:rPr>
              <w:t>施工机械名称</w:t>
            </w:r>
          </w:p>
        </w:tc>
        <w:tc>
          <w:tcPr>
            <w:tcW w:w="864" w:type="dxa"/>
            <w:tcBorders>
              <w:top w:val="single" w:color="auto" w:sz="4" w:space="0"/>
              <w:left w:val="single" w:color="auto" w:sz="4" w:space="0"/>
            </w:tcBorders>
            <w:shd w:val="clear" w:color="auto" w:fill="FFFFFF"/>
            <w:noWrap w:val="0"/>
            <w:vAlign w:val="center"/>
          </w:tcPr>
          <w:p w14:paraId="7E9A145D">
            <w:pPr>
              <w:pStyle w:val="36"/>
              <w:spacing w:after="60" w:line="240" w:lineRule="auto"/>
              <w:jc w:val="center"/>
              <w:rPr>
                <w:rFonts w:hint="eastAsia"/>
                <w:color w:val="auto"/>
                <w:sz w:val="21"/>
                <w:szCs w:val="21"/>
                <w:highlight w:val="none"/>
              </w:rPr>
            </w:pPr>
            <w:r>
              <w:rPr>
                <w:rFonts w:hint="eastAsia"/>
                <w:color w:val="auto"/>
                <w:sz w:val="21"/>
                <w:szCs w:val="21"/>
                <w:highlight w:val="none"/>
              </w:rPr>
              <w:t>型号</w:t>
            </w:r>
            <w:r>
              <w:rPr>
                <w:rFonts w:hint="eastAsia"/>
                <w:color w:val="auto"/>
                <w:sz w:val="21"/>
                <w:szCs w:val="21"/>
                <w:highlight w:val="none"/>
                <w:lang w:eastAsia="zh-CN"/>
              </w:rPr>
              <w:t>、</w:t>
            </w:r>
            <w:r>
              <w:rPr>
                <w:rFonts w:hint="eastAsia"/>
                <w:color w:val="auto"/>
                <w:sz w:val="21"/>
                <w:szCs w:val="21"/>
                <w:highlight w:val="none"/>
              </w:rPr>
              <w:t>规格</w:t>
            </w:r>
          </w:p>
        </w:tc>
        <w:tc>
          <w:tcPr>
            <w:tcW w:w="869" w:type="dxa"/>
            <w:tcBorders>
              <w:top w:val="single" w:color="auto" w:sz="4" w:space="0"/>
              <w:left w:val="single" w:color="auto" w:sz="4" w:space="0"/>
            </w:tcBorders>
            <w:shd w:val="clear" w:color="auto" w:fill="FFFFFF"/>
            <w:noWrap w:val="0"/>
            <w:vAlign w:val="center"/>
          </w:tcPr>
          <w:p w14:paraId="4CFE156E">
            <w:pPr>
              <w:pStyle w:val="36"/>
              <w:spacing w:line="240" w:lineRule="auto"/>
              <w:jc w:val="center"/>
              <w:rPr>
                <w:rFonts w:hint="eastAsia"/>
                <w:color w:val="auto"/>
                <w:sz w:val="21"/>
                <w:szCs w:val="21"/>
                <w:highlight w:val="none"/>
              </w:rPr>
            </w:pPr>
            <w:r>
              <w:rPr>
                <w:rFonts w:hint="eastAsia"/>
                <w:color w:val="auto"/>
                <w:sz w:val="21"/>
                <w:szCs w:val="21"/>
                <w:highlight w:val="none"/>
              </w:rPr>
              <w:t>数量</w:t>
            </w:r>
          </w:p>
        </w:tc>
        <w:tc>
          <w:tcPr>
            <w:tcW w:w="864" w:type="dxa"/>
            <w:tcBorders>
              <w:top w:val="single" w:color="auto" w:sz="4" w:space="0"/>
              <w:left w:val="single" w:color="auto" w:sz="4" w:space="0"/>
            </w:tcBorders>
            <w:shd w:val="clear" w:color="auto" w:fill="FFFFFF"/>
            <w:noWrap w:val="0"/>
            <w:vAlign w:val="center"/>
          </w:tcPr>
          <w:p w14:paraId="5C0F29A5">
            <w:pPr>
              <w:pStyle w:val="36"/>
              <w:spacing w:line="266" w:lineRule="exact"/>
              <w:jc w:val="center"/>
              <w:rPr>
                <w:rFonts w:hint="eastAsia"/>
                <w:color w:val="auto"/>
                <w:sz w:val="21"/>
                <w:szCs w:val="21"/>
                <w:highlight w:val="none"/>
              </w:rPr>
            </w:pPr>
            <w:r>
              <w:rPr>
                <w:rFonts w:hint="eastAsia"/>
                <w:color w:val="auto"/>
                <w:sz w:val="21"/>
                <w:szCs w:val="21"/>
                <w:highlight w:val="none"/>
              </w:rPr>
              <w:t>制造年份</w:t>
            </w:r>
          </w:p>
        </w:tc>
        <w:tc>
          <w:tcPr>
            <w:tcW w:w="864" w:type="dxa"/>
            <w:tcBorders>
              <w:top w:val="single" w:color="auto" w:sz="4" w:space="0"/>
              <w:left w:val="single" w:color="auto" w:sz="4" w:space="0"/>
            </w:tcBorders>
            <w:shd w:val="clear" w:color="auto" w:fill="FFFFFF"/>
            <w:noWrap w:val="0"/>
            <w:vAlign w:val="center"/>
          </w:tcPr>
          <w:p w14:paraId="3EDE2F84">
            <w:pPr>
              <w:pStyle w:val="36"/>
              <w:spacing w:line="265" w:lineRule="exact"/>
              <w:rPr>
                <w:rFonts w:hint="eastAsia"/>
                <w:color w:val="auto"/>
                <w:sz w:val="21"/>
                <w:szCs w:val="21"/>
                <w:highlight w:val="none"/>
              </w:rPr>
            </w:pPr>
            <w:r>
              <w:rPr>
                <w:rFonts w:hint="eastAsia"/>
                <w:color w:val="auto"/>
                <w:sz w:val="21"/>
                <w:szCs w:val="21"/>
                <w:highlight w:val="none"/>
              </w:rPr>
              <w:t xml:space="preserve">额定功率 </w:t>
            </w:r>
            <w:r>
              <w:rPr>
                <w:rFonts w:hint="eastAsia"/>
                <w:color w:val="auto"/>
                <w:sz w:val="21"/>
                <w:szCs w:val="21"/>
                <w:highlight w:val="none"/>
                <w:lang w:val="en-US" w:bidi="en-US"/>
              </w:rPr>
              <w:t>（KW）</w:t>
            </w:r>
            <w:r>
              <w:rPr>
                <w:rFonts w:hint="eastAsia"/>
                <w:color w:val="auto"/>
                <w:sz w:val="21"/>
                <w:szCs w:val="21"/>
                <w:highlight w:val="none"/>
              </w:rPr>
              <w:t xml:space="preserve"> </w:t>
            </w:r>
          </w:p>
        </w:tc>
        <w:tc>
          <w:tcPr>
            <w:tcW w:w="864" w:type="dxa"/>
            <w:tcBorders>
              <w:top w:val="single" w:color="auto" w:sz="4" w:space="0"/>
              <w:left w:val="single" w:color="auto" w:sz="4" w:space="0"/>
            </w:tcBorders>
            <w:shd w:val="clear" w:color="auto" w:fill="FFFFFF"/>
            <w:noWrap w:val="0"/>
            <w:vAlign w:val="center"/>
          </w:tcPr>
          <w:p w14:paraId="33BBEA10">
            <w:pPr>
              <w:pStyle w:val="36"/>
              <w:spacing w:line="240" w:lineRule="auto"/>
              <w:jc w:val="center"/>
              <w:rPr>
                <w:rFonts w:hint="eastAsia"/>
                <w:color w:val="auto"/>
                <w:sz w:val="21"/>
                <w:szCs w:val="21"/>
                <w:highlight w:val="none"/>
              </w:rPr>
            </w:pPr>
            <w:r>
              <w:rPr>
                <w:rFonts w:hint="eastAsia"/>
                <w:color w:val="auto"/>
                <w:sz w:val="21"/>
                <w:szCs w:val="21"/>
                <w:highlight w:val="none"/>
              </w:rPr>
              <w:t>国别、产地</w:t>
            </w:r>
          </w:p>
        </w:tc>
        <w:tc>
          <w:tcPr>
            <w:tcW w:w="864" w:type="dxa"/>
            <w:tcBorders>
              <w:top w:val="single" w:color="auto" w:sz="4" w:space="0"/>
              <w:left w:val="single" w:color="auto" w:sz="4" w:space="0"/>
            </w:tcBorders>
            <w:shd w:val="clear" w:color="auto" w:fill="FFFFFF"/>
            <w:noWrap w:val="0"/>
            <w:vAlign w:val="center"/>
          </w:tcPr>
          <w:p w14:paraId="02789F99">
            <w:pPr>
              <w:pStyle w:val="36"/>
              <w:spacing w:line="240" w:lineRule="auto"/>
              <w:jc w:val="center"/>
              <w:rPr>
                <w:rFonts w:hint="eastAsia"/>
                <w:color w:val="auto"/>
                <w:sz w:val="21"/>
                <w:szCs w:val="21"/>
                <w:highlight w:val="none"/>
              </w:rPr>
            </w:pPr>
            <w:r>
              <w:rPr>
                <w:rFonts w:hint="eastAsia"/>
                <w:color w:val="auto"/>
                <w:sz w:val="21"/>
                <w:szCs w:val="21"/>
                <w:highlight w:val="none"/>
              </w:rPr>
              <w:t>生产能力</w:t>
            </w:r>
          </w:p>
        </w:tc>
        <w:tc>
          <w:tcPr>
            <w:tcW w:w="864" w:type="dxa"/>
            <w:tcBorders>
              <w:top w:val="single" w:color="auto" w:sz="4" w:space="0"/>
              <w:left w:val="single" w:color="auto" w:sz="4" w:space="0"/>
            </w:tcBorders>
            <w:shd w:val="clear" w:color="auto" w:fill="FFFFFF"/>
            <w:noWrap w:val="0"/>
            <w:vAlign w:val="center"/>
          </w:tcPr>
          <w:p w14:paraId="76C7302F">
            <w:pPr>
              <w:pStyle w:val="36"/>
              <w:spacing w:line="240" w:lineRule="auto"/>
              <w:jc w:val="right"/>
              <w:rPr>
                <w:rFonts w:hint="eastAsia"/>
                <w:color w:val="auto"/>
                <w:sz w:val="21"/>
                <w:szCs w:val="21"/>
                <w:highlight w:val="none"/>
              </w:rPr>
            </w:pPr>
            <w:r>
              <w:rPr>
                <w:rFonts w:hint="eastAsia"/>
                <w:color w:val="auto"/>
                <w:sz w:val="21"/>
                <w:szCs w:val="21"/>
                <w:highlight w:val="none"/>
              </w:rPr>
              <w:t>进场时间</w:t>
            </w:r>
          </w:p>
        </w:tc>
        <w:tc>
          <w:tcPr>
            <w:tcW w:w="864" w:type="dxa"/>
            <w:tcBorders>
              <w:top w:val="single" w:color="auto" w:sz="4" w:space="0"/>
              <w:left w:val="single" w:color="auto" w:sz="4" w:space="0"/>
            </w:tcBorders>
            <w:shd w:val="clear" w:color="auto" w:fill="FFFFFF"/>
            <w:noWrap w:val="0"/>
            <w:vAlign w:val="center"/>
          </w:tcPr>
          <w:p w14:paraId="664B7835">
            <w:pPr>
              <w:pStyle w:val="36"/>
              <w:spacing w:line="240" w:lineRule="auto"/>
              <w:jc w:val="right"/>
              <w:rPr>
                <w:rFonts w:hint="eastAsia"/>
                <w:color w:val="auto"/>
                <w:sz w:val="21"/>
                <w:szCs w:val="21"/>
                <w:highlight w:val="none"/>
              </w:rPr>
            </w:pPr>
            <w:r>
              <w:rPr>
                <w:rFonts w:hint="eastAsia"/>
                <w:color w:val="auto"/>
                <w:sz w:val="21"/>
                <w:szCs w:val="21"/>
                <w:highlight w:val="none"/>
              </w:rPr>
              <w:t>退场时间</w:t>
            </w:r>
          </w:p>
        </w:tc>
        <w:tc>
          <w:tcPr>
            <w:tcW w:w="874" w:type="dxa"/>
            <w:tcBorders>
              <w:top w:val="single" w:color="auto" w:sz="4" w:space="0"/>
              <w:left w:val="single" w:color="auto" w:sz="4" w:space="0"/>
              <w:right w:val="single" w:color="auto" w:sz="4" w:space="0"/>
            </w:tcBorders>
            <w:shd w:val="clear" w:color="auto" w:fill="FFFFFF"/>
            <w:noWrap w:val="0"/>
            <w:vAlign w:val="center"/>
          </w:tcPr>
          <w:p w14:paraId="56DEF418">
            <w:pPr>
              <w:pStyle w:val="36"/>
              <w:spacing w:line="257" w:lineRule="exact"/>
              <w:jc w:val="center"/>
              <w:rPr>
                <w:rFonts w:hint="eastAsia"/>
                <w:color w:val="auto"/>
                <w:sz w:val="21"/>
                <w:szCs w:val="21"/>
                <w:highlight w:val="none"/>
              </w:rPr>
            </w:pPr>
            <w:r>
              <w:rPr>
                <w:rFonts w:hint="eastAsia"/>
                <w:color w:val="auto"/>
                <w:sz w:val="21"/>
                <w:szCs w:val="21"/>
                <w:highlight w:val="none"/>
              </w:rPr>
              <w:t>用于施工 部位</w:t>
            </w:r>
          </w:p>
        </w:tc>
      </w:tr>
      <w:tr w14:paraId="39419B68">
        <w:tblPrEx>
          <w:tblCellMar>
            <w:top w:w="0" w:type="dxa"/>
            <w:left w:w="10" w:type="dxa"/>
            <w:bottom w:w="0" w:type="dxa"/>
            <w:right w:w="10" w:type="dxa"/>
          </w:tblCellMar>
        </w:tblPrEx>
        <w:trPr>
          <w:trHeight w:val="566" w:hRule="exact"/>
          <w:jc w:val="center"/>
        </w:trPr>
        <w:tc>
          <w:tcPr>
            <w:tcW w:w="427" w:type="dxa"/>
            <w:tcBorders>
              <w:top w:val="single" w:color="auto" w:sz="4" w:space="0"/>
              <w:left w:val="single" w:color="auto" w:sz="4" w:space="0"/>
            </w:tcBorders>
            <w:shd w:val="clear" w:color="auto" w:fill="FFFFFF"/>
            <w:noWrap w:val="0"/>
            <w:vAlign w:val="top"/>
          </w:tcPr>
          <w:p w14:paraId="718C9670">
            <w:pPr>
              <w:rPr>
                <w:rFonts w:hint="eastAsia" w:ascii="宋体" w:hAnsi="宋体" w:cs="宋体"/>
                <w:color w:val="auto"/>
                <w:szCs w:val="21"/>
                <w:highlight w:val="none"/>
              </w:rPr>
            </w:pPr>
          </w:p>
        </w:tc>
        <w:tc>
          <w:tcPr>
            <w:tcW w:w="1133" w:type="dxa"/>
            <w:tcBorders>
              <w:top w:val="single" w:color="auto" w:sz="4" w:space="0"/>
              <w:left w:val="single" w:color="auto" w:sz="4" w:space="0"/>
            </w:tcBorders>
            <w:shd w:val="clear" w:color="auto" w:fill="FFFFFF"/>
            <w:noWrap w:val="0"/>
            <w:vAlign w:val="top"/>
          </w:tcPr>
          <w:p w14:paraId="5A11DF72">
            <w:pPr>
              <w:rPr>
                <w:rFonts w:hint="eastAsia" w:ascii="宋体" w:hAnsi="宋体" w:cs="宋体"/>
                <w:color w:val="auto"/>
                <w:szCs w:val="21"/>
                <w:highlight w:val="none"/>
              </w:rPr>
            </w:pPr>
          </w:p>
        </w:tc>
        <w:tc>
          <w:tcPr>
            <w:tcW w:w="864" w:type="dxa"/>
            <w:tcBorders>
              <w:top w:val="single" w:color="auto" w:sz="4" w:space="0"/>
              <w:left w:val="single" w:color="auto" w:sz="4" w:space="0"/>
            </w:tcBorders>
            <w:shd w:val="clear" w:color="auto" w:fill="FFFFFF"/>
            <w:noWrap w:val="0"/>
            <w:vAlign w:val="top"/>
          </w:tcPr>
          <w:p w14:paraId="5F99D4C5">
            <w:pPr>
              <w:rPr>
                <w:rFonts w:hint="eastAsia" w:ascii="宋体" w:hAnsi="宋体" w:cs="宋体"/>
                <w:color w:val="auto"/>
                <w:szCs w:val="21"/>
                <w:highlight w:val="none"/>
              </w:rPr>
            </w:pPr>
          </w:p>
        </w:tc>
        <w:tc>
          <w:tcPr>
            <w:tcW w:w="869" w:type="dxa"/>
            <w:tcBorders>
              <w:top w:val="single" w:color="auto" w:sz="4" w:space="0"/>
              <w:left w:val="single" w:color="auto" w:sz="4" w:space="0"/>
            </w:tcBorders>
            <w:shd w:val="clear" w:color="auto" w:fill="FFFFFF"/>
            <w:noWrap w:val="0"/>
            <w:vAlign w:val="top"/>
          </w:tcPr>
          <w:p w14:paraId="47FC7A94">
            <w:pPr>
              <w:rPr>
                <w:rFonts w:hint="eastAsia" w:ascii="宋体" w:hAnsi="宋体" w:cs="宋体"/>
                <w:color w:val="auto"/>
                <w:szCs w:val="21"/>
                <w:highlight w:val="none"/>
              </w:rPr>
            </w:pPr>
          </w:p>
        </w:tc>
        <w:tc>
          <w:tcPr>
            <w:tcW w:w="864" w:type="dxa"/>
            <w:tcBorders>
              <w:top w:val="single" w:color="auto" w:sz="4" w:space="0"/>
              <w:left w:val="single" w:color="auto" w:sz="4" w:space="0"/>
            </w:tcBorders>
            <w:shd w:val="clear" w:color="auto" w:fill="FFFFFF"/>
            <w:noWrap w:val="0"/>
            <w:vAlign w:val="top"/>
          </w:tcPr>
          <w:p w14:paraId="1741255A">
            <w:pPr>
              <w:rPr>
                <w:rFonts w:hint="eastAsia" w:ascii="宋体" w:hAnsi="宋体" w:cs="宋体"/>
                <w:color w:val="auto"/>
                <w:szCs w:val="21"/>
                <w:highlight w:val="none"/>
              </w:rPr>
            </w:pPr>
          </w:p>
        </w:tc>
        <w:tc>
          <w:tcPr>
            <w:tcW w:w="864" w:type="dxa"/>
            <w:tcBorders>
              <w:top w:val="single" w:color="auto" w:sz="4" w:space="0"/>
              <w:left w:val="single" w:color="auto" w:sz="4" w:space="0"/>
            </w:tcBorders>
            <w:shd w:val="clear" w:color="auto" w:fill="FFFFFF"/>
            <w:noWrap w:val="0"/>
            <w:vAlign w:val="top"/>
          </w:tcPr>
          <w:p w14:paraId="7AFDEF64">
            <w:pPr>
              <w:rPr>
                <w:rFonts w:hint="eastAsia" w:ascii="宋体" w:hAnsi="宋体" w:cs="宋体"/>
                <w:color w:val="auto"/>
                <w:szCs w:val="21"/>
                <w:highlight w:val="none"/>
              </w:rPr>
            </w:pPr>
          </w:p>
        </w:tc>
        <w:tc>
          <w:tcPr>
            <w:tcW w:w="864" w:type="dxa"/>
            <w:tcBorders>
              <w:top w:val="single" w:color="auto" w:sz="4" w:space="0"/>
              <w:left w:val="single" w:color="auto" w:sz="4" w:space="0"/>
            </w:tcBorders>
            <w:shd w:val="clear" w:color="auto" w:fill="FFFFFF"/>
            <w:noWrap w:val="0"/>
            <w:vAlign w:val="top"/>
          </w:tcPr>
          <w:p w14:paraId="1D1374BA">
            <w:pPr>
              <w:rPr>
                <w:rFonts w:hint="eastAsia" w:ascii="宋体" w:hAnsi="宋体" w:cs="宋体"/>
                <w:color w:val="auto"/>
                <w:szCs w:val="21"/>
                <w:highlight w:val="none"/>
              </w:rPr>
            </w:pPr>
          </w:p>
        </w:tc>
        <w:tc>
          <w:tcPr>
            <w:tcW w:w="864" w:type="dxa"/>
            <w:tcBorders>
              <w:top w:val="single" w:color="auto" w:sz="4" w:space="0"/>
              <w:left w:val="single" w:color="auto" w:sz="4" w:space="0"/>
            </w:tcBorders>
            <w:shd w:val="clear" w:color="auto" w:fill="FFFFFF"/>
            <w:noWrap w:val="0"/>
            <w:vAlign w:val="top"/>
          </w:tcPr>
          <w:p w14:paraId="4F098BB3">
            <w:pPr>
              <w:rPr>
                <w:rFonts w:hint="eastAsia" w:ascii="宋体" w:hAnsi="宋体" w:cs="宋体"/>
                <w:color w:val="auto"/>
                <w:szCs w:val="21"/>
                <w:highlight w:val="none"/>
              </w:rPr>
            </w:pPr>
          </w:p>
        </w:tc>
        <w:tc>
          <w:tcPr>
            <w:tcW w:w="864" w:type="dxa"/>
            <w:tcBorders>
              <w:top w:val="single" w:color="auto" w:sz="4" w:space="0"/>
              <w:left w:val="single" w:color="auto" w:sz="4" w:space="0"/>
            </w:tcBorders>
            <w:shd w:val="clear" w:color="auto" w:fill="FFFFFF"/>
            <w:noWrap w:val="0"/>
            <w:vAlign w:val="top"/>
          </w:tcPr>
          <w:p w14:paraId="37AD2271">
            <w:pPr>
              <w:rPr>
                <w:rFonts w:hint="eastAsia" w:ascii="宋体" w:hAnsi="宋体" w:cs="宋体"/>
                <w:color w:val="auto"/>
                <w:szCs w:val="21"/>
                <w:highlight w:val="none"/>
              </w:rPr>
            </w:pPr>
          </w:p>
        </w:tc>
        <w:tc>
          <w:tcPr>
            <w:tcW w:w="864" w:type="dxa"/>
            <w:tcBorders>
              <w:top w:val="single" w:color="auto" w:sz="4" w:space="0"/>
              <w:left w:val="single" w:color="auto" w:sz="4" w:space="0"/>
            </w:tcBorders>
            <w:shd w:val="clear" w:color="auto" w:fill="FFFFFF"/>
            <w:noWrap w:val="0"/>
            <w:vAlign w:val="top"/>
          </w:tcPr>
          <w:p w14:paraId="4D12D6EB">
            <w:pPr>
              <w:rPr>
                <w:rFonts w:hint="eastAsia" w:ascii="宋体" w:hAnsi="宋体" w:cs="宋体"/>
                <w:color w:val="auto"/>
                <w:szCs w:val="21"/>
                <w:highlight w:val="none"/>
              </w:rPr>
            </w:pPr>
          </w:p>
        </w:tc>
        <w:tc>
          <w:tcPr>
            <w:tcW w:w="874" w:type="dxa"/>
            <w:tcBorders>
              <w:top w:val="single" w:color="auto" w:sz="4" w:space="0"/>
              <w:left w:val="single" w:color="auto" w:sz="4" w:space="0"/>
              <w:right w:val="single" w:color="auto" w:sz="4" w:space="0"/>
            </w:tcBorders>
            <w:shd w:val="clear" w:color="auto" w:fill="FFFFFF"/>
            <w:noWrap w:val="0"/>
            <w:vAlign w:val="top"/>
          </w:tcPr>
          <w:p w14:paraId="1149ABDB">
            <w:pPr>
              <w:rPr>
                <w:rFonts w:hint="eastAsia" w:ascii="宋体" w:hAnsi="宋体" w:cs="宋体"/>
                <w:color w:val="auto"/>
                <w:szCs w:val="21"/>
                <w:highlight w:val="none"/>
              </w:rPr>
            </w:pPr>
          </w:p>
        </w:tc>
      </w:tr>
      <w:tr w14:paraId="4A5E0D5A">
        <w:tblPrEx>
          <w:tblCellMar>
            <w:top w:w="0" w:type="dxa"/>
            <w:left w:w="10" w:type="dxa"/>
            <w:bottom w:w="0" w:type="dxa"/>
            <w:right w:w="10" w:type="dxa"/>
          </w:tblCellMar>
        </w:tblPrEx>
        <w:trPr>
          <w:trHeight w:val="566" w:hRule="exact"/>
          <w:jc w:val="center"/>
        </w:trPr>
        <w:tc>
          <w:tcPr>
            <w:tcW w:w="427" w:type="dxa"/>
            <w:tcBorders>
              <w:top w:val="single" w:color="auto" w:sz="4" w:space="0"/>
              <w:left w:val="single" w:color="auto" w:sz="4" w:space="0"/>
            </w:tcBorders>
            <w:shd w:val="clear" w:color="auto" w:fill="FFFFFF"/>
            <w:noWrap w:val="0"/>
            <w:vAlign w:val="top"/>
          </w:tcPr>
          <w:p w14:paraId="28C3F6FA">
            <w:pPr>
              <w:rPr>
                <w:rFonts w:hint="eastAsia" w:ascii="宋体" w:hAnsi="宋体" w:cs="宋体"/>
                <w:color w:val="auto"/>
                <w:szCs w:val="21"/>
                <w:highlight w:val="none"/>
              </w:rPr>
            </w:pPr>
          </w:p>
        </w:tc>
        <w:tc>
          <w:tcPr>
            <w:tcW w:w="1133" w:type="dxa"/>
            <w:tcBorders>
              <w:top w:val="single" w:color="auto" w:sz="4" w:space="0"/>
              <w:left w:val="single" w:color="auto" w:sz="4" w:space="0"/>
            </w:tcBorders>
            <w:shd w:val="clear" w:color="auto" w:fill="FFFFFF"/>
            <w:noWrap w:val="0"/>
            <w:vAlign w:val="top"/>
          </w:tcPr>
          <w:p w14:paraId="164CE68E">
            <w:pPr>
              <w:rPr>
                <w:rFonts w:hint="eastAsia" w:ascii="宋体" w:hAnsi="宋体" w:cs="宋体"/>
                <w:color w:val="auto"/>
                <w:szCs w:val="21"/>
                <w:highlight w:val="none"/>
              </w:rPr>
            </w:pPr>
          </w:p>
        </w:tc>
        <w:tc>
          <w:tcPr>
            <w:tcW w:w="864" w:type="dxa"/>
            <w:tcBorders>
              <w:top w:val="single" w:color="auto" w:sz="4" w:space="0"/>
              <w:left w:val="single" w:color="auto" w:sz="4" w:space="0"/>
            </w:tcBorders>
            <w:shd w:val="clear" w:color="auto" w:fill="FFFFFF"/>
            <w:noWrap w:val="0"/>
            <w:vAlign w:val="top"/>
          </w:tcPr>
          <w:p w14:paraId="033556BD">
            <w:pPr>
              <w:rPr>
                <w:rFonts w:hint="eastAsia" w:ascii="宋体" w:hAnsi="宋体" w:cs="宋体"/>
                <w:color w:val="auto"/>
                <w:szCs w:val="21"/>
                <w:highlight w:val="none"/>
              </w:rPr>
            </w:pPr>
          </w:p>
        </w:tc>
        <w:tc>
          <w:tcPr>
            <w:tcW w:w="869" w:type="dxa"/>
            <w:tcBorders>
              <w:top w:val="single" w:color="auto" w:sz="4" w:space="0"/>
              <w:left w:val="single" w:color="auto" w:sz="4" w:space="0"/>
            </w:tcBorders>
            <w:shd w:val="clear" w:color="auto" w:fill="FFFFFF"/>
            <w:noWrap w:val="0"/>
            <w:vAlign w:val="top"/>
          </w:tcPr>
          <w:p w14:paraId="05568C3B">
            <w:pPr>
              <w:rPr>
                <w:rFonts w:hint="eastAsia" w:ascii="宋体" w:hAnsi="宋体" w:cs="宋体"/>
                <w:color w:val="auto"/>
                <w:szCs w:val="21"/>
                <w:highlight w:val="none"/>
              </w:rPr>
            </w:pPr>
          </w:p>
        </w:tc>
        <w:tc>
          <w:tcPr>
            <w:tcW w:w="864" w:type="dxa"/>
            <w:tcBorders>
              <w:top w:val="single" w:color="auto" w:sz="4" w:space="0"/>
              <w:left w:val="single" w:color="auto" w:sz="4" w:space="0"/>
            </w:tcBorders>
            <w:shd w:val="clear" w:color="auto" w:fill="FFFFFF"/>
            <w:noWrap w:val="0"/>
            <w:vAlign w:val="top"/>
          </w:tcPr>
          <w:p w14:paraId="315EF492">
            <w:pPr>
              <w:rPr>
                <w:rFonts w:hint="eastAsia" w:ascii="宋体" w:hAnsi="宋体" w:cs="宋体"/>
                <w:color w:val="auto"/>
                <w:szCs w:val="21"/>
                <w:highlight w:val="none"/>
              </w:rPr>
            </w:pPr>
          </w:p>
        </w:tc>
        <w:tc>
          <w:tcPr>
            <w:tcW w:w="864" w:type="dxa"/>
            <w:tcBorders>
              <w:top w:val="single" w:color="auto" w:sz="4" w:space="0"/>
              <w:left w:val="single" w:color="auto" w:sz="4" w:space="0"/>
            </w:tcBorders>
            <w:shd w:val="clear" w:color="auto" w:fill="FFFFFF"/>
            <w:noWrap w:val="0"/>
            <w:vAlign w:val="top"/>
          </w:tcPr>
          <w:p w14:paraId="769B00ED">
            <w:pPr>
              <w:rPr>
                <w:rFonts w:hint="eastAsia" w:ascii="宋体" w:hAnsi="宋体" w:cs="宋体"/>
                <w:color w:val="auto"/>
                <w:szCs w:val="21"/>
                <w:highlight w:val="none"/>
              </w:rPr>
            </w:pPr>
          </w:p>
        </w:tc>
        <w:tc>
          <w:tcPr>
            <w:tcW w:w="864" w:type="dxa"/>
            <w:tcBorders>
              <w:top w:val="single" w:color="auto" w:sz="4" w:space="0"/>
              <w:left w:val="single" w:color="auto" w:sz="4" w:space="0"/>
            </w:tcBorders>
            <w:shd w:val="clear" w:color="auto" w:fill="FFFFFF"/>
            <w:noWrap w:val="0"/>
            <w:vAlign w:val="top"/>
          </w:tcPr>
          <w:p w14:paraId="6984BD44">
            <w:pPr>
              <w:rPr>
                <w:rFonts w:hint="eastAsia" w:ascii="宋体" w:hAnsi="宋体" w:cs="宋体"/>
                <w:color w:val="auto"/>
                <w:szCs w:val="21"/>
                <w:highlight w:val="none"/>
              </w:rPr>
            </w:pPr>
          </w:p>
        </w:tc>
        <w:tc>
          <w:tcPr>
            <w:tcW w:w="864" w:type="dxa"/>
            <w:tcBorders>
              <w:top w:val="single" w:color="auto" w:sz="4" w:space="0"/>
              <w:left w:val="single" w:color="auto" w:sz="4" w:space="0"/>
            </w:tcBorders>
            <w:shd w:val="clear" w:color="auto" w:fill="FFFFFF"/>
            <w:noWrap w:val="0"/>
            <w:vAlign w:val="top"/>
          </w:tcPr>
          <w:p w14:paraId="3482A658">
            <w:pPr>
              <w:rPr>
                <w:rFonts w:hint="eastAsia" w:ascii="宋体" w:hAnsi="宋体" w:cs="宋体"/>
                <w:color w:val="auto"/>
                <w:szCs w:val="21"/>
                <w:highlight w:val="none"/>
              </w:rPr>
            </w:pPr>
          </w:p>
        </w:tc>
        <w:tc>
          <w:tcPr>
            <w:tcW w:w="864" w:type="dxa"/>
            <w:tcBorders>
              <w:top w:val="single" w:color="auto" w:sz="4" w:space="0"/>
              <w:left w:val="single" w:color="auto" w:sz="4" w:space="0"/>
            </w:tcBorders>
            <w:shd w:val="clear" w:color="auto" w:fill="FFFFFF"/>
            <w:noWrap w:val="0"/>
            <w:vAlign w:val="top"/>
          </w:tcPr>
          <w:p w14:paraId="077BB414">
            <w:pPr>
              <w:rPr>
                <w:rFonts w:hint="eastAsia" w:ascii="宋体" w:hAnsi="宋体" w:cs="宋体"/>
                <w:color w:val="auto"/>
                <w:szCs w:val="21"/>
                <w:highlight w:val="none"/>
              </w:rPr>
            </w:pPr>
          </w:p>
        </w:tc>
        <w:tc>
          <w:tcPr>
            <w:tcW w:w="864" w:type="dxa"/>
            <w:tcBorders>
              <w:top w:val="single" w:color="auto" w:sz="4" w:space="0"/>
              <w:left w:val="single" w:color="auto" w:sz="4" w:space="0"/>
            </w:tcBorders>
            <w:shd w:val="clear" w:color="auto" w:fill="FFFFFF"/>
            <w:noWrap w:val="0"/>
            <w:vAlign w:val="top"/>
          </w:tcPr>
          <w:p w14:paraId="5B0A37BD">
            <w:pPr>
              <w:rPr>
                <w:rFonts w:hint="eastAsia" w:ascii="宋体" w:hAnsi="宋体" w:cs="宋体"/>
                <w:color w:val="auto"/>
                <w:szCs w:val="21"/>
                <w:highlight w:val="none"/>
              </w:rPr>
            </w:pPr>
          </w:p>
        </w:tc>
        <w:tc>
          <w:tcPr>
            <w:tcW w:w="874" w:type="dxa"/>
            <w:tcBorders>
              <w:top w:val="single" w:color="auto" w:sz="4" w:space="0"/>
              <w:left w:val="single" w:color="auto" w:sz="4" w:space="0"/>
              <w:right w:val="single" w:color="auto" w:sz="4" w:space="0"/>
            </w:tcBorders>
            <w:shd w:val="clear" w:color="auto" w:fill="FFFFFF"/>
            <w:noWrap w:val="0"/>
            <w:vAlign w:val="top"/>
          </w:tcPr>
          <w:p w14:paraId="5FDAF75B">
            <w:pPr>
              <w:rPr>
                <w:rFonts w:hint="eastAsia" w:ascii="宋体" w:hAnsi="宋体" w:cs="宋体"/>
                <w:color w:val="auto"/>
                <w:szCs w:val="21"/>
                <w:highlight w:val="none"/>
              </w:rPr>
            </w:pPr>
          </w:p>
        </w:tc>
      </w:tr>
      <w:tr w14:paraId="19513ECB">
        <w:tblPrEx>
          <w:tblCellMar>
            <w:top w:w="0" w:type="dxa"/>
            <w:left w:w="10" w:type="dxa"/>
            <w:bottom w:w="0" w:type="dxa"/>
            <w:right w:w="10" w:type="dxa"/>
          </w:tblCellMar>
        </w:tblPrEx>
        <w:trPr>
          <w:trHeight w:val="566" w:hRule="exact"/>
          <w:jc w:val="center"/>
        </w:trPr>
        <w:tc>
          <w:tcPr>
            <w:tcW w:w="427" w:type="dxa"/>
            <w:tcBorders>
              <w:top w:val="single" w:color="auto" w:sz="4" w:space="0"/>
              <w:left w:val="single" w:color="auto" w:sz="4" w:space="0"/>
            </w:tcBorders>
            <w:shd w:val="clear" w:color="auto" w:fill="FFFFFF"/>
            <w:noWrap w:val="0"/>
            <w:vAlign w:val="top"/>
          </w:tcPr>
          <w:p w14:paraId="7E1F69B4">
            <w:pPr>
              <w:rPr>
                <w:rFonts w:hint="eastAsia" w:ascii="宋体" w:hAnsi="宋体" w:cs="宋体"/>
                <w:color w:val="auto"/>
                <w:szCs w:val="21"/>
                <w:highlight w:val="none"/>
              </w:rPr>
            </w:pPr>
          </w:p>
        </w:tc>
        <w:tc>
          <w:tcPr>
            <w:tcW w:w="1133" w:type="dxa"/>
            <w:tcBorders>
              <w:top w:val="single" w:color="auto" w:sz="4" w:space="0"/>
              <w:left w:val="single" w:color="auto" w:sz="4" w:space="0"/>
            </w:tcBorders>
            <w:shd w:val="clear" w:color="auto" w:fill="FFFFFF"/>
            <w:noWrap w:val="0"/>
            <w:vAlign w:val="top"/>
          </w:tcPr>
          <w:p w14:paraId="0EC65AFD">
            <w:pPr>
              <w:rPr>
                <w:rFonts w:hint="eastAsia" w:ascii="宋体" w:hAnsi="宋体" w:cs="宋体"/>
                <w:color w:val="auto"/>
                <w:szCs w:val="21"/>
                <w:highlight w:val="none"/>
              </w:rPr>
            </w:pPr>
          </w:p>
        </w:tc>
        <w:tc>
          <w:tcPr>
            <w:tcW w:w="864" w:type="dxa"/>
            <w:tcBorders>
              <w:top w:val="single" w:color="auto" w:sz="4" w:space="0"/>
              <w:left w:val="single" w:color="auto" w:sz="4" w:space="0"/>
            </w:tcBorders>
            <w:shd w:val="clear" w:color="auto" w:fill="FFFFFF"/>
            <w:noWrap w:val="0"/>
            <w:vAlign w:val="top"/>
          </w:tcPr>
          <w:p w14:paraId="127EE737">
            <w:pPr>
              <w:rPr>
                <w:rFonts w:hint="eastAsia" w:ascii="宋体" w:hAnsi="宋体" w:cs="宋体"/>
                <w:color w:val="auto"/>
                <w:szCs w:val="21"/>
                <w:highlight w:val="none"/>
              </w:rPr>
            </w:pPr>
          </w:p>
        </w:tc>
        <w:tc>
          <w:tcPr>
            <w:tcW w:w="869" w:type="dxa"/>
            <w:tcBorders>
              <w:top w:val="single" w:color="auto" w:sz="4" w:space="0"/>
              <w:left w:val="single" w:color="auto" w:sz="4" w:space="0"/>
            </w:tcBorders>
            <w:shd w:val="clear" w:color="auto" w:fill="FFFFFF"/>
            <w:noWrap w:val="0"/>
            <w:vAlign w:val="top"/>
          </w:tcPr>
          <w:p w14:paraId="247CFE48">
            <w:pPr>
              <w:rPr>
                <w:rFonts w:hint="eastAsia" w:ascii="宋体" w:hAnsi="宋体" w:cs="宋体"/>
                <w:color w:val="auto"/>
                <w:szCs w:val="21"/>
                <w:highlight w:val="none"/>
              </w:rPr>
            </w:pPr>
          </w:p>
        </w:tc>
        <w:tc>
          <w:tcPr>
            <w:tcW w:w="864" w:type="dxa"/>
            <w:tcBorders>
              <w:top w:val="single" w:color="auto" w:sz="4" w:space="0"/>
              <w:left w:val="single" w:color="auto" w:sz="4" w:space="0"/>
            </w:tcBorders>
            <w:shd w:val="clear" w:color="auto" w:fill="FFFFFF"/>
            <w:noWrap w:val="0"/>
            <w:vAlign w:val="top"/>
          </w:tcPr>
          <w:p w14:paraId="24E72786">
            <w:pPr>
              <w:rPr>
                <w:rFonts w:hint="eastAsia" w:ascii="宋体" w:hAnsi="宋体" w:cs="宋体"/>
                <w:color w:val="auto"/>
                <w:szCs w:val="21"/>
                <w:highlight w:val="none"/>
              </w:rPr>
            </w:pPr>
          </w:p>
        </w:tc>
        <w:tc>
          <w:tcPr>
            <w:tcW w:w="864" w:type="dxa"/>
            <w:tcBorders>
              <w:top w:val="single" w:color="auto" w:sz="4" w:space="0"/>
              <w:left w:val="single" w:color="auto" w:sz="4" w:space="0"/>
            </w:tcBorders>
            <w:shd w:val="clear" w:color="auto" w:fill="FFFFFF"/>
            <w:noWrap w:val="0"/>
            <w:vAlign w:val="top"/>
          </w:tcPr>
          <w:p w14:paraId="3513DC2F">
            <w:pPr>
              <w:rPr>
                <w:rFonts w:hint="eastAsia" w:ascii="宋体" w:hAnsi="宋体" w:cs="宋体"/>
                <w:color w:val="auto"/>
                <w:szCs w:val="21"/>
                <w:highlight w:val="none"/>
              </w:rPr>
            </w:pPr>
          </w:p>
        </w:tc>
        <w:tc>
          <w:tcPr>
            <w:tcW w:w="864" w:type="dxa"/>
            <w:tcBorders>
              <w:top w:val="single" w:color="auto" w:sz="4" w:space="0"/>
              <w:left w:val="single" w:color="auto" w:sz="4" w:space="0"/>
            </w:tcBorders>
            <w:shd w:val="clear" w:color="auto" w:fill="FFFFFF"/>
            <w:noWrap w:val="0"/>
            <w:vAlign w:val="top"/>
          </w:tcPr>
          <w:p w14:paraId="468E3C41">
            <w:pPr>
              <w:rPr>
                <w:rFonts w:hint="eastAsia" w:ascii="宋体" w:hAnsi="宋体" w:cs="宋体"/>
                <w:color w:val="auto"/>
                <w:szCs w:val="21"/>
                <w:highlight w:val="none"/>
              </w:rPr>
            </w:pPr>
          </w:p>
        </w:tc>
        <w:tc>
          <w:tcPr>
            <w:tcW w:w="864" w:type="dxa"/>
            <w:tcBorders>
              <w:top w:val="single" w:color="auto" w:sz="4" w:space="0"/>
              <w:left w:val="single" w:color="auto" w:sz="4" w:space="0"/>
            </w:tcBorders>
            <w:shd w:val="clear" w:color="auto" w:fill="FFFFFF"/>
            <w:noWrap w:val="0"/>
            <w:vAlign w:val="top"/>
          </w:tcPr>
          <w:p w14:paraId="382B1CAA">
            <w:pPr>
              <w:rPr>
                <w:rFonts w:hint="eastAsia" w:ascii="宋体" w:hAnsi="宋体" w:cs="宋体"/>
                <w:color w:val="auto"/>
                <w:szCs w:val="21"/>
                <w:highlight w:val="none"/>
              </w:rPr>
            </w:pPr>
          </w:p>
        </w:tc>
        <w:tc>
          <w:tcPr>
            <w:tcW w:w="864" w:type="dxa"/>
            <w:tcBorders>
              <w:top w:val="single" w:color="auto" w:sz="4" w:space="0"/>
              <w:left w:val="single" w:color="auto" w:sz="4" w:space="0"/>
            </w:tcBorders>
            <w:shd w:val="clear" w:color="auto" w:fill="FFFFFF"/>
            <w:noWrap w:val="0"/>
            <w:vAlign w:val="top"/>
          </w:tcPr>
          <w:p w14:paraId="4C735D14">
            <w:pPr>
              <w:rPr>
                <w:rFonts w:hint="eastAsia" w:ascii="宋体" w:hAnsi="宋体" w:cs="宋体"/>
                <w:color w:val="auto"/>
                <w:szCs w:val="21"/>
                <w:highlight w:val="none"/>
              </w:rPr>
            </w:pPr>
          </w:p>
        </w:tc>
        <w:tc>
          <w:tcPr>
            <w:tcW w:w="864" w:type="dxa"/>
            <w:tcBorders>
              <w:top w:val="single" w:color="auto" w:sz="4" w:space="0"/>
              <w:left w:val="single" w:color="auto" w:sz="4" w:space="0"/>
            </w:tcBorders>
            <w:shd w:val="clear" w:color="auto" w:fill="FFFFFF"/>
            <w:noWrap w:val="0"/>
            <w:vAlign w:val="top"/>
          </w:tcPr>
          <w:p w14:paraId="384158F1">
            <w:pPr>
              <w:rPr>
                <w:rFonts w:hint="eastAsia" w:ascii="宋体" w:hAnsi="宋体" w:cs="宋体"/>
                <w:color w:val="auto"/>
                <w:szCs w:val="21"/>
                <w:highlight w:val="none"/>
              </w:rPr>
            </w:pPr>
          </w:p>
        </w:tc>
        <w:tc>
          <w:tcPr>
            <w:tcW w:w="874" w:type="dxa"/>
            <w:tcBorders>
              <w:top w:val="single" w:color="auto" w:sz="4" w:space="0"/>
              <w:left w:val="single" w:color="auto" w:sz="4" w:space="0"/>
              <w:right w:val="single" w:color="auto" w:sz="4" w:space="0"/>
            </w:tcBorders>
            <w:shd w:val="clear" w:color="auto" w:fill="FFFFFF"/>
            <w:noWrap w:val="0"/>
            <w:vAlign w:val="top"/>
          </w:tcPr>
          <w:p w14:paraId="026CC6DA">
            <w:pPr>
              <w:rPr>
                <w:rFonts w:hint="eastAsia" w:ascii="宋体" w:hAnsi="宋体" w:cs="宋体"/>
                <w:color w:val="auto"/>
                <w:szCs w:val="21"/>
                <w:highlight w:val="none"/>
              </w:rPr>
            </w:pPr>
          </w:p>
        </w:tc>
      </w:tr>
      <w:tr w14:paraId="1751BA66">
        <w:tblPrEx>
          <w:tblCellMar>
            <w:top w:w="0" w:type="dxa"/>
            <w:left w:w="10" w:type="dxa"/>
            <w:bottom w:w="0" w:type="dxa"/>
            <w:right w:w="10" w:type="dxa"/>
          </w:tblCellMar>
        </w:tblPrEx>
        <w:trPr>
          <w:trHeight w:val="566" w:hRule="exact"/>
          <w:jc w:val="center"/>
        </w:trPr>
        <w:tc>
          <w:tcPr>
            <w:tcW w:w="427" w:type="dxa"/>
            <w:tcBorders>
              <w:top w:val="single" w:color="auto" w:sz="4" w:space="0"/>
              <w:left w:val="single" w:color="auto" w:sz="4" w:space="0"/>
            </w:tcBorders>
            <w:shd w:val="clear" w:color="auto" w:fill="FFFFFF"/>
            <w:noWrap w:val="0"/>
            <w:vAlign w:val="top"/>
          </w:tcPr>
          <w:p w14:paraId="273A17AC">
            <w:pPr>
              <w:rPr>
                <w:rFonts w:hint="eastAsia" w:ascii="宋体" w:hAnsi="宋体" w:cs="宋体"/>
                <w:color w:val="auto"/>
                <w:szCs w:val="21"/>
                <w:highlight w:val="none"/>
              </w:rPr>
            </w:pPr>
          </w:p>
        </w:tc>
        <w:tc>
          <w:tcPr>
            <w:tcW w:w="1133" w:type="dxa"/>
            <w:tcBorders>
              <w:top w:val="single" w:color="auto" w:sz="4" w:space="0"/>
              <w:left w:val="single" w:color="auto" w:sz="4" w:space="0"/>
            </w:tcBorders>
            <w:shd w:val="clear" w:color="auto" w:fill="FFFFFF"/>
            <w:noWrap w:val="0"/>
            <w:vAlign w:val="top"/>
          </w:tcPr>
          <w:p w14:paraId="4F81F78D">
            <w:pPr>
              <w:rPr>
                <w:rFonts w:hint="eastAsia" w:ascii="宋体" w:hAnsi="宋体" w:cs="宋体"/>
                <w:color w:val="auto"/>
                <w:szCs w:val="21"/>
                <w:highlight w:val="none"/>
              </w:rPr>
            </w:pPr>
          </w:p>
        </w:tc>
        <w:tc>
          <w:tcPr>
            <w:tcW w:w="864" w:type="dxa"/>
            <w:tcBorders>
              <w:top w:val="single" w:color="auto" w:sz="4" w:space="0"/>
              <w:left w:val="single" w:color="auto" w:sz="4" w:space="0"/>
            </w:tcBorders>
            <w:shd w:val="clear" w:color="auto" w:fill="FFFFFF"/>
            <w:noWrap w:val="0"/>
            <w:vAlign w:val="top"/>
          </w:tcPr>
          <w:p w14:paraId="58FF37FB">
            <w:pPr>
              <w:rPr>
                <w:rFonts w:hint="eastAsia" w:ascii="宋体" w:hAnsi="宋体" w:cs="宋体"/>
                <w:color w:val="auto"/>
                <w:szCs w:val="21"/>
                <w:highlight w:val="none"/>
              </w:rPr>
            </w:pPr>
          </w:p>
        </w:tc>
        <w:tc>
          <w:tcPr>
            <w:tcW w:w="869" w:type="dxa"/>
            <w:tcBorders>
              <w:top w:val="single" w:color="auto" w:sz="4" w:space="0"/>
              <w:left w:val="single" w:color="auto" w:sz="4" w:space="0"/>
            </w:tcBorders>
            <w:shd w:val="clear" w:color="auto" w:fill="FFFFFF"/>
            <w:noWrap w:val="0"/>
            <w:vAlign w:val="top"/>
          </w:tcPr>
          <w:p w14:paraId="43778112">
            <w:pPr>
              <w:rPr>
                <w:rFonts w:hint="eastAsia" w:ascii="宋体" w:hAnsi="宋体" w:cs="宋体"/>
                <w:color w:val="auto"/>
                <w:szCs w:val="21"/>
                <w:highlight w:val="none"/>
              </w:rPr>
            </w:pPr>
          </w:p>
        </w:tc>
        <w:tc>
          <w:tcPr>
            <w:tcW w:w="864" w:type="dxa"/>
            <w:tcBorders>
              <w:top w:val="single" w:color="auto" w:sz="4" w:space="0"/>
              <w:left w:val="single" w:color="auto" w:sz="4" w:space="0"/>
            </w:tcBorders>
            <w:shd w:val="clear" w:color="auto" w:fill="FFFFFF"/>
            <w:noWrap w:val="0"/>
            <w:vAlign w:val="top"/>
          </w:tcPr>
          <w:p w14:paraId="2B190992">
            <w:pPr>
              <w:rPr>
                <w:rFonts w:hint="eastAsia" w:ascii="宋体" w:hAnsi="宋体" w:cs="宋体"/>
                <w:color w:val="auto"/>
                <w:szCs w:val="21"/>
                <w:highlight w:val="none"/>
              </w:rPr>
            </w:pPr>
          </w:p>
        </w:tc>
        <w:tc>
          <w:tcPr>
            <w:tcW w:w="864" w:type="dxa"/>
            <w:tcBorders>
              <w:top w:val="single" w:color="auto" w:sz="4" w:space="0"/>
              <w:left w:val="single" w:color="auto" w:sz="4" w:space="0"/>
            </w:tcBorders>
            <w:shd w:val="clear" w:color="auto" w:fill="FFFFFF"/>
            <w:noWrap w:val="0"/>
            <w:vAlign w:val="top"/>
          </w:tcPr>
          <w:p w14:paraId="244E3BAC">
            <w:pPr>
              <w:rPr>
                <w:rFonts w:hint="eastAsia" w:ascii="宋体" w:hAnsi="宋体" w:cs="宋体"/>
                <w:color w:val="auto"/>
                <w:szCs w:val="21"/>
                <w:highlight w:val="none"/>
              </w:rPr>
            </w:pPr>
          </w:p>
        </w:tc>
        <w:tc>
          <w:tcPr>
            <w:tcW w:w="864" w:type="dxa"/>
            <w:tcBorders>
              <w:top w:val="single" w:color="auto" w:sz="4" w:space="0"/>
              <w:left w:val="single" w:color="auto" w:sz="4" w:space="0"/>
            </w:tcBorders>
            <w:shd w:val="clear" w:color="auto" w:fill="FFFFFF"/>
            <w:noWrap w:val="0"/>
            <w:vAlign w:val="top"/>
          </w:tcPr>
          <w:p w14:paraId="28F366CD">
            <w:pPr>
              <w:rPr>
                <w:rFonts w:hint="eastAsia" w:ascii="宋体" w:hAnsi="宋体" w:cs="宋体"/>
                <w:color w:val="auto"/>
                <w:szCs w:val="21"/>
                <w:highlight w:val="none"/>
              </w:rPr>
            </w:pPr>
          </w:p>
        </w:tc>
        <w:tc>
          <w:tcPr>
            <w:tcW w:w="864" w:type="dxa"/>
            <w:tcBorders>
              <w:top w:val="single" w:color="auto" w:sz="4" w:space="0"/>
              <w:left w:val="single" w:color="auto" w:sz="4" w:space="0"/>
            </w:tcBorders>
            <w:shd w:val="clear" w:color="auto" w:fill="FFFFFF"/>
            <w:noWrap w:val="0"/>
            <w:vAlign w:val="top"/>
          </w:tcPr>
          <w:p w14:paraId="0F326BD7">
            <w:pPr>
              <w:rPr>
                <w:rFonts w:hint="eastAsia" w:ascii="宋体" w:hAnsi="宋体" w:cs="宋体"/>
                <w:color w:val="auto"/>
                <w:szCs w:val="21"/>
                <w:highlight w:val="none"/>
              </w:rPr>
            </w:pPr>
          </w:p>
        </w:tc>
        <w:tc>
          <w:tcPr>
            <w:tcW w:w="864" w:type="dxa"/>
            <w:tcBorders>
              <w:top w:val="single" w:color="auto" w:sz="4" w:space="0"/>
              <w:left w:val="single" w:color="auto" w:sz="4" w:space="0"/>
            </w:tcBorders>
            <w:shd w:val="clear" w:color="auto" w:fill="FFFFFF"/>
            <w:noWrap w:val="0"/>
            <w:vAlign w:val="top"/>
          </w:tcPr>
          <w:p w14:paraId="340A1BD1">
            <w:pPr>
              <w:rPr>
                <w:rFonts w:hint="eastAsia" w:ascii="宋体" w:hAnsi="宋体" w:cs="宋体"/>
                <w:color w:val="auto"/>
                <w:szCs w:val="21"/>
                <w:highlight w:val="none"/>
              </w:rPr>
            </w:pPr>
          </w:p>
        </w:tc>
        <w:tc>
          <w:tcPr>
            <w:tcW w:w="864" w:type="dxa"/>
            <w:tcBorders>
              <w:top w:val="single" w:color="auto" w:sz="4" w:space="0"/>
              <w:left w:val="single" w:color="auto" w:sz="4" w:space="0"/>
            </w:tcBorders>
            <w:shd w:val="clear" w:color="auto" w:fill="FFFFFF"/>
            <w:noWrap w:val="0"/>
            <w:vAlign w:val="top"/>
          </w:tcPr>
          <w:p w14:paraId="03291386">
            <w:pPr>
              <w:rPr>
                <w:rFonts w:hint="eastAsia" w:ascii="宋体" w:hAnsi="宋体" w:cs="宋体"/>
                <w:color w:val="auto"/>
                <w:szCs w:val="21"/>
                <w:highlight w:val="none"/>
              </w:rPr>
            </w:pPr>
          </w:p>
        </w:tc>
        <w:tc>
          <w:tcPr>
            <w:tcW w:w="874" w:type="dxa"/>
            <w:tcBorders>
              <w:top w:val="single" w:color="auto" w:sz="4" w:space="0"/>
              <w:left w:val="single" w:color="auto" w:sz="4" w:space="0"/>
              <w:right w:val="single" w:color="auto" w:sz="4" w:space="0"/>
            </w:tcBorders>
            <w:shd w:val="clear" w:color="auto" w:fill="FFFFFF"/>
            <w:noWrap w:val="0"/>
            <w:vAlign w:val="top"/>
          </w:tcPr>
          <w:p w14:paraId="2082578B">
            <w:pPr>
              <w:rPr>
                <w:rFonts w:hint="eastAsia" w:ascii="宋体" w:hAnsi="宋体" w:cs="宋体"/>
                <w:color w:val="auto"/>
                <w:szCs w:val="21"/>
                <w:highlight w:val="none"/>
              </w:rPr>
            </w:pPr>
          </w:p>
        </w:tc>
      </w:tr>
      <w:tr w14:paraId="0E90A08D">
        <w:tblPrEx>
          <w:tblCellMar>
            <w:top w:w="0" w:type="dxa"/>
            <w:left w:w="10" w:type="dxa"/>
            <w:bottom w:w="0" w:type="dxa"/>
            <w:right w:w="10" w:type="dxa"/>
          </w:tblCellMar>
        </w:tblPrEx>
        <w:trPr>
          <w:trHeight w:val="576" w:hRule="exact"/>
          <w:jc w:val="center"/>
        </w:trPr>
        <w:tc>
          <w:tcPr>
            <w:tcW w:w="427" w:type="dxa"/>
            <w:tcBorders>
              <w:top w:val="single" w:color="auto" w:sz="4" w:space="0"/>
              <w:left w:val="single" w:color="auto" w:sz="4" w:space="0"/>
              <w:bottom w:val="single" w:color="auto" w:sz="4" w:space="0"/>
            </w:tcBorders>
            <w:shd w:val="clear" w:color="auto" w:fill="FFFFFF"/>
            <w:noWrap w:val="0"/>
            <w:vAlign w:val="top"/>
          </w:tcPr>
          <w:p w14:paraId="7CCBFD62">
            <w:pPr>
              <w:rPr>
                <w:rFonts w:hint="eastAsia" w:ascii="宋体" w:hAnsi="宋体" w:cs="宋体"/>
                <w:color w:val="auto"/>
                <w:szCs w:val="21"/>
                <w:highlight w:val="none"/>
              </w:rPr>
            </w:pPr>
          </w:p>
        </w:tc>
        <w:tc>
          <w:tcPr>
            <w:tcW w:w="1133" w:type="dxa"/>
            <w:tcBorders>
              <w:top w:val="single" w:color="auto" w:sz="4" w:space="0"/>
              <w:left w:val="single" w:color="auto" w:sz="4" w:space="0"/>
              <w:bottom w:val="single" w:color="auto" w:sz="4" w:space="0"/>
            </w:tcBorders>
            <w:shd w:val="clear" w:color="auto" w:fill="FFFFFF"/>
            <w:noWrap w:val="0"/>
            <w:vAlign w:val="top"/>
          </w:tcPr>
          <w:p w14:paraId="0F877419">
            <w:pPr>
              <w:rPr>
                <w:rFonts w:hint="eastAsia" w:ascii="宋体" w:hAnsi="宋体" w:cs="宋体"/>
                <w:color w:val="auto"/>
                <w:szCs w:val="21"/>
                <w:highlight w:val="none"/>
              </w:rPr>
            </w:pPr>
          </w:p>
        </w:tc>
        <w:tc>
          <w:tcPr>
            <w:tcW w:w="864" w:type="dxa"/>
            <w:tcBorders>
              <w:top w:val="single" w:color="auto" w:sz="4" w:space="0"/>
              <w:left w:val="single" w:color="auto" w:sz="4" w:space="0"/>
              <w:bottom w:val="single" w:color="auto" w:sz="4" w:space="0"/>
            </w:tcBorders>
            <w:shd w:val="clear" w:color="auto" w:fill="FFFFFF"/>
            <w:noWrap w:val="0"/>
            <w:vAlign w:val="top"/>
          </w:tcPr>
          <w:p w14:paraId="31B7D6DD">
            <w:pPr>
              <w:rPr>
                <w:rFonts w:hint="eastAsia" w:ascii="宋体" w:hAnsi="宋体" w:cs="宋体"/>
                <w:color w:val="auto"/>
                <w:szCs w:val="21"/>
                <w:highlight w:val="none"/>
              </w:rPr>
            </w:pPr>
          </w:p>
        </w:tc>
        <w:tc>
          <w:tcPr>
            <w:tcW w:w="869" w:type="dxa"/>
            <w:tcBorders>
              <w:top w:val="single" w:color="auto" w:sz="4" w:space="0"/>
              <w:left w:val="single" w:color="auto" w:sz="4" w:space="0"/>
              <w:bottom w:val="single" w:color="auto" w:sz="4" w:space="0"/>
            </w:tcBorders>
            <w:shd w:val="clear" w:color="auto" w:fill="FFFFFF"/>
            <w:noWrap w:val="0"/>
            <w:vAlign w:val="top"/>
          </w:tcPr>
          <w:p w14:paraId="662FAC41">
            <w:pPr>
              <w:rPr>
                <w:rFonts w:hint="eastAsia" w:ascii="宋体" w:hAnsi="宋体" w:cs="宋体"/>
                <w:color w:val="auto"/>
                <w:szCs w:val="21"/>
                <w:highlight w:val="none"/>
              </w:rPr>
            </w:pPr>
          </w:p>
        </w:tc>
        <w:tc>
          <w:tcPr>
            <w:tcW w:w="864" w:type="dxa"/>
            <w:tcBorders>
              <w:top w:val="single" w:color="auto" w:sz="4" w:space="0"/>
              <w:left w:val="single" w:color="auto" w:sz="4" w:space="0"/>
              <w:bottom w:val="single" w:color="auto" w:sz="4" w:space="0"/>
            </w:tcBorders>
            <w:shd w:val="clear" w:color="auto" w:fill="FFFFFF"/>
            <w:noWrap w:val="0"/>
            <w:vAlign w:val="top"/>
          </w:tcPr>
          <w:p w14:paraId="4EA6E63F">
            <w:pPr>
              <w:rPr>
                <w:rFonts w:hint="eastAsia" w:ascii="宋体" w:hAnsi="宋体" w:cs="宋体"/>
                <w:color w:val="auto"/>
                <w:szCs w:val="21"/>
                <w:highlight w:val="none"/>
              </w:rPr>
            </w:pPr>
          </w:p>
        </w:tc>
        <w:tc>
          <w:tcPr>
            <w:tcW w:w="864" w:type="dxa"/>
            <w:tcBorders>
              <w:top w:val="single" w:color="auto" w:sz="4" w:space="0"/>
              <w:left w:val="single" w:color="auto" w:sz="4" w:space="0"/>
              <w:bottom w:val="single" w:color="auto" w:sz="4" w:space="0"/>
            </w:tcBorders>
            <w:shd w:val="clear" w:color="auto" w:fill="FFFFFF"/>
            <w:noWrap w:val="0"/>
            <w:vAlign w:val="top"/>
          </w:tcPr>
          <w:p w14:paraId="001D2EA6">
            <w:pPr>
              <w:rPr>
                <w:rFonts w:hint="eastAsia" w:ascii="宋体" w:hAnsi="宋体" w:cs="宋体"/>
                <w:color w:val="auto"/>
                <w:szCs w:val="21"/>
                <w:highlight w:val="none"/>
              </w:rPr>
            </w:pPr>
          </w:p>
        </w:tc>
        <w:tc>
          <w:tcPr>
            <w:tcW w:w="864" w:type="dxa"/>
            <w:tcBorders>
              <w:top w:val="single" w:color="auto" w:sz="4" w:space="0"/>
              <w:left w:val="single" w:color="auto" w:sz="4" w:space="0"/>
              <w:bottom w:val="single" w:color="auto" w:sz="4" w:space="0"/>
            </w:tcBorders>
            <w:shd w:val="clear" w:color="auto" w:fill="FFFFFF"/>
            <w:noWrap w:val="0"/>
            <w:vAlign w:val="top"/>
          </w:tcPr>
          <w:p w14:paraId="4C85BBC3">
            <w:pPr>
              <w:rPr>
                <w:rFonts w:hint="eastAsia" w:ascii="宋体" w:hAnsi="宋体" w:cs="宋体"/>
                <w:color w:val="auto"/>
                <w:szCs w:val="21"/>
                <w:highlight w:val="none"/>
              </w:rPr>
            </w:pPr>
          </w:p>
        </w:tc>
        <w:tc>
          <w:tcPr>
            <w:tcW w:w="864" w:type="dxa"/>
            <w:tcBorders>
              <w:top w:val="single" w:color="auto" w:sz="4" w:space="0"/>
              <w:left w:val="single" w:color="auto" w:sz="4" w:space="0"/>
              <w:bottom w:val="single" w:color="auto" w:sz="4" w:space="0"/>
            </w:tcBorders>
            <w:shd w:val="clear" w:color="auto" w:fill="FFFFFF"/>
            <w:noWrap w:val="0"/>
            <w:vAlign w:val="top"/>
          </w:tcPr>
          <w:p w14:paraId="1813FF72">
            <w:pPr>
              <w:rPr>
                <w:rFonts w:hint="eastAsia" w:ascii="宋体" w:hAnsi="宋体" w:cs="宋体"/>
                <w:color w:val="auto"/>
                <w:szCs w:val="21"/>
                <w:highlight w:val="none"/>
              </w:rPr>
            </w:pPr>
          </w:p>
        </w:tc>
        <w:tc>
          <w:tcPr>
            <w:tcW w:w="864" w:type="dxa"/>
            <w:tcBorders>
              <w:top w:val="single" w:color="auto" w:sz="4" w:space="0"/>
              <w:left w:val="single" w:color="auto" w:sz="4" w:space="0"/>
              <w:bottom w:val="single" w:color="auto" w:sz="4" w:space="0"/>
            </w:tcBorders>
            <w:shd w:val="clear" w:color="auto" w:fill="FFFFFF"/>
            <w:noWrap w:val="0"/>
            <w:vAlign w:val="top"/>
          </w:tcPr>
          <w:p w14:paraId="01BDEFE5">
            <w:pPr>
              <w:rPr>
                <w:rFonts w:hint="eastAsia" w:ascii="宋体" w:hAnsi="宋体" w:cs="宋体"/>
                <w:color w:val="auto"/>
                <w:szCs w:val="21"/>
                <w:highlight w:val="none"/>
              </w:rPr>
            </w:pPr>
          </w:p>
        </w:tc>
        <w:tc>
          <w:tcPr>
            <w:tcW w:w="864" w:type="dxa"/>
            <w:tcBorders>
              <w:top w:val="single" w:color="auto" w:sz="4" w:space="0"/>
              <w:left w:val="single" w:color="auto" w:sz="4" w:space="0"/>
              <w:bottom w:val="single" w:color="auto" w:sz="4" w:space="0"/>
            </w:tcBorders>
            <w:shd w:val="clear" w:color="auto" w:fill="FFFFFF"/>
            <w:noWrap w:val="0"/>
            <w:vAlign w:val="top"/>
          </w:tcPr>
          <w:p w14:paraId="199D70EC">
            <w:pPr>
              <w:rPr>
                <w:rFonts w:hint="eastAsia" w:ascii="宋体" w:hAnsi="宋体" w:cs="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shd w:val="clear" w:color="auto" w:fill="FFFFFF"/>
            <w:noWrap w:val="0"/>
            <w:vAlign w:val="top"/>
          </w:tcPr>
          <w:p w14:paraId="22833E2C">
            <w:pPr>
              <w:rPr>
                <w:rFonts w:hint="eastAsia" w:ascii="宋体" w:hAnsi="宋体" w:cs="宋体"/>
                <w:color w:val="auto"/>
                <w:szCs w:val="21"/>
                <w:highlight w:val="none"/>
              </w:rPr>
            </w:pPr>
          </w:p>
        </w:tc>
      </w:tr>
    </w:tbl>
    <w:p w14:paraId="03E0AB6C">
      <w:pPr>
        <w:spacing w:line="500" w:lineRule="exact"/>
        <w:rPr>
          <w:rFonts w:hint="eastAsia" w:ascii="宋体" w:hAnsi="宋体" w:cs="宋体"/>
          <w:b/>
          <w:bCs/>
          <w:color w:val="auto"/>
          <w:szCs w:val="21"/>
          <w:highlight w:val="none"/>
        </w:rPr>
      </w:pPr>
      <w:bookmarkStart w:id="113" w:name="_Toc27417"/>
      <w:bookmarkStart w:id="114" w:name="_Toc3373"/>
      <w:bookmarkStart w:id="115" w:name="bookmark2235"/>
      <w:bookmarkStart w:id="116" w:name="bookmark2234"/>
      <w:bookmarkStart w:id="117" w:name="bookmark2236"/>
      <w:r>
        <w:rPr>
          <w:rFonts w:hint="eastAsia" w:ascii="宋体" w:hAnsi="宋体" w:cs="宋体"/>
          <w:b/>
          <w:bCs/>
          <w:color w:val="auto"/>
          <w:szCs w:val="21"/>
          <w:highlight w:val="none"/>
        </w:rPr>
        <w:t>备注：表中内容须按要求填写，并不得留空，否则按无效响应处理。</w:t>
      </w:r>
    </w:p>
    <w:p w14:paraId="0BEEDCE4">
      <w:pPr>
        <w:pStyle w:val="10"/>
        <w:rPr>
          <w:rFonts w:hint="eastAsia" w:ascii="宋体" w:hAnsi="宋体" w:cs="宋体"/>
          <w:color w:val="auto"/>
          <w:highlight w:val="none"/>
        </w:rPr>
      </w:pPr>
    </w:p>
    <w:p w14:paraId="10751D55">
      <w:pPr>
        <w:rPr>
          <w:rFonts w:hint="eastAsia" w:ascii="宋体" w:hAnsi="宋体" w:cs="宋体"/>
          <w:b/>
          <w:color w:val="auto"/>
          <w:sz w:val="20"/>
          <w:szCs w:val="20"/>
          <w:highlight w:val="none"/>
        </w:rPr>
      </w:pPr>
    </w:p>
    <w:p w14:paraId="56A210BD">
      <w:pPr>
        <w:autoSpaceDE w:val="0"/>
        <w:autoSpaceDN w:val="0"/>
        <w:spacing w:line="360" w:lineRule="auto"/>
        <w:ind w:left="4335" w:leftChars="1950" w:hanging="240" w:hangingChars="100"/>
        <w:rPr>
          <w:rFonts w:hint="eastAsia"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6CC23FF9">
      <w:pPr>
        <w:autoSpaceDE w:val="0"/>
        <w:autoSpaceDN w:val="0"/>
        <w:spacing w:line="360" w:lineRule="auto"/>
        <w:ind w:firstLine="6300" w:firstLineChars="2625"/>
        <w:rPr>
          <w:rFonts w:hint="eastAsia" w:ascii="宋体" w:hAnsi="宋体" w:cs="宋体"/>
          <w:b/>
          <w:bCs/>
          <w:color w:val="auto"/>
          <w:sz w:val="24"/>
          <w:highlight w:val="none"/>
        </w:rPr>
      </w:pPr>
      <w:r>
        <w:rPr>
          <w:rFonts w:hint="eastAsia" w:ascii="宋体" w:hAnsi="宋体" w:cs="宋体"/>
          <w:color w:val="auto"/>
          <w:kern w:val="0"/>
          <w:sz w:val="24"/>
          <w:highlight w:val="none"/>
          <w:lang w:val="zh-CN"/>
        </w:rPr>
        <w:t>日期：  年  月  日</w:t>
      </w:r>
    </w:p>
    <w:p w14:paraId="6F55FB52">
      <w:pPr>
        <w:rPr>
          <w:rFonts w:hint="eastAsia" w:ascii="宋体" w:hAnsi="宋体" w:cs="宋体"/>
          <w:b/>
          <w:color w:val="auto"/>
          <w:szCs w:val="21"/>
          <w:highlight w:val="none"/>
        </w:rPr>
      </w:pPr>
      <w:r>
        <w:rPr>
          <w:rFonts w:hint="eastAsia" w:ascii="宋体" w:hAnsi="宋体" w:cs="宋体"/>
          <w:b/>
          <w:color w:val="auto"/>
          <w:szCs w:val="21"/>
          <w:highlight w:val="none"/>
        </w:rPr>
        <w:t>附件二：拟投入本合同工程的试验和检测仪器设备表</w:t>
      </w:r>
      <w:bookmarkEnd w:id="113"/>
    </w:p>
    <w:p w14:paraId="77F2D673">
      <w:pPr>
        <w:rPr>
          <w:rFonts w:hint="eastAsia" w:ascii="宋体" w:hAnsi="宋体" w:cs="宋体"/>
          <w:color w:val="auto"/>
          <w:szCs w:val="21"/>
          <w:highlight w:val="none"/>
        </w:rPr>
      </w:pPr>
    </w:p>
    <w:p w14:paraId="3762299A">
      <w:pPr>
        <w:jc w:val="center"/>
        <w:rPr>
          <w:rFonts w:hint="eastAsia" w:ascii="宋体" w:hAnsi="宋体" w:cs="宋体"/>
          <w:b/>
          <w:color w:val="auto"/>
          <w:szCs w:val="21"/>
          <w:highlight w:val="none"/>
        </w:rPr>
      </w:pPr>
      <w:bookmarkStart w:id="118" w:name="_Toc24555"/>
      <w:r>
        <w:rPr>
          <w:rFonts w:hint="eastAsia" w:ascii="宋体" w:hAnsi="宋体" w:cs="宋体"/>
          <w:b/>
          <w:color w:val="auto"/>
          <w:szCs w:val="21"/>
          <w:highlight w:val="none"/>
        </w:rPr>
        <w:t>拟投入本合同工程的试验和检测仪器设备表</w:t>
      </w:r>
      <w:bookmarkEnd w:id="114"/>
      <w:bookmarkEnd w:id="115"/>
      <w:bookmarkEnd w:id="116"/>
      <w:bookmarkEnd w:id="117"/>
      <w:bookmarkEnd w:id="118"/>
    </w:p>
    <w:p w14:paraId="6A2E3657">
      <w:pPr>
        <w:jc w:val="center"/>
        <w:rPr>
          <w:rFonts w:hint="eastAsia" w:ascii="宋体" w:hAnsi="宋体" w:cs="宋体"/>
          <w:b/>
          <w:color w:val="auto"/>
          <w:highlight w:val="none"/>
        </w:rPr>
      </w:pPr>
    </w:p>
    <w:tbl>
      <w:tblPr>
        <w:tblStyle w:val="23"/>
        <w:tblW w:w="8591" w:type="dxa"/>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 w:type="dxa"/>
          <w:bottom w:w="0" w:type="dxa"/>
          <w:right w:w="10" w:type="dxa"/>
        </w:tblCellMar>
      </w:tblPr>
      <w:tblGrid>
        <w:gridCol w:w="576"/>
        <w:gridCol w:w="1656"/>
        <w:gridCol w:w="907"/>
        <w:gridCol w:w="907"/>
        <w:gridCol w:w="907"/>
        <w:gridCol w:w="912"/>
        <w:gridCol w:w="902"/>
        <w:gridCol w:w="907"/>
        <w:gridCol w:w="917"/>
      </w:tblGrid>
      <w:tr w14:paraId="5A2BFBF3">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 w:type="dxa"/>
            <w:bottom w:w="0" w:type="dxa"/>
            <w:right w:w="10" w:type="dxa"/>
          </w:tblCellMar>
        </w:tblPrEx>
        <w:trPr>
          <w:trHeight w:val="859" w:hRule="exact"/>
          <w:jc w:val="center"/>
        </w:trPr>
        <w:tc>
          <w:tcPr>
            <w:tcW w:w="576" w:type="dxa"/>
            <w:shd w:val="clear" w:color="auto" w:fill="FFFFFF"/>
            <w:noWrap w:val="0"/>
            <w:vAlign w:val="center"/>
          </w:tcPr>
          <w:p w14:paraId="5866961C">
            <w:pPr>
              <w:pStyle w:val="36"/>
              <w:spacing w:line="240" w:lineRule="auto"/>
              <w:jc w:val="center"/>
              <w:rPr>
                <w:rFonts w:hint="eastAsia"/>
                <w:color w:val="auto"/>
                <w:sz w:val="21"/>
                <w:szCs w:val="21"/>
                <w:highlight w:val="none"/>
              </w:rPr>
            </w:pPr>
            <w:r>
              <w:rPr>
                <w:rFonts w:hint="eastAsia"/>
                <w:color w:val="auto"/>
                <w:sz w:val="21"/>
                <w:szCs w:val="21"/>
                <w:highlight w:val="none"/>
              </w:rPr>
              <w:t>序号</w:t>
            </w:r>
          </w:p>
        </w:tc>
        <w:tc>
          <w:tcPr>
            <w:tcW w:w="1656" w:type="dxa"/>
            <w:tcBorders>
              <w:left w:val="single" w:color="auto" w:sz="4" w:space="0"/>
            </w:tcBorders>
            <w:shd w:val="clear" w:color="auto" w:fill="FFFFFF"/>
            <w:noWrap w:val="0"/>
            <w:vAlign w:val="center"/>
          </w:tcPr>
          <w:p w14:paraId="5FAEAE26">
            <w:pPr>
              <w:pStyle w:val="36"/>
              <w:spacing w:line="240" w:lineRule="auto"/>
              <w:jc w:val="center"/>
              <w:rPr>
                <w:rFonts w:hint="eastAsia"/>
                <w:color w:val="auto"/>
                <w:sz w:val="21"/>
                <w:szCs w:val="21"/>
                <w:highlight w:val="none"/>
              </w:rPr>
            </w:pPr>
            <w:r>
              <w:rPr>
                <w:rFonts w:hint="eastAsia"/>
                <w:color w:val="auto"/>
                <w:sz w:val="21"/>
                <w:szCs w:val="21"/>
                <w:highlight w:val="none"/>
              </w:rPr>
              <w:t>仪器设备名称</w:t>
            </w:r>
          </w:p>
        </w:tc>
        <w:tc>
          <w:tcPr>
            <w:tcW w:w="907" w:type="dxa"/>
            <w:tcBorders>
              <w:left w:val="single" w:color="auto" w:sz="4" w:space="0"/>
            </w:tcBorders>
            <w:shd w:val="clear" w:color="auto" w:fill="FFFFFF"/>
            <w:noWrap w:val="0"/>
            <w:vAlign w:val="center"/>
          </w:tcPr>
          <w:p w14:paraId="53EEC998">
            <w:pPr>
              <w:pStyle w:val="36"/>
              <w:spacing w:line="240" w:lineRule="auto"/>
              <w:jc w:val="center"/>
              <w:rPr>
                <w:rFonts w:hint="eastAsia"/>
                <w:color w:val="auto"/>
                <w:sz w:val="21"/>
                <w:szCs w:val="21"/>
                <w:highlight w:val="none"/>
              </w:rPr>
            </w:pPr>
            <w:r>
              <w:rPr>
                <w:rFonts w:hint="eastAsia"/>
                <w:color w:val="auto"/>
                <w:sz w:val="21"/>
                <w:szCs w:val="21"/>
                <w:highlight w:val="none"/>
              </w:rPr>
              <w:t>型号</w:t>
            </w:r>
            <w:r>
              <w:rPr>
                <w:rFonts w:hint="eastAsia"/>
                <w:color w:val="auto"/>
                <w:sz w:val="21"/>
                <w:szCs w:val="21"/>
                <w:highlight w:val="none"/>
                <w:lang w:eastAsia="zh-CN"/>
              </w:rPr>
              <w:t>、</w:t>
            </w:r>
            <w:r>
              <w:rPr>
                <w:rFonts w:hint="eastAsia"/>
                <w:color w:val="auto"/>
                <w:sz w:val="21"/>
                <w:szCs w:val="21"/>
                <w:highlight w:val="none"/>
              </w:rPr>
              <w:t>规格</w:t>
            </w:r>
          </w:p>
        </w:tc>
        <w:tc>
          <w:tcPr>
            <w:tcW w:w="907" w:type="dxa"/>
            <w:tcBorders>
              <w:left w:val="single" w:color="auto" w:sz="4" w:space="0"/>
            </w:tcBorders>
            <w:shd w:val="clear" w:color="auto" w:fill="FFFFFF"/>
            <w:noWrap w:val="0"/>
            <w:vAlign w:val="center"/>
          </w:tcPr>
          <w:p w14:paraId="475A4DC9">
            <w:pPr>
              <w:pStyle w:val="36"/>
              <w:spacing w:line="240" w:lineRule="auto"/>
              <w:jc w:val="center"/>
              <w:rPr>
                <w:rFonts w:hint="eastAsia"/>
                <w:color w:val="auto"/>
                <w:sz w:val="21"/>
                <w:szCs w:val="21"/>
                <w:highlight w:val="none"/>
              </w:rPr>
            </w:pPr>
            <w:r>
              <w:rPr>
                <w:rFonts w:hint="eastAsia"/>
                <w:color w:val="auto"/>
                <w:sz w:val="21"/>
                <w:szCs w:val="21"/>
                <w:highlight w:val="none"/>
              </w:rPr>
              <w:t>数量</w:t>
            </w:r>
          </w:p>
        </w:tc>
        <w:tc>
          <w:tcPr>
            <w:tcW w:w="907" w:type="dxa"/>
            <w:tcBorders>
              <w:left w:val="single" w:color="auto" w:sz="4" w:space="0"/>
            </w:tcBorders>
            <w:shd w:val="clear" w:color="auto" w:fill="FFFFFF"/>
            <w:noWrap w:val="0"/>
            <w:vAlign w:val="center"/>
          </w:tcPr>
          <w:p w14:paraId="5699FDE4">
            <w:pPr>
              <w:pStyle w:val="36"/>
              <w:spacing w:line="240" w:lineRule="auto"/>
              <w:jc w:val="center"/>
              <w:rPr>
                <w:rFonts w:hint="eastAsia"/>
                <w:color w:val="auto"/>
                <w:sz w:val="21"/>
                <w:szCs w:val="21"/>
                <w:highlight w:val="none"/>
              </w:rPr>
            </w:pPr>
            <w:r>
              <w:rPr>
                <w:rFonts w:hint="eastAsia"/>
                <w:color w:val="auto"/>
                <w:sz w:val="21"/>
                <w:szCs w:val="21"/>
                <w:highlight w:val="none"/>
              </w:rPr>
              <w:t>国别</w:t>
            </w:r>
            <w:r>
              <w:rPr>
                <w:rFonts w:hint="eastAsia"/>
                <w:color w:val="auto"/>
                <w:sz w:val="21"/>
                <w:szCs w:val="21"/>
                <w:highlight w:val="none"/>
                <w:lang w:eastAsia="zh-CN"/>
              </w:rPr>
              <w:t>、</w:t>
            </w:r>
            <w:r>
              <w:rPr>
                <w:rFonts w:hint="eastAsia"/>
                <w:color w:val="auto"/>
                <w:sz w:val="21"/>
                <w:szCs w:val="21"/>
                <w:highlight w:val="none"/>
              </w:rPr>
              <w:t>产地</w:t>
            </w:r>
          </w:p>
        </w:tc>
        <w:tc>
          <w:tcPr>
            <w:tcW w:w="912" w:type="dxa"/>
            <w:tcBorders>
              <w:left w:val="single" w:color="auto" w:sz="4" w:space="0"/>
            </w:tcBorders>
            <w:shd w:val="clear" w:color="auto" w:fill="FFFFFF"/>
            <w:noWrap w:val="0"/>
            <w:vAlign w:val="center"/>
          </w:tcPr>
          <w:p w14:paraId="77DB8021">
            <w:pPr>
              <w:pStyle w:val="36"/>
              <w:spacing w:line="240" w:lineRule="auto"/>
              <w:jc w:val="center"/>
              <w:rPr>
                <w:rFonts w:hint="eastAsia"/>
                <w:color w:val="auto"/>
                <w:sz w:val="21"/>
                <w:szCs w:val="21"/>
                <w:highlight w:val="none"/>
              </w:rPr>
            </w:pPr>
            <w:r>
              <w:rPr>
                <w:rFonts w:hint="eastAsia"/>
                <w:color w:val="auto"/>
                <w:sz w:val="21"/>
                <w:szCs w:val="21"/>
                <w:highlight w:val="none"/>
              </w:rPr>
              <w:t>制造年份</w:t>
            </w:r>
          </w:p>
        </w:tc>
        <w:tc>
          <w:tcPr>
            <w:tcW w:w="902" w:type="dxa"/>
            <w:tcBorders>
              <w:left w:val="single" w:color="auto" w:sz="4" w:space="0"/>
            </w:tcBorders>
            <w:shd w:val="clear" w:color="auto" w:fill="FFFFFF"/>
            <w:noWrap w:val="0"/>
            <w:vAlign w:val="center"/>
          </w:tcPr>
          <w:p w14:paraId="018EAFC6">
            <w:pPr>
              <w:pStyle w:val="36"/>
              <w:spacing w:line="264" w:lineRule="exact"/>
              <w:jc w:val="center"/>
              <w:rPr>
                <w:rFonts w:hint="eastAsia"/>
                <w:color w:val="auto"/>
                <w:sz w:val="21"/>
                <w:szCs w:val="21"/>
                <w:highlight w:val="none"/>
              </w:rPr>
            </w:pPr>
            <w:r>
              <w:rPr>
                <w:rFonts w:hint="eastAsia"/>
                <w:color w:val="auto"/>
                <w:sz w:val="21"/>
                <w:szCs w:val="21"/>
                <w:highlight w:val="none"/>
              </w:rPr>
              <w:t>己使用台时数</w:t>
            </w:r>
          </w:p>
        </w:tc>
        <w:tc>
          <w:tcPr>
            <w:tcW w:w="907" w:type="dxa"/>
            <w:tcBorders>
              <w:left w:val="single" w:color="auto" w:sz="4" w:space="0"/>
            </w:tcBorders>
            <w:shd w:val="clear" w:color="auto" w:fill="FFFFFF"/>
            <w:noWrap w:val="0"/>
            <w:vAlign w:val="center"/>
          </w:tcPr>
          <w:p w14:paraId="5C4CA166">
            <w:pPr>
              <w:pStyle w:val="36"/>
              <w:spacing w:line="240" w:lineRule="auto"/>
              <w:jc w:val="center"/>
              <w:rPr>
                <w:rFonts w:hint="eastAsia"/>
                <w:color w:val="auto"/>
                <w:sz w:val="21"/>
                <w:szCs w:val="21"/>
                <w:highlight w:val="none"/>
              </w:rPr>
            </w:pPr>
            <w:r>
              <w:rPr>
                <w:rFonts w:hint="eastAsia"/>
                <w:color w:val="auto"/>
                <w:sz w:val="21"/>
                <w:szCs w:val="21"/>
                <w:highlight w:val="none"/>
              </w:rPr>
              <w:t>用途</w:t>
            </w:r>
          </w:p>
        </w:tc>
        <w:tc>
          <w:tcPr>
            <w:tcW w:w="917" w:type="dxa"/>
            <w:tcBorders>
              <w:left w:val="single" w:color="auto" w:sz="4" w:space="0"/>
            </w:tcBorders>
            <w:shd w:val="clear" w:color="auto" w:fill="FFFFFF"/>
            <w:noWrap w:val="0"/>
            <w:vAlign w:val="center"/>
          </w:tcPr>
          <w:p w14:paraId="563D28EE">
            <w:pPr>
              <w:pStyle w:val="36"/>
              <w:spacing w:line="240" w:lineRule="auto"/>
              <w:jc w:val="center"/>
              <w:rPr>
                <w:rFonts w:hint="eastAsia"/>
                <w:color w:val="auto"/>
                <w:sz w:val="21"/>
                <w:szCs w:val="21"/>
                <w:highlight w:val="none"/>
              </w:rPr>
            </w:pPr>
            <w:r>
              <w:rPr>
                <w:rFonts w:hint="eastAsia"/>
                <w:color w:val="auto"/>
                <w:sz w:val="21"/>
                <w:szCs w:val="21"/>
                <w:highlight w:val="none"/>
              </w:rPr>
              <w:t>备注</w:t>
            </w:r>
          </w:p>
        </w:tc>
      </w:tr>
      <w:tr w14:paraId="013B14C0">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 w:type="dxa"/>
            <w:bottom w:w="0" w:type="dxa"/>
            <w:right w:w="10" w:type="dxa"/>
          </w:tblCellMar>
        </w:tblPrEx>
        <w:trPr>
          <w:trHeight w:val="566" w:hRule="exact"/>
          <w:jc w:val="center"/>
        </w:trPr>
        <w:tc>
          <w:tcPr>
            <w:tcW w:w="576" w:type="dxa"/>
            <w:tcBorders>
              <w:top w:val="single" w:color="auto" w:sz="4" w:space="0"/>
            </w:tcBorders>
            <w:shd w:val="clear" w:color="auto" w:fill="FFFFFF"/>
            <w:noWrap w:val="0"/>
            <w:vAlign w:val="top"/>
          </w:tcPr>
          <w:p w14:paraId="67C9B955">
            <w:pPr>
              <w:rPr>
                <w:rFonts w:hint="eastAsia" w:ascii="宋体" w:hAnsi="宋体" w:cs="宋体"/>
                <w:color w:val="auto"/>
                <w:sz w:val="21"/>
                <w:szCs w:val="21"/>
                <w:highlight w:val="none"/>
              </w:rPr>
            </w:pPr>
          </w:p>
        </w:tc>
        <w:tc>
          <w:tcPr>
            <w:tcW w:w="1656" w:type="dxa"/>
            <w:tcBorders>
              <w:top w:val="single" w:color="auto" w:sz="4" w:space="0"/>
              <w:left w:val="single" w:color="auto" w:sz="4" w:space="0"/>
            </w:tcBorders>
            <w:shd w:val="clear" w:color="auto" w:fill="FFFFFF"/>
            <w:noWrap w:val="0"/>
            <w:vAlign w:val="top"/>
          </w:tcPr>
          <w:p w14:paraId="698A2EBA">
            <w:pPr>
              <w:rPr>
                <w:rFonts w:hint="eastAsia" w:ascii="宋体" w:hAnsi="宋体" w:cs="宋体"/>
                <w:color w:val="auto"/>
                <w:sz w:val="21"/>
                <w:szCs w:val="21"/>
                <w:highlight w:val="none"/>
              </w:rPr>
            </w:pPr>
          </w:p>
        </w:tc>
        <w:tc>
          <w:tcPr>
            <w:tcW w:w="907" w:type="dxa"/>
            <w:tcBorders>
              <w:top w:val="single" w:color="auto" w:sz="4" w:space="0"/>
              <w:left w:val="single" w:color="auto" w:sz="4" w:space="0"/>
            </w:tcBorders>
            <w:shd w:val="clear" w:color="auto" w:fill="FFFFFF"/>
            <w:noWrap w:val="0"/>
            <w:vAlign w:val="top"/>
          </w:tcPr>
          <w:p w14:paraId="3021F278">
            <w:pPr>
              <w:rPr>
                <w:rFonts w:hint="eastAsia" w:ascii="宋体" w:hAnsi="宋体" w:cs="宋体"/>
                <w:color w:val="auto"/>
                <w:sz w:val="21"/>
                <w:szCs w:val="21"/>
                <w:highlight w:val="none"/>
              </w:rPr>
            </w:pPr>
          </w:p>
        </w:tc>
        <w:tc>
          <w:tcPr>
            <w:tcW w:w="907" w:type="dxa"/>
            <w:tcBorders>
              <w:top w:val="single" w:color="auto" w:sz="4" w:space="0"/>
              <w:left w:val="single" w:color="auto" w:sz="4" w:space="0"/>
            </w:tcBorders>
            <w:shd w:val="clear" w:color="auto" w:fill="FFFFFF"/>
            <w:noWrap w:val="0"/>
            <w:vAlign w:val="top"/>
          </w:tcPr>
          <w:p w14:paraId="6C0FF579">
            <w:pPr>
              <w:rPr>
                <w:rFonts w:hint="eastAsia" w:ascii="宋体" w:hAnsi="宋体" w:cs="宋体"/>
                <w:color w:val="auto"/>
                <w:sz w:val="21"/>
                <w:szCs w:val="21"/>
                <w:highlight w:val="none"/>
              </w:rPr>
            </w:pPr>
          </w:p>
        </w:tc>
        <w:tc>
          <w:tcPr>
            <w:tcW w:w="907" w:type="dxa"/>
            <w:tcBorders>
              <w:top w:val="single" w:color="auto" w:sz="4" w:space="0"/>
              <w:left w:val="single" w:color="auto" w:sz="4" w:space="0"/>
            </w:tcBorders>
            <w:shd w:val="clear" w:color="auto" w:fill="FFFFFF"/>
            <w:noWrap w:val="0"/>
            <w:vAlign w:val="top"/>
          </w:tcPr>
          <w:p w14:paraId="6FDC7E12">
            <w:pPr>
              <w:rPr>
                <w:rFonts w:hint="eastAsia" w:ascii="宋体" w:hAnsi="宋体" w:cs="宋体"/>
                <w:color w:val="auto"/>
                <w:sz w:val="21"/>
                <w:szCs w:val="21"/>
                <w:highlight w:val="none"/>
              </w:rPr>
            </w:pPr>
          </w:p>
        </w:tc>
        <w:tc>
          <w:tcPr>
            <w:tcW w:w="912" w:type="dxa"/>
            <w:tcBorders>
              <w:top w:val="single" w:color="auto" w:sz="4" w:space="0"/>
              <w:left w:val="single" w:color="auto" w:sz="4" w:space="0"/>
            </w:tcBorders>
            <w:shd w:val="clear" w:color="auto" w:fill="FFFFFF"/>
            <w:noWrap w:val="0"/>
            <w:vAlign w:val="top"/>
          </w:tcPr>
          <w:p w14:paraId="2159652D">
            <w:pPr>
              <w:rPr>
                <w:rFonts w:hint="eastAsia" w:ascii="宋体" w:hAnsi="宋体" w:cs="宋体"/>
                <w:color w:val="auto"/>
                <w:sz w:val="21"/>
                <w:szCs w:val="21"/>
                <w:highlight w:val="none"/>
              </w:rPr>
            </w:pPr>
          </w:p>
        </w:tc>
        <w:tc>
          <w:tcPr>
            <w:tcW w:w="902" w:type="dxa"/>
            <w:tcBorders>
              <w:top w:val="single" w:color="auto" w:sz="4" w:space="0"/>
              <w:left w:val="single" w:color="auto" w:sz="4" w:space="0"/>
            </w:tcBorders>
            <w:shd w:val="clear" w:color="auto" w:fill="FFFFFF"/>
            <w:noWrap w:val="0"/>
            <w:vAlign w:val="top"/>
          </w:tcPr>
          <w:p w14:paraId="37F7C745">
            <w:pPr>
              <w:rPr>
                <w:rFonts w:hint="eastAsia" w:ascii="宋体" w:hAnsi="宋体" w:cs="宋体"/>
                <w:color w:val="auto"/>
                <w:sz w:val="21"/>
                <w:szCs w:val="21"/>
                <w:highlight w:val="none"/>
              </w:rPr>
            </w:pPr>
          </w:p>
        </w:tc>
        <w:tc>
          <w:tcPr>
            <w:tcW w:w="907" w:type="dxa"/>
            <w:tcBorders>
              <w:top w:val="single" w:color="auto" w:sz="4" w:space="0"/>
              <w:left w:val="single" w:color="auto" w:sz="4" w:space="0"/>
            </w:tcBorders>
            <w:shd w:val="clear" w:color="auto" w:fill="FFFFFF"/>
            <w:noWrap w:val="0"/>
            <w:vAlign w:val="top"/>
          </w:tcPr>
          <w:p w14:paraId="0E8FF0BE">
            <w:pPr>
              <w:rPr>
                <w:rFonts w:hint="eastAsia" w:ascii="宋体" w:hAnsi="宋体" w:cs="宋体"/>
                <w:color w:val="auto"/>
                <w:sz w:val="21"/>
                <w:szCs w:val="21"/>
                <w:highlight w:val="none"/>
              </w:rPr>
            </w:pPr>
          </w:p>
        </w:tc>
        <w:tc>
          <w:tcPr>
            <w:tcW w:w="917" w:type="dxa"/>
            <w:tcBorders>
              <w:top w:val="single" w:color="auto" w:sz="4" w:space="0"/>
              <w:left w:val="single" w:color="auto" w:sz="4" w:space="0"/>
            </w:tcBorders>
            <w:shd w:val="clear" w:color="auto" w:fill="FFFFFF"/>
            <w:noWrap w:val="0"/>
            <w:vAlign w:val="top"/>
          </w:tcPr>
          <w:p w14:paraId="43A104B5">
            <w:pPr>
              <w:rPr>
                <w:rFonts w:hint="eastAsia" w:ascii="宋体" w:hAnsi="宋体" w:cs="宋体"/>
                <w:color w:val="auto"/>
                <w:sz w:val="21"/>
                <w:szCs w:val="21"/>
                <w:highlight w:val="none"/>
              </w:rPr>
            </w:pPr>
          </w:p>
        </w:tc>
      </w:tr>
      <w:tr w14:paraId="33C20C80">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 w:type="dxa"/>
            <w:bottom w:w="0" w:type="dxa"/>
            <w:right w:w="10" w:type="dxa"/>
          </w:tblCellMar>
        </w:tblPrEx>
        <w:trPr>
          <w:trHeight w:val="566" w:hRule="exact"/>
          <w:jc w:val="center"/>
        </w:trPr>
        <w:tc>
          <w:tcPr>
            <w:tcW w:w="576" w:type="dxa"/>
            <w:tcBorders>
              <w:top w:val="single" w:color="auto" w:sz="4" w:space="0"/>
            </w:tcBorders>
            <w:shd w:val="clear" w:color="auto" w:fill="FFFFFF"/>
            <w:noWrap w:val="0"/>
            <w:vAlign w:val="top"/>
          </w:tcPr>
          <w:p w14:paraId="4DFABBB2">
            <w:pPr>
              <w:rPr>
                <w:rFonts w:hint="eastAsia" w:ascii="宋体" w:hAnsi="宋体" w:cs="宋体"/>
                <w:color w:val="auto"/>
                <w:sz w:val="21"/>
                <w:szCs w:val="21"/>
                <w:highlight w:val="none"/>
              </w:rPr>
            </w:pPr>
          </w:p>
        </w:tc>
        <w:tc>
          <w:tcPr>
            <w:tcW w:w="1656" w:type="dxa"/>
            <w:tcBorders>
              <w:top w:val="single" w:color="auto" w:sz="4" w:space="0"/>
              <w:left w:val="single" w:color="auto" w:sz="4" w:space="0"/>
            </w:tcBorders>
            <w:shd w:val="clear" w:color="auto" w:fill="FFFFFF"/>
            <w:noWrap w:val="0"/>
            <w:vAlign w:val="top"/>
          </w:tcPr>
          <w:p w14:paraId="31CDB4B4">
            <w:pPr>
              <w:rPr>
                <w:rFonts w:hint="eastAsia" w:ascii="宋体" w:hAnsi="宋体" w:cs="宋体"/>
                <w:color w:val="auto"/>
                <w:sz w:val="21"/>
                <w:szCs w:val="21"/>
                <w:highlight w:val="none"/>
              </w:rPr>
            </w:pPr>
          </w:p>
        </w:tc>
        <w:tc>
          <w:tcPr>
            <w:tcW w:w="907" w:type="dxa"/>
            <w:tcBorders>
              <w:top w:val="single" w:color="auto" w:sz="4" w:space="0"/>
              <w:left w:val="single" w:color="auto" w:sz="4" w:space="0"/>
            </w:tcBorders>
            <w:shd w:val="clear" w:color="auto" w:fill="FFFFFF"/>
            <w:noWrap w:val="0"/>
            <w:vAlign w:val="top"/>
          </w:tcPr>
          <w:p w14:paraId="5CBD4924">
            <w:pPr>
              <w:rPr>
                <w:rFonts w:hint="eastAsia" w:ascii="宋体" w:hAnsi="宋体" w:cs="宋体"/>
                <w:color w:val="auto"/>
                <w:sz w:val="21"/>
                <w:szCs w:val="21"/>
                <w:highlight w:val="none"/>
              </w:rPr>
            </w:pPr>
          </w:p>
        </w:tc>
        <w:tc>
          <w:tcPr>
            <w:tcW w:w="907" w:type="dxa"/>
            <w:tcBorders>
              <w:top w:val="single" w:color="auto" w:sz="4" w:space="0"/>
              <w:left w:val="single" w:color="auto" w:sz="4" w:space="0"/>
            </w:tcBorders>
            <w:shd w:val="clear" w:color="auto" w:fill="FFFFFF"/>
            <w:noWrap w:val="0"/>
            <w:vAlign w:val="top"/>
          </w:tcPr>
          <w:p w14:paraId="32B0F157">
            <w:pPr>
              <w:rPr>
                <w:rFonts w:hint="eastAsia" w:ascii="宋体" w:hAnsi="宋体" w:cs="宋体"/>
                <w:color w:val="auto"/>
                <w:sz w:val="21"/>
                <w:szCs w:val="21"/>
                <w:highlight w:val="none"/>
              </w:rPr>
            </w:pPr>
          </w:p>
        </w:tc>
        <w:tc>
          <w:tcPr>
            <w:tcW w:w="907" w:type="dxa"/>
            <w:tcBorders>
              <w:top w:val="single" w:color="auto" w:sz="4" w:space="0"/>
              <w:left w:val="single" w:color="auto" w:sz="4" w:space="0"/>
            </w:tcBorders>
            <w:shd w:val="clear" w:color="auto" w:fill="FFFFFF"/>
            <w:noWrap w:val="0"/>
            <w:vAlign w:val="top"/>
          </w:tcPr>
          <w:p w14:paraId="53E77581">
            <w:pPr>
              <w:rPr>
                <w:rFonts w:hint="eastAsia" w:ascii="宋体" w:hAnsi="宋体" w:cs="宋体"/>
                <w:color w:val="auto"/>
                <w:sz w:val="21"/>
                <w:szCs w:val="21"/>
                <w:highlight w:val="none"/>
              </w:rPr>
            </w:pPr>
          </w:p>
        </w:tc>
        <w:tc>
          <w:tcPr>
            <w:tcW w:w="912" w:type="dxa"/>
            <w:tcBorders>
              <w:top w:val="single" w:color="auto" w:sz="4" w:space="0"/>
              <w:left w:val="single" w:color="auto" w:sz="4" w:space="0"/>
            </w:tcBorders>
            <w:shd w:val="clear" w:color="auto" w:fill="FFFFFF"/>
            <w:noWrap w:val="0"/>
            <w:vAlign w:val="top"/>
          </w:tcPr>
          <w:p w14:paraId="68115C2D">
            <w:pPr>
              <w:rPr>
                <w:rFonts w:hint="eastAsia" w:ascii="宋体" w:hAnsi="宋体" w:cs="宋体"/>
                <w:color w:val="auto"/>
                <w:sz w:val="21"/>
                <w:szCs w:val="21"/>
                <w:highlight w:val="none"/>
              </w:rPr>
            </w:pPr>
          </w:p>
        </w:tc>
        <w:tc>
          <w:tcPr>
            <w:tcW w:w="902" w:type="dxa"/>
            <w:tcBorders>
              <w:top w:val="single" w:color="auto" w:sz="4" w:space="0"/>
              <w:left w:val="single" w:color="auto" w:sz="4" w:space="0"/>
            </w:tcBorders>
            <w:shd w:val="clear" w:color="auto" w:fill="FFFFFF"/>
            <w:noWrap w:val="0"/>
            <w:vAlign w:val="top"/>
          </w:tcPr>
          <w:p w14:paraId="226DA93A">
            <w:pPr>
              <w:rPr>
                <w:rFonts w:hint="eastAsia" w:ascii="宋体" w:hAnsi="宋体" w:cs="宋体"/>
                <w:color w:val="auto"/>
                <w:sz w:val="21"/>
                <w:szCs w:val="21"/>
                <w:highlight w:val="none"/>
              </w:rPr>
            </w:pPr>
          </w:p>
        </w:tc>
        <w:tc>
          <w:tcPr>
            <w:tcW w:w="907" w:type="dxa"/>
            <w:tcBorders>
              <w:top w:val="single" w:color="auto" w:sz="4" w:space="0"/>
              <w:left w:val="single" w:color="auto" w:sz="4" w:space="0"/>
            </w:tcBorders>
            <w:shd w:val="clear" w:color="auto" w:fill="FFFFFF"/>
            <w:noWrap w:val="0"/>
            <w:vAlign w:val="top"/>
          </w:tcPr>
          <w:p w14:paraId="77E6B8DF">
            <w:pPr>
              <w:rPr>
                <w:rFonts w:hint="eastAsia" w:ascii="宋体" w:hAnsi="宋体" w:cs="宋体"/>
                <w:color w:val="auto"/>
                <w:sz w:val="21"/>
                <w:szCs w:val="21"/>
                <w:highlight w:val="none"/>
              </w:rPr>
            </w:pPr>
          </w:p>
        </w:tc>
        <w:tc>
          <w:tcPr>
            <w:tcW w:w="917" w:type="dxa"/>
            <w:tcBorders>
              <w:top w:val="single" w:color="auto" w:sz="4" w:space="0"/>
              <w:left w:val="single" w:color="auto" w:sz="4" w:space="0"/>
            </w:tcBorders>
            <w:shd w:val="clear" w:color="auto" w:fill="FFFFFF"/>
            <w:noWrap w:val="0"/>
            <w:vAlign w:val="top"/>
          </w:tcPr>
          <w:p w14:paraId="76173D58">
            <w:pPr>
              <w:rPr>
                <w:rFonts w:hint="eastAsia" w:ascii="宋体" w:hAnsi="宋体" w:cs="宋体"/>
                <w:color w:val="auto"/>
                <w:sz w:val="21"/>
                <w:szCs w:val="21"/>
                <w:highlight w:val="none"/>
              </w:rPr>
            </w:pPr>
          </w:p>
        </w:tc>
      </w:tr>
      <w:tr w14:paraId="670B0F2C">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 w:type="dxa"/>
            <w:bottom w:w="0" w:type="dxa"/>
            <w:right w:w="10" w:type="dxa"/>
          </w:tblCellMar>
        </w:tblPrEx>
        <w:trPr>
          <w:trHeight w:val="566" w:hRule="exact"/>
          <w:jc w:val="center"/>
        </w:trPr>
        <w:tc>
          <w:tcPr>
            <w:tcW w:w="576" w:type="dxa"/>
            <w:tcBorders>
              <w:top w:val="single" w:color="auto" w:sz="4" w:space="0"/>
            </w:tcBorders>
            <w:shd w:val="clear" w:color="auto" w:fill="FFFFFF"/>
            <w:noWrap w:val="0"/>
            <w:vAlign w:val="top"/>
          </w:tcPr>
          <w:p w14:paraId="2337AE9D">
            <w:pPr>
              <w:rPr>
                <w:rFonts w:hint="eastAsia" w:ascii="宋体" w:hAnsi="宋体" w:cs="宋体"/>
                <w:color w:val="auto"/>
                <w:sz w:val="21"/>
                <w:szCs w:val="21"/>
                <w:highlight w:val="none"/>
              </w:rPr>
            </w:pPr>
          </w:p>
        </w:tc>
        <w:tc>
          <w:tcPr>
            <w:tcW w:w="1656" w:type="dxa"/>
            <w:tcBorders>
              <w:top w:val="single" w:color="auto" w:sz="4" w:space="0"/>
              <w:left w:val="single" w:color="auto" w:sz="4" w:space="0"/>
            </w:tcBorders>
            <w:shd w:val="clear" w:color="auto" w:fill="FFFFFF"/>
            <w:noWrap w:val="0"/>
            <w:vAlign w:val="top"/>
          </w:tcPr>
          <w:p w14:paraId="0BE035C3">
            <w:pPr>
              <w:rPr>
                <w:rFonts w:hint="eastAsia" w:ascii="宋体" w:hAnsi="宋体" w:cs="宋体"/>
                <w:color w:val="auto"/>
                <w:sz w:val="21"/>
                <w:szCs w:val="21"/>
                <w:highlight w:val="none"/>
              </w:rPr>
            </w:pPr>
          </w:p>
        </w:tc>
        <w:tc>
          <w:tcPr>
            <w:tcW w:w="907" w:type="dxa"/>
            <w:tcBorders>
              <w:top w:val="single" w:color="auto" w:sz="4" w:space="0"/>
              <w:left w:val="single" w:color="auto" w:sz="4" w:space="0"/>
            </w:tcBorders>
            <w:shd w:val="clear" w:color="auto" w:fill="FFFFFF"/>
            <w:noWrap w:val="0"/>
            <w:vAlign w:val="top"/>
          </w:tcPr>
          <w:p w14:paraId="5D6C0D00">
            <w:pPr>
              <w:rPr>
                <w:rFonts w:hint="eastAsia" w:ascii="宋体" w:hAnsi="宋体" w:cs="宋体"/>
                <w:color w:val="auto"/>
                <w:sz w:val="21"/>
                <w:szCs w:val="21"/>
                <w:highlight w:val="none"/>
              </w:rPr>
            </w:pPr>
          </w:p>
        </w:tc>
        <w:tc>
          <w:tcPr>
            <w:tcW w:w="907" w:type="dxa"/>
            <w:tcBorders>
              <w:top w:val="single" w:color="auto" w:sz="4" w:space="0"/>
              <w:left w:val="single" w:color="auto" w:sz="4" w:space="0"/>
            </w:tcBorders>
            <w:shd w:val="clear" w:color="auto" w:fill="FFFFFF"/>
            <w:noWrap w:val="0"/>
            <w:vAlign w:val="top"/>
          </w:tcPr>
          <w:p w14:paraId="5ADC9F6E">
            <w:pPr>
              <w:rPr>
                <w:rFonts w:hint="eastAsia" w:ascii="宋体" w:hAnsi="宋体" w:cs="宋体"/>
                <w:color w:val="auto"/>
                <w:sz w:val="21"/>
                <w:szCs w:val="21"/>
                <w:highlight w:val="none"/>
              </w:rPr>
            </w:pPr>
          </w:p>
        </w:tc>
        <w:tc>
          <w:tcPr>
            <w:tcW w:w="907" w:type="dxa"/>
            <w:tcBorders>
              <w:top w:val="single" w:color="auto" w:sz="4" w:space="0"/>
              <w:left w:val="single" w:color="auto" w:sz="4" w:space="0"/>
            </w:tcBorders>
            <w:shd w:val="clear" w:color="auto" w:fill="FFFFFF"/>
            <w:noWrap w:val="0"/>
            <w:vAlign w:val="top"/>
          </w:tcPr>
          <w:p w14:paraId="19A4F1C3">
            <w:pPr>
              <w:rPr>
                <w:rFonts w:hint="eastAsia" w:ascii="宋体" w:hAnsi="宋体" w:cs="宋体"/>
                <w:color w:val="auto"/>
                <w:sz w:val="21"/>
                <w:szCs w:val="21"/>
                <w:highlight w:val="none"/>
              </w:rPr>
            </w:pPr>
          </w:p>
        </w:tc>
        <w:tc>
          <w:tcPr>
            <w:tcW w:w="912" w:type="dxa"/>
            <w:tcBorders>
              <w:top w:val="single" w:color="auto" w:sz="4" w:space="0"/>
              <w:left w:val="single" w:color="auto" w:sz="4" w:space="0"/>
            </w:tcBorders>
            <w:shd w:val="clear" w:color="auto" w:fill="FFFFFF"/>
            <w:noWrap w:val="0"/>
            <w:vAlign w:val="top"/>
          </w:tcPr>
          <w:p w14:paraId="50C0CBEB">
            <w:pPr>
              <w:rPr>
                <w:rFonts w:hint="eastAsia" w:ascii="宋体" w:hAnsi="宋体" w:cs="宋体"/>
                <w:color w:val="auto"/>
                <w:sz w:val="21"/>
                <w:szCs w:val="21"/>
                <w:highlight w:val="none"/>
              </w:rPr>
            </w:pPr>
          </w:p>
        </w:tc>
        <w:tc>
          <w:tcPr>
            <w:tcW w:w="902" w:type="dxa"/>
            <w:tcBorders>
              <w:top w:val="single" w:color="auto" w:sz="4" w:space="0"/>
              <w:left w:val="single" w:color="auto" w:sz="4" w:space="0"/>
            </w:tcBorders>
            <w:shd w:val="clear" w:color="auto" w:fill="FFFFFF"/>
            <w:noWrap w:val="0"/>
            <w:vAlign w:val="top"/>
          </w:tcPr>
          <w:p w14:paraId="0571D913">
            <w:pPr>
              <w:rPr>
                <w:rFonts w:hint="eastAsia" w:ascii="宋体" w:hAnsi="宋体" w:cs="宋体"/>
                <w:color w:val="auto"/>
                <w:sz w:val="21"/>
                <w:szCs w:val="21"/>
                <w:highlight w:val="none"/>
              </w:rPr>
            </w:pPr>
          </w:p>
        </w:tc>
        <w:tc>
          <w:tcPr>
            <w:tcW w:w="907" w:type="dxa"/>
            <w:tcBorders>
              <w:top w:val="single" w:color="auto" w:sz="4" w:space="0"/>
              <w:left w:val="single" w:color="auto" w:sz="4" w:space="0"/>
            </w:tcBorders>
            <w:shd w:val="clear" w:color="auto" w:fill="FFFFFF"/>
            <w:noWrap w:val="0"/>
            <w:vAlign w:val="top"/>
          </w:tcPr>
          <w:p w14:paraId="508566AB">
            <w:pPr>
              <w:rPr>
                <w:rFonts w:hint="eastAsia" w:ascii="宋体" w:hAnsi="宋体" w:cs="宋体"/>
                <w:color w:val="auto"/>
                <w:sz w:val="21"/>
                <w:szCs w:val="21"/>
                <w:highlight w:val="none"/>
              </w:rPr>
            </w:pPr>
          </w:p>
        </w:tc>
        <w:tc>
          <w:tcPr>
            <w:tcW w:w="917" w:type="dxa"/>
            <w:tcBorders>
              <w:top w:val="single" w:color="auto" w:sz="4" w:space="0"/>
              <w:left w:val="single" w:color="auto" w:sz="4" w:space="0"/>
            </w:tcBorders>
            <w:shd w:val="clear" w:color="auto" w:fill="FFFFFF"/>
            <w:noWrap w:val="0"/>
            <w:vAlign w:val="top"/>
          </w:tcPr>
          <w:p w14:paraId="70B309D9">
            <w:pPr>
              <w:rPr>
                <w:rFonts w:hint="eastAsia" w:ascii="宋体" w:hAnsi="宋体" w:cs="宋体"/>
                <w:color w:val="auto"/>
                <w:sz w:val="21"/>
                <w:szCs w:val="21"/>
                <w:highlight w:val="none"/>
              </w:rPr>
            </w:pPr>
          </w:p>
        </w:tc>
      </w:tr>
      <w:tr w14:paraId="6188BFC5">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 w:type="dxa"/>
            <w:bottom w:w="0" w:type="dxa"/>
            <w:right w:w="10" w:type="dxa"/>
          </w:tblCellMar>
        </w:tblPrEx>
        <w:trPr>
          <w:trHeight w:val="566" w:hRule="exact"/>
          <w:jc w:val="center"/>
        </w:trPr>
        <w:tc>
          <w:tcPr>
            <w:tcW w:w="576" w:type="dxa"/>
            <w:tcBorders>
              <w:top w:val="single" w:color="auto" w:sz="4" w:space="0"/>
            </w:tcBorders>
            <w:shd w:val="clear" w:color="auto" w:fill="FFFFFF"/>
            <w:noWrap w:val="0"/>
            <w:vAlign w:val="top"/>
          </w:tcPr>
          <w:p w14:paraId="2E15B403">
            <w:pPr>
              <w:rPr>
                <w:rFonts w:hint="eastAsia" w:ascii="宋体" w:hAnsi="宋体" w:cs="宋体"/>
                <w:color w:val="auto"/>
                <w:sz w:val="21"/>
                <w:szCs w:val="21"/>
                <w:highlight w:val="none"/>
              </w:rPr>
            </w:pPr>
          </w:p>
        </w:tc>
        <w:tc>
          <w:tcPr>
            <w:tcW w:w="1656" w:type="dxa"/>
            <w:tcBorders>
              <w:top w:val="single" w:color="auto" w:sz="4" w:space="0"/>
              <w:left w:val="single" w:color="auto" w:sz="4" w:space="0"/>
            </w:tcBorders>
            <w:shd w:val="clear" w:color="auto" w:fill="FFFFFF"/>
            <w:noWrap w:val="0"/>
            <w:vAlign w:val="top"/>
          </w:tcPr>
          <w:p w14:paraId="51360D52">
            <w:pPr>
              <w:rPr>
                <w:rFonts w:hint="eastAsia" w:ascii="宋体" w:hAnsi="宋体" w:cs="宋体"/>
                <w:color w:val="auto"/>
                <w:sz w:val="21"/>
                <w:szCs w:val="21"/>
                <w:highlight w:val="none"/>
              </w:rPr>
            </w:pPr>
          </w:p>
        </w:tc>
        <w:tc>
          <w:tcPr>
            <w:tcW w:w="907" w:type="dxa"/>
            <w:tcBorders>
              <w:top w:val="single" w:color="auto" w:sz="4" w:space="0"/>
              <w:left w:val="single" w:color="auto" w:sz="4" w:space="0"/>
            </w:tcBorders>
            <w:shd w:val="clear" w:color="auto" w:fill="FFFFFF"/>
            <w:noWrap w:val="0"/>
            <w:vAlign w:val="top"/>
          </w:tcPr>
          <w:p w14:paraId="19343085">
            <w:pPr>
              <w:rPr>
                <w:rFonts w:hint="eastAsia" w:ascii="宋体" w:hAnsi="宋体" w:cs="宋体"/>
                <w:color w:val="auto"/>
                <w:sz w:val="21"/>
                <w:szCs w:val="21"/>
                <w:highlight w:val="none"/>
              </w:rPr>
            </w:pPr>
          </w:p>
        </w:tc>
        <w:tc>
          <w:tcPr>
            <w:tcW w:w="907" w:type="dxa"/>
            <w:tcBorders>
              <w:top w:val="single" w:color="auto" w:sz="4" w:space="0"/>
              <w:left w:val="single" w:color="auto" w:sz="4" w:space="0"/>
            </w:tcBorders>
            <w:shd w:val="clear" w:color="auto" w:fill="FFFFFF"/>
            <w:noWrap w:val="0"/>
            <w:vAlign w:val="top"/>
          </w:tcPr>
          <w:p w14:paraId="2EECA46F">
            <w:pPr>
              <w:rPr>
                <w:rFonts w:hint="eastAsia" w:ascii="宋体" w:hAnsi="宋体" w:cs="宋体"/>
                <w:color w:val="auto"/>
                <w:sz w:val="21"/>
                <w:szCs w:val="21"/>
                <w:highlight w:val="none"/>
              </w:rPr>
            </w:pPr>
          </w:p>
        </w:tc>
        <w:tc>
          <w:tcPr>
            <w:tcW w:w="907" w:type="dxa"/>
            <w:tcBorders>
              <w:top w:val="single" w:color="auto" w:sz="4" w:space="0"/>
              <w:left w:val="single" w:color="auto" w:sz="4" w:space="0"/>
            </w:tcBorders>
            <w:shd w:val="clear" w:color="auto" w:fill="FFFFFF"/>
            <w:noWrap w:val="0"/>
            <w:vAlign w:val="top"/>
          </w:tcPr>
          <w:p w14:paraId="44A76C24">
            <w:pPr>
              <w:rPr>
                <w:rFonts w:hint="eastAsia" w:ascii="宋体" w:hAnsi="宋体" w:cs="宋体"/>
                <w:color w:val="auto"/>
                <w:sz w:val="21"/>
                <w:szCs w:val="21"/>
                <w:highlight w:val="none"/>
              </w:rPr>
            </w:pPr>
          </w:p>
        </w:tc>
        <w:tc>
          <w:tcPr>
            <w:tcW w:w="912" w:type="dxa"/>
            <w:tcBorders>
              <w:top w:val="single" w:color="auto" w:sz="4" w:space="0"/>
              <w:left w:val="single" w:color="auto" w:sz="4" w:space="0"/>
            </w:tcBorders>
            <w:shd w:val="clear" w:color="auto" w:fill="FFFFFF"/>
            <w:noWrap w:val="0"/>
            <w:vAlign w:val="top"/>
          </w:tcPr>
          <w:p w14:paraId="22012BF3">
            <w:pPr>
              <w:rPr>
                <w:rFonts w:hint="eastAsia" w:ascii="宋体" w:hAnsi="宋体" w:cs="宋体"/>
                <w:color w:val="auto"/>
                <w:sz w:val="21"/>
                <w:szCs w:val="21"/>
                <w:highlight w:val="none"/>
              </w:rPr>
            </w:pPr>
          </w:p>
        </w:tc>
        <w:tc>
          <w:tcPr>
            <w:tcW w:w="902" w:type="dxa"/>
            <w:tcBorders>
              <w:top w:val="single" w:color="auto" w:sz="4" w:space="0"/>
              <w:left w:val="single" w:color="auto" w:sz="4" w:space="0"/>
            </w:tcBorders>
            <w:shd w:val="clear" w:color="auto" w:fill="FFFFFF"/>
            <w:noWrap w:val="0"/>
            <w:vAlign w:val="top"/>
          </w:tcPr>
          <w:p w14:paraId="42E0D2DC">
            <w:pPr>
              <w:rPr>
                <w:rFonts w:hint="eastAsia" w:ascii="宋体" w:hAnsi="宋体" w:cs="宋体"/>
                <w:color w:val="auto"/>
                <w:sz w:val="21"/>
                <w:szCs w:val="21"/>
                <w:highlight w:val="none"/>
              </w:rPr>
            </w:pPr>
          </w:p>
        </w:tc>
        <w:tc>
          <w:tcPr>
            <w:tcW w:w="907" w:type="dxa"/>
            <w:tcBorders>
              <w:top w:val="single" w:color="auto" w:sz="4" w:space="0"/>
              <w:left w:val="single" w:color="auto" w:sz="4" w:space="0"/>
            </w:tcBorders>
            <w:shd w:val="clear" w:color="auto" w:fill="FFFFFF"/>
            <w:noWrap w:val="0"/>
            <w:vAlign w:val="top"/>
          </w:tcPr>
          <w:p w14:paraId="5AFF4790">
            <w:pPr>
              <w:rPr>
                <w:rFonts w:hint="eastAsia" w:ascii="宋体" w:hAnsi="宋体" w:cs="宋体"/>
                <w:color w:val="auto"/>
                <w:sz w:val="21"/>
                <w:szCs w:val="21"/>
                <w:highlight w:val="none"/>
              </w:rPr>
            </w:pPr>
          </w:p>
        </w:tc>
        <w:tc>
          <w:tcPr>
            <w:tcW w:w="917" w:type="dxa"/>
            <w:tcBorders>
              <w:top w:val="single" w:color="auto" w:sz="4" w:space="0"/>
              <w:left w:val="single" w:color="auto" w:sz="4" w:space="0"/>
            </w:tcBorders>
            <w:shd w:val="clear" w:color="auto" w:fill="FFFFFF"/>
            <w:noWrap w:val="0"/>
            <w:vAlign w:val="top"/>
          </w:tcPr>
          <w:p w14:paraId="4597AE8C">
            <w:pPr>
              <w:rPr>
                <w:rFonts w:hint="eastAsia" w:ascii="宋体" w:hAnsi="宋体" w:cs="宋体"/>
                <w:color w:val="auto"/>
                <w:sz w:val="21"/>
                <w:szCs w:val="21"/>
                <w:highlight w:val="none"/>
              </w:rPr>
            </w:pPr>
          </w:p>
        </w:tc>
      </w:tr>
      <w:tr w14:paraId="685EEA25">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 w:type="dxa"/>
            <w:bottom w:w="0" w:type="dxa"/>
            <w:right w:w="10" w:type="dxa"/>
          </w:tblCellMar>
        </w:tblPrEx>
        <w:trPr>
          <w:trHeight w:val="566" w:hRule="exact"/>
          <w:jc w:val="center"/>
        </w:trPr>
        <w:tc>
          <w:tcPr>
            <w:tcW w:w="576" w:type="dxa"/>
            <w:tcBorders>
              <w:top w:val="single" w:color="auto" w:sz="4" w:space="0"/>
            </w:tcBorders>
            <w:shd w:val="clear" w:color="auto" w:fill="FFFFFF"/>
            <w:noWrap w:val="0"/>
            <w:vAlign w:val="top"/>
          </w:tcPr>
          <w:p w14:paraId="562F37B0">
            <w:pPr>
              <w:rPr>
                <w:rFonts w:hint="eastAsia" w:ascii="宋体" w:hAnsi="宋体" w:cs="宋体"/>
                <w:color w:val="auto"/>
                <w:sz w:val="21"/>
                <w:szCs w:val="21"/>
                <w:highlight w:val="none"/>
              </w:rPr>
            </w:pPr>
          </w:p>
        </w:tc>
        <w:tc>
          <w:tcPr>
            <w:tcW w:w="1656" w:type="dxa"/>
            <w:tcBorders>
              <w:top w:val="single" w:color="auto" w:sz="4" w:space="0"/>
              <w:left w:val="single" w:color="auto" w:sz="4" w:space="0"/>
            </w:tcBorders>
            <w:shd w:val="clear" w:color="auto" w:fill="FFFFFF"/>
            <w:noWrap w:val="0"/>
            <w:vAlign w:val="top"/>
          </w:tcPr>
          <w:p w14:paraId="564F27D2">
            <w:pPr>
              <w:rPr>
                <w:rFonts w:hint="eastAsia" w:ascii="宋体" w:hAnsi="宋体" w:cs="宋体"/>
                <w:color w:val="auto"/>
                <w:sz w:val="21"/>
                <w:szCs w:val="21"/>
                <w:highlight w:val="none"/>
              </w:rPr>
            </w:pPr>
          </w:p>
        </w:tc>
        <w:tc>
          <w:tcPr>
            <w:tcW w:w="907" w:type="dxa"/>
            <w:tcBorders>
              <w:top w:val="single" w:color="auto" w:sz="4" w:space="0"/>
              <w:left w:val="single" w:color="auto" w:sz="4" w:space="0"/>
            </w:tcBorders>
            <w:shd w:val="clear" w:color="auto" w:fill="FFFFFF"/>
            <w:noWrap w:val="0"/>
            <w:vAlign w:val="top"/>
          </w:tcPr>
          <w:p w14:paraId="246B2473">
            <w:pPr>
              <w:rPr>
                <w:rFonts w:hint="eastAsia" w:ascii="宋体" w:hAnsi="宋体" w:cs="宋体"/>
                <w:color w:val="auto"/>
                <w:sz w:val="21"/>
                <w:szCs w:val="21"/>
                <w:highlight w:val="none"/>
              </w:rPr>
            </w:pPr>
          </w:p>
        </w:tc>
        <w:tc>
          <w:tcPr>
            <w:tcW w:w="907" w:type="dxa"/>
            <w:tcBorders>
              <w:top w:val="single" w:color="auto" w:sz="4" w:space="0"/>
              <w:left w:val="single" w:color="auto" w:sz="4" w:space="0"/>
            </w:tcBorders>
            <w:shd w:val="clear" w:color="auto" w:fill="FFFFFF"/>
            <w:noWrap w:val="0"/>
            <w:vAlign w:val="top"/>
          </w:tcPr>
          <w:p w14:paraId="13B1CD96">
            <w:pPr>
              <w:rPr>
                <w:rFonts w:hint="eastAsia" w:ascii="宋体" w:hAnsi="宋体" w:cs="宋体"/>
                <w:color w:val="auto"/>
                <w:sz w:val="21"/>
                <w:szCs w:val="21"/>
                <w:highlight w:val="none"/>
              </w:rPr>
            </w:pPr>
          </w:p>
        </w:tc>
        <w:tc>
          <w:tcPr>
            <w:tcW w:w="907" w:type="dxa"/>
            <w:tcBorders>
              <w:top w:val="single" w:color="auto" w:sz="4" w:space="0"/>
              <w:left w:val="single" w:color="auto" w:sz="4" w:space="0"/>
            </w:tcBorders>
            <w:shd w:val="clear" w:color="auto" w:fill="FFFFFF"/>
            <w:noWrap w:val="0"/>
            <w:vAlign w:val="top"/>
          </w:tcPr>
          <w:p w14:paraId="28FCD635">
            <w:pPr>
              <w:rPr>
                <w:rFonts w:hint="eastAsia" w:ascii="宋体" w:hAnsi="宋体" w:cs="宋体"/>
                <w:color w:val="auto"/>
                <w:sz w:val="21"/>
                <w:szCs w:val="21"/>
                <w:highlight w:val="none"/>
              </w:rPr>
            </w:pPr>
          </w:p>
        </w:tc>
        <w:tc>
          <w:tcPr>
            <w:tcW w:w="912" w:type="dxa"/>
            <w:tcBorders>
              <w:top w:val="single" w:color="auto" w:sz="4" w:space="0"/>
              <w:left w:val="single" w:color="auto" w:sz="4" w:space="0"/>
            </w:tcBorders>
            <w:shd w:val="clear" w:color="auto" w:fill="FFFFFF"/>
            <w:noWrap w:val="0"/>
            <w:vAlign w:val="top"/>
          </w:tcPr>
          <w:p w14:paraId="6088A080">
            <w:pPr>
              <w:rPr>
                <w:rFonts w:hint="eastAsia" w:ascii="宋体" w:hAnsi="宋体" w:cs="宋体"/>
                <w:color w:val="auto"/>
                <w:sz w:val="21"/>
                <w:szCs w:val="21"/>
                <w:highlight w:val="none"/>
              </w:rPr>
            </w:pPr>
          </w:p>
        </w:tc>
        <w:tc>
          <w:tcPr>
            <w:tcW w:w="902" w:type="dxa"/>
            <w:tcBorders>
              <w:top w:val="single" w:color="auto" w:sz="4" w:space="0"/>
              <w:left w:val="single" w:color="auto" w:sz="4" w:space="0"/>
            </w:tcBorders>
            <w:shd w:val="clear" w:color="auto" w:fill="FFFFFF"/>
            <w:noWrap w:val="0"/>
            <w:vAlign w:val="top"/>
          </w:tcPr>
          <w:p w14:paraId="4B6AA988">
            <w:pPr>
              <w:rPr>
                <w:rFonts w:hint="eastAsia" w:ascii="宋体" w:hAnsi="宋体" w:cs="宋体"/>
                <w:color w:val="auto"/>
                <w:sz w:val="21"/>
                <w:szCs w:val="21"/>
                <w:highlight w:val="none"/>
              </w:rPr>
            </w:pPr>
          </w:p>
        </w:tc>
        <w:tc>
          <w:tcPr>
            <w:tcW w:w="907" w:type="dxa"/>
            <w:tcBorders>
              <w:top w:val="single" w:color="auto" w:sz="4" w:space="0"/>
              <w:left w:val="single" w:color="auto" w:sz="4" w:space="0"/>
            </w:tcBorders>
            <w:shd w:val="clear" w:color="auto" w:fill="FFFFFF"/>
            <w:noWrap w:val="0"/>
            <w:vAlign w:val="top"/>
          </w:tcPr>
          <w:p w14:paraId="61746206">
            <w:pPr>
              <w:rPr>
                <w:rFonts w:hint="eastAsia" w:ascii="宋体" w:hAnsi="宋体" w:cs="宋体"/>
                <w:color w:val="auto"/>
                <w:sz w:val="21"/>
                <w:szCs w:val="21"/>
                <w:highlight w:val="none"/>
              </w:rPr>
            </w:pPr>
          </w:p>
        </w:tc>
        <w:tc>
          <w:tcPr>
            <w:tcW w:w="917" w:type="dxa"/>
            <w:tcBorders>
              <w:top w:val="single" w:color="auto" w:sz="4" w:space="0"/>
              <w:left w:val="single" w:color="auto" w:sz="4" w:space="0"/>
            </w:tcBorders>
            <w:shd w:val="clear" w:color="auto" w:fill="FFFFFF"/>
            <w:noWrap w:val="0"/>
            <w:vAlign w:val="top"/>
          </w:tcPr>
          <w:p w14:paraId="7E526653">
            <w:pPr>
              <w:rPr>
                <w:rFonts w:hint="eastAsia" w:ascii="宋体" w:hAnsi="宋体" w:cs="宋体"/>
                <w:color w:val="auto"/>
                <w:sz w:val="21"/>
                <w:szCs w:val="21"/>
                <w:highlight w:val="none"/>
              </w:rPr>
            </w:pPr>
          </w:p>
        </w:tc>
      </w:tr>
    </w:tbl>
    <w:p w14:paraId="7BC332E3">
      <w:pPr>
        <w:spacing w:after="299" w:line="1" w:lineRule="exact"/>
        <w:rPr>
          <w:rFonts w:hint="eastAsia" w:ascii="宋体" w:hAnsi="宋体" w:cs="宋体"/>
          <w:color w:val="auto"/>
          <w:highlight w:val="none"/>
        </w:rPr>
      </w:pPr>
    </w:p>
    <w:p w14:paraId="6BF6C20D">
      <w:pPr>
        <w:spacing w:line="500" w:lineRule="exact"/>
        <w:rPr>
          <w:rFonts w:hint="eastAsia" w:ascii="宋体" w:hAnsi="宋体" w:cs="宋体"/>
          <w:b/>
          <w:bCs/>
          <w:color w:val="auto"/>
          <w:szCs w:val="21"/>
          <w:highlight w:val="none"/>
        </w:rPr>
      </w:pPr>
      <w:bookmarkStart w:id="119" w:name="bookmark2237"/>
      <w:bookmarkStart w:id="120" w:name="bookmark2239"/>
      <w:bookmarkStart w:id="121" w:name="bookmark2238"/>
      <w:r>
        <w:rPr>
          <w:rFonts w:hint="eastAsia" w:ascii="宋体" w:hAnsi="宋体" w:cs="宋体"/>
          <w:b/>
          <w:bCs/>
          <w:color w:val="auto"/>
          <w:szCs w:val="21"/>
          <w:highlight w:val="none"/>
        </w:rPr>
        <w:t>备注：表中内容须按要求填写，并不得留空，否则按无效响应处理。</w:t>
      </w:r>
    </w:p>
    <w:p w14:paraId="5CFA3E5F">
      <w:pPr>
        <w:rPr>
          <w:rFonts w:hint="eastAsia" w:ascii="宋体" w:hAnsi="宋体" w:cs="宋体"/>
          <w:b/>
          <w:color w:val="auto"/>
          <w:sz w:val="20"/>
          <w:szCs w:val="20"/>
          <w:highlight w:val="none"/>
        </w:rPr>
      </w:pPr>
    </w:p>
    <w:p w14:paraId="135BE7AD">
      <w:pPr>
        <w:pStyle w:val="10"/>
        <w:rPr>
          <w:rFonts w:hint="eastAsia" w:ascii="宋体" w:hAnsi="宋体" w:cs="宋体"/>
          <w:b/>
          <w:color w:val="auto"/>
          <w:sz w:val="20"/>
          <w:szCs w:val="20"/>
          <w:highlight w:val="none"/>
        </w:rPr>
      </w:pPr>
    </w:p>
    <w:p w14:paraId="5CC548AF">
      <w:pPr>
        <w:pStyle w:val="10"/>
        <w:rPr>
          <w:rFonts w:hint="eastAsia" w:ascii="宋体" w:hAnsi="宋体" w:cs="宋体"/>
          <w:b/>
          <w:color w:val="auto"/>
          <w:sz w:val="20"/>
          <w:szCs w:val="20"/>
          <w:highlight w:val="none"/>
        </w:rPr>
      </w:pPr>
    </w:p>
    <w:p w14:paraId="26FDA732">
      <w:pPr>
        <w:autoSpaceDE w:val="0"/>
        <w:autoSpaceDN w:val="0"/>
        <w:spacing w:line="360" w:lineRule="auto"/>
        <w:ind w:left="4335" w:leftChars="1950" w:hanging="240" w:hangingChars="100"/>
        <w:rPr>
          <w:rFonts w:hint="eastAsia"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2A3AA25F">
      <w:pPr>
        <w:autoSpaceDE w:val="0"/>
        <w:autoSpaceDN w:val="0"/>
        <w:spacing w:line="360" w:lineRule="auto"/>
        <w:ind w:firstLine="6300" w:firstLineChars="2625"/>
        <w:rPr>
          <w:rFonts w:hint="eastAsia" w:ascii="宋体" w:hAnsi="宋体" w:cs="宋体"/>
          <w:b/>
          <w:bCs/>
          <w:color w:val="auto"/>
          <w:sz w:val="24"/>
          <w:highlight w:val="none"/>
        </w:rPr>
      </w:pPr>
      <w:r>
        <w:rPr>
          <w:rFonts w:hint="eastAsia" w:ascii="宋体" w:hAnsi="宋体" w:cs="宋体"/>
          <w:color w:val="auto"/>
          <w:kern w:val="0"/>
          <w:sz w:val="24"/>
          <w:highlight w:val="none"/>
          <w:lang w:val="zh-CN"/>
        </w:rPr>
        <w:t>日期：  年  月  日</w:t>
      </w:r>
    </w:p>
    <w:p w14:paraId="3D1F26D6">
      <w:pPr>
        <w:widowControl/>
        <w:jc w:val="left"/>
        <w:rPr>
          <w:rFonts w:hint="eastAsia" w:ascii="宋体" w:hAnsi="宋体" w:cs="宋体"/>
          <w:color w:val="auto"/>
          <w:sz w:val="32"/>
          <w:szCs w:val="32"/>
          <w:highlight w:val="none"/>
        </w:rPr>
        <w:sectPr>
          <w:pgSz w:w="11910" w:h="16840"/>
          <w:pgMar w:top="1134" w:right="1587" w:bottom="1134" w:left="1587" w:header="720" w:footer="720" w:gutter="0"/>
          <w:pgBorders>
            <w:top w:val="none" w:sz="0" w:space="0"/>
            <w:left w:val="none" w:sz="0" w:space="0"/>
            <w:bottom w:val="none" w:sz="0" w:space="0"/>
            <w:right w:val="none" w:sz="0" w:space="0"/>
          </w:pgBorders>
          <w:cols w:space="720" w:num="1"/>
        </w:sectPr>
      </w:pPr>
    </w:p>
    <w:p w14:paraId="08E96219">
      <w:pPr>
        <w:rPr>
          <w:rFonts w:hint="eastAsia" w:ascii="宋体" w:hAnsi="宋体" w:cs="宋体"/>
          <w:b/>
          <w:color w:val="auto"/>
          <w:szCs w:val="21"/>
          <w:highlight w:val="none"/>
        </w:rPr>
      </w:pPr>
      <w:r>
        <w:rPr>
          <w:rFonts w:hint="eastAsia" w:ascii="宋体" w:hAnsi="宋体" w:cs="宋体"/>
          <w:b/>
          <w:color w:val="auto"/>
          <w:szCs w:val="21"/>
          <w:highlight w:val="none"/>
        </w:rPr>
        <w:t>附件三：拟投入本合同工程的劳动力计划表</w:t>
      </w:r>
      <w:bookmarkEnd w:id="119"/>
      <w:bookmarkEnd w:id="120"/>
      <w:bookmarkEnd w:id="121"/>
    </w:p>
    <w:p w14:paraId="29A45509">
      <w:pPr>
        <w:rPr>
          <w:rFonts w:hint="eastAsia" w:ascii="宋体" w:hAnsi="宋体" w:cs="宋体"/>
          <w:b/>
          <w:color w:val="auto"/>
          <w:szCs w:val="21"/>
          <w:highlight w:val="none"/>
        </w:rPr>
      </w:pPr>
    </w:p>
    <w:p w14:paraId="530995EF">
      <w:pPr>
        <w:jc w:val="center"/>
        <w:rPr>
          <w:rFonts w:hint="eastAsia" w:ascii="宋体" w:hAnsi="宋体" w:cs="宋体"/>
          <w:b/>
          <w:color w:val="auto"/>
          <w:szCs w:val="21"/>
          <w:highlight w:val="none"/>
        </w:rPr>
      </w:pPr>
      <w:bookmarkStart w:id="122" w:name="_Toc30824"/>
      <w:bookmarkStart w:id="123" w:name="bookmark2242"/>
      <w:bookmarkStart w:id="124" w:name="_Toc26872"/>
      <w:bookmarkStart w:id="125" w:name="bookmark2240"/>
      <w:bookmarkStart w:id="126" w:name="bookmark2241"/>
      <w:r>
        <w:rPr>
          <w:rFonts w:hint="eastAsia" w:ascii="宋体" w:hAnsi="宋体" w:cs="宋体"/>
          <w:b/>
          <w:color w:val="auto"/>
          <w:szCs w:val="21"/>
          <w:highlight w:val="none"/>
        </w:rPr>
        <w:t>拟投入本合同工程的劳动力计划表</w:t>
      </w:r>
      <w:bookmarkEnd w:id="122"/>
      <w:bookmarkEnd w:id="123"/>
      <w:bookmarkEnd w:id="124"/>
      <w:bookmarkEnd w:id="125"/>
      <w:bookmarkEnd w:id="126"/>
    </w:p>
    <w:p w14:paraId="7F981F4D">
      <w:pPr>
        <w:jc w:val="center"/>
        <w:rPr>
          <w:rFonts w:hint="eastAsia" w:ascii="宋体" w:hAnsi="宋体" w:cs="宋体"/>
          <w:b/>
          <w:color w:val="auto"/>
          <w:highlight w:val="none"/>
        </w:rPr>
      </w:pPr>
    </w:p>
    <w:tbl>
      <w:tblPr>
        <w:tblStyle w:val="23"/>
        <w:tblW w:w="8352" w:type="dxa"/>
        <w:jc w:val="center"/>
        <w:tblLayout w:type="fixed"/>
        <w:tblCellMar>
          <w:top w:w="0" w:type="dxa"/>
          <w:left w:w="10" w:type="dxa"/>
          <w:bottom w:w="0" w:type="dxa"/>
          <w:right w:w="10" w:type="dxa"/>
        </w:tblCellMar>
      </w:tblPr>
      <w:tblGrid>
        <w:gridCol w:w="1426"/>
        <w:gridCol w:w="1421"/>
        <w:gridCol w:w="643"/>
        <w:gridCol w:w="648"/>
        <w:gridCol w:w="643"/>
        <w:gridCol w:w="648"/>
        <w:gridCol w:w="648"/>
        <w:gridCol w:w="1133"/>
        <w:gridCol w:w="1142"/>
      </w:tblGrid>
      <w:tr w14:paraId="7768B52E">
        <w:tblPrEx>
          <w:tblCellMar>
            <w:top w:w="0" w:type="dxa"/>
            <w:left w:w="10" w:type="dxa"/>
            <w:bottom w:w="0" w:type="dxa"/>
            <w:right w:w="10" w:type="dxa"/>
          </w:tblCellMar>
        </w:tblPrEx>
        <w:trPr>
          <w:trHeight w:val="576" w:hRule="exact"/>
          <w:jc w:val="center"/>
        </w:trPr>
        <w:tc>
          <w:tcPr>
            <w:tcW w:w="2847" w:type="dxa"/>
            <w:gridSpan w:val="2"/>
            <w:vMerge w:val="restart"/>
            <w:tcBorders>
              <w:top w:val="single" w:color="auto" w:sz="4" w:space="0"/>
              <w:left w:val="single" w:color="auto" w:sz="4" w:space="0"/>
            </w:tcBorders>
            <w:shd w:val="clear" w:color="auto" w:fill="FFFFFF"/>
            <w:noWrap w:val="0"/>
            <w:vAlign w:val="center"/>
          </w:tcPr>
          <w:p w14:paraId="56E3C4A6">
            <w:pPr>
              <w:pStyle w:val="36"/>
              <w:spacing w:line="266" w:lineRule="exact"/>
              <w:ind w:left="1060" w:firstLine="1220"/>
              <w:rPr>
                <w:rFonts w:hint="eastAsia"/>
                <w:color w:val="auto"/>
                <w:sz w:val="21"/>
                <w:szCs w:val="21"/>
                <w:highlight w:val="none"/>
              </w:rPr>
            </w:pPr>
            <w:r>
              <w:rPr>
                <w:rFonts w:hint="eastAsia"/>
                <w:color w:val="auto"/>
                <w:sz w:val="21"/>
                <w:szCs w:val="21"/>
                <w:highlight w:val="none"/>
                <w:lang w:bidi="mn-Mong-CN"/>
              </w:rPr>
              <mc:AlternateContent>
                <mc:Choice Requires="wps">
                  <w:drawing>
                    <wp:anchor distT="0" distB="0" distL="114300" distR="114300" simplePos="0" relativeHeight="251662336" behindDoc="0" locked="0" layoutInCell="1" allowOverlap="1">
                      <wp:simplePos x="0" y="0"/>
                      <wp:positionH relativeFrom="column">
                        <wp:posOffset>6350</wp:posOffset>
                      </wp:positionH>
                      <wp:positionV relativeFrom="paragraph">
                        <wp:posOffset>1905</wp:posOffset>
                      </wp:positionV>
                      <wp:extent cx="1822450" cy="366395"/>
                      <wp:effectExtent l="635" t="4445" r="5715" b="10160"/>
                      <wp:wrapNone/>
                      <wp:docPr id="7" name="直接箭头连接符 7"/>
                      <wp:cNvGraphicFramePr/>
                      <a:graphic xmlns:a="http://schemas.openxmlformats.org/drawingml/2006/main">
                        <a:graphicData uri="http://schemas.microsoft.com/office/word/2010/wordprocessingShape">
                          <wps:wsp>
                            <wps:cNvCnPr/>
                            <wps:spPr>
                              <a:xfrm>
                                <a:off x="0" y="0"/>
                                <a:ext cx="1822450" cy="36639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0.5pt;margin-top:0.15pt;height:28.85pt;width:143.5pt;z-index:251662336;mso-width-relative:page;mso-height-relative:page;" filled="f" stroked="t" coordsize="21600,21600" o:gfxdata="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fMEh80wAAAAUBAAAPAAAAAAAAAAEAIAAAACIAAABkcnMvZG93bnJl&#10;di54bWxQSwECFAAUAAAACACHTuJAvIDdUAICAADxAwAADgAAAAAAAAABACAAAAAiAQAAZHJzL2Uy&#10;b0RvYy54bWxQSwUGAAAAAAYABgBZAQAAlgUAAAAA&#10;">
                      <v:fill on="f" focussize="0,0"/>
                      <v:stroke color="#000000" joinstyle="round"/>
                      <v:imagedata o:title=""/>
                      <o:lock v:ext="edit" aspectratio="f"/>
                    </v:shape>
                  </w:pict>
                </mc:Fallback>
              </mc:AlternateContent>
            </w:r>
            <w:r>
              <w:rPr>
                <w:rFonts w:hint="eastAsia"/>
                <w:color w:val="auto"/>
                <w:sz w:val="21"/>
                <w:szCs w:val="21"/>
                <w:highlight w:val="none"/>
                <w:lang w:val="en-US" w:bidi="mn-Mong-CN"/>
              </w:rPr>
              <mc:AlternateContent>
                <mc:Choice Requires="wps">
                  <w:drawing>
                    <wp:anchor distT="0" distB="0" distL="114300" distR="114300" simplePos="0" relativeHeight="251663360" behindDoc="0" locked="0" layoutInCell="1" allowOverlap="1">
                      <wp:simplePos x="0" y="0"/>
                      <wp:positionH relativeFrom="column">
                        <wp:posOffset>-13970</wp:posOffset>
                      </wp:positionH>
                      <wp:positionV relativeFrom="paragraph">
                        <wp:posOffset>-8255</wp:posOffset>
                      </wp:positionV>
                      <wp:extent cx="1139190" cy="728980"/>
                      <wp:effectExtent l="2540" t="3810" r="20320" b="10160"/>
                      <wp:wrapNone/>
                      <wp:docPr id="1" name="直接箭头连接符 1"/>
                      <wp:cNvGraphicFramePr/>
                      <a:graphic xmlns:a="http://schemas.openxmlformats.org/drawingml/2006/main">
                        <a:graphicData uri="http://schemas.microsoft.com/office/word/2010/wordprocessingShape">
                          <wps:wsp>
                            <wps:cNvCnPr/>
                            <wps:spPr>
                              <a:xfrm>
                                <a:off x="0" y="0"/>
                                <a:ext cx="1139190" cy="72898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1pt;margin-top:-0.65pt;height:57.4pt;width:89.7pt;z-index:251663360;mso-width-relative:page;mso-height-relative:page;" filled="f" stroked="t" coordsize="21600,21600" o:gfxdata="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Oha+1XXAAAACQEAAA8AAAAAAAAAAQAgAAAAIgAAAGRycy9k&#10;b3ducmV2LnhtbFBLAQIUABQAAAAIAIdO4kBlydNhAwIAAPEDAAAOAAAAAAAAAAEAIAAAACYBAABk&#10;cnMvZTJvRG9jLnhtbFBLBQYAAAAABgAGAFkBAACbBQAAAAA=&#10;">
                      <v:fill on="f" focussize="0,0"/>
                      <v:stroke color="#000000" joinstyle="round"/>
                      <v:imagedata o:title=""/>
                      <o:lock v:ext="edit" aspectratio="f"/>
                    </v:shape>
                  </w:pict>
                </mc:Fallback>
              </mc:AlternateContent>
            </w:r>
            <w:r>
              <w:rPr>
                <w:rFonts w:hint="eastAsia"/>
                <w:color w:val="auto"/>
                <w:sz w:val="21"/>
                <w:szCs w:val="21"/>
                <w:highlight w:val="none"/>
              </w:rPr>
              <w:t>工种 人数</w:t>
            </w:r>
          </w:p>
          <w:p w14:paraId="12ED3A5B">
            <w:pPr>
              <w:pStyle w:val="36"/>
              <w:spacing w:line="266" w:lineRule="exact"/>
              <w:ind w:firstLine="180"/>
              <w:rPr>
                <w:rFonts w:hint="eastAsia"/>
                <w:color w:val="auto"/>
                <w:sz w:val="21"/>
                <w:szCs w:val="21"/>
                <w:highlight w:val="none"/>
              </w:rPr>
            </w:pPr>
            <w:r>
              <w:rPr>
                <w:rFonts w:hint="eastAsia"/>
                <w:color w:val="auto"/>
                <w:sz w:val="21"/>
                <w:szCs w:val="21"/>
                <w:highlight w:val="none"/>
              </w:rPr>
              <w:t>时间</w:t>
            </w:r>
          </w:p>
        </w:tc>
        <w:tc>
          <w:tcPr>
            <w:tcW w:w="643" w:type="dxa"/>
            <w:vMerge w:val="restart"/>
            <w:tcBorders>
              <w:top w:val="single" w:color="auto" w:sz="4" w:space="0"/>
              <w:left w:val="single" w:color="auto" w:sz="4" w:space="0"/>
            </w:tcBorders>
            <w:shd w:val="clear" w:color="auto" w:fill="FFFFFF"/>
            <w:noWrap w:val="0"/>
            <w:vAlign w:val="top"/>
          </w:tcPr>
          <w:p w14:paraId="53780758">
            <w:pPr>
              <w:rPr>
                <w:rFonts w:hint="eastAsia" w:ascii="宋体" w:hAnsi="宋体" w:cs="宋体"/>
                <w:color w:val="auto"/>
                <w:sz w:val="21"/>
                <w:szCs w:val="21"/>
                <w:highlight w:val="none"/>
              </w:rPr>
            </w:pPr>
          </w:p>
        </w:tc>
        <w:tc>
          <w:tcPr>
            <w:tcW w:w="648" w:type="dxa"/>
            <w:vMerge w:val="restart"/>
            <w:tcBorders>
              <w:top w:val="single" w:color="auto" w:sz="4" w:space="0"/>
              <w:left w:val="single" w:color="auto" w:sz="4" w:space="0"/>
            </w:tcBorders>
            <w:shd w:val="clear" w:color="auto" w:fill="FFFFFF"/>
            <w:noWrap w:val="0"/>
            <w:vAlign w:val="top"/>
          </w:tcPr>
          <w:p w14:paraId="34DC3006">
            <w:pPr>
              <w:rPr>
                <w:rFonts w:hint="eastAsia" w:ascii="宋体" w:hAnsi="宋体" w:cs="宋体"/>
                <w:color w:val="auto"/>
                <w:sz w:val="21"/>
                <w:szCs w:val="21"/>
                <w:highlight w:val="none"/>
              </w:rPr>
            </w:pPr>
          </w:p>
        </w:tc>
        <w:tc>
          <w:tcPr>
            <w:tcW w:w="643" w:type="dxa"/>
            <w:vMerge w:val="restart"/>
            <w:tcBorders>
              <w:top w:val="single" w:color="auto" w:sz="4" w:space="0"/>
              <w:left w:val="single" w:color="auto" w:sz="4" w:space="0"/>
            </w:tcBorders>
            <w:shd w:val="clear" w:color="auto" w:fill="FFFFFF"/>
            <w:noWrap w:val="0"/>
            <w:vAlign w:val="top"/>
          </w:tcPr>
          <w:p w14:paraId="4DB84095">
            <w:pPr>
              <w:rPr>
                <w:rFonts w:hint="eastAsia" w:ascii="宋体" w:hAnsi="宋体" w:cs="宋体"/>
                <w:color w:val="auto"/>
                <w:sz w:val="21"/>
                <w:szCs w:val="21"/>
                <w:highlight w:val="none"/>
              </w:rPr>
            </w:pPr>
          </w:p>
        </w:tc>
        <w:tc>
          <w:tcPr>
            <w:tcW w:w="648" w:type="dxa"/>
            <w:vMerge w:val="restart"/>
            <w:tcBorders>
              <w:top w:val="single" w:color="auto" w:sz="4" w:space="0"/>
              <w:left w:val="single" w:color="auto" w:sz="4" w:space="0"/>
            </w:tcBorders>
            <w:shd w:val="clear" w:color="auto" w:fill="FFFFFF"/>
            <w:noWrap w:val="0"/>
            <w:vAlign w:val="top"/>
          </w:tcPr>
          <w:p w14:paraId="5A7B6ABF">
            <w:pPr>
              <w:rPr>
                <w:rFonts w:hint="eastAsia" w:ascii="宋体" w:hAnsi="宋体" w:cs="宋体"/>
                <w:color w:val="auto"/>
                <w:sz w:val="21"/>
                <w:szCs w:val="21"/>
                <w:highlight w:val="none"/>
              </w:rPr>
            </w:pPr>
          </w:p>
        </w:tc>
        <w:tc>
          <w:tcPr>
            <w:tcW w:w="648" w:type="dxa"/>
            <w:vMerge w:val="restart"/>
            <w:tcBorders>
              <w:top w:val="single" w:color="auto" w:sz="4" w:space="0"/>
              <w:left w:val="single" w:color="auto" w:sz="4" w:space="0"/>
            </w:tcBorders>
            <w:shd w:val="clear" w:color="auto" w:fill="FFFFFF"/>
            <w:noWrap w:val="0"/>
            <w:vAlign w:val="top"/>
          </w:tcPr>
          <w:p w14:paraId="3F547033">
            <w:pPr>
              <w:rPr>
                <w:rFonts w:hint="eastAsia" w:ascii="宋体" w:hAnsi="宋体" w:cs="宋体"/>
                <w:color w:val="auto"/>
                <w:sz w:val="21"/>
                <w:szCs w:val="21"/>
                <w:highlight w:val="none"/>
              </w:rPr>
            </w:pPr>
          </w:p>
        </w:tc>
        <w:tc>
          <w:tcPr>
            <w:tcW w:w="2275" w:type="dxa"/>
            <w:gridSpan w:val="2"/>
            <w:tcBorders>
              <w:top w:val="single" w:color="auto" w:sz="4" w:space="0"/>
              <w:left w:val="single" w:color="auto" w:sz="4" w:space="0"/>
              <w:right w:val="single" w:color="auto" w:sz="4" w:space="0"/>
            </w:tcBorders>
            <w:shd w:val="clear" w:color="auto" w:fill="FFFFFF"/>
            <w:noWrap w:val="0"/>
            <w:vAlign w:val="center"/>
          </w:tcPr>
          <w:p w14:paraId="4B34FB1F">
            <w:pPr>
              <w:pStyle w:val="36"/>
              <w:spacing w:line="240" w:lineRule="auto"/>
              <w:jc w:val="center"/>
              <w:rPr>
                <w:rFonts w:hint="eastAsia"/>
                <w:color w:val="auto"/>
                <w:sz w:val="21"/>
                <w:szCs w:val="21"/>
                <w:highlight w:val="none"/>
              </w:rPr>
            </w:pPr>
            <w:r>
              <w:rPr>
                <w:rFonts w:hint="eastAsia"/>
                <w:color w:val="auto"/>
                <w:sz w:val="21"/>
                <w:szCs w:val="21"/>
                <w:highlight w:val="none"/>
              </w:rPr>
              <w:t>合 计</w:t>
            </w:r>
          </w:p>
        </w:tc>
      </w:tr>
      <w:tr w14:paraId="4B45CB90">
        <w:tblPrEx>
          <w:tblCellMar>
            <w:top w:w="0" w:type="dxa"/>
            <w:left w:w="10" w:type="dxa"/>
            <w:bottom w:w="0" w:type="dxa"/>
            <w:right w:w="10" w:type="dxa"/>
          </w:tblCellMar>
        </w:tblPrEx>
        <w:trPr>
          <w:trHeight w:val="566" w:hRule="exact"/>
          <w:jc w:val="center"/>
        </w:trPr>
        <w:tc>
          <w:tcPr>
            <w:tcW w:w="2847" w:type="dxa"/>
            <w:gridSpan w:val="2"/>
            <w:vMerge w:val="continue"/>
            <w:tcBorders>
              <w:left w:val="single" w:color="auto" w:sz="4" w:space="0"/>
            </w:tcBorders>
            <w:shd w:val="clear" w:color="auto" w:fill="FFFFFF"/>
            <w:noWrap w:val="0"/>
            <w:vAlign w:val="center"/>
          </w:tcPr>
          <w:p w14:paraId="4F9DBEF4">
            <w:pPr>
              <w:rPr>
                <w:rFonts w:hint="eastAsia" w:ascii="宋体" w:hAnsi="宋体" w:cs="宋体"/>
                <w:color w:val="auto"/>
                <w:sz w:val="21"/>
                <w:szCs w:val="21"/>
                <w:highlight w:val="none"/>
              </w:rPr>
            </w:pPr>
          </w:p>
        </w:tc>
        <w:tc>
          <w:tcPr>
            <w:tcW w:w="643" w:type="dxa"/>
            <w:vMerge w:val="continue"/>
            <w:tcBorders>
              <w:left w:val="single" w:color="auto" w:sz="4" w:space="0"/>
            </w:tcBorders>
            <w:shd w:val="clear" w:color="auto" w:fill="FFFFFF"/>
            <w:noWrap w:val="0"/>
            <w:vAlign w:val="top"/>
          </w:tcPr>
          <w:p w14:paraId="1DDDE097">
            <w:pPr>
              <w:rPr>
                <w:rFonts w:hint="eastAsia" w:ascii="宋体" w:hAnsi="宋体" w:cs="宋体"/>
                <w:color w:val="auto"/>
                <w:sz w:val="21"/>
                <w:szCs w:val="21"/>
                <w:highlight w:val="none"/>
              </w:rPr>
            </w:pPr>
          </w:p>
        </w:tc>
        <w:tc>
          <w:tcPr>
            <w:tcW w:w="648" w:type="dxa"/>
            <w:vMerge w:val="continue"/>
            <w:tcBorders>
              <w:left w:val="single" w:color="auto" w:sz="4" w:space="0"/>
            </w:tcBorders>
            <w:shd w:val="clear" w:color="auto" w:fill="FFFFFF"/>
            <w:noWrap w:val="0"/>
            <w:vAlign w:val="top"/>
          </w:tcPr>
          <w:p w14:paraId="7AEB22C2">
            <w:pPr>
              <w:rPr>
                <w:rFonts w:hint="eastAsia" w:ascii="宋体" w:hAnsi="宋体" w:cs="宋体"/>
                <w:color w:val="auto"/>
                <w:sz w:val="21"/>
                <w:szCs w:val="21"/>
                <w:highlight w:val="none"/>
              </w:rPr>
            </w:pPr>
          </w:p>
        </w:tc>
        <w:tc>
          <w:tcPr>
            <w:tcW w:w="643" w:type="dxa"/>
            <w:vMerge w:val="continue"/>
            <w:tcBorders>
              <w:left w:val="single" w:color="auto" w:sz="4" w:space="0"/>
            </w:tcBorders>
            <w:shd w:val="clear" w:color="auto" w:fill="FFFFFF"/>
            <w:noWrap w:val="0"/>
            <w:vAlign w:val="top"/>
          </w:tcPr>
          <w:p w14:paraId="5A0D5F3C">
            <w:pPr>
              <w:rPr>
                <w:rFonts w:hint="eastAsia" w:ascii="宋体" w:hAnsi="宋体" w:cs="宋体"/>
                <w:color w:val="auto"/>
                <w:sz w:val="21"/>
                <w:szCs w:val="21"/>
                <w:highlight w:val="none"/>
              </w:rPr>
            </w:pPr>
          </w:p>
        </w:tc>
        <w:tc>
          <w:tcPr>
            <w:tcW w:w="648" w:type="dxa"/>
            <w:vMerge w:val="continue"/>
            <w:tcBorders>
              <w:left w:val="single" w:color="auto" w:sz="4" w:space="0"/>
            </w:tcBorders>
            <w:shd w:val="clear" w:color="auto" w:fill="FFFFFF"/>
            <w:noWrap w:val="0"/>
            <w:vAlign w:val="top"/>
          </w:tcPr>
          <w:p w14:paraId="49C49065">
            <w:pPr>
              <w:rPr>
                <w:rFonts w:hint="eastAsia" w:ascii="宋体" w:hAnsi="宋体" w:cs="宋体"/>
                <w:color w:val="auto"/>
                <w:sz w:val="21"/>
                <w:szCs w:val="21"/>
                <w:highlight w:val="none"/>
              </w:rPr>
            </w:pPr>
          </w:p>
        </w:tc>
        <w:tc>
          <w:tcPr>
            <w:tcW w:w="648" w:type="dxa"/>
            <w:vMerge w:val="continue"/>
            <w:tcBorders>
              <w:left w:val="single" w:color="auto" w:sz="4" w:space="0"/>
            </w:tcBorders>
            <w:shd w:val="clear" w:color="auto" w:fill="FFFFFF"/>
            <w:noWrap w:val="0"/>
            <w:vAlign w:val="top"/>
          </w:tcPr>
          <w:p w14:paraId="7CA4EED8">
            <w:pPr>
              <w:rPr>
                <w:rFonts w:hint="eastAsia" w:ascii="宋体" w:hAnsi="宋体" w:cs="宋体"/>
                <w:color w:val="auto"/>
                <w:sz w:val="21"/>
                <w:szCs w:val="21"/>
                <w:highlight w:val="none"/>
              </w:rPr>
            </w:pPr>
          </w:p>
        </w:tc>
        <w:tc>
          <w:tcPr>
            <w:tcW w:w="1133" w:type="dxa"/>
            <w:tcBorders>
              <w:top w:val="single" w:color="auto" w:sz="4" w:space="0"/>
              <w:left w:val="single" w:color="auto" w:sz="4" w:space="0"/>
            </w:tcBorders>
            <w:shd w:val="clear" w:color="auto" w:fill="FFFFFF"/>
            <w:noWrap w:val="0"/>
            <w:vAlign w:val="center"/>
          </w:tcPr>
          <w:p w14:paraId="0C78BF1C">
            <w:pPr>
              <w:pStyle w:val="36"/>
              <w:spacing w:line="240" w:lineRule="auto"/>
              <w:jc w:val="center"/>
              <w:rPr>
                <w:rFonts w:hint="eastAsia"/>
                <w:color w:val="auto"/>
                <w:sz w:val="21"/>
                <w:szCs w:val="21"/>
                <w:highlight w:val="none"/>
              </w:rPr>
            </w:pPr>
            <w:r>
              <w:rPr>
                <w:rFonts w:hint="eastAsia"/>
                <w:color w:val="auto"/>
                <w:sz w:val="21"/>
                <w:szCs w:val="21"/>
                <w:highlight w:val="none"/>
              </w:rPr>
              <w:t>人数</w:t>
            </w:r>
          </w:p>
        </w:tc>
        <w:tc>
          <w:tcPr>
            <w:tcW w:w="1142" w:type="dxa"/>
            <w:tcBorders>
              <w:top w:val="single" w:color="auto" w:sz="4" w:space="0"/>
              <w:left w:val="single" w:color="auto" w:sz="4" w:space="0"/>
              <w:right w:val="single" w:color="auto" w:sz="4" w:space="0"/>
            </w:tcBorders>
            <w:shd w:val="clear" w:color="auto" w:fill="FFFFFF"/>
            <w:noWrap w:val="0"/>
            <w:vAlign w:val="center"/>
          </w:tcPr>
          <w:p w14:paraId="7D28457B">
            <w:pPr>
              <w:pStyle w:val="36"/>
              <w:spacing w:line="240" w:lineRule="auto"/>
              <w:jc w:val="center"/>
              <w:rPr>
                <w:rFonts w:hint="eastAsia"/>
                <w:color w:val="auto"/>
                <w:sz w:val="21"/>
                <w:szCs w:val="21"/>
                <w:highlight w:val="none"/>
              </w:rPr>
            </w:pPr>
            <w:r>
              <w:rPr>
                <w:rFonts w:hint="eastAsia"/>
                <w:color w:val="auto"/>
                <w:sz w:val="21"/>
                <w:szCs w:val="21"/>
                <w:highlight w:val="none"/>
              </w:rPr>
              <w:t>人工工日数</w:t>
            </w:r>
          </w:p>
        </w:tc>
      </w:tr>
      <w:tr w14:paraId="247E7B9B">
        <w:tblPrEx>
          <w:tblCellMar>
            <w:top w:w="0" w:type="dxa"/>
            <w:left w:w="10" w:type="dxa"/>
            <w:bottom w:w="0" w:type="dxa"/>
            <w:right w:w="10" w:type="dxa"/>
          </w:tblCellMar>
        </w:tblPrEx>
        <w:trPr>
          <w:trHeight w:val="566" w:hRule="exact"/>
          <w:jc w:val="center"/>
        </w:trPr>
        <w:tc>
          <w:tcPr>
            <w:tcW w:w="1426" w:type="dxa"/>
            <w:vMerge w:val="restart"/>
            <w:tcBorders>
              <w:top w:val="single" w:color="auto" w:sz="4" w:space="0"/>
              <w:left w:val="single" w:color="auto" w:sz="4" w:space="0"/>
            </w:tcBorders>
            <w:shd w:val="clear" w:color="auto" w:fill="FFFFFF"/>
            <w:noWrap w:val="0"/>
            <w:vAlign w:val="center"/>
          </w:tcPr>
          <w:p w14:paraId="4CA174F8">
            <w:pPr>
              <w:pStyle w:val="36"/>
              <w:spacing w:line="240" w:lineRule="auto"/>
              <w:ind w:left="1120"/>
              <w:rPr>
                <w:rFonts w:hint="eastAsia"/>
                <w:color w:val="auto"/>
                <w:sz w:val="21"/>
                <w:szCs w:val="21"/>
                <w:highlight w:val="none"/>
              </w:rPr>
            </w:pPr>
            <w:r>
              <w:rPr>
                <w:rFonts w:hint="eastAsia"/>
                <w:color w:val="auto"/>
                <w:sz w:val="21"/>
                <w:szCs w:val="21"/>
                <w:highlight w:val="none"/>
              </w:rPr>
              <w:t>年</w:t>
            </w:r>
          </w:p>
        </w:tc>
        <w:tc>
          <w:tcPr>
            <w:tcW w:w="1421" w:type="dxa"/>
            <w:tcBorders>
              <w:top w:val="single" w:color="auto" w:sz="4" w:space="0"/>
              <w:left w:val="single" w:color="auto" w:sz="4" w:space="0"/>
            </w:tcBorders>
            <w:shd w:val="clear" w:color="auto" w:fill="FFFFFF"/>
            <w:noWrap w:val="0"/>
            <w:vAlign w:val="center"/>
          </w:tcPr>
          <w:p w14:paraId="4E278F52">
            <w:pPr>
              <w:pStyle w:val="36"/>
              <w:spacing w:line="240" w:lineRule="auto"/>
              <w:ind w:left="1120"/>
              <w:rPr>
                <w:rFonts w:hint="eastAsia"/>
                <w:color w:val="auto"/>
                <w:sz w:val="21"/>
                <w:szCs w:val="21"/>
                <w:highlight w:val="none"/>
              </w:rPr>
            </w:pPr>
            <w:r>
              <w:rPr>
                <w:rFonts w:hint="eastAsia"/>
                <w:color w:val="auto"/>
                <w:sz w:val="21"/>
                <w:szCs w:val="21"/>
                <w:highlight w:val="none"/>
              </w:rPr>
              <w:t>月</w:t>
            </w:r>
          </w:p>
        </w:tc>
        <w:tc>
          <w:tcPr>
            <w:tcW w:w="643" w:type="dxa"/>
            <w:tcBorders>
              <w:top w:val="single" w:color="auto" w:sz="4" w:space="0"/>
              <w:left w:val="single" w:color="auto" w:sz="4" w:space="0"/>
            </w:tcBorders>
            <w:shd w:val="clear" w:color="auto" w:fill="FFFFFF"/>
            <w:noWrap w:val="0"/>
            <w:vAlign w:val="top"/>
          </w:tcPr>
          <w:p w14:paraId="05423AB2">
            <w:pPr>
              <w:rPr>
                <w:rFonts w:hint="eastAsia" w:ascii="宋体" w:hAnsi="宋体" w:cs="宋体"/>
                <w:color w:val="auto"/>
                <w:sz w:val="21"/>
                <w:szCs w:val="21"/>
                <w:highlight w:val="none"/>
              </w:rPr>
            </w:pPr>
          </w:p>
        </w:tc>
        <w:tc>
          <w:tcPr>
            <w:tcW w:w="648" w:type="dxa"/>
            <w:tcBorders>
              <w:top w:val="single" w:color="auto" w:sz="4" w:space="0"/>
              <w:left w:val="single" w:color="auto" w:sz="4" w:space="0"/>
            </w:tcBorders>
            <w:shd w:val="clear" w:color="auto" w:fill="FFFFFF"/>
            <w:noWrap w:val="0"/>
            <w:vAlign w:val="top"/>
          </w:tcPr>
          <w:p w14:paraId="6CA0CFBE">
            <w:pPr>
              <w:rPr>
                <w:rFonts w:hint="eastAsia" w:ascii="宋体" w:hAnsi="宋体" w:cs="宋体"/>
                <w:color w:val="auto"/>
                <w:sz w:val="21"/>
                <w:szCs w:val="21"/>
                <w:highlight w:val="none"/>
              </w:rPr>
            </w:pPr>
          </w:p>
        </w:tc>
        <w:tc>
          <w:tcPr>
            <w:tcW w:w="643" w:type="dxa"/>
            <w:tcBorders>
              <w:top w:val="single" w:color="auto" w:sz="4" w:space="0"/>
              <w:left w:val="single" w:color="auto" w:sz="4" w:space="0"/>
            </w:tcBorders>
            <w:shd w:val="clear" w:color="auto" w:fill="FFFFFF"/>
            <w:noWrap w:val="0"/>
            <w:vAlign w:val="top"/>
          </w:tcPr>
          <w:p w14:paraId="6E79478E">
            <w:pPr>
              <w:rPr>
                <w:rFonts w:hint="eastAsia" w:ascii="宋体" w:hAnsi="宋体" w:cs="宋体"/>
                <w:color w:val="auto"/>
                <w:sz w:val="21"/>
                <w:szCs w:val="21"/>
                <w:highlight w:val="none"/>
              </w:rPr>
            </w:pPr>
          </w:p>
        </w:tc>
        <w:tc>
          <w:tcPr>
            <w:tcW w:w="648" w:type="dxa"/>
            <w:tcBorders>
              <w:top w:val="single" w:color="auto" w:sz="4" w:space="0"/>
              <w:left w:val="single" w:color="auto" w:sz="4" w:space="0"/>
            </w:tcBorders>
            <w:shd w:val="clear" w:color="auto" w:fill="FFFFFF"/>
            <w:noWrap w:val="0"/>
            <w:vAlign w:val="top"/>
          </w:tcPr>
          <w:p w14:paraId="4F860F68">
            <w:pPr>
              <w:rPr>
                <w:rFonts w:hint="eastAsia" w:ascii="宋体" w:hAnsi="宋体" w:cs="宋体"/>
                <w:color w:val="auto"/>
                <w:sz w:val="21"/>
                <w:szCs w:val="21"/>
                <w:highlight w:val="none"/>
              </w:rPr>
            </w:pPr>
          </w:p>
        </w:tc>
        <w:tc>
          <w:tcPr>
            <w:tcW w:w="648" w:type="dxa"/>
            <w:tcBorders>
              <w:top w:val="single" w:color="auto" w:sz="4" w:space="0"/>
              <w:left w:val="single" w:color="auto" w:sz="4" w:space="0"/>
            </w:tcBorders>
            <w:shd w:val="clear" w:color="auto" w:fill="FFFFFF"/>
            <w:noWrap w:val="0"/>
            <w:vAlign w:val="top"/>
          </w:tcPr>
          <w:p w14:paraId="054A417D">
            <w:pPr>
              <w:rPr>
                <w:rFonts w:hint="eastAsia" w:ascii="宋体" w:hAnsi="宋体" w:cs="宋体"/>
                <w:color w:val="auto"/>
                <w:sz w:val="21"/>
                <w:szCs w:val="21"/>
                <w:highlight w:val="none"/>
              </w:rPr>
            </w:pPr>
          </w:p>
        </w:tc>
        <w:tc>
          <w:tcPr>
            <w:tcW w:w="1133" w:type="dxa"/>
            <w:tcBorders>
              <w:top w:val="single" w:color="auto" w:sz="4" w:space="0"/>
              <w:left w:val="single" w:color="auto" w:sz="4" w:space="0"/>
            </w:tcBorders>
            <w:shd w:val="clear" w:color="auto" w:fill="FFFFFF"/>
            <w:noWrap w:val="0"/>
            <w:vAlign w:val="top"/>
          </w:tcPr>
          <w:p w14:paraId="527A853A">
            <w:pPr>
              <w:rPr>
                <w:rFonts w:hint="eastAsia" w:ascii="宋体" w:hAnsi="宋体" w:cs="宋体"/>
                <w:color w:val="auto"/>
                <w:sz w:val="21"/>
                <w:szCs w:val="21"/>
                <w:highlight w:val="none"/>
              </w:rPr>
            </w:pPr>
          </w:p>
        </w:tc>
        <w:tc>
          <w:tcPr>
            <w:tcW w:w="1142" w:type="dxa"/>
            <w:tcBorders>
              <w:top w:val="single" w:color="auto" w:sz="4" w:space="0"/>
              <w:left w:val="single" w:color="auto" w:sz="4" w:space="0"/>
              <w:right w:val="single" w:color="auto" w:sz="4" w:space="0"/>
            </w:tcBorders>
            <w:shd w:val="clear" w:color="auto" w:fill="FFFFFF"/>
            <w:noWrap w:val="0"/>
            <w:vAlign w:val="center"/>
          </w:tcPr>
          <w:p w14:paraId="3DBFF753">
            <w:pPr>
              <w:jc w:val="center"/>
              <w:rPr>
                <w:rFonts w:hint="eastAsia" w:ascii="宋体" w:hAnsi="宋体" w:cs="宋体"/>
                <w:color w:val="auto"/>
                <w:sz w:val="21"/>
                <w:szCs w:val="21"/>
                <w:highlight w:val="none"/>
              </w:rPr>
            </w:pPr>
          </w:p>
        </w:tc>
      </w:tr>
      <w:tr w14:paraId="63462966">
        <w:tblPrEx>
          <w:tblCellMar>
            <w:top w:w="0" w:type="dxa"/>
            <w:left w:w="10" w:type="dxa"/>
            <w:bottom w:w="0" w:type="dxa"/>
            <w:right w:w="10" w:type="dxa"/>
          </w:tblCellMar>
        </w:tblPrEx>
        <w:trPr>
          <w:trHeight w:val="566" w:hRule="exact"/>
          <w:jc w:val="center"/>
        </w:trPr>
        <w:tc>
          <w:tcPr>
            <w:tcW w:w="1426" w:type="dxa"/>
            <w:vMerge w:val="continue"/>
            <w:tcBorders>
              <w:left w:val="single" w:color="auto" w:sz="4" w:space="0"/>
            </w:tcBorders>
            <w:shd w:val="clear" w:color="auto" w:fill="FFFFFF"/>
            <w:noWrap w:val="0"/>
            <w:vAlign w:val="center"/>
          </w:tcPr>
          <w:p w14:paraId="22B8D146">
            <w:pPr>
              <w:rPr>
                <w:rFonts w:hint="eastAsia" w:ascii="宋体" w:hAnsi="宋体" w:cs="宋体"/>
                <w:color w:val="auto"/>
                <w:sz w:val="21"/>
                <w:szCs w:val="21"/>
                <w:highlight w:val="none"/>
              </w:rPr>
            </w:pPr>
          </w:p>
        </w:tc>
        <w:tc>
          <w:tcPr>
            <w:tcW w:w="1421" w:type="dxa"/>
            <w:tcBorders>
              <w:top w:val="single" w:color="auto" w:sz="4" w:space="0"/>
              <w:left w:val="single" w:color="auto" w:sz="4" w:space="0"/>
            </w:tcBorders>
            <w:shd w:val="clear" w:color="auto" w:fill="FFFFFF"/>
            <w:noWrap w:val="0"/>
            <w:vAlign w:val="center"/>
          </w:tcPr>
          <w:p w14:paraId="6479DF84">
            <w:pPr>
              <w:pStyle w:val="36"/>
              <w:spacing w:line="240" w:lineRule="auto"/>
              <w:ind w:left="1120"/>
              <w:rPr>
                <w:rFonts w:hint="eastAsia"/>
                <w:color w:val="auto"/>
                <w:sz w:val="21"/>
                <w:szCs w:val="21"/>
                <w:highlight w:val="none"/>
              </w:rPr>
            </w:pPr>
            <w:r>
              <w:rPr>
                <w:rFonts w:hint="eastAsia"/>
                <w:color w:val="auto"/>
                <w:sz w:val="21"/>
                <w:szCs w:val="21"/>
                <w:highlight w:val="none"/>
              </w:rPr>
              <w:t>月</w:t>
            </w:r>
          </w:p>
        </w:tc>
        <w:tc>
          <w:tcPr>
            <w:tcW w:w="643" w:type="dxa"/>
            <w:tcBorders>
              <w:top w:val="single" w:color="auto" w:sz="4" w:space="0"/>
              <w:left w:val="single" w:color="auto" w:sz="4" w:space="0"/>
            </w:tcBorders>
            <w:shd w:val="clear" w:color="auto" w:fill="FFFFFF"/>
            <w:noWrap w:val="0"/>
            <w:vAlign w:val="top"/>
          </w:tcPr>
          <w:p w14:paraId="3A7BADD8">
            <w:pPr>
              <w:rPr>
                <w:rFonts w:hint="eastAsia" w:ascii="宋体" w:hAnsi="宋体" w:cs="宋体"/>
                <w:color w:val="auto"/>
                <w:sz w:val="21"/>
                <w:szCs w:val="21"/>
                <w:highlight w:val="none"/>
              </w:rPr>
            </w:pPr>
          </w:p>
        </w:tc>
        <w:tc>
          <w:tcPr>
            <w:tcW w:w="648" w:type="dxa"/>
            <w:tcBorders>
              <w:top w:val="single" w:color="auto" w:sz="4" w:space="0"/>
              <w:left w:val="single" w:color="auto" w:sz="4" w:space="0"/>
            </w:tcBorders>
            <w:shd w:val="clear" w:color="auto" w:fill="FFFFFF"/>
            <w:noWrap w:val="0"/>
            <w:vAlign w:val="top"/>
          </w:tcPr>
          <w:p w14:paraId="7798CAAE">
            <w:pPr>
              <w:rPr>
                <w:rFonts w:hint="eastAsia" w:ascii="宋体" w:hAnsi="宋体" w:cs="宋体"/>
                <w:color w:val="auto"/>
                <w:sz w:val="21"/>
                <w:szCs w:val="21"/>
                <w:highlight w:val="none"/>
              </w:rPr>
            </w:pPr>
          </w:p>
        </w:tc>
        <w:tc>
          <w:tcPr>
            <w:tcW w:w="643" w:type="dxa"/>
            <w:tcBorders>
              <w:top w:val="single" w:color="auto" w:sz="4" w:space="0"/>
              <w:left w:val="single" w:color="auto" w:sz="4" w:space="0"/>
            </w:tcBorders>
            <w:shd w:val="clear" w:color="auto" w:fill="FFFFFF"/>
            <w:noWrap w:val="0"/>
            <w:vAlign w:val="top"/>
          </w:tcPr>
          <w:p w14:paraId="7A81F60B">
            <w:pPr>
              <w:rPr>
                <w:rFonts w:hint="eastAsia" w:ascii="宋体" w:hAnsi="宋体" w:cs="宋体"/>
                <w:color w:val="auto"/>
                <w:sz w:val="21"/>
                <w:szCs w:val="21"/>
                <w:highlight w:val="none"/>
              </w:rPr>
            </w:pPr>
          </w:p>
        </w:tc>
        <w:tc>
          <w:tcPr>
            <w:tcW w:w="648" w:type="dxa"/>
            <w:tcBorders>
              <w:top w:val="single" w:color="auto" w:sz="4" w:space="0"/>
              <w:left w:val="single" w:color="auto" w:sz="4" w:space="0"/>
            </w:tcBorders>
            <w:shd w:val="clear" w:color="auto" w:fill="FFFFFF"/>
            <w:noWrap w:val="0"/>
            <w:vAlign w:val="top"/>
          </w:tcPr>
          <w:p w14:paraId="7F12212C">
            <w:pPr>
              <w:rPr>
                <w:rFonts w:hint="eastAsia" w:ascii="宋体" w:hAnsi="宋体" w:cs="宋体"/>
                <w:color w:val="auto"/>
                <w:sz w:val="21"/>
                <w:szCs w:val="21"/>
                <w:highlight w:val="none"/>
              </w:rPr>
            </w:pPr>
          </w:p>
        </w:tc>
        <w:tc>
          <w:tcPr>
            <w:tcW w:w="648" w:type="dxa"/>
            <w:tcBorders>
              <w:top w:val="single" w:color="auto" w:sz="4" w:space="0"/>
              <w:left w:val="single" w:color="auto" w:sz="4" w:space="0"/>
            </w:tcBorders>
            <w:shd w:val="clear" w:color="auto" w:fill="FFFFFF"/>
            <w:noWrap w:val="0"/>
            <w:vAlign w:val="top"/>
          </w:tcPr>
          <w:p w14:paraId="37FC0F46">
            <w:pPr>
              <w:rPr>
                <w:rFonts w:hint="eastAsia" w:ascii="宋体" w:hAnsi="宋体" w:cs="宋体"/>
                <w:color w:val="auto"/>
                <w:sz w:val="21"/>
                <w:szCs w:val="21"/>
                <w:highlight w:val="none"/>
              </w:rPr>
            </w:pPr>
          </w:p>
        </w:tc>
        <w:tc>
          <w:tcPr>
            <w:tcW w:w="1133" w:type="dxa"/>
            <w:tcBorders>
              <w:top w:val="single" w:color="auto" w:sz="4" w:space="0"/>
              <w:left w:val="single" w:color="auto" w:sz="4" w:space="0"/>
            </w:tcBorders>
            <w:shd w:val="clear" w:color="auto" w:fill="FFFFFF"/>
            <w:noWrap w:val="0"/>
            <w:vAlign w:val="top"/>
          </w:tcPr>
          <w:p w14:paraId="4CCF37E9">
            <w:pPr>
              <w:rPr>
                <w:rFonts w:hint="eastAsia" w:ascii="宋体" w:hAnsi="宋体" w:cs="宋体"/>
                <w:color w:val="auto"/>
                <w:sz w:val="21"/>
                <w:szCs w:val="21"/>
                <w:highlight w:val="none"/>
              </w:rPr>
            </w:pPr>
          </w:p>
        </w:tc>
        <w:tc>
          <w:tcPr>
            <w:tcW w:w="1142" w:type="dxa"/>
            <w:tcBorders>
              <w:top w:val="single" w:color="auto" w:sz="4" w:space="0"/>
              <w:left w:val="single" w:color="auto" w:sz="4" w:space="0"/>
              <w:right w:val="single" w:color="auto" w:sz="4" w:space="0"/>
            </w:tcBorders>
            <w:shd w:val="clear" w:color="auto" w:fill="FFFFFF"/>
            <w:noWrap w:val="0"/>
            <w:vAlign w:val="center"/>
          </w:tcPr>
          <w:p w14:paraId="4C9C5A5B">
            <w:pPr>
              <w:jc w:val="center"/>
              <w:rPr>
                <w:rFonts w:hint="eastAsia" w:ascii="宋体" w:hAnsi="宋体" w:cs="宋体"/>
                <w:color w:val="auto"/>
                <w:sz w:val="21"/>
                <w:szCs w:val="21"/>
                <w:highlight w:val="none"/>
              </w:rPr>
            </w:pPr>
          </w:p>
        </w:tc>
      </w:tr>
      <w:tr w14:paraId="5D5543B0">
        <w:tblPrEx>
          <w:tblCellMar>
            <w:top w:w="0" w:type="dxa"/>
            <w:left w:w="10" w:type="dxa"/>
            <w:bottom w:w="0" w:type="dxa"/>
            <w:right w:w="10" w:type="dxa"/>
          </w:tblCellMar>
        </w:tblPrEx>
        <w:trPr>
          <w:trHeight w:val="566" w:hRule="exact"/>
          <w:jc w:val="center"/>
        </w:trPr>
        <w:tc>
          <w:tcPr>
            <w:tcW w:w="1426" w:type="dxa"/>
            <w:vMerge w:val="continue"/>
            <w:tcBorders>
              <w:left w:val="single" w:color="auto" w:sz="4" w:space="0"/>
            </w:tcBorders>
            <w:shd w:val="clear" w:color="auto" w:fill="FFFFFF"/>
            <w:noWrap w:val="0"/>
            <w:vAlign w:val="center"/>
          </w:tcPr>
          <w:p w14:paraId="70C2CB96">
            <w:pPr>
              <w:rPr>
                <w:rFonts w:hint="eastAsia" w:ascii="宋体" w:hAnsi="宋体" w:cs="宋体"/>
                <w:color w:val="auto"/>
                <w:sz w:val="21"/>
                <w:szCs w:val="21"/>
                <w:highlight w:val="none"/>
              </w:rPr>
            </w:pPr>
          </w:p>
        </w:tc>
        <w:tc>
          <w:tcPr>
            <w:tcW w:w="1421" w:type="dxa"/>
            <w:tcBorders>
              <w:top w:val="single" w:color="auto" w:sz="4" w:space="0"/>
              <w:left w:val="single" w:color="auto" w:sz="4" w:space="0"/>
            </w:tcBorders>
            <w:shd w:val="clear" w:color="auto" w:fill="FFFFFF"/>
            <w:noWrap w:val="0"/>
            <w:vAlign w:val="center"/>
          </w:tcPr>
          <w:p w14:paraId="5A33A8FF">
            <w:pPr>
              <w:pStyle w:val="36"/>
              <w:spacing w:line="240" w:lineRule="auto"/>
              <w:ind w:left="1120"/>
              <w:rPr>
                <w:rFonts w:hint="eastAsia"/>
                <w:color w:val="auto"/>
                <w:sz w:val="21"/>
                <w:szCs w:val="21"/>
                <w:highlight w:val="none"/>
              </w:rPr>
            </w:pPr>
            <w:r>
              <w:rPr>
                <w:rFonts w:hint="eastAsia"/>
                <w:color w:val="auto"/>
                <w:sz w:val="21"/>
                <w:szCs w:val="21"/>
                <w:highlight w:val="none"/>
              </w:rPr>
              <w:t>月</w:t>
            </w:r>
          </w:p>
        </w:tc>
        <w:tc>
          <w:tcPr>
            <w:tcW w:w="643" w:type="dxa"/>
            <w:tcBorders>
              <w:top w:val="single" w:color="auto" w:sz="4" w:space="0"/>
              <w:left w:val="single" w:color="auto" w:sz="4" w:space="0"/>
            </w:tcBorders>
            <w:shd w:val="clear" w:color="auto" w:fill="FFFFFF"/>
            <w:noWrap w:val="0"/>
            <w:vAlign w:val="top"/>
          </w:tcPr>
          <w:p w14:paraId="58B60715">
            <w:pPr>
              <w:rPr>
                <w:rFonts w:hint="eastAsia" w:ascii="宋体" w:hAnsi="宋体" w:cs="宋体"/>
                <w:color w:val="auto"/>
                <w:sz w:val="21"/>
                <w:szCs w:val="21"/>
                <w:highlight w:val="none"/>
              </w:rPr>
            </w:pPr>
          </w:p>
        </w:tc>
        <w:tc>
          <w:tcPr>
            <w:tcW w:w="648" w:type="dxa"/>
            <w:tcBorders>
              <w:top w:val="single" w:color="auto" w:sz="4" w:space="0"/>
              <w:left w:val="single" w:color="auto" w:sz="4" w:space="0"/>
            </w:tcBorders>
            <w:shd w:val="clear" w:color="auto" w:fill="FFFFFF"/>
            <w:noWrap w:val="0"/>
            <w:vAlign w:val="top"/>
          </w:tcPr>
          <w:p w14:paraId="1C2F93D3">
            <w:pPr>
              <w:rPr>
                <w:rFonts w:hint="eastAsia" w:ascii="宋体" w:hAnsi="宋体" w:cs="宋体"/>
                <w:color w:val="auto"/>
                <w:sz w:val="21"/>
                <w:szCs w:val="21"/>
                <w:highlight w:val="none"/>
              </w:rPr>
            </w:pPr>
          </w:p>
        </w:tc>
        <w:tc>
          <w:tcPr>
            <w:tcW w:w="643" w:type="dxa"/>
            <w:tcBorders>
              <w:top w:val="single" w:color="auto" w:sz="4" w:space="0"/>
              <w:left w:val="single" w:color="auto" w:sz="4" w:space="0"/>
            </w:tcBorders>
            <w:shd w:val="clear" w:color="auto" w:fill="FFFFFF"/>
            <w:noWrap w:val="0"/>
            <w:vAlign w:val="top"/>
          </w:tcPr>
          <w:p w14:paraId="2B6FD6CA">
            <w:pPr>
              <w:rPr>
                <w:rFonts w:hint="eastAsia" w:ascii="宋体" w:hAnsi="宋体" w:cs="宋体"/>
                <w:color w:val="auto"/>
                <w:sz w:val="21"/>
                <w:szCs w:val="21"/>
                <w:highlight w:val="none"/>
              </w:rPr>
            </w:pPr>
          </w:p>
        </w:tc>
        <w:tc>
          <w:tcPr>
            <w:tcW w:w="648" w:type="dxa"/>
            <w:tcBorders>
              <w:top w:val="single" w:color="auto" w:sz="4" w:space="0"/>
              <w:left w:val="single" w:color="auto" w:sz="4" w:space="0"/>
            </w:tcBorders>
            <w:shd w:val="clear" w:color="auto" w:fill="FFFFFF"/>
            <w:noWrap w:val="0"/>
            <w:vAlign w:val="top"/>
          </w:tcPr>
          <w:p w14:paraId="2CB2D644">
            <w:pPr>
              <w:rPr>
                <w:rFonts w:hint="eastAsia" w:ascii="宋体" w:hAnsi="宋体" w:cs="宋体"/>
                <w:color w:val="auto"/>
                <w:sz w:val="21"/>
                <w:szCs w:val="21"/>
                <w:highlight w:val="none"/>
              </w:rPr>
            </w:pPr>
          </w:p>
        </w:tc>
        <w:tc>
          <w:tcPr>
            <w:tcW w:w="648" w:type="dxa"/>
            <w:tcBorders>
              <w:top w:val="single" w:color="auto" w:sz="4" w:space="0"/>
              <w:left w:val="single" w:color="auto" w:sz="4" w:space="0"/>
            </w:tcBorders>
            <w:shd w:val="clear" w:color="auto" w:fill="FFFFFF"/>
            <w:noWrap w:val="0"/>
            <w:vAlign w:val="top"/>
          </w:tcPr>
          <w:p w14:paraId="47854201">
            <w:pPr>
              <w:rPr>
                <w:rFonts w:hint="eastAsia" w:ascii="宋体" w:hAnsi="宋体" w:cs="宋体"/>
                <w:color w:val="auto"/>
                <w:sz w:val="21"/>
                <w:szCs w:val="21"/>
                <w:highlight w:val="none"/>
              </w:rPr>
            </w:pPr>
          </w:p>
        </w:tc>
        <w:tc>
          <w:tcPr>
            <w:tcW w:w="1133" w:type="dxa"/>
            <w:tcBorders>
              <w:top w:val="single" w:color="auto" w:sz="4" w:space="0"/>
              <w:left w:val="single" w:color="auto" w:sz="4" w:space="0"/>
            </w:tcBorders>
            <w:shd w:val="clear" w:color="auto" w:fill="FFFFFF"/>
            <w:noWrap w:val="0"/>
            <w:vAlign w:val="top"/>
          </w:tcPr>
          <w:p w14:paraId="0EC82061">
            <w:pPr>
              <w:rPr>
                <w:rFonts w:hint="eastAsia" w:ascii="宋体" w:hAnsi="宋体" w:cs="宋体"/>
                <w:color w:val="auto"/>
                <w:sz w:val="21"/>
                <w:szCs w:val="21"/>
                <w:highlight w:val="none"/>
              </w:rPr>
            </w:pPr>
          </w:p>
        </w:tc>
        <w:tc>
          <w:tcPr>
            <w:tcW w:w="1142" w:type="dxa"/>
            <w:tcBorders>
              <w:top w:val="single" w:color="auto" w:sz="4" w:space="0"/>
              <w:left w:val="single" w:color="auto" w:sz="4" w:space="0"/>
              <w:right w:val="single" w:color="auto" w:sz="4" w:space="0"/>
            </w:tcBorders>
            <w:shd w:val="clear" w:color="auto" w:fill="FFFFFF"/>
            <w:noWrap w:val="0"/>
            <w:vAlign w:val="top"/>
          </w:tcPr>
          <w:p w14:paraId="41EA87E5">
            <w:pPr>
              <w:rPr>
                <w:rFonts w:hint="eastAsia" w:ascii="宋体" w:hAnsi="宋体" w:cs="宋体"/>
                <w:color w:val="auto"/>
                <w:sz w:val="21"/>
                <w:szCs w:val="21"/>
                <w:highlight w:val="none"/>
              </w:rPr>
            </w:pPr>
          </w:p>
        </w:tc>
      </w:tr>
      <w:tr w14:paraId="7336244D">
        <w:tblPrEx>
          <w:tblCellMar>
            <w:top w:w="0" w:type="dxa"/>
            <w:left w:w="10" w:type="dxa"/>
            <w:bottom w:w="0" w:type="dxa"/>
            <w:right w:w="10" w:type="dxa"/>
          </w:tblCellMar>
        </w:tblPrEx>
        <w:trPr>
          <w:trHeight w:val="566" w:hRule="exact"/>
          <w:jc w:val="center"/>
        </w:trPr>
        <w:tc>
          <w:tcPr>
            <w:tcW w:w="1426" w:type="dxa"/>
            <w:vMerge w:val="continue"/>
            <w:tcBorders>
              <w:left w:val="single" w:color="auto" w:sz="4" w:space="0"/>
            </w:tcBorders>
            <w:shd w:val="clear" w:color="auto" w:fill="FFFFFF"/>
            <w:noWrap w:val="0"/>
            <w:vAlign w:val="center"/>
          </w:tcPr>
          <w:p w14:paraId="3D341536">
            <w:pPr>
              <w:rPr>
                <w:rFonts w:hint="eastAsia" w:ascii="宋体" w:hAnsi="宋体" w:cs="宋体"/>
                <w:color w:val="auto"/>
                <w:sz w:val="21"/>
                <w:szCs w:val="21"/>
                <w:highlight w:val="none"/>
              </w:rPr>
            </w:pPr>
          </w:p>
        </w:tc>
        <w:tc>
          <w:tcPr>
            <w:tcW w:w="1421" w:type="dxa"/>
            <w:tcBorders>
              <w:top w:val="single" w:color="auto" w:sz="4" w:space="0"/>
              <w:left w:val="single" w:color="auto" w:sz="4" w:space="0"/>
            </w:tcBorders>
            <w:shd w:val="clear" w:color="auto" w:fill="FFFFFF"/>
            <w:noWrap w:val="0"/>
            <w:vAlign w:val="center"/>
          </w:tcPr>
          <w:p w14:paraId="3730070B">
            <w:pPr>
              <w:pStyle w:val="36"/>
              <w:spacing w:line="240" w:lineRule="auto"/>
              <w:ind w:left="1120"/>
              <w:rPr>
                <w:rFonts w:hint="eastAsia"/>
                <w:color w:val="auto"/>
                <w:sz w:val="21"/>
                <w:szCs w:val="21"/>
                <w:highlight w:val="none"/>
              </w:rPr>
            </w:pPr>
            <w:r>
              <w:rPr>
                <w:rFonts w:hint="eastAsia"/>
                <w:color w:val="auto"/>
                <w:sz w:val="21"/>
                <w:szCs w:val="21"/>
                <w:highlight w:val="none"/>
              </w:rPr>
              <w:t>月</w:t>
            </w:r>
          </w:p>
        </w:tc>
        <w:tc>
          <w:tcPr>
            <w:tcW w:w="643" w:type="dxa"/>
            <w:tcBorders>
              <w:top w:val="single" w:color="auto" w:sz="4" w:space="0"/>
              <w:left w:val="single" w:color="auto" w:sz="4" w:space="0"/>
            </w:tcBorders>
            <w:shd w:val="clear" w:color="auto" w:fill="FFFFFF"/>
            <w:noWrap w:val="0"/>
            <w:vAlign w:val="top"/>
          </w:tcPr>
          <w:p w14:paraId="5D42A0C9">
            <w:pPr>
              <w:rPr>
                <w:rFonts w:hint="eastAsia" w:ascii="宋体" w:hAnsi="宋体" w:cs="宋体"/>
                <w:color w:val="auto"/>
                <w:sz w:val="21"/>
                <w:szCs w:val="21"/>
                <w:highlight w:val="none"/>
              </w:rPr>
            </w:pPr>
          </w:p>
        </w:tc>
        <w:tc>
          <w:tcPr>
            <w:tcW w:w="648" w:type="dxa"/>
            <w:tcBorders>
              <w:top w:val="single" w:color="auto" w:sz="4" w:space="0"/>
              <w:left w:val="single" w:color="auto" w:sz="4" w:space="0"/>
            </w:tcBorders>
            <w:shd w:val="clear" w:color="auto" w:fill="FFFFFF"/>
            <w:noWrap w:val="0"/>
            <w:vAlign w:val="top"/>
          </w:tcPr>
          <w:p w14:paraId="709F69BC">
            <w:pPr>
              <w:rPr>
                <w:rFonts w:hint="eastAsia" w:ascii="宋体" w:hAnsi="宋体" w:cs="宋体"/>
                <w:color w:val="auto"/>
                <w:sz w:val="21"/>
                <w:szCs w:val="21"/>
                <w:highlight w:val="none"/>
              </w:rPr>
            </w:pPr>
          </w:p>
        </w:tc>
        <w:tc>
          <w:tcPr>
            <w:tcW w:w="643" w:type="dxa"/>
            <w:tcBorders>
              <w:top w:val="single" w:color="auto" w:sz="4" w:space="0"/>
              <w:left w:val="single" w:color="auto" w:sz="4" w:space="0"/>
            </w:tcBorders>
            <w:shd w:val="clear" w:color="auto" w:fill="FFFFFF"/>
            <w:noWrap w:val="0"/>
            <w:vAlign w:val="top"/>
          </w:tcPr>
          <w:p w14:paraId="066A142C">
            <w:pPr>
              <w:rPr>
                <w:rFonts w:hint="eastAsia" w:ascii="宋体" w:hAnsi="宋体" w:cs="宋体"/>
                <w:color w:val="auto"/>
                <w:sz w:val="21"/>
                <w:szCs w:val="21"/>
                <w:highlight w:val="none"/>
              </w:rPr>
            </w:pPr>
          </w:p>
        </w:tc>
        <w:tc>
          <w:tcPr>
            <w:tcW w:w="648" w:type="dxa"/>
            <w:tcBorders>
              <w:top w:val="single" w:color="auto" w:sz="4" w:space="0"/>
              <w:left w:val="single" w:color="auto" w:sz="4" w:space="0"/>
            </w:tcBorders>
            <w:shd w:val="clear" w:color="auto" w:fill="FFFFFF"/>
            <w:noWrap w:val="0"/>
            <w:vAlign w:val="top"/>
          </w:tcPr>
          <w:p w14:paraId="25A60B30">
            <w:pPr>
              <w:rPr>
                <w:rFonts w:hint="eastAsia" w:ascii="宋体" w:hAnsi="宋体" w:cs="宋体"/>
                <w:color w:val="auto"/>
                <w:sz w:val="21"/>
                <w:szCs w:val="21"/>
                <w:highlight w:val="none"/>
              </w:rPr>
            </w:pPr>
          </w:p>
        </w:tc>
        <w:tc>
          <w:tcPr>
            <w:tcW w:w="648" w:type="dxa"/>
            <w:tcBorders>
              <w:top w:val="single" w:color="auto" w:sz="4" w:space="0"/>
              <w:left w:val="single" w:color="auto" w:sz="4" w:space="0"/>
            </w:tcBorders>
            <w:shd w:val="clear" w:color="auto" w:fill="FFFFFF"/>
            <w:noWrap w:val="0"/>
            <w:vAlign w:val="top"/>
          </w:tcPr>
          <w:p w14:paraId="7862E962">
            <w:pPr>
              <w:rPr>
                <w:rFonts w:hint="eastAsia" w:ascii="宋体" w:hAnsi="宋体" w:cs="宋体"/>
                <w:color w:val="auto"/>
                <w:sz w:val="21"/>
                <w:szCs w:val="21"/>
                <w:highlight w:val="none"/>
              </w:rPr>
            </w:pPr>
          </w:p>
        </w:tc>
        <w:tc>
          <w:tcPr>
            <w:tcW w:w="1133" w:type="dxa"/>
            <w:tcBorders>
              <w:top w:val="single" w:color="auto" w:sz="4" w:space="0"/>
              <w:left w:val="single" w:color="auto" w:sz="4" w:space="0"/>
            </w:tcBorders>
            <w:shd w:val="clear" w:color="auto" w:fill="FFFFFF"/>
            <w:noWrap w:val="0"/>
            <w:vAlign w:val="top"/>
          </w:tcPr>
          <w:p w14:paraId="11F04A00">
            <w:pPr>
              <w:rPr>
                <w:rFonts w:hint="eastAsia" w:ascii="宋体" w:hAnsi="宋体" w:cs="宋体"/>
                <w:color w:val="auto"/>
                <w:sz w:val="21"/>
                <w:szCs w:val="21"/>
                <w:highlight w:val="none"/>
              </w:rPr>
            </w:pPr>
          </w:p>
        </w:tc>
        <w:tc>
          <w:tcPr>
            <w:tcW w:w="1142" w:type="dxa"/>
            <w:tcBorders>
              <w:top w:val="single" w:color="auto" w:sz="4" w:space="0"/>
              <w:left w:val="single" w:color="auto" w:sz="4" w:space="0"/>
              <w:right w:val="single" w:color="auto" w:sz="4" w:space="0"/>
            </w:tcBorders>
            <w:shd w:val="clear" w:color="auto" w:fill="FFFFFF"/>
            <w:noWrap w:val="0"/>
            <w:vAlign w:val="top"/>
          </w:tcPr>
          <w:p w14:paraId="2E1D9AA7">
            <w:pPr>
              <w:rPr>
                <w:rFonts w:hint="eastAsia" w:ascii="宋体" w:hAnsi="宋体" w:cs="宋体"/>
                <w:color w:val="auto"/>
                <w:sz w:val="21"/>
                <w:szCs w:val="21"/>
                <w:highlight w:val="none"/>
              </w:rPr>
            </w:pPr>
          </w:p>
        </w:tc>
      </w:tr>
      <w:tr w14:paraId="0BDA0209">
        <w:tblPrEx>
          <w:tblCellMar>
            <w:top w:w="0" w:type="dxa"/>
            <w:left w:w="10" w:type="dxa"/>
            <w:bottom w:w="0" w:type="dxa"/>
            <w:right w:w="10" w:type="dxa"/>
          </w:tblCellMar>
        </w:tblPrEx>
        <w:trPr>
          <w:trHeight w:val="571" w:hRule="exact"/>
          <w:jc w:val="center"/>
        </w:trPr>
        <w:tc>
          <w:tcPr>
            <w:tcW w:w="1426" w:type="dxa"/>
            <w:vMerge w:val="continue"/>
            <w:tcBorders>
              <w:left w:val="single" w:color="auto" w:sz="4" w:space="0"/>
            </w:tcBorders>
            <w:shd w:val="clear" w:color="auto" w:fill="FFFFFF"/>
            <w:noWrap w:val="0"/>
            <w:vAlign w:val="center"/>
          </w:tcPr>
          <w:p w14:paraId="17882B5B">
            <w:pPr>
              <w:rPr>
                <w:rFonts w:hint="eastAsia" w:ascii="宋体" w:hAnsi="宋体" w:cs="宋体"/>
                <w:color w:val="auto"/>
                <w:sz w:val="21"/>
                <w:szCs w:val="21"/>
                <w:highlight w:val="none"/>
              </w:rPr>
            </w:pPr>
          </w:p>
        </w:tc>
        <w:tc>
          <w:tcPr>
            <w:tcW w:w="1421" w:type="dxa"/>
            <w:tcBorders>
              <w:top w:val="single" w:color="auto" w:sz="4" w:space="0"/>
              <w:left w:val="single" w:color="auto" w:sz="4" w:space="0"/>
            </w:tcBorders>
            <w:shd w:val="clear" w:color="auto" w:fill="FFFFFF"/>
            <w:noWrap w:val="0"/>
            <w:vAlign w:val="center"/>
          </w:tcPr>
          <w:p w14:paraId="508E601F">
            <w:pPr>
              <w:pStyle w:val="36"/>
              <w:tabs>
                <w:tab w:val="left" w:leader="dot" w:pos="326"/>
              </w:tabs>
              <w:spacing w:line="240" w:lineRule="auto"/>
              <w:jc w:val="right"/>
              <w:rPr>
                <w:rFonts w:hint="eastAsia"/>
                <w:color w:val="auto"/>
                <w:sz w:val="21"/>
                <w:szCs w:val="21"/>
                <w:highlight w:val="none"/>
              </w:rPr>
            </w:pPr>
            <w:r>
              <w:rPr>
                <w:rFonts w:hint="eastAsia"/>
                <w:color w:val="auto"/>
                <w:sz w:val="21"/>
                <w:szCs w:val="21"/>
                <w:highlight w:val="none"/>
                <w:lang w:val="en-US" w:eastAsia="en-US" w:bidi="en-US"/>
              </w:rPr>
              <w:tab/>
            </w:r>
          </w:p>
        </w:tc>
        <w:tc>
          <w:tcPr>
            <w:tcW w:w="643" w:type="dxa"/>
            <w:tcBorders>
              <w:top w:val="single" w:color="auto" w:sz="4" w:space="0"/>
              <w:left w:val="single" w:color="auto" w:sz="4" w:space="0"/>
            </w:tcBorders>
            <w:shd w:val="clear" w:color="auto" w:fill="FFFFFF"/>
            <w:noWrap w:val="0"/>
            <w:vAlign w:val="top"/>
          </w:tcPr>
          <w:p w14:paraId="1563BC15">
            <w:pPr>
              <w:rPr>
                <w:rFonts w:hint="eastAsia" w:ascii="宋体" w:hAnsi="宋体" w:cs="宋体"/>
                <w:color w:val="auto"/>
                <w:sz w:val="21"/>
                <w:szCs w:val="21"/>
                <w:highlight w:val="none"/>
              </w:rPr>
            </w:pPr>
          </w:p>
        </w:tc>
        <w:tc>
          <w:tcPr>
            <w:tcW w:w="648" w:type="dxa"/>
            <w:tcBorders>
              <w:top w:val="single" w:color="auto" w:sz="4" w:space="0"/>
              <w:left w:val="single" w:color="auto" w:sz="4" w:space="0"/>
            </w:tcBorders>
            <w:shd w:val="clear" w:color="auto" w:fill="FFFFFF"/>
            <w:noWrap w:val="0"/>
            <w:vAlign w:val="top"/>
          </w:tcPr>
          <w:p w14:paraId="2B087B99">
            <w:pPr>
              <w:rPr>
                <w:rFonts w:hint="eastAsia" w:ascii="宋体" w:hAnsi="宋体" w:cs="宋体"/>
                <w:color w:val="auto"/>
                <w:sz w:val="21"/>
                <w:szCs w:val="21"/>
                <w:highlight w:val="none"/>
              </w:rPr>
            </w:pPr>
          </w:p>
        </w:tc>
        <w:tc>
          <w:tcPr>
            <w:tcW w:w="643" w:type="dxa"/>
            <w:tcBorders>
              <w:top w:val="single" w:color="auto" w:sz="4" w:space="0"/>
              <w:left w:val="single" w:color="auto" w:sz="4" w:space="0"/>
            </w:tcBorders>
            <w:shd w:val="clear" w:color="auto" w:fill="FFFFFF"/>
            <w:noWrap w:val="0"/>
            <w:vAlign w:val="top"/>
          </w:tcPr>
          <w:p w14:paraId="66E924CA">
            <w:pPr>
              <w:rPr>
                <w:rFonts w:hint="eastAsia" w:ascii="宋体" w:hAnsi="宋体" w:cs="宋体"/>
                <w:color w:val="auto"/>
                <w:sz w:val="21"/>
                <w:szCs w:val="21"/>
                <w:highlight w:val="none"/>
              </w:rPr>
            </w:pPr>
          </w:p>
        </w:tc>
        <w:tc>
          <w:tcPr>
            <w:tcW w:w="648" w:type="dxa"/>
            <w:tcBorders>
              <w:top w:val="single" w:color="auto" w:sz="4" w:space="0"/>
              <w:left w:val="single" w:color="auto" w:sz="4" w:space="0"/>
            </w:tcBorders>
            <w:shd w:val="clear" w:color="auto" w:fill="FFFFFF"/>
            <w:noWrap w:val="0"/>
            <w:vAlign w:val="top"/>
          </w:tcPr>
          <w:p w14:paraId="3F31C8A1">
            <w:pPr>
              <w:rPr>
                <w:rFonts w:hint="eastAsia" w:ascii="宋体" w:hAnsi="宋体" w:cs="宋体"/>
                <w:color w:val="auto"/>
                <w:sz w:val="21"/>
                <w:szCs w:val="21"/>
                <w:highlight w:val="none"/>
              </w:rPr>
            </w:pPr>
          </w:p>
        </w:tc>
        <w:tc>
          <w:tcPr>
            <w:tcW w:w="648" w:type="dxa"/>
            <w:tcBorders>
              <w:top w:val="single" w:color="auto" w:sz="4" w:space="0"/>
              <w:left w:val="single" w:color="auto" w:sz="4" w:space="0"/>
            </w:tcBorders>
            <w:shd w:val="clear" w:color="auto" w:fill="FFFFFF"/>
            <w:noWrap w:val="0"/>
            <w:vAlign w:val="top"/>
          </w:tcPr>
          <w:p w14:paraId="491A0F15">
            <w:pPr>
              <w:rPr>
                <w:rFonts w:hint="eastAsia" w:ascii="宋体" w:hAnsi="宋体" w:cs="宋体"/>
                <w:color w:val="auto"/>
                <w:sz w:val="21"/>
                <w:szCs w:val="21"/>
                <w:highlight w:val="none"/>
              </w:rPr>
            </w:pPr>
          </w:p>
        </w:tc>
        <w:tc>
          <w:tcPr>
            <w:tcW w:w="1133" w:type="dxa"/>
            <w:tcBorders>
              <w:top w:val="single" w:color="auto" w:sz="4" w:space="0"/>
              <w:left w:val="single" w:color="auto" w:sz="4" w:space="0"/>
            </w:tcBorders>
            <w:shd w:val="clear" w:color="auto" w:fill="FFFFFF"/>
            <w:noWrap w:val="0"/>
            <w:vAlign w:val="top"/>
          </w:tcPr>
          <w:p w14:paraId="35A56000">
            <w:pPr>
              <w:rPr>
                <w:rFonts w:hint="eastAsia" w:ascii="宋体" w:hAnsi="宋体" w:cs="宋体"/>
                <w:color w:val="auto"/>
                <w:sz w:val="21"/>
                <w:szCs w:val="21"/>
                <w:highlight w:val="none"/>
              </w:rPr>
            </w:pPr>
          </w:p>
        </w:tc>
        <w:tc>
          <w:tcPr>
            <w:tcW w:w="1142" w:type="dxa"/>
            <w:tcBorders>
              <w:top w:val="single" w:color="auto" w:sz="4" w:space="0"/>
              <w:left w:val="single" w:color="auto" w:sz="4" w:space="0"/>
              <w:right w:val="single" w:color="auto" w:sz="4" w:space="0"/>
            </w:tcBorders>
            <w:shd w:val="clear" w:color="auto" w:fill="FFFFFF"/>
            <w:noWrap w:val="0"/>
            <w:vAlign w:val="top"/>
          </w:tcPr>
          <w:p w14:paraId="6F8FB054">
            <w:pPr>
              <w:rPr>
                <w:rFonts w:hint="eastAsia" w:ascii="宋体" w:hAnsi="宋体" w:cs="宋体"/>
                <w:color w:val="auto"/>
                <w:sz w:val="21"/>
                <w:szCs w:val="21"/>
                <w:highlight w:val="none"/>
              </w:rPr>
            </w:pPr>
          </w:p>
        </w:tc>
      </w:tr>
      <w:tr w14:paraId="662DB66E">
        <w:tblPrEx>
          <w:tblCellMar>
            <w:top w:w="0" w:type="dxa"/>
            <w:left w:w="10" w:type="dxa"/>
            <w:bottom w:w="0" w:type="dxa"/>
            <w:right w:w="10" w:type="dxa"/>
          </w:tblCellMar>
        </w:tblPrEx>
        <w:trPr>
          <w:trHeight w:val="576" w:hRule="exact"/>
          <w:jc w:val="center"/>
        </w:trPr>
        <w:tc>
          <w:tcPr>
            <w:tcW w:w="6077" w:type="dxa"/>
            <w:gridSpan w:val="7"/>
            <w:tcBorders>
              <w:top w:val="single" w:color="auto" w:sz="4" w:space="0"/>
              <w:left w:val="single" w:color="auto" w:sz="4" w:space="0"/>
              <w:bottom w:val="single" w:color="auto" w:sz="4" w:space="0"/>
            </w:tcBorders>
            <w:shd w:val="clear" w:color="auto" w:fill="FFFFFF"/>
            <w:noWrap w:val="0"/>
            <w:vAlign w:val="center"/>
          </w:tcPr>
          <w:p w14:paraId="5FA8ADC3">
            <w:pPr>
              <w:pStyle w:val="36"/>
              <w:spacing w:line="240" w:lineRule="auto"/>
              <w:jc w:val="center"/>
              <w:rPr>
                <w:rFonts w:hint="eastAsia"/>
                <w:color w:val="auto"/>
                <w:sz w:val="21"/>
                <w:szCs w:val="21"/>
                <w:highlight w:val="none"/>
              </w:rPr>
            </w:pPr>
            <w:r>
              <w:rPr>
                <w:rFonts w:hint="eastAsia"/>
                <w:color w:val="auto"/>
                <w:sz w:val="21"/>
                <w:szCs w:val="21"/>
                <w:highlight w:val="none"/>
              </w:rPr>
              <w:t>总 计</w:t>
            </w:r>
          </w:p>
        </w:tc>
        <w:tc>
          <w:tcPr>
            <w:tcW w:w="1133" w:type="dxa"/>
            <w:tcBorders>
              <w:top w:val="single" w:color="auto" w:sz="4" w:space="0"/>
              <w:left w:val="single" w:color="auto" w:sz="4" w:space="0"/>
              <w:bottom w:val="single" w:color="auto" w:sz="4" w:space="0"/>
            </w:tcBorders>
            <w:shd w:val="clear" w:color="auto" w:fill="FFFFFF"/>
            <w:noWrap w:val="0"/>
            <w:vAlign w:val="top"/>
          </w:tcPr>
          <w:p w14:paraId="0C0B2A2C">
            <w:pPr>
              <w:rPr>
                <w:rFonts w:hint="eastAsia" w:ascii="宋体" w:hAnsi="宋体" w:cs="宋体"/>
                <w:color w:val="auto"/>
                <w:sz w:val="21"/>
                <w:szCs w:val="21"/>
                <w:highlight w:val="none"/>
              </w:rPr>
            </w:pPr>
          </w:p>
        </w:tc>
        <w:tc>
          <w:tcPr>
            <w:tcW w:w="1142" w:type="dxa"/>
            <w:tcBorders>
              <w:top w:val="single" w:color="auto" w:sz="4" w:space="0"/>
              <w:left w:val="single" w:color="auto" w:sz="4" w:space="0"/>
              <w:bottom w:val="single" w:color="auto" w:sz="4" w:space="0"/>
              <w:right w:val="single" w:color="auto" w:sz="4" w:space="0"/>
            </w:tcBorders>
            <w:shd w:val="clear" w:color="auto" w:fill="FFFFFF"/>
            <w:noWrap w:val="0"/>
            <w:vAlign w:val="top"/>
          </w:tcPr>
          <w:p w14:paraId="64A2B357">
            <w:pPr>
              <w:rPr>
                <w:rFonts w:hint="eastAsia" w:ascii="宋体" w:hAnsi="宋体" w:cs="宋体"/>
                <w:color w:val="auto"/>
                <w:sz w:val="21"/>
                <w:szCs w:val="21"/>
                <w:highlight w:val="none"/>
              </w:rPr>
            </w:pPr>
          </w:p>
        </w:tc>
      </w:tr>
    </w:tbl>
    <w:p w14:paraId="76B9A0E9">
      <w:pPr>
        <w:spacing w:after="299" w:line="1" w:lineRule="exact"/>
        <w:rPr>
          <w:rFonts w:hint="eastAsia" w:ascii="宋体" w:hAnsi="宋体" w:cs="宋体"/>
          <w:color w:val="auto"/>
          <w:highlight w:val="none"/>
        </w:rPr>
      </w:pPr>
    </w:p>
    <w:p w14:paraId="6084541F">
      <w:pPr>
        <w:autoSpaceDE w:val="0"/>
        <w:autoSpaceDN w:val="0"/>
        <w:spacing w:line="360" w:lineRule="auto"/>
        <w:ind w:left="4335" w:leftChars="1950" w:hanging="240" w:hangingChars="100"/>
        <w:rPr>
          <w:rFonts w:hint="eastAsia" w:ascii="宋体" w:hAnsi="宋体" w:cs="宋体"/>
          <w:color w:val="auto"/>
          <w:kern w:val="0"/>
          <w:sz w:val="24"/>
          <w:highlight w:val="none"/>
        </w:rPr>
      </w:pPr>
    </w:p>
    <w:p w14:paraId="1245CE02">
      <w:pPr>
        <w:autoSpaceDE w:val="0"/>
        <w:autoSpaceDN w:val="0"/>
        <w:spacing w:line="360" w:lineRule="auto"/>
        <w:ind w:left="4335" w:leftChars="1950" w:hanging="240" w:hangingChars="100"/>
        <w:rPr>
          <w:rFonts w:hint="eastAsia"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21769277">
      <w:pPr>
        <w:autoSpaceDE w:val="0"/>
        <w:autoSpaceDN w:val="0"/>
        <w:spacing w:line="360" w:lineRule="auto"/>
        <w:ind w:firstLine="6300" w:firstLineChars="2625"/>
        <w:rPr>
          <w:rFonts w:hint="eastAsia" w:ascii="宋体" w:hAnsi="宋体" w:cs="宋体"/>
          <w:b/>
          <w:bCs/>
          <w:color w:val="auto"/>
          <w:sz w:val="24"/>
          <w:highlight w:val="none"/>
        </w:rPr>
      </w:pPr>
      <w:r>
        <w:rPr>
          <w:rFonts w:hint="eastAsia" w:ascii="宋体" w:hAnsi="宋体" w:cs="宋体"/>
          <w:color w:val="auto"/>
          <w:kern w:val="0"/>
          <w:sz w:val="24"/>
          <w:highlight w:val="none"/>
          <w:lang w:val="zh-CN"/>
        </w:rPr>
        <w:t>日期：  年  月  日</w:t>
      </w:r>
    </w:p>
    <w:p w14:paraId="2405A730">
      <w:pPr>
        <w:rPr>
          <w:rFonts w:hint="eastAsia" w:ascii="宋体" w:hAnsi="宋体" w:cs="宋体"/>
          <w:b/>
          <w:color w:val="auto"/>
          <w:szCs w:val="21"/>
          <w:highlight w:val="none"/>
        </w:rPr>
      </w:pPr>
      <w:bookmarkStart w:id="127" w:name="bookmark2243"/>
      <w:bookmarkStart w:id="128" w:name="bookmark2245"/>
      <w:bookmarkStart w:id="129" w:name="bookmark2244"/>
      <w:r>
        <w:rPr>
          <w:rFonts w:hint="eastAsia" w:ascii="宋体" w:hAnsi="宋体" w:cs="宋体"/>
          <w:b/>
          <w:color w:val="auto"/>
          <w:szCs w:val="21"/>
          <w:highlight w:val="none"/>
        </w:rPr>
        <w:t>附件四：拟投入本合同工程的材料进场计划表</w:t>
      </w:r>
      <w:bookmarkEnd w:id="127"/>
      <w:bookmarkEnd w:id="128"/>
      <w:bookmarkEnd w:id="129"/>
    </w:p>
    <w:p w14:paraId="50C35EBD">
      <w:pPr>
        <w:rPr>
          <w:rFonts w:hint="eastAsia" w:ascii="宋体" w:hAnsi="宋体" w:cs="宋体"/>
          <w:b/>
          <w:color w:val="auto"/>
          <w:sz w:val="20"/>
          <w:szCs w:val="20"/>
          <w:highlight w:val="none"/>
        </w:rPr>
      </w:pPr>
    </w:p>
    <w:p w14:paraId="29FE2318">
      <w:pPr>
        <w:jc w:val="center"/>
        <w:rPr>
          <w:rFonts w:hint="eastAsia" w:ascii="宋体" w:hAnsi="宋体" w:cs="宋体"/>
          <w:b/>
          <w:color w:val="auto"/>
          <w:highlight w:val="none"/>
        </w:rPr>
      </w:pPr>
      <w:bookmarkStart w:id="130" w:name="_Toc16708"/>
      <w:bookmarkStart w:id="131" w:name="_Toc16851"/>
      <w:bookmarkStart w:id="132" w:name="bookmark2246"/>
      <w:bookmarkStart w:id="133" w:name="bookmark2248"/>
      <w:bookmarkStart w:id="134" w:name="bookmark2247"/>
      <w:r>
        <w:rPr>
          <w:rFonts w:hint="eastAsia" w:ascii="宋体" w:hAnsi="宋体" w:cs="宋体"/>
          <w:b/>
          <w:color w:val="auto"/>
          <w:highlight w:val="none"/>
        </w:rPr>
        <w:t>拟投入本合同工程的材料进场计划表</w:t>
      </w:r>
      <w:bookmarkEnd w:id="130"/>
      <w:bookmarkEnd w:id="131"/>
      <w:bookmarkEnd w:id="132"/>
      <w:bookmarkEnd w:id="133"/>
      <w:bookmarkEnd w:id="134"/>
    </w:p>
    <w:p w14:paraId="70789A22">
      <w:pPr>
        <w:jc w:val="center"/>
        <w:rPr>
          <w:rFonts w:hint="eastAsia" w:ascii="宋体" w:hAnsi="宋体" w:cs="宋体"/>
          <w:b/>
          <w:color w:val="auto"/>
          <w:highlight w:val="none"/>
        </w:rPr>
      </w:pPr>
    </w:p>
    <w:tbl>
      <w:tblPr>
        <w:tblStyle w:val="23"/>
        <w:tblW w:w="8351" w:type="dxa"/>
        <w:jc w:val="center"/>
        <w:tblLayout w:type="fixed"/>
        <w:tblCellMar>
          <w:top w:w="0" w:type="dxa"/>
          <w:left w:w="10" w:type="dxa"/>
          <w:bottom w:w="0" w:type="dxa"/>
          <w:right w:w="10" w:type="dxa"/>
        </w:tblCellMar>
      </w:tblPr>
      <w:tblGrid>
        <w:gridCol w:w="1090"/>
        <w:gridCol w:w="902"/>
        <w:gridCol w:w="907"/>
        <w:gridCol w:w="907"/>
        <w:gridCol w:w="907"/>
        <w:gridCol w:w="912"/>
        <w:gridCol w:w="902"/>
        <w:gridCol w:w="907"/>
        <w:gridCol w:w="917"/>
      </w:tblGrid>
      <w:tr w14:paraId="435E8558">
        <w:tblPrEx>
          <w:tblCellMar>
            <w:top w:w="0" w:type="dxa"/>
            <w:left w:w="10" w:type="dxa"/>
            <w:bottom w:w="0" w:type="dxa"/>
            <w:right w:w="10" w:type="dxa"/>
          </w:tblCellMar>
        </w:tblPrEx>
        <w:trPr>
          <w:trHeight w:val="576" w:hRule="exact"/>
          <w:jc w:val="center"/>
        </w:trPr>
        <w:tc>
          <w:tcPr>
            <w:tcW w:w="1090" w:type="dxa"/>
            <w:vMerge w:val="restart"/>
            <w:tcBorders>
              <w:top w:val="single" w:color="auto" w:sz="4" w:space="0"/>
              <w:left w:val="single" w:color="auto" w:sz="4" w:space="0"/>
            </w:tcBorders>
            <w:shd w:val="clear" w:color="auto" w:fill="FFFFFF"/>
            <w:noWrap w:val="0"/>
            <w:vAlign w:val="center"/>
          </w:tcPr>
          <w:p w14:paraId="142F9A0F">
            <w:pPr>
              <w:pStyle w:val="36"/>
              <w:spacing w:line="240" w:lineRule="auto"/>
              <w:jc w:val="center"/>
              <w:rPr>
                <w:rFonts w:hint="eastAsia"/>
                <w:color w:val="auto"/>
                <w:sz w:val="21"/>
                <w:szCs w:val="21"/>
                <w:highlight w:val="none"/>
              </w:rPr>
            </w:pPr>
            <w:r>
              <w:rPr>
                <w:rFonts w:hint="eastAsia"/>
                <w:color w:val="auto"/>
                <w:sz w:val="21"/>
                <w:szCs w:val="21"/>
                <w:highlight w:val="none"/>
              </w:rPr>
              <w:t>名称</w:t>
            </w:r>
          </w:p>
        </w:tc>
        <w:tc>
          <w:tcPr>
            <w:tcW w:w="902" w:type="dxa"/>
            <w:vMerge w:val="restart"/>
            <w:tcBorders>
              <w:top w:val="single" w:color="auto" w:sz="4" w:space="0"/>
              <w:left w:val="single" w:color="auto" w:sz="4" w:space="0"/>
            </w:tcBorders>
            <w:shd w:val="clear" w:color="auto" w:fill="FFFFFF"/>
            <w:noWrap w:val="0"/>
            <w:vAlign w:val="center"/>
          </w:tcPr>
          <w:p w14:paraId="36039296">
            <w:pPr>
              <w:pStyle w:val="36"/>
              <w:spacing w:line="240" w:lineRule="auto"/>
              <w:jc w:val="center"/>
              <w:rPr>
                <w:rFonts w:hint="eastAsia"/>
                <w:color w:val="auto"/>
                <w:sz w:val="21"/>
                <w:szCs w:val="21"/>
                <w:highlight w:val="none"/>
              </w:rPr>
            </w:pPr>
            <w:r>
              <w:rPr>
                <w:rFonts w:hint="eastAsia"/>
                <w:color w:val="auto"/>
                <w:sz w:val="21"/>
                <w:szCs w:val="21"/>
                <w:highlight w:val="none"/>
              </w:rPr>
              <w:t>规格</w:t>
            </w:r>
          </w:p>
        </w:tc>
        <w:tc>
          <w:tcPr>
            <w:tcW w:w="907" w:type="dxa"/>
            <w:vMerge w:val="restart"/>
            <w:tcBorders>
              <w:top w:val="single" w:color="auto" w:sz="4" w:space="0"/>
              <w:left w:val="single" w:color="auto" w:sz="4" w:space="0"/>
            </w:tcBorders>
            <w:shd w:val="clear" w:color="auto" w:fill="FFFFFF"/>
            <w:noWrap w:val="0"/>
            <w:vAlign w:val="center"/>
          </w:tcPr>
          <w:p w14:paraId="3D915256">
            <w:pPr>
              <w:pStyle w:val="36"/>
              <w:spacing w:line="269" w:lineRule="exact"/>
              <w:jc w:val="center"/>
              <w:rPr>
                <w:rFonts w:hint="eastAsia"/>
                <w:color w:val="auto"/>
                <w:sz w:val="21"/>
                <w:szCs w:val="21"/>
                <w:highlight w:val="none"/>
              </w:rPr>
            </w:pPr>
            <w:r>
              <w:rPr>
                <w:rFonts w:hint="eastAsia"/>
                <w:color w:val="auto"/>
                <w:sz w:val="21"/>
                <w:szCs w:val="21"/>
                <w:highlight w:val="none"/>
              </w:rPr>
              <w:t>计量单位</w:t>
            </w:r>
          </w:p>
        </w:tc>
        <w:tc>
          <w:tcPr>
            <w:tcW w:w="4535" w:type="dxa"/>
            <w:gridSpan w:val="5"/>
            <w:tcBorders>
              <w:top w:val="single" w:color="auto" w:sz="4" w:space="0"/>
              <w:left w:val="single" w:color="auto" w:sz="4" w:space="0"/>
            </w:tcBorders>
            <w:shd w:val="clear" w:color="auto" w:fill="FFFFFF"/>
            <w:noWrap w:val="0"/>
            <w:vAlign w:val="center"/>
          </w:tcPr>
          <w:p w14:paraId="62436729">
            <w:pPr>
              <w:pStyle w:val="36"/>
              <w:spacing w:line="240" w:lineRule="auto"/>
              <w:jc w:val="center"/>
              <w:rPr>
                <w:rFonts w:hint="eastAsia"/>
                <w:color w:val="auto"/>
                <w:sz w:val="21"/>
                <w:szCs w:val="21"/>
                <w:highlight w:val="none"/>
              </w:rPr>
            </w:pPr>
            <w:r>
              <w:rPr>
                <w:rFonts w:hint="eastAsia"/>
                <w:color w:val="auto"/>
                <w:sz w:val="21"/>
                <w:szCs w:val="21"/>
                <w:highlight w:val="none"/>
              </w:rPr>
              <w:t>数 量</w:t>
            </w:r>
          </w:p>
        </w:tc>
        <w:tc>
          <w:tcPr>
            <w:tcW w:w="917" w:type="dxa"/>
            <w:vMerge w:val="restart"/>
            <w:tcBorders>
              <w:top w:val="single" w:color="auto" w:sz="4" w:space="0"/>
              <w:left w:val="single" w:color="auto" w:sz="4" w:space="0"/>
              <w:right w:val="single" w:color="auto" w:sz="4" w:space="0"/>
            </w:tcBorders>
            <w:shd w:val="clear" w:color="auto" w:fill="FFFFFF"/>
            <w:noWrap w:val="0"/>
            <w:vAlign w:val="center"/>
          </w:tcPr>
          <w:p w14:paraId="6D58628E">
            <w:pPr>
              <w:pStyle w:val="36"/>
              <w:spacing w:line="240" w:lineRule="auto"/>
              <w:jc w:val="center"/>
              <w:rPr>
                <w:rFonts w:hint="eastAsia"/>
                <w:color w:val="auto"/>
                <w:sz w:val="21"/>
                <w:szCs w:val="21"/>
                <w:highlight w:val="none"/>
              </w:rPr>
            </w:pPr>
            <w:r>
              <w:rPr>
                <w:rFonts w:hint="eastAsia"/>
                <w:color w:val="auto"/>
                <w:sz w:val="21"/>
                <w:szCs w:val="21"/>
                <w:highlight w:val="none"/>
              </w:rPr>
              <w:t>备注</w:t>
            </w:r>
          </w:p>
        </w:tc>
      </w:tr>
      <w:tr w14:paraId="09DD41BB">
        <w:tblPrEx>
          <w:tblCellMar>
            <w:top w:w="0" w:type="dxa"/>
            <w:left w:w="10" w:type="dxa"/>
            <w:bottom w:w="0" w:type="dxa"/>
            <w:right w:w="10" w:type="dxa"/>
          </w:tblCellMar>
        </w:tblPrEx>
        <w:trPr>
          <w:trHeight w:val="566" w:hRule="exact"/>
          <w:jc w:val="center"/>
        </w:trPr>
        <w:tc>
          <w:tcPr>
            <w:tcW w:w="1090" w:type="dxa"/>
            <w:vMerge w:val="continue"/>
            <w:tcBorders>
              <w:left w:val="single" w:color="auto" w:sz="4" w:space="0"/>
            </w:tcBorders>
            <w:shd w:val="clear" w:color="auto" w:fill="FFFFFF"/>
            <w:noWrap w:val="0"/>
            <w:vAlign w:val="center"/>
          </w:tcPr>
          <w:p w14:paraId="576EA285">
            <w:pPr>
              <w:jc w:val="center"/>
              <w:rPr>
                <w:rFonts w:hint="eastAsia" w:ascii="宋体" w:hAnsi="宋体" w:cs="宋体"/>
                <w:color w:val="auto"/>
                <w:sz w:val="21"/>
                <w:szCs w:val="21"/>
                <w:highlight w:val="none"/>
              </w:rPr>
            </w:pPr>
          </w:p>
        </w:tc>
        <w:tc>
          <w:tcPr>
            <w:tcW w:w="902" w:type="dxa"/>
            <w:vMerge w:val="continue"/>
            <w:tcBorders>
              <w:left w:val="single" w:color="auto" w:sz="4" w:space="0"/>
            </w:tcBorders>
            <w:shd w:val="clear" w:color="auto" w:fill="FFFFFF"/>
            <w:noWrap w:val="0"/>
            <w:vAlign w:val="center"/>
          </w:tcPr>
          <w:p w14:paraId="2AB934F9">
            <w:pPr>
              <w:jc w:val="center"/>
              <w:rPr>
                <w:rFonts w:hint="eastAsia" w:ascii="宋体" w:hAnsi="宋体" w:cs="宋体"/>
                <w:color w:val="auto"/>
                <w:sz w:val="21"/>
                <w:szCs w:val="21"/>
                <w:highlight w:val="none"/>
              </w:rPr>
            </w:pPr>
          </w:p>
        </w:tc>
        <w:tc>
          <w:tcPr>
            <w:tcW w:w="907" w:type="dxa"/>
            <w:vMerge w:val="continue"/>
            <w:tcBorders>
              <w:left w:val="single" w:color="auto" w:sz="4" w:space="0"/>
            </w:tcBorders>
            <w:shd w:val="clear" w:color="auto" w:fill="FFFFFF"/>
            <w:noWrap w:val="0"/>
            <w:vAlign w:val="center"/>
          </w:tcPr>
          <w:p w14:paraId="096BA42D">
            <w:pPr>
              <w:jc w:val="center"/>
              <w:rPr>
                <w:rFonts w:hint="eastAsia" w:ascii="宋体" w:hAnsi="宋体" w:cs="宋体"/>
                <w:color w:val="auto"/>
                <w:sz w:val="21"/>
                <w:szCs w:val="21"/>
                <w:highlight w:val="none"/>
              </w:rPr>
            </w:pPr>
          </w:p>
        </w:tc>
        <w:tc>
          <w:tcPr>
            <w:tcW w:w="907" w:type="dxa"/>
            <w:tcBorders>
              <w:top w:val="single" w:color="auto" w:sz="4" w:space="0"/>
              <w:left w:val="single" w:color="auto" w:sz="4" w:space="0"/>
            </w:tcBorders>
            <w:shd w:val="clear" w:color="auto" w:fill="FFFFFF"/>
            <w:noWrap w:val="0"/>
            <w:vAlign w:val="center"/>
          </w:tcPr>
          <w:p w14:paraId="6CC5BFAD">
            <w:pPr>
              <w:pStyle w:val="36"/>
              <w:spacing w:line="240" w:lineRule="auto"/>
              <w:jc w:val="center"/>
              <w:rPr>
                <w:rFonts w:hint="eastAsia"/>
                <w:color w:val="auto"/>
                <w:sz w:val="21"/>
                <w:szCs w:val="21"/>
                <w:highlight w:val="none"/>
              </w:rPr>
            </w:pPr>
            <w:r>
              <w:rPr>
                <w:rFonts w:hint="eastAsia"/>
                <w:color w:val="auto"/>
                <w:sz w:val="21"/>
                <w:szCs w:val="21"/>
                <w:highlight w:val="none"/>
              </w:rPr>
              <w:t>总量</w:t>
            </w:r>
          </w:p>
        </w:tc>
        <w:tc>
          <w:tcPr>
            <w:tcW w:w="907" w:type="dxa"/>
            <w:tcBorders>
              <w:top w:val="single" w:color="auto" w:sz="4" w:space="0"/>
              <w:left w:val="single" w:color="auto" w:sz="4" w:space="0"/>
            </w:tcBorders>
            <w:shd w:val="clear" w:color="auto" w:fill="FFFFFF"/>
            <w:noWrap w:val="0"/>
            <w:vAlign w:val="center"/>
          </w:tcPr>
          <w:p w14:paraId="45BC0DB3">
            <w:pPr>
              <w:pStyle w:val="36"/>
              <w:spacing w:line="240" w:lineRule="auto"/>
              <w:jc w:val="center"/>
              <w:rPr>
                <w:rFonts w:hint="eastAsia"/>
                <w:color w:val="auto"/>
                <w:sz w:val="21"/>
                <w:szCs w:val="21"/>
                <w:highlight w:val="none"/>
              </w:rPr>
            </w:pPr>
            <w:r>
              <w:rPr>
                <w:rFonts w:hint="eastAsia"/>
                <w:color w:val="auto"/>
                <w:sz w:val="21"/>
                <w:szCs w:val="21"/>
                <w:highlight w:val="none"/>
              </w:rPr>
              <w:t>月</w:t>
            </w:r>
          </w:p>
        </w:tc>
        <w:tc>
          <w:tcPr>
            <w:tcW w:w="912" w:type="dxa"/>
            <w:tcBorders>
              <w:top w:val="single" w:color="auto" w:sz="4" w:space="0"/>
              <w:left w:val="single" w:color="auto" w:sz="4" w:space="0"/>
            </w:tcBorders>
            <w:shd w:val="clear" w:color="auto" w:fill="FFFFFF"/>
            <w:noWrap w:val="0"/>
            <w:vAlign w:val="center"/>
          </w:tcPr>
          <w:p w14:paraId="2903DF6B">
            <w:pPr>
              <w:pStyle w:val="36"/>
              <w:spacing w:line="240" w:lineRule="auto"/>
              <w:jc w:val="center"/>
              <w:rPr>
                <w:rFonts w:hint="eastAsia"/>
                <w:color w:val="auto"/>
                <w:sz w:val="21"/>
                <w:szCs w:val="21"/>
                <w:highlight w:val="none"/>
              </w:rPr>
            </w:pPr>
            <w:r>
              <w:rPr>
                <w:rFonts w:hint="eastAsia"/>
                <w:color w:val="auto"/>
                <w:sz w:val="21"/>
                <w:szCs w:val="21"/>
                <w:highlight w:val="none"/>
              </w:rPr>
              <w:t>月</w:t>
            </w:r>
          </w:p>
        </w:tc>
        <w:tc>
          <w:tcPr>
            <w:tcW w:w="902" w:type="dxa"/>
            <w:tcBorders>
              <w:top w:val="single" w:color="auto" w:sz="4" w:space="0"/>
              <w:left w:val="single" w:color="auto" w:sz="4" w:space="0"/>
            </w:tcBorders>
            <w:shd w:val="clear" w:color="auto" w:fill="FFFFFF"/>
            <w:noWrap w:val="0"/>
            <w:vAlign w:val="center"/>
          </w:tcPr>
          <w:p w14:paraId="2F3096F9">
            <w:pPr>
              <w:pStyle w:val="36"/>
              <w:spacing w:line="240" w:lineRule="auto"/>
              <w:jc w:val="center"/>
              <w:rPr>
                <w:rFonts w:hint="eastAsia"/>
                <w:color w:val="auto"/>
                <w:sz w:val="21"/>
                <w:szCs w:val="21"/>
                <w:highlight w:val="none"/>
              </w:rPr>
            </w:pPr>
            <w:r>
              <w:rPr>
                <w:rFonts w:hint="eastAsia"/>
                <w:color w:val="auto"/>
                <w:sz w:val="21"/>
                <w:szCs w:val="21"/>
                <w:highlight w:val="none"/>
              </w:rPr>
              <w:t>月</w:t>
            </w:r>
          </w:p>
        </w:tc>
        <w:tc>
          <w:tcPr>
            <w:tcW w:w="907" w:type="dxa"/>
            <w:tcBorders>
              <w:top w:val="single" w:color="auto" w:sz="4" w:space="0"/>
              <w:left w:val="single" w:color="auto" w:sz="4" w:space="0"/>
            </w:tcBorders>
            <w:shd w:val="clear" w:color="auto" w:fill="FFFFFF"/>
            <w:noWrap w:val="0"/>
            <w:vAlign w:val="center"/>
          </w:tcPr>
          <w:p w14:paraId="57AD2949">
            <w:pPr>
              <w:pStyle w:val="36"/>
              <w:spacing w:line="240" w:lineRule="auto"/>
              <w:ind w:right="380"/>
              <w:jc w:val="center"/>
              <w:rPr>
                <w:rFonts w:hint="eastAsia"/>
                <w:color w:val="auto"/>
                <w:sz w:val="21"/>
                <w:szCs w:val="21"/>
                <w:highlight w:val="none"/>
              </w:rPr>
            </w:pPr>
            <w:r>
              <w:rPr>
                <w:rFonts w:hint="eastAsia"/>
                <w:color w:val="auto"/>
                <w:sz w:val="21"/>
                <w:szCs w:val="21"/>
                <w:highlight w:val="none"/>
              </w:rPr>
              <w:t>月</w:t>
            </w:r>
          </w:p>
        </w:tc>
        <w:tc>
          <w:tcPr>
            <w:tcW w:w="917" w:type="dxa"/>
            <w:vMerge w:val="continue"/>
            <w:tcBorders>
              <w:left w:val="single" w:color="auto" w:sz="4" w:space="0"/>
              <w:right w:val="single" w:color="auto" w:sz="4" w:space="0"/>
            </w:tcBorders>
            <w:shd w:val="clear" w:color="auto" w:fill="FFFFFF"/>
            <w:noWrap w:val="0"/>
            <w:vAlign w:val="center"/>
          </w:tcPr>
          <w:p w14:paraId="18896B7F">
            <w:pPr>
              <w:jc w:val="center"/>
              <w:rPr>
                <w:rFonts w:hint="eastAsia" w:ascii="宋体" w:hAnsi="宋体" w:cs="宋体"/>
                <w:color w:val="auto"/>
                <w:sz w:val="21"/>
                <w:szCs w:val="21"/>
                <w:highlight w:val="none"/>
              </w:rPr>
            </w:pPr>
          </w:p>
        </w:tc>
      </w:tr>
      <w:tr w14:paraId="041F561C">
        <w:tblPrEx>
          <w:tblCellMar>
            <w:top w:w="0" w:type="dxa"/>
            <w:left w:w="10" w:type="dxa"/>
            <w:bottom w:w="0" w:type="dxa"/>
            <w:right w:w="10" w:type="dxa"/>
          </w:tblCellMar>
        </w:tblPrEx>
        <w:trPr>
          <w:trHeight w:val="566" w:hRule="exact"/>
          <w:jc w:val="center"/>
        </w:trPr>
        <w:tc>
          <w:tcPr>
            <w:tcW w:w="1090" w:type="dxa"/>
            <w:tcBorders>
              <w:top w:val="single" w:color="auto" w:sz="4" w:space="0"/>
              <w:left w:val="single" w:color="auto" w:sz="4" w:space="0"/>
            </w:tcBorders>
            <w:shd w:val="clear" w:color="auto" w:fill="FFFFFF"/>
            <w:noWrap w:val="0"/>
            <w:vAlign w:val="center"/>
          </w:tcPr>
          <w:p w14:paraId="53914C72">
            <w:pPr>
              <w:jc w:val="center"/>
              <w:rPr>
                <w:rFonts w:hint="eastAsia" w:ascii="宋体" w:hAnsi="宋体" w:cs="宋体"/>
                <w:color w:val="auto"/>
                <w:sz w:val="21"/>
                <w:szCs w:val="21"/>
                <w:highlight w:val="none"/>
              </w:rPr>
            </w:pPr>
          </w:p>
        </w:tc>
        <w:tc>
          <w:tcPr>
            <w:tcW w:w="902" w:type="dxa"/>
            <w:tcBorders>
              <w:top w:val="single" w:color="auto" w:sz="4" w:space="0"/>
              <w:left w:val="single" w:color="auto" w:sz="4" w:space="0"/>
            </w:tcBorders>
            <w:shd w:val="clear" w:color="auto" w:fill="FFFFFF"/>
            <w:noWrap w:val="0"/>
            <w:vAlign w:val="center"/>
          </w:tcPr>
          <w:p w14:paraId="5ED39C0A">
            <w:pPr>
              <w:jc w:val="center"/>
              <w:rPr>
                <w:rFonts w:hint="eastAsia" w:ascii="宋体" w:hAnsi="宋体" w:cs="宋体"/>
                <w:color w:val="auto"/>
                <w:sz w:val="21"/>
                <w:szCs w:val="21"/>
                <w:highlight w:val="none"/>
              </w:rPr>
            </w:pPr>
          </w:p>
        </w:tc>
        <w:tc>
          <w:tcPr>
            <w:tcW w:w="907" w:type="dxa"/>
            <w:tcBorders>
              <w:top w:val="single" w:color="auto" w:sz="4" w:space="0"/>
              <w:left w:val="single" w:color="auto" w:sz="4" w:space="0"/>
            </w:tcBorders>
            <w:shd w:val="clear" w:color="auto" w:fill="FFFFFF"/>
            <w:noWrap w:val="0"/>
            <w:vAlign w:val="center"/>
          </w:tcPr>
          <w:p w14:paraId="3B57A01F">
            <w:pPr>
              <w:jc w:val="center"/>
              <w:rPr>
                <w:rFonts w:hint="eastAsia" w:ascii="宋体" w:hAnsi="宋体" w:cs="宋体"/>
                <w:color w:val="auto"/>
                <w:sz w:val="21"/>
                <w:szCs w:val="21"/>
                <w:highlight w:val="none"/>
              </w:rPr>
            </w:pPr>
          </w:p>
        </w:tc>
        <w:tc>
          <w:tcPr>
            <w:tcW w:w="907" w:type="dxa"/>
            <w:tcBorders>
              <w:top w:val="single" w:color="auto" w:sz="4" w:space="0"/>
              <w:left w:val="single" w:color="auto" w:sz="4" w:space="0"/>
            </w:tcBorders>
            <w:shd w:val="clear" w:color="auto" w:fill="FFFFFF"/>
            <w:noWrap w:val="0"/>
            <w:vAlign w:val="center"/>
          </w:tcPr>
          <w:p w14:paraId="6A611FBD">
            <w:pPr>
              <w:jc w:val="center"/>
              <w:rPr>
                <w:rFonts w:hint="eastAsia" w:ascii="宋体" w:hAnsi="宋体" w:cs="宋体"/>
                <w:color w:val="auto"/>
                <w:sz w:val="21"/>
                <w:szCs w:val="21"/>
                <w:highlight w:val="none"/>
              </w:rPr>
            </w:pPr>
          </w:p>
        </w:tc>
        <w:tc>
          <w:tcPr>
            <w:tcW w:w="907" w:type="dxa"/>
            <w:tcBorders>
              <w:top w:val="single" w:color="auto" w:sz="4" w:space="0"/>
              <w:left w:val="single" w:color="auto" w:sz="4" w:space="0"/>
            </w:tcBorders>
            <w:shd w:val="clear" w:color="auto" w:fill="FFFFFF"/>
            <w:noWrap w:val="0"/>
            <w:vAlign w:val="center"/>
          </w:tcPr>
          <w:p w14:paraId="182DDE53">
            <w:pPr>
              <w:jc w:val="center"/>
              <w:rPr>
                <w:rFonts w:hint="eastAsia" w:ascii="宋体" w:hAnsi="宋体" w:cs="宋体"/>
                <w:color w:val="auto"/>
                <w:sz w:val="21"/>
                <w:szCs w:val="21"/>
                <w:highlight w:val="none"/>
              </w:rPr>
            </w:pPr>
          </w:p>
        </w:tc>
        <w:tc>
          <w:tcPr>
            <w:tcW w:w="912" w:type="dxa"/>
            <w:tcBorders>
              <w:top w:val="single" w:color="auto" w:sz="4" w:space="0"/>
              <w:left w:val="single" w:color="auto" w:sz="4" w:space="0"/>
            </w:tcBorders>
            <w:shd w:val="clear" w:color="auto" w:fill="FFFFFF"/>
            <w:noWrap w:val="0"/>
            <w:vAlign w:val="center"/>
          </w:tcPr>
          <w:p w14:paraId="0B3538DD">
            <w:pPr>
              <w:jc w:val="center"/>
              <w:rPr>
                <w:rFonts w:hint="eastAsia" w:ascii="宋体" w:hAnsi="宋体" w:cs="宋体"/>
                <w:color w:val="auto"/>
                <w:sz w:val="21"/>
                <w:szCs w:val="21"/>
                <w:highlight w:val="none"/>
              </w:rPr>
            </w:pPr>
          </w:p>
        </w:tc>
        <w:tc>
          <w:tcPr>
            <w:tcW w:w="902" w:type="dxa"/>
            <w:tcBorders>
              <w:top w:val="single" w:color="auto" w:sz="4" w:space="0"/>
              <w:left w:val="single" w:color="auto" w:sz="4" w:space="0"/>
            </w:tcBorders>
            <w:shd w:val="clear" w:color="auto" w:fill="FFFFFF"/>
            <w:noWrap w:val="0"/>
            <w:vAlign w:val="center"/>
          </w:tcPr>
          <w:p w14:paraId="6452EE68">
            <w:pPr>
              <w:jc w:val="center"/>
              <w:rPr>
                <w:rFonts w:hint="eastAsia" w:ascii="宋体" w:hAnsi="宋体" w:cs="宋体"/>
                <w:color w:val="auto"/>
                <w:sz w:val="21"/>
                <w:szCs w:val="21"/>
                <w:highlight w:val="none"/>
              </w:rPr>
            </w:pPr>
          </w:p>
        </w:tc>
        <w:tc>
          <w:tcPr>
            <w:tcW w:w="907" w:type="dxa"/>
            <w:tcBorders>
              <w:top w:val="single" w:color="auto" w:sz="4" w:space="0"/>
              <w:left w:val="single" w:color="auto" w:sz="4" w:space="0"/>
            </w:tcBorders>
            <w:shd w:val="clear" w:color="auto" w:fill="FFFFFF"/>
            <w:noWrap w:val="0"/>
            <w:vAlign w:val="center"/>
          </w:tcPr>
          <w:p w14:paraId="7B29CA1E">
            <w:pPr>
              <w:jc w:val="center"/>
              <w:rPr>
                <w:rFonts w:hint="eastAsia" w:ascii="宋体" w:hAnsi="宋体" w:cs="宋体"/>
                <w:color w:val="auto"/>
                <w:sz w:val="21"/>
                <w:szCs w:val="21"/>
                <w:highlight w:val="none"/>
              </w:rPr>
            </w:pPr>
          </w:p>
        </w:tc>
        <w:tc>
          <w:tcPr>
            <w:tcW w:w="917" w:type="dxa"/>
            <w:tcBorders>
              <w:top w:val="single" w:color="auto" w:sz="4" w:space="0"/>
              <w:left w:val="single" w:color="auto" w:sz="4" w:space="0"/>
              <w:right w:val="single" w:color="auto" w:sz="4" w:space="0"/>
            </w:tcBorders>
            <w:shd w:val="clear" w:color="auto" w:fill="FFFFFF"/>
            <w:noWrap w:val="0"/>
            <w:vAlign w:val="center"/>
          </w:tcPr>
          <w:p w14:paraId="01A24074">
            <w:pPr>
              <w:jc w:val="center"/>
              <w:rPr>
                <w:rFonts w:hint="eastAsia" w:ascii="宋体" w:hAnsi="宋体" w:cs="宋体"/>
                <w:color w:val="auto"/>
                <w:sz w:val="21"/>
                <w:szCs w:val="21"/>
                <w:highlight w:val="none"/>
              </w:rPr>
            </w:pPr>
          </w:p>
        </w:tc>
      </w:tr>
      <w:tr w14:paraId="1DCEB9C5">
        <w:tblPrEx>
          <w:tblCellMar>
            <w:top w:w="0" w:type="dxa"/>
            <w:left w:w="10" w:type="dxa"/>
            <w:bottom w:w="0" w:type="dxa"/>
            <w:right w:w="10" w:type="dxa"/>
          </w:tblCellMar>
        </w:tblPrEx>
        <w:trPr>
          <w:trHeight w:val="566" w:hRule="exact"/>
          <w:jc w:val="center"/>
        </w:trPr>
        <w:tc>
          <w:tcPr>
            <w:tcW w:w="1090" w:type="dxa"/>
            <w:tcBorders>
              <w:top w:val="single" w:color="auto" w:sz="4" w:space="0"/>
              <w:left w:val="single" w:color="auto" w:sz="4" w:space="0"/>
            </w:tcBorders>
            <w:shd w:val="clear" w:color="auto" w:fill="FFFFFF"/>
            <w:noWrap w:val="0"/>
            <w:vAlign w:val="center"/>
          </w:tcPr>
          <w:p w14:paraId="190AF770">
            <w:pPr>
              <w:jc w:val="center"/>
              <w:rPr>
                <w:rFonts w:hint="eastAsia" w:ascii="宋体" w:hAnsi="宋体" w:cs="宋体"/>
                <w:color w:val="auto"/>
                <w:sz w:val="21"/>
                <w:szCs w:val="21"/>
                <w:highlight w:val="none"/>
              </w:rPr>
            </w:pPr>
          </w:p>
        </w:tc>
        <w:tc>
          <w:tcPr>
            <w:tcW w:w="902" w:type="dxa"/>
            <w:tcBorders>
              <w:top w:val="single" w:color="auto" w:sz="4" w:space="0"/>
              <w:left w:val="single" w:color="auto" w:sz="4" w:space="0"/>
            </w:tcBorders>
            <w:shd w:val="clear" w:color="auto" w:fill="FFFFFF"/>
            <w:noWrap w:val="0"/>
            <w:vAlign w:val="center"/>
          </w:tcPr>
          <w:p w14:paraId="3D939B70">
            <w:pPr>
              <w:jc w:val="center"/>
              <w:rPr>
                <w:rFonts w:hint="eastAsia" w:ascii="宋体" w:hAnsi="宋体" w:cs="宋体"/>
                <w:color w:val="auto"/>
                <w:sz w:val="21"/>
                <w:szCs w:val="21"/>
                <w:highlight w:val="none"/>
              </w:rPr>
            </w:pPr>
          </w:p>
        </w:tc>
        <w:tc>
          <w:tcPr>
            <w:tcW w:w="907" w:type="dxa"/>
            <w:tcBorders>
              <w:top w:val="single" w:color="auto" w:sz="4" w:space="0"/>
              <w:left w:val="single" w:color="auto" w:sz="4" w:space="0"/>
            </w:tcBorders>
            <w:shd w:val="clear" w:color="auto" w:fill="FFFFFF"/>
            <w:noWrap w:val="0"/>
            <w:vAlign w:val="center"/>
          </w:tcPr>
          <w:p w14:paraId="442EECBF">
            <w:pPr>
              <w:jc w:val="center"/>
              <w:rPr>
                <w:rFonts w:hint="eastAsia" w:ascii="宋体" w:hAnsi="宋体" w:cs="宋体"/>
                <w:color w:val="auto"/>
                <w:sz w:val="21"/>
                <w:szCs w:val="21"/>
                <w:highlight w:val="none"/>
              </w:rPr>
            </w:pPr>
          </w:p>
        </w:tc>
        <w:tc>
          <w:tcPr>
            <w:tcW w:w="907" w:type="dxa"/>
            <w:tcBorders>
              <w:top w:val="single" w:color="auto" w:sz="4" w:space="0"/>
              <w:left w:val="single" w:color="auto" w:sz="4" w:space="0"/>
            </w:tcBorders>
            <w:shd w:val="clear" w:color="auto" w:fill="FFFFFF"/>
            <w:noWrap w:val="0"/>
            <w:vAlign w:val="center"/>
          </w:tcPr>
          <w:p w14:paraId="61BC9B17">
            <w:pPr>
              <w:jc w:val="center"/>
              <w:rPr>
                <w:rFonts w:hint="eastAsia" w:ascii="宋体" w:hAnsi="宋体" w:cs="宋体"/>
                <w:color w:val="auto"/>
                <w:sz w:val="21"/>
                <w:szCs w:val="21"/>
                <w:highlight w:val="none"/>
              </w:rPr>
            </w:pPr>
          </w:p>
        </w:tc>
        <w:tc>
          <w:tcPr>
            <w:tcW w:w="907" w:type="dxa"/>
            <w:tcBorders>
              <w:top w:val="single" w:color="auto" w:sz="4" w:space="0"/>
              <w:left w:val="single" w:color="auto" w:sz="4" w:space="0"/>
            </w:tcBorders>
            <w:shd w:val="clear" w:color="auto" w:fill="FFFFFF"/>
            <w:noWrap w:val="0"/>
            <w:vAlign w:val="center"/>
          </w:tcPr>
          <w:p w14:paraId="4E58AFB0">
            <w:pPr>
              <w:jc w:val="center"/>
              <w:rPr>
                <w:rFonts w:hint="eastAsia" w:ascii="宋体" w:hAnsi="宋体" w:cs="宋体"/>
                <w:color w:val="auto"/>
                <w:sz w:val="21"/>
                <w:szCs w:val="21"/>
                <w:highlight w:val="none"/>
              </w:rPr>
            </w:pPr>
          </w:p>
        </w:tc>
        <w:tc>
          <w:tcPr>
            <w:tcW w:w="912" w:type="dxa"/>
            <w:tcBorders>
              <w:top w:val="single" w:color="auto" w:sz="4" w:space="0"/>
              <w:left w:val="single" w:color="auto" w:sz="4" w:space="0"/>
            </w:tcBorders>
            <w:shd w:val="clear" w:color="auto" w:fill="FFFFFF"/>
            <w:noWrap w:val="0"/>
            <w:vAlign w:val="center"/>
          </w:tcPr>
          <w:p w14:paraId="73F8B870">
            <w:pPr>
              <w:jc w:val="center"/>
              <w:rPr>
                <w:rFonts w:hint="eastAsia" w:ascii="宋体" w:hAnsi="宋体" w:cs="宋体"/>
                <w:color w:val="auto"/>
                <w:sz w:val="21"/>
                <w:szCs w:val="21"/>
                <w:highlight w:val="none"/>
              </w:rPr>
            </w:pPr>
          </w:p>
        </w:tc>
        <w:tc>
          <w:tcPr>
            <w:tcW w:w="902" w:type="dxa"/>
            <w:tcBorders>
              <w:top w:val="single" w:color="auto" w:sz="4" w:space="0"/>
              <w:left w:val="single" w:color="auto" w:sz="4" w:space="0"/>
            </w:tcBorders>
            <w:shd w:val="clear" w:color="auto" w:fill="FFFFFF"/>
            <w:noWrap w:val="0"/>
            <w:vAlign w:val="center"/>
          </w:tcPr>
          <w:p w14:paraId="76B1AB23">
            <w:pPr>
              <w:jc w:val="center"/>
              <w:rPr>
                <w:rFonts w:hint="eastAsia" w:ascii="宋体" w:hAnsi="宋体" w:cs="宋体"/>
                <w:color w:val="auto"/>
                <w:sz w:val="21"/>
                <w:szCs w:val="21"/>
                <w:highlight w:val="none"/>
              </w:rPr>
            </w:pPr>
          </w:p>
        </w:tc>
        <w:tc>
          <w:tcPr>
            <w:tcW w:w="907" w:type="dxa"/>
            <w:tcBorders>
              <w:top w:val="single" w:color="auto" w:sz="4" w:space="0"/>
              <w:left w:val="single" w:color="auto" w:sz="4" w:space="0"/>
            </w:tcBorders>
            <w:shd w:val="clear" w:color="auto" w:fill="FFFFFF"/>
            <w:noWrap w:val="0"/>
            <w:vAlign w:val="center"/>
          </w:tcPr>
          <w:p w14:paraId="374C02A3">
            <w:pPr>
              <w:jc w:val="center"/>
              <w:rPr>
                <w:rFonts w:hint="eastAsia" w:ascii="宋体" w:hAnsi="宋体" w:cs="宋体"/>
                <w:color w:val="auto"/>
                <w:sz w:val="21"/>
                <w:szCs w:val="21"/>
                <w:highlight w:val="none"/>
              </w:rPr>
            </w:pPr>
          </w:p>
        </w:tc>
        <w:tc>
          <w:tcPr>
            <w:tcW w:w="917" w:type="dxa"/>
            <w:tcBorders>
              <w:top w:val="single" w:color="auto" w:sz="4" w:space="0"/>
              <w:left w:val="single" w:color="auto" w:sz="4" w:space="0"/>
              <w:right w:val="single" w:color="auto" w:sz="4" w:space="0"/>
            </w:tcBorders>
            <w:shd w:val="clear" w:color="auto" w:fill="FFFFFF"/>
            <w:noWrap w:val="0"/>
            <w:vAlign w:val="center"/>
          </w:tcPr>
          <w:p w14:paraId="178BCE93">
            <w:pPr>
              <w:jc w:val="center"/>
              <w:rPr>
                <w:rFonts w:hint="eastAsia" w:ascii="宋体" w:hAnsi="宋体" w:cs="宋体"/>
                <w:color w:val="auto"/>
                <w:sz w:val="21"/>
                <w:szCs w:val="21"/>
                <w:highlight w:val="none"/>
              </w:rPr>
            </w:pPr>
          </w:p>
        </w:tc>
      </w:tr>
      <w:tr w14:paraId="3357963E">
        <w:tblPrEx>
          <w:tblCellMar>
            <w:top w:w="0" w:type="dxa"/>
            <w:left w:w="10" w:type="dxa"/>
            <w:bottom w:w="0" w:type="dxa"/>
            <w:right w:w="10" w:type="dxa"/>
          </w:tblCellMar>
        </w:tblPrEx>
        <w:trPr>
          <w:trHeight w:val="566" w:hRule="exact"/>
          <w:jc w:val="center"/>
        </w:trPr>
        <w:tc>
          <w:tcPr>
            <w:tcW w:w="1090" w:type="dxa"/>
            <w:tcBorders>
              <w:top w:val="single" w:color="auto" w:sz="4" w:space="0"/>
              <w:left w:val="single" w:color="auto" w:sz="4" w:space="0"/>
            </w:tcBorders>
            <w:shd w:val="clear" w:color="auto" w:fill="FFFFFF"/>
            <w:noWrap w:val="0"/>
            <w:vAlign w:val="center"/>
          </w:tcPr>
          <w:p w14:paraId="46716C5F">
            <w:pPr>
              <w:jc w:val="center"/>
              <w:rPr>
                <w:rFonts w:hint="eastAsia" w:ascii="宋体" w:hAnsi="宋体" w:cs="宋体"/>
                <w:color w:val="auto"/>
                <w:sz w:val="21"/>
                <w:szCs w:val="21"/>
                <w:highlight w:val="none"/>
              </w:rPr>
            </w:pPr>
          </w:p>
        </w:tc>
        <w:tc>
          <w:tcPr>
            <w:tcW w:w="902" w:type="dxa"/>
            <w:tcBorders>
              <w:top w:val="single" w:color="auto" w:sz="4" w:space="0"/>
              <w:left w:val="single" w:color="auto" w:sz="4" w:space="0"/>
            </w:tcBorders>
            <w:shd w:val="clear" w:color="auto" w:fill="FFFFFF"/>
            <w:noWrap w:val="0"/>
            <w:vAlign w:val="center"/>
          </w:tcPr>
          <w:p w14:paraId="64CAB8BB">
            <w:pPr>
              <w:jc w:val="center"/>
              <w:rPr>
                <w:rFonts w:hint="eastAsia" w:ascii="宋体" w:hAnsi="宋体" w:cs="宋体"/>
                <w:color w:val="auto"/>
                <w:sz w:val="21"/>
                <w:szCs w:val="21"/>
                <w:highlight w:val="none"/>
              </w:rPr>
            </w:pPr>
          </w:p>
        </w:tc>
        <w:tc>
          <w:tcPr>
            <w:tcW w:w="907" w:type="dxa"/>
            <w:tcBorders>
              <w:top w:val="single" w:color="auto" w:sz="4" w:space="0"/>
              <w:left w:val="single" w:color="auto" w:sz="4" w:space="0"/>
            </w:tcBorders>
            <w:shd w:val="clear" w:color="auto" w:fill="FFFFFF"/>
            <w:noWrap w:val="0"/>
            <w:vAlign w:val="center"/>
          </w:tcPr>
          <w:p w14:paraId="78D30297">
            <w:pPr>
              <w:jc w:val="center"/>
              <w:rPr>
                <w:rFonts w:hint="eastAsia" w:ascii="宋体" w:hAnsi="宋体" w:cs="宋体"/>
                <w:color w:val="auto"/>
                <w:sz w:val="21"/>
                <w:szCs w:val="21"/>
                <w:highlight w:val="none"/>
              </w:rPr>
            </w:pPr>
          </w:p>
        </w:tc>
        <w:tc>
          <w:tcPr>
            <w:tcW w:w="907" w:type="dxa"/>
            <w:tcBorders>
              <w:top w:val="single" w:color="auto" w:sz="4" w:space="0"/>
              <w:left w:val="single" w:color="auto" w:sz="4" w:space="0"/>
            </w:tcBorders>
            <w:shd w:val="clear" w:color="auto" w:fill="FFFFFF"/>
            <w:noWrap w:val="0"/>
            <w:vAlign w:val="center"/>
          </w:tcPr>
          <w:p w14:paraId="2C2DDBC7">
            <w:pPr>
              <w:jc w:val="center"/>
              <w:rPr>
                <w:rFonts w:hint="eastAsia" w:ascii="宋体" w:hAnsi="宋体" w:cs="宋体"/>
                <w:color w:val="auto"/>
                <w:sz w:val="21"/>
                <w:szCs w:val="21"/>
                <w:highlight w:val="none"/>
              </w:rPr>
            </w:pPr>
          </w:p>
        </w:tc>
        <w:tc>
          <w:tcPr>
            <w:tcW w:w="907" w:type="dxa"/>
            <w:tcBorders>
              <w:top w:val="single" w:color="auto" w:sz="4" w:space="0"/>
              <w:left w:val="single" w:color="auto" w:sz="4" w:space="0"/>
            </w:tcBorders>
            <w:shd w:val="clear" w:color="auto" w:fill="FFFFFF"/>
            <w:noWrap w:val="0"/>
            <w:vAlign w:val="center"/>
          </w:tcPr>
          <w:p w14:paraId="5A683D67">
            <w:pPr>
              <w:jc w:val="center"/>
              <w:rPr>
                <w:rFonts w:hint="eastAsia" w:ascii="宋体" w:hAnsi="宋体" w:cs="宋体"/>
                <w:color w:val="auto"/>
                <w:sz w:val="21"/>
                <w:szCs w:val="21"/>
                <w:highlight w:val="none"/>
              </w:rPr>
            </w:pPr>
          </w:p>
        </w:tc>
        <w:tc>
          <w:tcPr>
            <w:tcW w:w="912" w:type="dxa"/>
            <w:tcBorders>
              <w:top w:val="single" w:color="auto" w:sz="4" w:space="0"/>
              <w:left w:val="single" w:color="auto" w:sz="4" w:space="0"/>
            </w:tcBorders>
            <w:shd w:val="clear" w:color="auto" w:fill="FFFFFF"/>
            <w:noWrap w:val="0"/>
            <w:vAlign w:val="center"/>
          </w:tcPr>
          <w:p w14:paraId="738FBD5E">
            <w:pPr>
              <w:jc w:val="center"/>
              <w:rPr>
                <w:rFonts w:hint="eastAsia" w:ascii="宋体" w:hAnsi="宋体" w:cs="宋体"/>
                <w:color w:val="auto"/>
                <w:sz w:val="21"/>
                <w:szCs w:val="21"/>
                <w:highlight w:val="none"/>
              </w:rPr>
            </w:pPr>
          </w:p>
        </w:tc>
        <w:tc>
          <w:tcPr>
            <w:tcW w:w="902" w:type="dxa"/>
            <w:tcBorders>
              <w:top w:val="single" w:color="auto" w:sz="4" w:space="0"/>
              <w:left w:val="single" w:color="auto" w:sz="4" w:space="0"/>
            </w:tcBorders>
            <w:shd w:val="clear" w:color="auto" w:fill="FFFFFF"/>
            <w:noWrap w:val="0"/>
            <w:vAlign w:val="center"/>
          </w:tcPr>
          <w:p w14:paraId="009CB99A">
            <w:pPr>
              <w:jc w:val="center"/>
              <w:rPr>
                <w:rFonts w:hint="eastAsia" w:ascii="宋体" w:hAnsi="宋体" w:cs="宋体"/>
                <w:color w:val="auto"/>
                <w:sz w:val="21"/>
                <w:szCs w:val="21"/>
                <w:highlight w:val="none"/>
              </w:rPr>
            </w:pPr>
          </w:p>
        </w:tc>
        <w:tc>
          <w:tcPr>
            <w:tcW w:w="907" w:type="dxa"/>
            <w:tcBorders>
              <w:top w:val="single" w:color="auto" w:sz="4" w:space="0"/>
              <w:left w:val="single" w:color="auto" w:sz="4" w:space="0"/>
            </w:tcBorders>
            <w:shd w:val="clear" w:color="auto" w:fill="FFFFFF"/>
            <w:noWrap w:val="0"/>
            <w:vAlign w:val="center"/>
          </w:tcPr>
          <w:p w14:paraId="0EE67394">
            <w:pPr>
              <w:jc w:val="center"/>
              <w:rPr>
                <w:rFonts w:hint="eastAsia" w:ascii="宋体" w:hAnsi="宋体" w:cs="宋体"/>
                <w:color w:val="auto"/>
                <w:sz w:val="21"/>
                <w:szCs w:val="21"/>
                <w:highlight w:val="none"/>
              </w:rPr>
            </w:pPr>
          </w:p>
        </w:tc>
        <w:tc>
          <w:tcPr>
            <w:tcW w:w="917" w:type="dxa"/>
            <w:tcBorders>
              <w:top w:val="single" w:color="auto" w:sz="4" w:space="0"/>
              <w:left w:val="single" w:color="auto" w:sz="4" w:space="0"/>
              <w:right w:val="single" w:color="auto" w:sz="4" w:space="0"/>
            </w:tcBorders>
            <w:shd w:val="clear" w:color="auto" w:fill="FFFFFF"/>
            <w:noWrap w:val="0"/>
            <w:vAlign w:val="center"/>
          </w:tcPr>
          <w:p w14:paraId="66C0F3CF">
            <w:pPr>
              <w:jc w:val="center"/>
              <w:rPr>
                <w:rFonts w:hint="eastAsia" w:ascii="宋体" w:hAnsi="宋体" w:cs="宋体"/>
                <w:color w:val="auto"/>
                <w:sz w:val="21"/>
                <w:szCs w:val="21"/>
                <w:highlight w:val="none"/>
              </w:rPr>
            </w:pPr>
          </w:p>
        </w:tc>
      </w:tr>
      <w:tr w14:paraId="14CE970D">
        <w:tblPrEx>
          <w:tblCellMar>
            <w:top w:w="0" w:type="dxa"/>
            <w:left w:w="10" w:type="dxa"/>
            <w:bottom w:w="0" w:type="dxa"/>
            <w:right w:w="10" w:type="dxa"/>
          </w:tblCellMar>
        </w:tblPrEx>
        <w:trPr>
          <w:trHeight w:val="566" w:hRule="exact"/>
          <w:jc w:val="center"/>
        </w:trPr>
        <w:tc>
          <w:tcPr>
            <w:tcW w:w="1090" w:type="dxa"/>
            <w:tcBorders>
              <w:top w:val="single" w:color="auto" w:sz="4" w:space="0"/>
              <w:left w:val="single" w:color="auto" w:sz="4" w:space="0"/>
            </w:tcBorders>
            <w:shd w:val="clear" w:color="auto" w:fill="FFFFFF"/>
            <w:noWrap w:val="0"/>
            <w:vAlign w:val="center"/>
          </w:tcPr>
          <w:p w14:paraId="5442F05A">
            <w:pPr>
              <w:jc w:val="center"/>
              <w:rPr>
                <w:rFonts w:hint="eastAsia" w:ascii="宋体" w:hAnsi="宋体" w:cs="宋体"/>
                <w:color w:val="auto"/>
                <w:sz w:val="21"/>
                <w:szCs w:val="21"/>
                <w:highlight w:val="none"/>
              </w:rPr>
            </w:pPr>
          </w:p>
        </w:tc>
        <w:tc>
          <w:tcPr>
            <w:tcW w:w="902" w:type="dxa"/>
            <w:tcBorders>
              <w:top w:val="single" w:color="auto" w:sz="4" w:space="0"/>
              <w:left w:val="single" w:color="auto" w:sz="4" w:space="0"/>
            </w:tcBorders>
            <w:shd w:val="clear" w:color="auto" w:fill="FFFFFF"/>
            <w:noWrap w:val="0"/>
            <w:vAlign w:val="center"/>
          </w:tcPr>
          <w:p w14:paraId="540EAFFE">
            <w:pPr>
              <w:jc w:val="center"/>
              <w:rPr>
                <w:rFonts w:hint="eastAsia" w:ascii="宋体" w:hAnsi="宋体" w:cs="宋体"/>
                <w:color w:val="auto"/>
                <w:sz w:val="21"/>
                <w:szCs w:val="21"/>
                <w:highlight w:val="none"/>
              </w:rPr>
            </w:pPr>
          </w:p>
        </w:tc>
        <w:tc>
          <w:tcPr>
            <w:tcW w:w="907" w:type="dxa"/>
            <w:tcBorders>
              <w:top w:val="single" w:color="auto" w:sz="4" w:space="0"/>
              <w:left w:val="single" w:color="auto" w:sz="4" w:space="0"/>
            </w:tcBorders>
            <w:shd w:val="clear" w:color="auto" w:fill="FFFFFF"/>
            <w:noWrap w:val="0"/>
            <w:vAlign w:val="center"/>
          </w:tcPr>
          <w:p w14:paraId="2919BE78">
            <w:pPr>
              <w:jc w:val="center"/>
              <w:rPr>
                <w:rFonts w:hint="eastAsia" w:ascii="宋体" w:hAnsi="宋体" w:cs="宋体"/>
                <w:color w:val="auto"/>
                <w:sz w:val="21"/>
                <w:szCs w:val="21"/>
                <w:highlight w:val="none"/>
              </w:rPr>
            </w:pPr>
          </w:p>
        </w:tc>
        <w:tc>
          <w:tcPr>
            <w:tcW w:w="907" w:type="dxa"/>
            <w:tcBorders>
              <w:top w:val="single" w:color="auto" w:sz="4" w:space="0"/>
              <w:left w:val="single" w:color="auto" w:sz="4" w:space="0"/>
            </w:tcBorders>
            <w:shd w:val="clear" w:color="auto" w:fill="FFFFFF"/>
            <w:noWrap w:val="0"/>
            <w:vAlign w:val="center"/>
          </w:tcPr>
          <w:p w14:paraId="1A782B44">
            <w:pPr>
              <w:jc w:val="center"/>
              <w:rPr>
                <w:rFonts w:hint="eastAsia" w:ascii="宋体" w:hAnsi="宋体" w:cs="宋体"/>
                <w:color w:val="auto"/>
                <w:sz w:val="21"/>
                <w:szCs w:val="21"/>
                <w:highlight w:val="none"/>
              </w:rPr>
            </w:pPr>
          </w:p>
        </w:tc>
        <w:tc>
          <w:tcPr>
            <w:tcW w:w="907" w:type="dxa"/>
            <w:tcBorders>
              <w:top w:val="single" w:color="auto" w:sz="4" w:space="0"/>
              <w:left w:val="single" w:color="auto" w:sz="4" w:space="0"/>
            </w:tcBorders>
            <w:shd w:val="clear" w:color="auto" w:fill="FFFFFF"/>
            <w:noWrap w:val="0"/>
            <w:vAlign w:val="center"/>
          </w:tcPr>
          <w:p w14:paraId="76F1D326">
            <w:pPr>
              <w:jc w:val="center"/>
              <w:rPr>
                <w:rFonts w:hint="eastAsia" w:ascii="宋体" w:hAnsi="宋体" w:cs="宋体"/>
                <w:color w:val="auto"/>
                <w:sz w:val="21"/>
                <w:szCs w:val="21"/>
                <w:highlight w:val="none"/>
              </w:rPr>
            </w:pPr>
          </w:p>
        </w:tc>
        <w:tc>
          <w:tcPr>
            <w:tcW w:w="912" w:type="dxa"/>
            <w:tcBorders>
              <w:top w:val="single" w:color="auto" w:sz="4" w:space="0"/>
              <w:left w:val="single" w:color="auto" w:sz="4" w:space="0"/>
            </w:tcBorders>
            <w:shd w:val="clear" w:color="auto" w:fill="FFFFFF"/>
            <w:noWrap w:val="0"/>
            <w:vAlign w:val="center"/>
          </w:tcPr>
          <w:p w14:paraId="5DA19985">
            <w:pPr>
              <w:jc w:val="center"/>
              <w:rPr>
                <w:rFonts w:hint="eastAsia" w:ascii="宋体" w:hAnsi="宋体" w:cs="宋体"/>
                <w:color w:val="auto"/>
                <w:sz w:val="21"/>
                <w:szCs w:val="21"/>
                <w:highlight w:val="none"/>
              </w:rPr>
            </w:pPr>
          </w:p>
        </w:tc>
        <w:tc>
          <w:tcPr>
            <w:tcW w:w="902" w:type="dxa"/>
            <w:tcBorders>
              <w:top w:val="single" w:color="auto" w:sz="4" w:space="0"/>
              <w:left w:val="single" w:color="auto" w:sz="4" w:space="0"/>
            </w:tcBorders>
            <w:shd w:val="clear" w:color="auto" w:fill="FFFFFF"/>
            <w:noWrap w:val="0"/>
            <w:vAlign w:val="center"/>
          </w:tcPr>
          <w:p w14:paraId="2F95E147">
            <w:pPr>
              <w:jc w:val="center"/>
              <w:rPr>
                <w:rFonts w:hint="eastAsia" w:ascii="宋体" w:hAnsi="宋体" w:cs="宋体"/>
                <w:color w:val="auto"/>
                <w:sz w:val="21"/>
                <w:szCs w:val="21"/>
                <w:highlight w:val="none"/>
              </w:rPr>
            </w:pPr>
          </w:p>
        </w:tc>
        <w:tc>
          <w:tcPr>
            <w:tcW w:w="907" w:type="dxa"/>
            <w:tcBorders>
              <w:top w:val="single" w:color="auto" w:sz="4" w:space="0"/>
              <w:left w:val="single" w:color="auto" w:sz="4" w:space="0"/>
            </w:tcBorders>
            <w:shd w:val="clear" w:color="auto" w:fill="FFFFFF"/>
            <w:noWrap w:val="0"/>
            <w:vAlign w:val="center"/>
          </w:tcPr>
          <w:p w14:paraId="6C0C1AE2">
            <w:pPr>
              <w:jc w:val="center"/>
              <w:rPr>
                <w:rFonts w:hint="eastAsia" w:ascii="宋体" w:hAnsi="宋体" w:cs="宋体"/>
                <w:color w:val="auto"/>
                <w:sz w:val="21"/>
                <w:szCs w:val="21"/>
                <w:highlight w:val="none"/>
              </w:rPr>
            </w:pPr>
          </w:p>
        </w:tc>
        <w:tc>
          <w:tcPr>
            <w:tcW w:w="917" w:type="dxa"/>
            <w:tcBorders>
              <w:top w:val="single" w:color="auto" w:sz="4" w:space="0"/>
              <w:left w:val="single" w:color="auto" w:sz="4" w:space="0"/>
              <w:right w:val="single" w:color="auto" w:sz="4" w:space="0"/>
            </w:tcBorders>
            <w:shd w:val="clear" w:color="auto" w:fill="FFFFFF"/>
            <w:noWrap w:val="0"/>
            <w:vAlign w:val="center"/>
          </w:tcPr>
          <w:p w14:paraId="674B7A2E">
            <w:pPr>
              <w:jc w:val="center"/>
              <w:rPr>
                <w:rFonts w:hint="eastAsia" w:ascii="宋体" w:hAnsi="宋体" w:cs="宋体"/>
                <w:color w:val="auto"/>
                <w:sz w:val="21"/>
                <w:szCs w:val="21"/>
                <w:highlight w:val="none"/>
              </w:rPr>
            </w:pPr>
          </w:p>
        </w:tc>
      </w:tr>
      <w:tr w14:paraId="175CEE2C">
        <w:tblPrEx>
          <w:tblCellMar>
            <w:top w:w="0" w:type="dxa"/>
            <w:left w:w="10" w:type="dxa"/>
            <w:bottom w:w="0" w:type="dxa"/>
            <w:right w:w="10" w:type="dxa"/>
          </w:tblCellMar>
        </w:tblPrEx>
        <w:trPr>
          <w:trHeight w:val="566" w:hRule="exact"/>
          <w:jc w:val="center"/>
        </w:trPr>
        <w:tc>
          <w:tcPr>
            <w:tcW w:w="1090" w:type="dxa"/>
            <w:tcBorders>
              <w:top w:val="single" w:color="auto" w:sz="4" w:space="0"/>
              <w:left w:val="single" w:color="auto" w:sz="4" w:space="0"/>
            </w:tcBorders>
            <w:shd w:val="clear" w:color="auto" w:fill="FFFFFF"/>
            <w:noWrap w:val="0"/>
            <w:vAlign w:val="center"/>
          </w:tcPr>
          <w:p w14:paraId="58B64DC7">
            <w:pPr>
              <w:jc w:val="center"/>
              <w:rPr>
                <w:rFonts w:hint="eastAsia" w:ascii="宋体" w:hAnsi="宋体" w:cs="宋体"/>
                <w:color w:val="auto"/>
                <w:sz w:val="21"/>
                <w:szCs w:val="21"/>
                <w:highlight w:val="none"/>
              </w:rPr>
            </w:pPr>
          </w:p>
        </w:tc>
        <w:tc>
          <w:tcPr>
            <w:tcW w:w="902" w:type="dxa"/>
            <w:tcBorders>
              <w:top w:val="single" w:color="auto" w:sz="4" w:space="0"/>
              <w:left w:val="single" w:color="auto" w:sz="4" w:space="0"/>
            </w:tcBorders>
            <w:shd w:val="clear" w:color="auto" w:fill="FFFFFF"/>
            <w:noWrap w:val="0"/>
            <w:vAlign w:val="center"/>
          </w:tcPr>
          <w:p w14:paraId="2C888BBF">
            <w:pPr>
              <w:jc w:val="center"/>
              <w:rPr>
                <w:rFonts w:hint="eastAsia" w:ascii="宋体" w:hAnsi="宋体" w:cs="宋体"/>
                <w:color w:val="auto"/>
                <w:sz w:val="21"/>
                <w:szCs w:val="21"/>
                <w:highlight w:val="none"/>
              </w:rPr>
            </w:pPr>
          </w:p>
        </w:tc>
        <w:tc>
          <w:tcPr>
            <w:tcW w:w="907" w:type="dxa"/>
            <w:tcBorders>
              <w:top w:val="single" w:color="auto" w:sz="4" w:space="0"/>
              <w:left w:val="single" w:color="auto" w:sz="4" w:space="0"/>
            </w:tcBorders>
            <w:shd w:val="clear" w:color="auto" w:fill="FFFFFF"/>
            <w:noWrap w:val="0"/>
            <w:vAlign w:val="center"/>
          </w:tcPr>
          <w:p w14:paraId="65E2CFFF">
            <w:pPr>
              <w:jc w:val="center"/>
              <w:rPr>
                <w:rFonts w:hint="eastAsia" w:ascii="宋体" w:hAnsi="宋体" w:cs="宋体"/>
                <w:color w:val="auto"/>
                <w:sz w:val="21"/>
                <w:szCs w:val="21"/>
                <w:highlight w:val="none"/>
              </w:rPr>
            </w:pPr>
          </w:p>
        </w:tc>
        <w:tc>
          <w:tcPr>
            <w:tcW w:w="907" w:type="dxa"/>
            <w:tcBorders>
              <w:top w:val="single" w:color="auto" w:sz="4" w:space="0"/>
              <w:left w:val="single" w:color="auto" w:sz="4" w:space="0"/>
            </w:tcBorders>
            <w:shd w:val="clear" w:color="auto" w:fill="FFFFFF"/>
            <w:noWrap w:val="0"/>
            <w:vAlign w:val="center"/>
          </w:tcPr>
          <w:p w14:paraId="397BBD18">
            <w:pPr>
              <w:jc w:val="center"/>
              <w:rPr>
                <w:rFonts w:hint="eastAsia" w:ascii="宋体" w:hAnsi="宋体" w:cs="宋体"/>
                <w:color w:val="auto"/>
                <w:sz w:val="21"/>
                <w:szCs w:val="21"/>
                <w:highlight w:val="none"/>
              </w:rPr>
            </w:pPr>
          </w:p>
        </w:tc>
        <w:tc>
          <w:tcPr>
            <w:tcW w:w="907" w:type="dxa"/>
            <w:tcBorders>
              <w:top w:val="single" w:color="auto" w:sz="4" w:space="0"/>
              <w:left w:val="single" w:color="auto" w:sz="4" w:space="0"/>
            </w:tcBorders>
            <w:shd w:val="clear" w:color="auto" w:fill="FFFFFF"/>
            <w:noWrap w:val="0"/>
            <w:vAlign w:val="center"/>
          </w:tcPr>
          <w:p w14:paraId="714BA50A">
            <w:pPr>
              <w:jc w:val="center"/>
              <w:rPr>
                <w:rFonts w:hint="eastAsia" w:ascii="宋体" w:hAnsi="宋体" w:cs="宋体"/>
                <w:color w:val="auto"/>
                <w:sz w:val="21"/>
                <w:szCs w:val="21"/>
                <w:highlight w:val="none"/>
              </w:rPr>
            </w:pPr>
          </w:p>
        </w:tc>
        <w:tc>
          <w:tcPr>
            <w:tcW w:w="912" w:type="dxa"/>
            <w:tcBorders>
              <w:top w:val="single" w:color="auto" w:sz="4" w:space="0"/>
              <w:left w:val="single" w:color="auto" w:sz="4" w:space="0"/>
            </w:tcBorders>
            <w:shd w:val="clear" w:color="auto" w:fill="FFFFFF"/>
            <w:noWrap w:val="0"/>
            <w:vAlign w:val="center"/>
          </w:tcPr>
          <w:p w14:paraId="4EB7AEF5">
            <w:pPr>
              <w:jc w:val="center"/>
              <w:rPr>
                <w:rFonts w:hint="eastAsia" w:ascii="宋体" w:hAnsi="宋体" w:cs="宋体"/>
                <w:color w:val="auto"/>
                <w:sz w:val="21"/>
                <w:szCs w:val="21"/>
                <w:highlight w:val="none"/>
              </w:rPr>
            </w:pPr>
          </w:p>
        </w:tc>
        <w:tc>
          <w:tcPr>
            <w:tcW w:w="902" w:type="dxa"/>
            <w:tcBorders>
              <w:top w:val="single" w:color="auto" w:sz="4" w:space="0"/>
              <w:left w:val="single" w:color="auto" w:sz="4" w:space="0"/>
            </w:tcBorders>
            <w:shd w:val="clear" w:color="auto" w:fill="FFFFFF"/>
            <w:noWrap w:val="0"/>
            <w:vAlign w:val="center"/>
          </w:tcPr>
          <w:p w14:paraId="3834D8B5">
            <w:pPr>
              <w:jc w:val="center"/>
              <w:rPr>
                <w:rFonts w:hint="eastAsia" w:ascii="宋体" w:hAnsi="宋体" w:cs="宋体"/>
                <w:color w:val="auto"/>
                <w:sz w:val="21"/>
                <w:szCs w:val="21"/>
                <w:highlight w:val="none"/>
              </w:rPr>
            </w:pPr>
          </w:p>
        </w:tc>
        <w:tc>
          <w:tcPr>
            <w:tcW w:w="907" w:type="dxa"/>
            <w:tcBorders>
              <w:top w:val="single" w:color="auto" w:sz="4" w:space="0"/>
              <w:left w:val="single" w:color="auto" w:sz="4" w:space="0"/>
            </w:tcBorders>
            <w:shd w:val="clear" w:color="auto" w:fill="FFFFFF"/>
            <w:noWrap w:val="0"/>
            <w:vAlign w:val="center"/>
          </w:tcPr>
          <w:p w14:paraId="271A258E">
            <w:pPr>
              <w:jc w:val="center"/>
              <w:rPr>
                <w:rFonts w:hint="eastAsia" w:ascii="宋体" w:hAnsi="宋体" w:cs="宋体"/>
                <w:color w:val="auto"/>
                <w:sz w:val="21"/>
                <w:szCs w:val="21"/>
                <w:highlight w:val="none"/>
              </w:rPr>
            </w:pPr>
          </w:p>
        </w:tc>
        <w:tc>
          <w:tcPr>
            <w:tcW w:w="917" w:type="dxa"/>
            <w:tcBorders>
              <w:top w:val="single" w:color="auto" w:sz="4" w:space="0"/>
              <w:left w:val="single" w:color="auto" w:sz="4" w:space="0"/>
              <w:right w:val="single" w:color="auto" w:sz="4" w:space="0"/>
            </w:tcBorders>
            <w:shd w:val="clear" w:color="auto" w:fill="FFFFFF"/>
            <w:noWrap w:val="0"/>
            <w:vAlign w:val="center"/>
          </w:tcPr>
          <w:p w14:paraId="786841D2">
            <w:pPr>
              <w:jc w:val="center"/>
              <w:rPr>
                <w:rFonts w:hint="eastAsia" w:ascii="宋体" w:hAnsi="宋体" w:cs="宋体"/>
                <w:color w:val="auto"/>
                <w:sz w:val="21"/>
                <w:szCs w:val="21"/>
                <w:highlight w:val="none"/>
              </w:rPr>
            </w:pPr>
          </w:p>
        </w:tc>
      </w:tr>
      <w:tr w14:paraId="12ED8001">
        <w:tblPrEx>
          <w:tblCellMar>
            <w:top w:w="0" w:type="dxa"/>
            <w:left w:w="10" w:type="dxa"/>
            <w:bottom w:w="0" w:type="dxa"/>
            <w:right w:w="10" w:type="dxa"/>
          </w:tblCellMar>
        </w:tblPrEx>
        <w:trPr>
          <w:trHeight w:val="581" w:hRule="exact"/>
          <w:jc w:val="center"/>
        </w:trPr>
        <w:tc>
          <w:tcPr>
            <w:tcW w:w="1090" w:type="dxa"/>
            <w:tcBorders>
              <w:top w:val="single" w:color="auto" w:sz="4" w:space="0"/>
              <w:left w:val="single" w:color="auto" w:sz="4" w:space="0"/>
              <w:bottom w:val="single" w:color="auto" w:sz="4" w:space="0"/>
            </w:tcBorders>
            <w:shd w:val="clear" w:color="auto" w:fill="FFFFFF"/>
            <w:noWrap w:val="0"/>
            <w:vAlign w:val="center"/>
          </w:tcPr>
          <w:p w14:paraId="42CB5DDC">
            <w:pPr>
              <w:jc w:val="center"/>
              <w:rPr>
                <w:rFonts w:hint="eastAsia" w:ascii="宋体" w:hAnsi="宋体" w:cs="宋体"/>
                <w:color w:val="auto"/>
                <w:sz w:val="21"/>
                <w:szCs w:val="21"/>
                <w:highlight w:val="none"/>
              </w:rPr>
            </w:pPr>
          </w:p>
        </w:tc>
        <w:tc>
          <w:tcPr>
            <w:tcW w:w="902" w:type="dxa"/>
            <w:tcBorders>
              <w:top w:val="single" w:color="auto" w:sz="4" w:space="0"/>
              <w:left w:val="single" w:color="auto" w:sz="4" w:space="0"/>
              <w:bottom w:val="single" w:color="auto" w:sz="4" w:space="0"/>
            </w:tcBorders>
            <w:shd w:val="clear" w:color="auto" w:fill="FFFFFF"/>
            <w:noWrap w:val="0"/>
            <w:vAlign w:val="center"/>
          </w:tcPr>
          <w:p w14:paraId="629D1FF2">
            <w:pPr>
              <w:jc w:val="center"/>
              <w:rPr>
                <w:rFonts w:hint="eastAsia" w:ascii="宋体" w:hAnsi="宋体" w:cs="宋体"/>
                <w:color w:val="auto"/>
                <w:sz w:val="21"/>
                <w:szCs w:val="21"/>
                <w:highlight w:val="none"/>
              </w:rPr>
            </w:pPr>
          </w:p>
        </w:tc>
        <w:tc>
          <w:tcPr>
            <w:tcW w:w="907" w:type="dxa"/>
            <w:tcBorders>
              <w:top w:val="single" w:color="auto" w:sz="4" w:space="0"/>
              <w:left w:val="single" w:color="auto" w:sz="4" w:space="0"/>
              <w:bottom w:val="single" w:color="auto" w:sz="4" w:space="0"/>
            </w:tcBorders>
            <w:shd w:val="clear" w:color="auto" w:fill="FFFFFF"/>
            <w:noWrap w:val="0"/>
            <w:vAlign w:val="center"/>
          </w:tcPr>
          <w:p w14:paraId="34A84A49">
            <w:pPr>
              <w:jc w:val="center"/>
              <w:rPr>
                <w:rFonts w:hint="eastAsia" w:ascii="宋体" w:hAnsi="宋体" w:cs="宋体"/>
                <w:color w:val="auto"/>
                <w:sz w:val="21"/>
                <w:szCs w:val="21"/>
                <w:highlight w:val="none"/>
              </w:rPr>
            </w:pPr>
          </w:p>
        </w:tc>
        <w:tc>
          <w:tcPr>
            <w:tcW w:w="907" w:type="dxa"/>
            <w:tcBorders>
              <w:top w:val="single" w:color="auto" w:sz="4" w:space="0"/>
              <w:left w:val="single" w:color="auto" w:sz="4" w:space="0"/>
              <w:bottom w:val="single" w:color="auto" w:sz="4" w:space="0"/>
            </w:tcBorders>
            <w:shd w:val="clear" w:color="auto" w:fill="FFFFFF"/>
            <w:noWrap w:val="0"/>
            <w:vAlign w:val="center"/>
          </w:tcPr>
          <w:p w14:paraId="46A8D7B2">
            <w:pPr>
              <w:jc w:val="center"/>
              <w:rPr>
                <w:rFonts w:hint="eastAsia" w:ascii="宋体" w:hAnsi="宋体" w:cs="宋体"/>
                <w:color w:val="auto"/>
                <w:sz w:val="21"/>
                <w:szCs w:val="21"/>
                <w:highlight w:val="none"/>
              </w:rPr>
            </w:pPr>
          </w:p>
        </w:tc>
        <w:tc>
          <w:tcPr>
            <w:tcW w:w="907" w:type="dxa"/>
            <w:tcBorders>
              <w:top w:val="single" w:color="auto" w:sz="4" w:space="0"/>
              <w:left w:val="single" w:color="auto" w:sz="4" w:space="0"/>
              <w:bottom w:val="single" w:color="auto" w:sz="4" w:space="0"/>
            </w:tcBorders>
            <w:shd w:val="clear" w:color="auto" w:fill="FFFFFF"/>
            <w:noWrap w:val="0"/>
            <w:vAlign w:val="center"/>
          </w:tcPr>
          <w:p w14:paraId="26458737">
            <w:pPr>
              <w:jc w:val="center"/>
              <w:rPr>
                <w:rFonts w:hint="eastAsia" w:ascii="宋体" w:hAnsi="宋体" w:cs="宋体"/>
                <w:color w:val="auto"/>
                <w:sz w:val="21"/>
                <w:szCs w:val="21"/>
                <w:highlight w:val="none"/>
              </w:rPr>
            </w:pPr>
          </w:p>
        </w:tc>
        <w:tc>
          <w:tcPr>
            <w:tcW w:w="912" w:type="dxa"/>
            <w:tcBorders>
              <w:top w:val="single" w:color="auto" w:sz="4" w:space="0"/>
              <w:left w:val="single" w:color="auto" w:sz="4" w:space="0"/>
              <w:bottom w:val="single" w:color="auto" w:sz="4" w:space="0"/>
            </w:tcBorders>
            <w:shd w:val="clear" w:color="auto" w:fill="FFFFFF"/>
            <w:noWrap w:val="0"/>
            <w:vAlign w:val="center"/>
          </w:tcPr>
          <w:p w14:paraId="63010558">
            <w:pPr>
              <w:jc w:val="center"/>
              <w:rPr>
                <w:rFonts w:hint="eastAsia" w:ascii="宋体" w:hAnsi="宋体" w:cs="宋体"/>
                <w:color w:val="auto"/>
                <w:sz w:val="21"/>
                <w:szCs w:val="21"/>
                <w:highlight w:val="none"/>
              </w:rPr>
            </w:pPr>
          </w:p>
        </w:tc>
        <w:tc>
          <w:tcPr>
            <w:tcW w:w="902" w:type="dxa"/>
            <w:tcBorders>
              <w:top w:val="single" w:color="auto" w:sz="4" w:space="0"/>
              <w:left w:val="single" w:color="auto" w:sz="4" w:space="0"/>
              <w:bottom w:val="single" w:color="auto" w:sz="4" w:space="0"/>
            </w:tcBorders>
            <w:shd w:val="clear" w:color="auto" w:fill="FFFFFF"/>
            <w:noWrap w:val="0"/>
            <w:vAlign w:val="center"/>
          </w:tcPr>
          <w:p w14:paraId="125B4D98">
            <w:pPr>
              <w:jc w:val="center"/>
              <w:rPr>
                <w:rFonts w:hint="eastAsia" w:ascii="宋体" w:hAnsi="宋体" w:cs="宋体"/>
                <w:color w:val="auto"/>
                <w:sz w:val="21"/>
                <w:szCs w:val="21"/>
                <w:highlight w:val="none"/>
              </w:rPr>
            </w:pPr>
          </w:p>
        </w:tc>
        <w:tc>
          <w:tcPr>
            <w:tcW w:w="907" w:type="dxa"/>
            <w:tcBorders>
              <w:top w:val="single" w:color="auto" w:sz="4" w:space="0"/>
              <w:left w:val="single" w:color="auto" w:sz="4" w:space="0"/>
              <w:bottom w:val="single" w:color="auto" w:sz="4" w:space="0"/>
            </w:tcBorders>
            <w:shd w:val="clear" w:color="auto" w:fill="FFFFFF"/>
            <w:noWrap w:val="0"/>
            <w:vAlign w:val="center"/>
          </w:tcPr>
          <w:p w14:paraId="459A6BD0">
            <w:pPr>
              <w:jc w:val="center"/>
              <w:rPr>
                <w:rFonts w:hint="eastAsia" w:ascii="宋体" w:hAnsi="宋体" w:cs="宋体"/>
                <w:color w:val="auto"/>
                <w:sz w:val="21"/>
                <w:szCs w:val="21"/>
                <w:highlight w:val="none"/>
              </w:rPr>
            </w:pPr>
          </w:p>
        </w:tc>
        <w:tc>
          <w:tcPr>
            <w:tcW w:w="91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724A5C3">
            <w:pPr>
              <w:jc w:val="center"/>
              <w:rPr>
                <w:rFonts w:hint="eastAsia" w:ascii="宋体" w:hAnsi="宋体" w:cs="宋体"/>
                <w:color w:val="auto"/>
                <w:sz w:val="21"/>
                <w:szCs w:val="21"/>
                <w:highlight w:val="none"/>
              </w:rPr>
            </w:pPr>
          </w:p>
        </w:tc>
      </w:tr>
    </w:tbl>
    <w:p w14:paraId="07AA675A">
      <w:pPr>
        <w:spacing w:after="299" w:line="1" w:lineRule="exact"/>
        <w:rPr>
          <w:rFonts w:hint="eastAsia" w:ascii="宋体" w:hAnsi="宋体" w:cs="宋体"/>
          <w:color w:val="auto"/>
          <w:highlight w:val="none"/>
        </w:rPr>
      </w:pPr>
    </w:p>
    <w:p w14:paraId="1238AEA3">
      <w:pPr>
        <w:autoSpaceDE w:val="0"/>
        <w:autoSpaceDN w:val="0"/>
        <w:spacing w:line="360" w:lineRule="auto"/>
        <w:ind w:left="4335" w:leftChars="1950" w:hanging="240" w:hangingChars="100"/>
        <w:rPr>
          <w:rFonts w:hint="eastAsia" w:ascii="宋体" w:hAnsi="宋体" w:cs="宋体"/>
          <w:color w:val="auto"/>
          <w:kern w:val="0"/>
          <w:sz w:val="24"/>
          <w:highlight w:val="none"/>
        </w:rPr>
      </w:pPr>
      <w:bookmarkStart w:id="135" w:name="bookmark2251"/>
      <w:bookmarkStart w:id="136" w:name="bookmark2249"/>
      <w:bookmarkStart w:id="137" w:name="bookmark2250"/>
      <w:r>
        <w:rPr>
          <w:rFonts w:hint="eastAsia" w:ascii="宋体" w:hAnsi="宋体" w:cs="宋体"/>
          <w:color w:val="auto"/>
          <w:kern w:val="0"/>
          <w:sz w:val="24"/>
          <w:highlight w:val="none"/>
        </w:rPr>
        <w:t>供应商名称（电子签章）：</w:t>
      </w:r>
    </w:p>
    <w:p w14:paraId="3E211BD3">
      <w:pPr>
        <w:autoSpaceDE w:val="0"/>
        <w:autoSpaceDN w:val="0"/>
        <w:spacing w:line="360" w:lineRule="auto"/>
        <w:ind w:firstLine="6300" w:firstLineChars="2625"/>
        <w:rPr>
          <w:rFonts w:hint="eastAsia" w:ascii="宋体" w:hAnsi="宋体" w:cs="宋体"/>
          <w:b/>
          <w:bCs/>
          <w:color w:val="auto"/>
          <w:sz w:val="24"/>
          <w:highlight w:val="none"/>
        </w:rPr>
      </w:pPr>
      <w:r>
        <w:rPr>
          <w:rFonts w:hint="eastAsia" w:ascii="宋体" w:hAnsi="宋体" w:cs="宋体"/>
          <w:color w:val="auto"/>
          <w:kern w:val="0"/>
          <w:sz w:val="24"/>
          <w:highlight w:val="none"/>
          <w:lang w:val="zh-CN"/>
        </w:rPr>
        <w:t>日期：  年  月  日</w:t>
      </w:r>
    </w:p>
    <w:p w14:paraId="23F5C9D6">
      <w:pPr>
        <w:widowControl/>
        <w:jc w:val="left"/>
        <w:rPr>
          <w:rFonts w:hint="eastAsia" w:ascii="宋体" w:hAnsi="宋体" w:cs="宋体"/>
          <w:color w:val="auto"/>
          <w:sz w:val="32"/>
          <w:szCs w:val="32"/>
          <w:highlight w:val="none"/>
        </w:rPr>
        <w:sectPr>
          <w:pgSz w:w="11910" w:h="16840"/>
          <w:pgMar w:top="1134" w:right="1587" w:bottom="1134" w:left="1587" w:header="720" w:footer="720" w:gutter="0"/>
          <w:pgBorders>
            <w:top w:val="none" w:sz="0" w:space="0"/>
            <w:left w:val="none" w:sz="0" w:space="0"/>
            <w:bottom w:val="none" w:sz="0" w:space="0"/>
            <w:right w:val="none" w:sz="0" w:space="0"/>
          </w:pgBorders>
          <w:cols w:space="720" w:num="1"/>
        </w:sectPr>
      </w:pPr>
    </w:p>
    <w:p w14:paraId="47EE7E79">
      <w:pPr>
        <w:rPr>
          <w:rFonts w:hint="eastAsia" w:ascii="宋体" w:hAnsi="宋体" w:cs="宋体"/>
          <w:b/>
          <w:color w:val="auto"/>
          <w:szCs w:val="21"/>
          <w:highlight w:val="none"/>
        </w:rPr>
      </w:pPr>
      <w:r>
        <w:rPr>
          <w:rFonts w:hint="eastAsia" w:ascii="宋体" w:hAnsi="宋体" w:cs="宋体"/>
          <w:b/>
          <w:color w:val="auto"/>
          <w:szCs w:val="21"/>
          <w:highlight w:val="none"/>
        </w:rPr>
        <w:t>附件五：计划开工日期、完工日期和施工进度网络图（或横道图）</w:t>
      </w:r>
      <w:bookmarkEnd w:id="135"/>
      <w:bookmarkEnd w:id="136"/>
      <w:bookmarkEnd w:id="137"/>
    </w:p>
    <w:p w14:paraId="37BCEC61">
      <w:pPr>
        <w:rPr>
          <w:rFonts w:hint="eastAsia" w:ascii="宋体" w:hAnsi="宋体" w:cs="宋体"/>
          <w:color w:val="auto"/>
          <w:sz w:val="20"/>
          <w:szCs w:val="20"/>
          <w:highlight w:val="none"/>
        </w:rPr>
      </w:pPr>
    </w:p>
    <w:p w14:paraId="0C5D5695">
      <w:pPr>
        <w:jc w:val="center"/>
        <w:rPr>
          <w:rFonts w:hint="eastAsia" w:ascii="宋体" w:hAnsi="宋体" w:cs="宋体"/>
          <w:b/>
          <w:color w:val="auto"/>
          <w:szCs w:val="21"/>
          <w:highlight w:val="none"/>
        </w:rPr>
      </w:pPr>
      <w:bookmarkStart w:id="138" w:name="bookmark2252"/>
      <w:bookmarkStart w:id="139" w:name="_Toc2597"/>
      <w:bookmarkStart w:id="140" w:name="bookmark2253"/>
      <w:bookmarkStart w:id="141" w:name="bookmark2254"/>
      <w:bookmarkStart w:id="142" w:name="_Toc24573"/>
      <w:r>
        <w:rPr>
          <w:rFonts w:hint="eastAsia" w:ascii="宋体" w:hAnsi="宋体" w:cs="宋体"/>
          <w:b/>
          <w:color w:val="auto"/>
          <w:szCs w:val="21"/>
          <w:highlight w:val="none"/>
        </w:rPr>
        <w:t>计划开工日期、完工日期和施工进度网络图（或横道图）</w:t>
      </w:r>
      <w:bookmarkEnd w:id="138"/>
      <w:bookmarkEnd w:id="139"/>
      <w:bookmarkEnd w:id="140"/>
      <w:bookmarkEnd w:id="141"/>
      <w:bookmarkEnd w:id="142"/>
    </w:p>
    <w:p w14:paraId="3A00B9BE">
      <w:pPr>
        <w:jc w:val="center"/>
        <w:rPr>
          <w:rFonts w:hint="eastAsia" w:ascii="宋体" w:hAnsi="宋体" w:cs="宋体"/>
          <w:b/>
          <w:color w:val="auto"/>
          <w:szCs w:val="21"/>
          <w:highlight w:val="none"/>
        </w:rPr>
      </w:pPr>
    </w:p>
    <w:p w14:paraId="4BC326E7">
      <w:pPr>
        <w:pStyle w:val="35"/>
        <w:numPr>
          <w:ilvl w:val="0"/>
          <w:numId w:val="2"/>
        </w:numPr>
        <w:tabs>
          <w:tab w:val="left" w:pos="747"/>
        </w:tabs>
        <w:spacing w:line="343" w:lineRule="exact"/>
        <w:ind w:firstLine="420"/>
        <w:rPr>
          <w:rFonts w:hint="eastAsia"/>
          <w:color w:val="auto"/>
          <w:sz w:val="21"/>
          <w:szCs w:val="21"/>
          <w:highlight w:val="none"/>
        </w:rPr>
      </w:pPr>
      <w:bookmarkStart w:id="143" w:name="bookmark2255"/>
      <w:bookmarkEnd w:id="143"/>
      <w:r>
        <w:rPr>
          <w:rFonts w:hint="eastAsia"/>
          <w:color w:val="auto"/>
          <w:sz w:val="21"/>
          <w:szCs w:val="21"/>
          <w:highlight w:val="none"/>
        </w:rPr>
        <w:t>投标人应递交施工进度网络图或施工进度表，说明按招标文件要求的计划工期进行施工的各个关键日期。</w:t>
      </w:r>
    </w:p>
    <w:p w14:paraId="6AE970EB">
      <w:pPr>
        <w:pStyle w:val="35"/>
        <w:numPr>
          <w:ilvl w:val="0"/>
          <w:numId w:val="2"/>
        </w:numPr>
        <w:tabs>
          <w:tab w:val="left" w:pos="754"/>
        </w:tabs>
        <w:ind w:firstLine="420"/>
        <w:rPr>
          <w:rFonts w:hint="eastAsia"/>
          <w:color w:val="auto"/>
          <w:sz w:val="21"/>
          <w:szCs w:val="21"/>
          <w:highlight w:val="none"/>
        </w:rPr>
      </w:pPr>
      <w:bookmarkStart w:id="144" w:name="bookmark2256"/>
      <w:bookmarkEnd w:id="144"/>
      <w:r>
        <w:rPr>
          <w:rFonts w:hint="eastAsia"/>
          <w:color w:val="auto"/>
          <w:sz w:val="21"/>
          <w:szCs w:val="21"/>
          <w:highlight w:val="none"/>
        </w:rPr>
        <w:t>施工进度表可采用网络图（或横道图）表示。</w:t>
      </w:r>
    </w:p>
    <w:p w14:paraId="5FE760D6">
      <w:pPr>
        <w:rPr>
          <w:rFonts w:hint="eastAsia" w:ascii="宋体" w:hAnsi="宋体" w:cs="宋体"/>
          <w:b/>
          <w:color w:val="auto"/>
          <w:szCs w:val="21"/>
          <w:highlight w:val="none"/>
        </w:rPr>
      </w:pPr>
      <w:bookmarkStart w:id="145" w:name="bookmark2258"/>
      <w:bookmarkStart w:id="146" w:name="bookmark2259"/>
      <w:bookmarkStart w:id="147" w:name="bookmark2257"/>
      <w:r>
        <w:rPr>
          <w:rFonts w:hint="eastAsia" w:ascii="宋体" w:hAnsi="宋体" w:cs="宋体"/>
          <w:b/>
          <w:color w:val="auto"/>
          <w:szCs w:val="21"/>
          <w:highlight w:val="none"/>
        </w:rPr>
        <w:t>附件六：施工总平面图</w:t>
      </w:r>
      <w:bookmarkEnd w:id="145"/>
      <w:bookmarkEnd w:id="146"/>
      <w:bookmarkEnd w:id="147"/>
    </w:p>
    <w:p w14:paraId="3EF12283">
      <w:pPr>
        <w:jc w:val="center"/>
        <w:rPr>
          <w:rFonts w:hint="eastAsia" w:ascii="宋体" w:hAnsi="宋体" w:cs="宋体"/>
          <w:b/>
          <w:color w:val="auto"/>
          <w:szCs w:val="21"/>
          <w:highlight w:val="none"/>
        </w:rPr>
      </w:pPr>
      <w:bookmarkStart w:id="148" w:name="bookmark2260"/>
      <w:bookmarkStart w:id="149" w:name="_Toc768"/>
      <w:bookmarkStart w:id="150" w:name="bookmark2262"/>
      <w:bookmarkStart w:id="151" w:name="_Toc30163"/>
      <w:bookmarkStart w:id="152" w:name="bookmark2261"/>
      <w:r>
        <w:rPr>
          <w:rFonts w:hint="eastAsia" w:ascii="宋体" w:hAnsi="宋体" w:cs="宋体"/>
          <w:b/>
          <w:color w:val="auto"/>
          <w:szCs w:val="21"/>
          <w:highlight w:val="none"/>
        </w:rPr>
        <w:t>施工总平面图</w:t>
      </w:r>
      <w:bookmarkEnd w:id="148"/>
      <w:bookmarkEnd w:id="149"/>
      <w:bookmarkEnd w:id="150"/>
      <w:bookmarkEnd w:id="151"/>
      <w:bookmarkEnd w:id="152"/>
    </w:p>
    <w:p w14:paraId="4C86F96B">
      <w:pPr>
        <w:jc w:val="center"/>
        <w:rPr>
          <w:rFonts w:hint="eastAsia" w:ascii="宋体" w:hAnsi="宋体" w:cs="宋体"/>
          <w:b/>
          <w:color w:val="auto"/>
          <w:szCs w:val="21"/>
          <w:highlight w:val="none"/>
        </w:rPr>
      </w:pPr>
    </w:p>
    <w:p w14:paraId="5E87AB3F">
      <w:pPr>
        <w:pStyle w:val="35"/>
        <w:spacing w:line="520" w:lineRule="exact"/>
        <w:ind w:firstLine="420" w:firstLineChars="200"/>
        <w:rPr>
          <w:rFonts w:hint="eastAsia"/>
          <w:color w:val="auto"/>
          <w:sz w:val="21"/>
          <w:szCs w:val="21"/>
          <w:highlight w:val="none"/>
        </w:rPr>
      </w:pPr>
      <w:r>
        <w:rPr>
          <w:rFonts w:hint="eastAsia"/>
          <w:color w:val="auto"/>
          <w:sz w:val="21"/>
          <w:szCs w:val="21"/>
          <w:highlight w:val="none"/>
        </w:rPr>
        <w:t>投标人应递交一份施工总平面图，绘出现场临时设施布置图及表并附文字说明，说明临时设施、加工车间、现场办公、设备及仓储、供电、供水、卫生、生活、道路、消防等设施的情况和布置。</w:t>
      </w:r>
    </w:p>
    <w:p w14:paraId="7D8576F7">
      <w:pPr>
        <w:rPr>
          <w:rFonts w:hint="eastAsia" w:ascii="宋体" w:hAnsi="宋体" w:cs="宋体"/>
          <w:b/>
          <w:color w:val="auto"/>
          <w:szCs w:val="21"/>
          <w:highlight w:val="none"/>
        </w:rPr>
      </w:pPr>
      <w:bookmarkStart w:id="153" w:name="bookmark2264"/>
      <w:bookmarkStart w:id="154" w:name="bookmark2265"/>
      <w:bookmarkStart w:id="155" w:name="bookmark2263"/>
    </w:p>
    <w:p w14:paraId="3A292F03">
      <w:pPr>
        <w:rPr>
          <w:rFonts w:hint="eastAsia" w:ascii="宋体" w:hAnsi="宋体" w:cs="宋体"/>
          <w:b/>
          <w:color w:val="auto"/>
          <w:szCs w:val="21"/>
          <w:highlight w:val="none"/>
        </w:rPr>
      </w:pPr>
      <w:r>
        <w:rPr>
          <w:rFonts w:hint="eastAsia" w:ascii="宋体" w:hAnsi="宋体" w:cs="宋体"/>
          <w:b/>
          <w:color w:val="auto"/>
          <w:szCs w:val="21"/>
          <w:highlight w:val="none"/>
        </w:rPr>
        <w:t>附件七：临时用地表</w:t>
      </w:r>
      <w:bookmarkEnd w:id="153"/>
      <w:bookmarkEnd w:id="154"/>
      <w:bookmarkEnd w:id="155"/>
    </w:p>
    <w:p w14:paraId="0E35FC94">
      <w:pPr>
        <w:jc w:val="center"/>
        <w:rPr>
          <w:rFonts w:hint="eastAsia" w:ascii="宋体" w:hAnsi="宋体" w:cs="宋体"/>
          <w:b/>
          <w:color w:val="auto"/>
          <w:szCs w:val="21"/>
          <w:highlight w:val="none"/>
        </w:rPr>
      </w:pPr>
      <w:bookmarkStart w:id="156" w:name="bookmark2268"/>
      <w:bookmarkStart w:id="157" w:name="_Toc3522"/>
      <w:bookmarkStart w:id="158" w:name="_Toc31330"/>
      <w:bookmarkStart w:id="159" w:name="bookmark2266"/>
      <w:bookmarkStart w:id="160" w:name="bookmark2267"/>
      <w:r>
        <w:rPr>
          <w:rFonts w:hint="eastAsia" w:ascii="宋体" w:hAnsi="宋体" w:cs="宋体"/>
          <w:b/>
          <w:color w:val="auto"/>
          <w:szCs w:val="21"/>
          <w:highlight w:val="none"/>
        </w:rPr>
        <w:t>临时用地表</w:t>
      </w:r>
      <w:bookmarkEnd w:id="156"/>
      <w:bookmarkEnd w:id="157"/>
      <w:bookmarkEnd w:id="158"/>
      <w:bookmarkEnd w:id="159"/>
      <w:bookmarkEnd w:id="160"/>
    </w:p>
    <w:p w14:paraId="4C72D3C3">
      <w:pPr>
        <w:jc w:val="center"/>
        <w:rPr>
          <w:rFonts w:hint="eastAsia" w:ascii="宋体" w:hAnsi="宋体" w:cs="宋体"/>
          <w:b/>
          <w:color w:val="auto"/>
          <w:highlight w:val="none"/>
        </w:rPr>
      </w:pPr>
    </w:p>
    <w:tbl>
      <w:tblPr>
        <w:tblStyle w:val="23"/>
        <w:tblW w:w="8352" w:type="dxa"/>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 w:type="dxa"/>
          <w:bottom w:w="0" w:type="dxa"/>
          <w:right w:w="10" w:type="dxa"/>
        </w:tblCellMar>
      </w:tblPr>
      <w:tblGrid>
        <w:gridCol w:w="2093"/>
        <w:gridCol w:w="2083"/>
        <w:gridCol w:w="2083"/>
        <w:gridCol w:w="2093"/>
      </w:tblGrid>
      <w:tr w14:paraId="73948E5E">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 w:type="dxa"/>
            <w:bottom w:w="0" w:type="dxa"/>
            <w:right w:w="10" w:type="dxa"/>
          </w:tblCellMar>
        </w:tblPrEx>
        <w:trPr>
          <w:trHeight w:val="576" w:hRule="exact"/>
          <w:jc w:val="center"/>
        </w:trPr>
        <w:tc>
          <w:tcPr>
            <w:tcW w:w="2093" w:type="dxa"/>
            <w:shd w:val="clear" w:color="auto" w:fill="FFFFFF"/>
            <w:noWrap w:val="0"/>
            <w:vAlign w:val="center"/>
          </w:tcPr>
          <w:p w14:paraId="0217DBAF">
            <w:pPr>
              <w:pStyle w:val="36"/>
              <w:spacing w:line="240" w:lineRule="auto"/>
              <w:jc w:val="center"/>
              <w:rPr>
                <w:rFonts w:hint="eastAsia"/>
                <w:color w:val="auto"/>
                <w:sz w:val="21"/>
                <w:szCs w:val="21"/>
                <w:highlight w:val="none"/>
              </w:rPr>
            </w:pPr>
            <w:r>
              <w:rPr>
                <w:rFonts w:hint="eastAsia"/>
                <w:color w:val="auto"/>
                <w:sz w:val="21"/>
                <w:szCs w:val="21"/>
                <w:highlight w:val="none"/>
              </w:rPr>
              <w:t>用途</w:t>
            </w:r>
          </w:p>
        </w:tc>
        <w:tc>
          <w:tcPr>
            <w:tcW w:w="2083" w:type="dxa"/>
            <w:tcBorders>
              <w:left w:val="single" w:color="auto" w:sz="4" w:space="0"/>
            </w:tcBorders>
            <w:shd w:val="clear" w:color="auto" w:fill="FFFFFF"/>
            <w:noWrap w:val="0"/>
            <w:vAlign w:val="center"/>
          </w:tcPr>
          <w:p w14:paraId="6FD9079A">
            <w:pPr>
              <w:pStyle w:val="36"/>
              <w:spacing w:line="240" w:lineRule="auto"/>
              <w:jc w:val="center"/>
              <w:rPr>
                <w:rFonts w:hint="eastAsia"/>
                <w:color w:val="auto"/>
                <w:sz w:val="21"/>
                <w:szCs w:val="21"/>
                <w:highlight w:val="none"/>
              </w:rPr>
            </w:pPr>
            <w:r>
              <w:rPr>
                <w:rFonts w:hint="eastAsia"/>
                <w:color w:val="auto"/>
                <w:sz w:val="21"/>
                <w:szCs w:val="21"/>
                <w:highlight w:val="none"/>
              </w:rPr>
              <w:t>面积（</w:t>
            </w:r>
            <w:r>
              <w:rPr>
                <w:rFonts w:hint="eastAsia"/>
                <w:color w:val="auto"/>
                <w:sz w:val="21"/>
                <w:szCs w:val="21"/>
                <w:highlight w:val="none"/>
                <w:lang w:bidi="en-US"/>
              </w:rPr>
              <w:t>m</w:t>
            </w:r>
            <w:r>
              <w:rPr>
                <w:rFonts w:hint="eastAsia"/>
                <w:color w:val="auto"/>
                <w:sz w:val="21"/>
                <w:szCs w:val="21"/>
                <w:highlight w:val="none"/>
                <w:vertAlign w:val="superscript"/>
                <w:lang w:bidi="en-US"/>
              </w:rPr>
              <w:t>2</w:t>
            </w:r>
            <w:r>
              <w:rPr>
                <w:rFonts w:hint="eastAsia"/>
                <w:color w:val="auto"/>
                <w:sz w:val="21"/>
                <w:szCs w:val="21"/>
                <w:highlight w:val="none"/>
              </w:rPr>
              <w:t>）</w:t>
            </w:r>
          </w:p>
        </w:tc>
        <w:tc>
          <w:tcPr>
            <w:tcW w:w="2083" w:type="dxa"/>
            <w:tcBorders>
              <w:left w:val="single" w:color="auto" w:sz="4" w:space="0"/>
            </w:tcBorders>
            <w:shd w:val="clear" w:color="auto" w:fill="FFFFFF"/>
            <w:noWrap w:val="0"/>
            <w:vAlign w:val="center"/>
          </w:tcPr>
          <w:p w14:paraId="3A49CFAF">
            <w:pPr>
              <w:pStyle w:val="36"/>
              <w:spacing w:line="240" w:lineRule="auto"/>
              <w:jc w:val="center"/>
              <w:rPr>
                <w:rFonts w:hint="eastAsia"/>
                <w:color w:val="auto"/>
                <w:sz w:val="21"/>
                <w:szCs w:val="21"/>
                <w:highlight w:val="none"/>
              </w:rPr>
            </w:pPr>
            <w:r>
              <w:rPr>
                <w:rFonts w:hint="eastAsia"/>
                <w:color w:val="auto"/>
                <w:sz w:val="21"/>
                <w:szCs w:val="21"/>
                <w:highlight w:val="none"/>
              </w:rPr>
              <w:t>位置</w:t>
            </w:r>
          </w:p>
        </w:tc>
        <w:tc>
          <w:tcPr>
            <w:tcW w:w="2093" w:type="dxa"/>
            <w:tcBorders>
              <w:left w:val="single" w:color="auto" w:sz="4" w:space="0"/>
            </w:tcBorders>
            <w:shd w:val="clear" w:color="auto" w:fill="FFFFFF"/>
            <w:noWrap w:val="0"/>
            <w:vAlign w:val="center"/>
          </w:tcPr>
          <w:p w14:paraId="143CD391">
            <w:pPr>
              <w:pStyle w:val="36"/>
              <w:spacing w:line="240" w:lineRule="auto"/>
              <w:jc w:val="center"/>
              <w:rPr>
                <w:rFonts w:hint="eastAsia"/>
                <w:color w:val="auto"/>
                <w:sz w:val="21"/>
                <w:szCs w:val="21"/>
                <w:highlight w:val="none"/>
              </w:rPr>
            </w:pPr>
            <w:r>
              <w:rPr>
                <w:rFonts w:hint="eastAsia"/>
                <w:color w:val="auto"/>
                <w:sz w:val="21"/>
                <w:szCs w:val="21"/>
                <w:highlight w:val="none"/>
              </w:rPr>
              <w:t>需用时间</w:t>
            </w:r>
          </w:p>
        </w:tc>
      </w:tr>
      <w:tr w14:paraId="619DFC4D">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 w:type="dxa"/>
            <w:bottom w:w="0" w:type="dxa"/>
            <w:right w:w="10" w:type="dxa"/>
          </w:tblCellMar>
        </w:tblPrEx>
        <w:trPr>
          <w:trHeight w:val="566" w:hRule="exact"/>
          <w:jc w:val="center"/>
        </w:trPr>
        <w:tc>
          <w:tcPr>
            <w:tcW w:w="2093" w:type="dxa"/>
            <w:tcBorders>
              <w:top w:val="single" w:color="auto" w:sz="4" w:space="0"/>
            </w:tcBorders>
            <w:shd w:val="clear" w:color="auto" w:fill="FFFFFF"/>
            <w:noWrap w:val="0"/>
            <w:vAlign w:val="top"/>
          </w:tcPr>
          <w:p w14:paraId="2C9DE29E">
            <w:pPr>
              <w:rPr>
                <w:rFonts w:hint="eastAsia" w:ascii="宋体" w:hAnsi="宋体" w:cs="宋体"/>
                <w:color w:val="auto"/>
                <w:sz w:val="21"/>
                <w:szCs w:val="21"/>
                <w:highlight w:val="none"/>
              </w:rPr>
            </w:pPr>
          </w:p>
        </w:tc>
        <w:tc>
          <w:tcPr>
            <w:tcW w:w="2083" w:type="dxa"/>
            <w:tcBorders>
              <w:top w:val="single" w:color="auto" w:sz="4" w:space="0"/>
              <w:left w:val="single" w:color="auto" w:sz="4" w:space="0"/>
            </w:tcBorders>
            <w:shd w:val="clear" w:color="auto" w:fill="FFFFFF"/>
            <w:noWrap w:val="0"/>
            <w:vAlign w:val="top"/>
          </w:tcPr>
          <w:p w14:paraId="65EACE8A">
            <w:pPr>
              <w:rPr>
                <w:rFonts w:hint="eastAsia" w:ascii="宋体" w:hAnsi="宋体" w:cs="宋体"/>
                <w:color w:val="auto"/>
                <w:sz w:val="21"/>
                <w:szCs w:val="21"/>
                <w:highlight w:val="none"/>
              </w:rPr>
            </w:pPr>
          </w:p>
        </w:tc>
        <w:tc>
          <w:tcPr>
            <w:tcW w:w="2083" w:type="dxa"/>
            <w:tcBorders>
              <w:top w:val="single" w:color="auto" w:sz="4" w:space="0"/>
              <w:left w:val="single" w:color="auto" w:sz="4" w:space="0"/>
            </w:tcBorders>
            <w:shd w:val="clear" w:color="auto" w:fill="FFFFFF"/>
            <w:noWrap w:val="0"/>
            <w:vAlign w:val="top"/>
          </w:tcPr>
          <w:p w14:paraId="6D3551AE">
            <w:pPr>
              <w:rPr>
                <w:rFonts w:hint="eastAsia" w:ascii="宋体" w:hAnsi="宋体" w:cs="宋体"/>
                <w:color w:val="auto"/>
                <w:sz w:val="21"/>
                <w:szCs w:val="21"/>
                <w:highlight w:val="none"/>
              </w:rPr>
            </w:pPr>
          </w:p>
        </w:tc>
        <w:tc>
          <w:tcPr>
            <w:tcW w:w="2093" w:type="dxa"/>
            <w:tcBorders>
              <w:top w:val="single" w:color="auto" w:sz="4" w:space="0"/>
              <w:left w:val="single" w:color="auto" w:sz="4" w:space="0"/>
            </w:tcBorders>
            <w:shd w:val="clear" w:color="auto" w:fill="FFFFFF"/>
            <w:noWrap w:val="0"/>
            <w:vAlign w:val="top"/>
          </w:tcPr>
          <w:p w14:paraId="325999F4">
            <w:pPr>
              <w:rPr>
                <w:rFonts w:hint="eastAsia" w:ascii="宋体" w:hAnsi="宋体" w:cs="宋体"/>
                <w:color w:val="auto"/>
                <w:sz w:val="21"/>
                <w:szCs w:val="21"/>
                <w:highlight w:val="none"/>
              </w:rPr>
            </w:pPr>
          </w:p>
        </w:tc>
      </w:tr>
      <w:tr w14:paraId="4FB94C7C">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 w:type="dxa"/>
            <w:bottom w:w="0" w:type="dxa"/>
            <w:right w:w="10" w:type="dxa"/>
          </w:tblCellMar>
        </w:tblPrEx>
        <w:trPr>
          <w:trHeight w:val="566" w:hRule="exact"/>
          <w:jc w:val="center"/>
        </w:trPr>
        <w:tc>
          <w:tcPr>
            <w:tcW w:w="2093" w:type="dxa"/>
            <w:tcBorders>
              <w:top w:val="single" w:color="auto" w:sz="4" w:space="0"/>
            </w:tcBorders>
            <w:shd w:val="clear" w:color="auto" w:fill="FFFFFF"/>
            <w:noWrap w:val="0"/>
            <w:vAlign w:val="top"/>
          </w:tcPr>
          <w:p w14:paraId="68FEA63C">
            <w:pPr>
              <w:rPr>
                <w:rFonts w:hint="eastAsia" w:ascii="宋体" w:hAnsi="宋体" w:cs="宋体"/>
                <w:color w:val="auto"/>
                <w:sz w:val="21"/>
                <w:szCs w:val="21"/>
                <w:highlight w:val="none"/>
              </w:rPr>
            </w:pPr>
          </w:p>
        </w:tc>
        <w:tc>
          <w:tcPr>
            <w:tcW w:w="2083" w:type="dxa"/>
            <w:tcBorders>
              <w:top w:val="single" w:color="auto" w:sz="4" w:space="0"/>
              <w:left w:val="single" w:color="auto" w:sz="4" w:space="0"/>
            </w:tcBorders>
            <w:shd w:val="clear" w:color="auto" w:fill="FFFFFF"/>
            <w:noWrap w:val="0"/>
            <w:vAlign w:val="top"/>
          </w:tcPr>
          <w:p w14:paraId="15B836CD">
            <w:pPr>
              <w:rPr>
                <w:rFonts w:hint="eastAsia" w:ascii="宋体" w:hAnsi="宋体" w:cs="宋体"/>
                <w:color w:val="auto"/>
                <w:sz w:val="21"/>
                <w:szCs w:val="21"/>
                <w:highlight w:val="none"/>
              </w:rPr>
            </w:pPr>
          </w:p>
        </w:tc>
        <w:tc>
          <w:tcPr>
            <w:tcW w:w="2083" w:type="dxa"/>
            <w:tcBorders>
              <w:top w:val="single" w:color="auto" w:sz="4" w:space="0"/>
              <w:left w:val="single" w:color="auto" w:sz="4" w:space="0"/>
            </w:tcBorders>
            <w:shd w:val="clear" w:color="auto" w:fill="FFFFFF"/>
            <w:noWrap w:val="0"/>
            <w:vAlign w:val="top"/>
          </w:tcPr>
          <w:p w14:paraId="05034085">
            <w:pPr>
              <w:rPr>
                <w:rFonts w:hint="eastAsia" w:ascii="宋体" w:hAnsi="宋体" w:cs="宋体"/>
                <w:color w:val="auto"/>
                <w:sz w:val="21"/>
                <w:szCs w:val="21"/>
                <w:highlight w:val="none"/>
              </w:rPr>
            </w:pPr>
          </w:p>
        </w:tc>
        <w:tc>
          <w:tcPr>
            <w:tcW w:w="2093" w:type="dxa"/>
            <w:tcBorders>
              <w:top w:val="single" w:color="auto" w:sz="4" w:space="0"/>
              <w:left w:val="single" w:color="auto" w:sz="4" w:space="0"/>
            </w:tcBorders>
            <w:shd w:val="clear" w:color="auto" w:fill="FFFFFF"/>
            <w:noWrap w:val="0"/>
            <w:vAlign w:val="top"/>
          </w:tcPr>
          <w:p w14:paraId="057DBDD5">
            <w:pPr>
              <w:rPr>
                <w:rFonts w:hint="eastAsia" w:ascii="宋体" w:hAnsi="宋体" w:cs="宋体"/>
                <w:color w:val="auto"/>
                <w:sz w:val="21"/>
                <w:szCs w:val="21"/>
                <w:highlight w:val="none"/>
              </w:rPr>
            </w:pPr>
          </w:p>
        </w:tc>
      </w:tr>
      <w:tr w14:paraId="377A0D58">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 w:type="dxa"/>
            <w:bottom w:w="0" w:type="dxa"/>
            <w:right w:w="10" w:type="dxa"/>
          </w:tblCellMar>
        </w:tblPrEx>
        <w:trPr>
          <w:trHeight w:val="566" w:hRule="exact"/>
          <w:jc w:val="center"/>
        </w:trPr>
        <w:tc>
          <w:tcPr>
            <w:tcW w:w="2093" w:type="dxa"/>
            <w:tcBorders>
              <w:top w:val="single" w:color="auto" w:sz="4" w:space="0"/>
            </w:tcBorders>
            <w:shd w:val="clear" w:color="auto" w:fill="FFFFFF"/>
            <w:noWrap w:val="0"/>
            <w:vAlign w:val="top"/>
          </w:tcPr>
          <w:p w14:paraId="5A16BEAA">
            <w:pPr>
              <w:rPr>
                <w:rFonts w:hint="eastAsia" w:ascii="宋体" w:hAnsi="宋体" w:cs="宋体"/>
                <w:color w:val="auto"/>
                <w:sz w:val="21"/>
                <w:szCs w:val="21"/>
                <w:highlight w:val="none"/>
              </w:rPr>
            </w:pPr>
          </w:p>
        </w:tc>
        <w:tc>
          <w:tcPr>
            <w:tcW w:w="2083" w:type="dxa"/>
            <w:tcBorders>
              <w:top w:val="single" w:color="auto" w:sz="4" w:space="0"/>
              <w:left w:val="single" w:color="auto" w:sz="4" w:space="0"/>
            </w:tcBorders>
            <w:shd w:val="clear" w:color="auto" w:fill="FFFFFF"/>
            <w:noWrap w:val="0"/>
            <w:vAlign w:val="top"/>
          </w:tcPr>
          <w:p w14:paraId="2113DB64">
            <w:pPr>
              <w:rPr>
                <w:rFonts w:hint="eastAsia" w:ascii="宋体" w:hAnsi="宋体" w:cs="宋体"/>
                <w:color w:val="auto"/>
                <w:sz w:val="21"/>
                <w:szCs w:val="21"/>
                <w:highlight w:val="none"/>
              </w:rPr>
            </w:pPr>
          </w:p>
        </w:tc>
        <w:tc>
          <w:tcPr>
            <w:tcW w:w="2083" w:type="dxa"/>
            <w:tcBorders>
              <w:top w:val="single" w:color="auto" w:sz="4" w:space="0"/>
              <w:left w:val="single" w:color="auto" w:sz="4" w:space="0"/>
            </w:tcBorders>
            <w:shd w:val="clear" w:color="auto" w:fill="FFFFFF"/>
            <w:noWrap w:val="0"/>
            <w:vAlign w:val="top"/>
          </w:tcPr>
          <w:p w14:paraId="011ACD3F">
            <w:pPr>
              <w:rPr>
                <w:rFonts w:hint="eastAsia" w:ascii="宋体" w:hAnsi="宋体" w:cs="宋体"/>
                <w:color w:val="auto"/>
                <w:sz w:val="21"/>
                <w:szCs w:val="21"/>
                <w:highlight w:val="none"/>
              </w:rPr>
            </w:pPr>
          </w:p>
        </w:tc>
        <w:tc>
          <w:tcPr>
            <w:tcW w:w="2093" w:type="dxa"/>
            <w:tcBorders>
              <w:top w:val="single" w:color="auto" w:sz="4" w:space="0"/>
              <w:left w:val="single" w:color="auto" w:sz="4" w:space="0"/>
            </w:tcBorders>
            <w:shd w:val="clear" w:color="auto" w:fill="FFFFFF"/>
            <w:noWrap w:val="0"/>
            <w:vAlign w:val="top"/>
          </w:tcPr>
          <w:p w14:paraId="097BF99D">
            <w:pPr>
              <w:rPr>
                <w:rFonts w:hint="eastAsia" w:ascii="宋体" w:hAnsi="宋体" w:cs="宋体"/>
                <w:color w:val="auto"/>
                <w:sz w:val="21"/>
                <w:szCs w:val="21"/>
                <w:highlight w:val="none"/>
              </w:rPr>
            </w:pPr>
          </w:p>
        </w:tc>
      </w:tr>
      <w:tr w14:paraId="68F6634A">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 w:type="dxa"/>
            <w:bottom w:w="0" w:type="dxa"/>
            <w:right w:w="10" w:type="dxa"/>
          </w:tblCellMar>
        </w:tblPrEx>
        <w:trPr>
          <w:trHeight w:val="566" w:hRule="exact"/>
          <w:jc w:val="center"/>
        </w:trPr>
        <w:tc>
          <w:tcPr>
            <w:tcW w:w="2093" w:type="dxa"/>
            <w:tcBorders>
              <w:top w:val="single" w:color="auto" w:sz="4" w:space="0"/>
            </w:tcBorders>
            <w:shd w:val="clear" w:color="auto" w:fill="FFFFFF"/>
            <w:noWrap w:val="0"/>
            <w:vAlign w:val="top"/>
          </w:tcPr>
          <w:p w14:paraId="57AD26F2">
            <w:pPr>
              <w:rPr>
                <w:rFonts w:hint="eastAsia" w:ascii="宋体" w:hAnsi="宋体" w:cs="宋体"/>
                <w:color w:val="auto"/>
                <w:sz w:val="21"/>
                <w:szCs w:val="21"/>
                <w:highlight w:val="none"/>
              </w:rPr>
            </w:pPr>
          </w:p>
        </w:tc>
        <w:tc>
          <w:tcPr>
            <w:tcW w:w="2083" w:type="dxa"/>
            <w:tcBorders>
              <w:top w:val="single" w:color="auto" w:sz="4" w:space="0"/>
              <w:left w:val="single" w:color="auto" w:sz="4" w:space="0"/>
            </w:tcBorders>
            <w:shd w:val="clear" w:color="auto" w:fill="FFFFFF"/>
            <w:noWrap w:val="0"/>
            <w:vAlign w:val="top"/>
          </w:tcPr>
          <w:p w14:paraId="705CC106">
            <w:pPr>
              <w:rPr>
                <w:rFonts w:hint="eastAsia" w:ascii="宋体" w:hAnsi="宋体" w:cs="宋体"/>
                <w:color w:val="auto"/>
                <w:sz w:val="21"/>
                <w:szCs w:val="21"/>
                <w:highlight w:val="none"/>
              </w:rPr>
            </w:pPr>
          </w:p>
        </w:tc>
        <w:tc>
          <w:tcPr>
            <w:tcW w:w="2083" w:type="dxa"/>
            <w:tcBorders>
              <w:top w:val="single" w:color="auto" w:sz="4" w:space="0"/>
              <w:left w:val="single" w:color="auto" w:sz="4" w:space="0"/>
            </w:tcBorders>
            <w:shd w:val="clear" w:color="auto" w:fill="FFFFFF"/>
            <w:noWrap w:val="0"/>
            <w:vAlign w:val="top"/>
          </w:tcPr>
          <w:p w14:paraId="48286F97">
            <w:pPr>
              <w:rPr>
                <w:rFonts w:hint="eastAsia" w:ascii="宋体" w:hAnsi="宋体" w:cs="宋体"/>
                <w:color w:val="auto"/>
                <w:sz w:val="21"/>
                <w:szCs w:val="21"/>
                <w:highlight w:val="none"/>
              </w:rPr>
            </w:pPr>
          </w:p>
        </w:tc>
        <w:tc>
          <w:tcPr>
            <w:tcW w:w="2093" w:type="dxa"/>
            <w:tcBorders>
              <w:top w:val="single" w:color="auto" w:sz="4" w:space="0"/>
              <w:left w:val="single" w:color="auto" w:sz="4" w:space="0"/>
            </w:tcBorders>
            <w:shd w:val="clear" w:color="auto" w:fill="FFFFFF"/>
            <w:noWrap w:val="0"/>
            <w:vAlign w:val="top"/>
          </w:tcPr>
          <w:p w14:paraId="0F2DC8ED">
            <w:pPr>
              <w:rPr>
                <w:rFonts w:hint="eastAsia" w:ascii="宋体" w:hAnsi="宋体" w:cs="宋体"/>
                <w:color w:val="auto"/>
                <w:sz w:val="21"/>
                <w:szCs w:val="21"/>
                <w:highlight w:val="none"/>
              </w:rPr>
            </w:pPr>
          </w:p>
        </w:tc>
      </w:tr>
      <w:tr w14:paraId="63C41E27">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 w:type="dxa"/>
            <w:bottom w:w="0" w:type="dxa"/>
            <w:right w:w="10" w:type="dxa"/>
          </w:tblCellMar>
        </w:tblPrEx>
        <w:trPr>
          <w:trHeight w:val="566" w:hRule="exact"/>
          <w:jc w:val="center"/>
        </w:trPr>
        <w:tc>
          <w:tcPr>
            <w:tcW w:w="2093" w:type="dxa"/>
            <w:tcBorders>
              <w:top w:val="single" w:color="auto" w:sz="4" w:space="0"/>
            </w:tcBorders>
            <w:shd w:val="clear" w:color="auto" w:fill="FFFFFF"/>
            <w:noWrap w:val="0"/>
            <w:vAlign w:val="top"/>
          </w:tcPr>
          <w:p w14:paraId="593AA842">
            <w:pPr>
              <w:rPr>
                <w:rFonts w:hint="eastAsia" w:ascii="宋体" w:hAnsi="宋体" w:cs="宋体"/>
                <w:color w:val="auto"/>
                <w:sz w:val="21"/>
                <w:szCs w:val="21"/>
                <w:highlight w:val="none"/>
              </w:rPr>
            </w:pPr>
          </w:p>
        </w:tc>
        <w:tc>
          <w:tcPr>
            <w:tcW w:w="2083" w:type="dxa"/>
            <w:tcBorders>
              <w:top w:val="single" w:color="auto" w:sz="4" w:space="0"/>
              <w:left w:val="single" w:color="auto" w:sz="4" w:space="0"/>
            </w:tcBorders>
            <w:shd w:val="clear" w:color="auto" w:fill="FFFFFF"/>
            <w:noWrap w:val="0"/>
            <w:vAlign w:val="top"/>
          </w:tcPr>
          <w:p w14:paraId="1E1B910D">
            <w:pPr>
              <w:rPr>
                <w:rFonts w:hint="eastAsia" w:ascii="宋体" w:hAnsi="宋体" w:cs="宋体"/>
                <w:color w:val="auto"/>
                <w:sz w:val="21"/>
                <w:szCs w:val="21"/>
                <w:highlight w:val="none"/>
              </w:rPr>
            </w:pPr>
          </w:p>
        </w:tc>
        <w:tc>
          <w:tcPr>
            <w:tcW w:w="2083" w:type="dxa"/>
            <w:tcBorders>
              <w:top w:val="single" w:color="auto" w:sz="4" w:space="0"/>
              <w:left w:val="single" w:color="auto" w:sz="4" w:space="0"/>
            </w:tcBorders>
            <w:shd w:val="clear" w:color="auto" w:fill="FFFFFF"/>
            <w:noWrap w:val="0"/>
            <w:vAlign w:val="top"/>
          </w:tcPr>
          <w:p w14:paraId="293DBA7F">
            <w:pPr>
              <w:rPr>
                <w:rFonts w:hint="eastAsia" w:ascii="宋体" w:hAnsi="宋体" w:cs="宋体"/>
                <w:color w:val="auto"/>
                <w:sz w:val="21"/>
                <w:szCs w:val="21"/>
                <w:highlight w:val="none"/>
              </w:rPr>
            </w:pPr>
          </w:p>
        </w:tc>
        <w:tc>
          <w:tcPr>
            <w:tcW w:w="2093" w:type="dxa"/>
            <w:tcBorders>
              <w:top w:val="single" w:color="auto" w:sz="4" w:space="0"/>
              <w:left w:val="single" w:color="auto" w:sz="4" w:space="0"/>
            </w:tcBorders>
            <w:shd w:val="clear" w:color="auto" w:fill="FFFFFF"/>
            <w:noWrap w:val="0"/>
            <w:vAlign w:val="top"/>
          </w:tcPr>
          <w:p w14:paraId="725B41C4">
            <w:pPr>
              <w:rPr>
                <w:rFonts w:hint="eastAsia" w:ascii="宋体" w:hAnsi="宋体" w:cs="宋体"/>
                <w:color w:val="auto"/>
                <w:sz w:val="21"/>
                <w:szCs w:val="21"/>
                <w:highlight w:val="none"/>
              </w:rPr>
            </w:pPr>
          </w:p>
        </w:tc>
      </w:tr>
      <w:tr w14:paraId="66F09797">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 w:type="dxa"/>
            <w:bottom w:w="0" w:type="dxa"/>
            <w:right w:w="10" w:type="dxa"/>
          </w:tblCellMar>
        </w:tblPrEx>
        <w:trPr>
          <w:trHeight w:val="566" w:hRule="exact"/>
          <w:jc w:val="center"/>
        </w:trPr>
        <w:tc>
          <w:tcPr>
            <w:tcW w:w="2093" w:type="dxa"/>
            <w:tcBorders>
              <w:top w:val="single" w:color="auto" w:sz="4" w:space="0"/>
            </w:tcBorders>
            <w:shd w:val="clear" w:color="auto" w:fill="FFFFFF"/>
            <w:noWrap w:val="0"/>
            <w:vAlign w:val="top"/>
          </w:tcPr>
          <w:p w14:paraId="71DD979A">
            <w:pPr>
              <w:rPr>
                <w:rFonts w:hint="eastAsia" w:ascii="宋体" w:hAnsi="宋体" w:cs="宋体"/>
                <w:color w:val="auto"/>
                <w:sz w:val="21"/>
                <w:szCs w:val="21"/>
                <w:highlight w:val="none"/>
              </w:rPr>
            </w:pPr>
          </w:p>
        </w:tc>
        <w:tc>
          <w:tcPr>
            <w:tcW w:w="2083" w:type="dxa"/>
            <w:tcBorders>
              <w:top w:val="single" w:color="auto" w:sz="4" w:space="0"/>
              <w:left w:val="single" w:color="auto" w:sz="4" w:space="0"/>
            </w:tcBorders>
            <w:shd w:val="clear" w:color="auto" w:fill="FFFFFF"/>
            <w:noWrap w:val="0"/>
            <w:vAlign w:val="top"/>
          </w:tcPr>
          <w:p w14:paraId="6149AB0A">
            <w:pPr>
              <w:rPr>
                <w:rFonts w:hint="eastAsia" w:ascii="宋体" w:hAnsi="宋体" w:cs="宋体"/>
                <w:color w:val="auto"/>
                <w:sz w:val="21"/>
                <w:szCs w:val="21"/>
                <w:highlight w:val="none"/>
              </w:rPr>
            </w:pPr>
          </w:p>
        </w:tc>
        <w:tc>
          <w:tcPr>
            <w:tcW w:w="2083" w:type="dxa"/>
            <w:tcBorders>
              <w:top w:val="single" w:color="auto" w:sz="4" w:space="0"/>
              <w:left w:val="single" w:color="auto" w:sz="4" w:space="0"/>
            </w:tcBorders>
            <w:shd w:val="clear" w:color="auto" w:fill="FFFFFF"/>
            <w:noWrap w:val="0"/>
            <w:vAlign w:val="top"/>
          </w:tcPr>
          <w:p w14:paraId="00DCD627">
            <w:pPr>
              <w:rPr>
                <w:rFonts w:hint="eastAsia" w:ascii="宋体" w:hAnsi="宋体" w:cs="宋体"/>
                <w:color w:val="auto"/>
                <w:sz w:val="21"/>
                <w:szCs w:val="21"/>
                <w:highlight w:val="none"/>
              </w:rPr>
            </w:pPr>
          </w:p>
        </w:tc>
        <w:tc>
          <w:tcPr>
            <w:tcW w:w="2093" w:type="dxa"/>
            <w:tcBorders>
              <w:top w:val="single" w:color="auto" w:sz="4" w:space="0"/>
              <w:left w:val="single" w:color="auto" w:sz="4" w:space="0"/>
            </w:tcBorders>
            <w:shd w:val="clear" w:color="auto" w:fill="FFFFFF"/>
            <w:noWrap w:val="0"/>
            <w:vAlign w:val="top"/>
          </w:tcPr>
          <w:p w14:paraId="1057D126">
            <w:pPr>
              <w:rPr>
                <w:rFonts w:hint="eastAsia" w:ascii="宋体" w:hAnsi="宋体" w:cs="宋体"/>
                <w:color w:val="auto"/>
                <w:sz w:val="21"/>
                <w:szCs w:val="21"/>
                <w:highlight w:val="none"/>
              </w:rPr>
            </w:pPr>
          </w:p>
        </w:tc>
      </w:tr>
      <w:tr w14:paraId="2877AB32">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 w:type="dxa"/>
            <w:bottom w:w="0" w:type="dxa"/>
            <w:right w:w="10" w:type="dxa"/>
          </w:tblCellMar>
        </w:tblPrEx>
        <w:trPr>
          <w:trHeight w:val="566" w:hRule="exact"/>
          <w:jc w:val="center"/>
        </w:trPr>
        <w:tc>
          <w:tcPr>
            <w:tcW w:w="2093" w:type="dxa"/>
            <w:tcBorders>
              <w:top w:val="single" w:color="auto" w:sz="4" w:space="0"/>
            </w:tcBorders>
            <w:shd w:val="clear" w:color="auto" w:fill="FFFFFF"/>
            <w:noWrap w:val="0"/>
            <w:vAlign w:val="top"/>
          </w:tcPr>
          <w:p w14:paraId="0C707FA4">
            <w:pPr>
              <w:rPr>
                <w:rFonts w:hint="eastAsia" w:ascii="宋体" w:hAnsi="宋体" w:cs="宋体"/>
                <w:color w:val="auto"/>
                <w:sz w:val="21"/>
                <w:szCs w:val="21"/>
                <w:highlight w:val="none"/>
              </w:rPr>
            </w:pPr>
          </w:p>
        </w:tc>
        <w:tc>
          <w:tcPr>
            <w:tcW w:w="2083" w:type="dxa"/>
            <w:tcBorders>
              <w:top w:val="single" w:color="auto" w:sz="4" w:space="0"/>
              <w:left w:val="single" w:color="auto" w:sz="4" w:space="0"/>
            </w:tcBorders>
            <w:shd w:val="clear" w:color="auto" w:fill="FFFFFF"/>
            <w:noWrap w:val="0"/>
            <w:vAlign w:val="top"/>
          </w:tcPr>
          <w:p w14:paraId="02A57B7A">
            <w:pPr>
              <w:rPr>
                <w:rFonts w:hint="eastAsia" w:ascii="宋体" w:hAnsi="宋体" w:cs="宋体"/>
                <w:color w:val="auto"/>
                <w:sz w:val="21"/>
                <w:szCs w:val="21"/>
                <w:highlight w:val="none"/>
              </w:rPr>
            </w:pPr>
          </w:p>
        </w:tc>
        <w:tc>
          <w:tcPr>
            <w:tcW w:w="2083" w:type="dxa"/>
            <w:tcBorders>
              <w:top w:val="single" w:color="auto" w:sz="4" w:space="0"/>
              <w:left w:val="single" w:color="auto" w:sz="4" w:space="0"/>
            </w:tcBorders>
            <w:shd w:val="clear" w:color="auto" w:fill="FFFFFF"/>
            <w:noWrap w:val="0"/>
            <w:vAlign w:val="top"/>
          </w:tcPr>
          <w:p w14:paraId="4636D547">
            <w:pPr>
              <w:rPr>
                <w:rFonts w:hint="eastAsia" w:ascii="宋体" w:hAnsi="宋体" w:cs="宋体"/>
                <w:color w:val="auto"/>
                <w:sz w:val="21"/>
                <w:szCs w:val="21"/>
                <w:highlight w:val="none"/>
              </w:rPr>
            </w:pPr>
          </w:p>
        </w:tc>
        <w:tc>
          <w:tcPr>
            <w:tcW w:w="2093" w:type="dxa"/>
            <w:tcBorders>
              <w:top w:val="single" w:color="auto" w:sz="4" w:space="0"/>
              <w:left w:val="single" w:color="auto" w:sz="4" w:space="0"/>
            </w:tcBorders>
            <w:shd w:val="clear" w:color="auto" w:fill="FFFFFF"/>
            <w:noWrap w:val="0"/>
            <w:vAlign w:val="top"/>
          </w:tcPr>
          <w:p w14:paraId="3C8BB0CA">
            <w:pPr>
              <w:rPr>
                <w:rFonts w:hint="eastAsia" w:ascii="宋体" w:hAnsi="宋体" w:cs="宋体"/>
                <w:color w:val="auto"/>
                <w:sz w:val="21"/>
                <w:szCs w:val="21"/>
                <w:highlight w:val="none"/>
              </w:rPr>
            </w:pPr>
          </w:p>
        </w:tc>
      </w:tr>
      <w:tr w14:paraId="3C146B17">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 w:type="dxa"/>
            <w:bottom w:w="0" w:type="dxa"/>
            <w:right w:w="10" w:type="dxa"/>
          </w:tblCellMar>
        </w:tblPrEx>
        <w:trPr>
          <w:trHeight w:val="571" w:hRule="exact"/>
          <w:jc w:val="center"/>
        </w:trPr>
        <w:tc>
          <w:tcPr>
            <w:tcW w:w="2093" w:type="dxa"/>
            <w:tcBorders>
              <w:top w:val="single" w:color="auto" w:sz="4" w:space="0"/>
            </w:tcBorders>
            <w:shd w:val="clear" w:color="auto" w:fill="FFFFFF"/>
            <w:noWrap w:val="0"/>
            <w:vAlign w:val="top"/>
          </w:tcPr>
          <w:p w14:paraId="6E91C23C">
            <w:pPr>
              <w:rPr>
                <w:rFonts w:hint="eastAsia" w:ascii="宋体" w:hAnsi="宋体" w:cs="宋体"/>
                <w:color w:val="auto"/>
                <w:sz w:val="21"/>
                <w:szCs w:val="21"/>
                <w:highlight w:val="none"/>
              </w:rPr>
            </w:pPr>
          </w:p>
        </w:tc>
        <w:tc>
          <w:tcPr>
            <w:tcW w:w="2083" w:type="dxa"/>
            <w:tcBorders>
              <w:top w:val="single" w:color="auto" w:sz="4" w:space="0"/>
              <w:left w:val="single" w:color="auto" w:sz="4" w:space="0"/>
            </w:tcBorders>
            <w:shd w:val="clear" w:color="auto" w:fill="FFFFFF"/>
            <w:noWrap w:val="0"/>
            <w:vAlign w:val="top"/>
          </w:tcPr>
          <w:p w14:paraId="421177E0">
            <w:pPr>
              <w:rPr>
                <w:rFonts w:hint="eastAsia" w:ascii="宋体" w:hAnsi="宋体" w:cs="宋体"/>
                <w:color w:val="auto"/>
                <w:sz w:val="21"/>
                <w:szCs w:val="21"/>
                <w:highlight w:val="none"/>
              </w:rPr>
            </w:pPr>
          </w:p>
        </w:tc>
        <w:tc>
          <w:tcPr>
            <w:tcW w:w="2083" w:type="dxa"/>
            <w:tcBorders>
              <w:top w:val="single" w:color="auto" w:sz="4" w:space="0"/>
              <w:left w:val="single" w:color="auto" w:sz="4" w:space="0"/>
            </w:tcBorders>
            <w:shd w:val="clear" w:color="auto" w:fill="FFFFFF"/>
            <w:noWrap w:val="0"/>
            <w:vAlign w:val="top"/>
          </w:tcPr>
          <w:p w14:paraId="674B7830">
            <w:pPr>
              <w:rPr>
                <w:rFonts w:hint="eastAsia" w:ascii="宋体" w:hAnsi="宋体" w:cs="宋体"/>
                <w:color w:val="auto"/>
                <w:sz w:val="21"/>
                <w:szCs w:val="21"/>
                <w:highlight w:val="none"/>
              </w:rPr>
            </w:pPr>
          </w:p>
        </w:tc>
        <w:tc>
          <w:tcPr>
            <w:tcW w:w="2093" w:type="dxa"/>
            <w:tcBorders>
              <w:top w:val="single" w:color="auto" w:sz="4" w:space="0"/>
              <w:left w:val="single" w:color="auto" w:sz="4" w:space="0"/>
            </w:tcBorders>
            <w:shd w:val="clear" w:color="auto" w:fill="FFFFFF"/>
            <w:noWrap w:val="0"/>
            <w:vAlign w:val="top"/>
          </w:tcPr>
          <w:p w14:paraId="00A65F02">
            <w:pPr>
              <w:rPr>
                <w:rFonts w:hint="eastAsia" w:ascii="宋体" w:hAnsi="宋体" w:cs="宋体"/>
                <w:color w:val="auto"/>
                <w:sz w:val="21"/>
                <w:szCs w:val="21"/>
                <w:highlight w:val="none"/>
              </w:rPr>
            </w:pPr>
          </w:p>
        </w:tc>
      </w:tr>
      <w:tr w14:paraId="0EBBD86D">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 w:type="dxa"/>
            <w:bottom w:w="0" w:type="dxa"/>
            <w:right w:w="10" w:type="dxa"/>
          </w:tblCellMar>
        </w:tblPrEx>
        <w:trPr>
          <w:trHeight w:val="566" w:hRule="exact"/>
          <w:jc w:val="center"/>
        </w:trPr>
        <w:tc>
          <w:tcPr>
            <w:tcW w:w="2093" w:type="dxa"/>
            <w:tcBorders>
              <w:top w:val="single" w:color="auto" w:sz="4" w:space="0"/>
            </w:tcBorders>
            <w:shd w:val="clear" w:color="auto" w:fill="FFFFFF"/>
            <w:noWrap w:val="0"/>
            <w:vAlign w:val="top"/>
          </w:tcPr>
          <w:p w14:paraId="424D7D34">
            <w:pPr>
              <w:rPr>
                <w:rFonts w:hint="eastAsia" w:ascii="宋体" w:hAnsi="宋体" w:cs="宋体"/>
                <w:color w:val="auto"/>
                <w:sz w:val="21"/>
                <w:szCs w:val="21"/>
                <w:highlight w:val="none"/>
              </w:rPr>
            </w:pPr>
          </w:p>
        </w:tc>
        <w:tc>
          <w:tcPr>
            <w:tcW w:w="2083" w:type="dxa"/>
            <w:tcBorders>
              <w:top w:val="single" w:color="auto" w:sz="4" w:space="0"/>
              <w:left w:val="single" w:color="auto" w:sz="4" w:space="0"/>
            </w:tcBorders>
            <w:shd w:val="clear" w:color="auto" w:fill="FFFFFF"/>
            <w:noWrap w:val="0"/>
            <w:vAlign w:val="top"/>
          </w:tcPr>
          <w:p w14:paraId="6E33F80C">
            <w:pPr>
              <w:rPr>
                <w:rFonts w:hint="eastAsia" w:ascii="宋体" w:hAnsi="宋体" w:cs="宋体"/>
                <w:color w:val="auto"/>
                <w:sz w:val="21"/>
                <w:szCs w:val="21"/>
                <w:highlight w:val="none"/>
              </w:rPr>
            </w:pPr>
          </w:p>
        </w:tc>
        <w:tc>
          <w:tcPr>
            <w:tcW w:w="2083" w:type="dxa"/>
            <w:tcBorders>
              <w:top w:val="single" w:color="auto" w:sz="4" w:space="0"/>
              <w:left w:val="single" w:color="auto" w:sz="4" w:space="0"/>
            </w:tcBorders>
            <w:shd w:val="clear" w:color="auto" w:fill="FFFFFF"/>
            <w:noWrap w:val="0"/>
            <w:vAlign w:val="top"/>
          </w:tcPr>
          <w:p w14:paraId="035A2D53">
            <w:pPr>
              <w:rPr>
                <w:rFonts w:hint="eastAsia" w:ascii="宋体" w:hAnsi="宋体" w:cs="宋体"/>
                <w:color w:val="auto"/>
                <w:sz w:val="21"/>
                <w:szCs w:val="21"/>
                <w:highlight w:val="none"/>
              </w:rPr>
            </w:pPr>
          </w:p>
        </w:tc>
        <w:tc>
          <w:tcPr>
            <w:tcW w:w="2093" w:type="dxa"/>
            <w:tcBorders>
              <w:top w:val="single" w:color="auto" w:sz="4" w:space="0"/>
              <w:left w:val="single" w:color="auto" w:sz="4" w:space="0"/>
            </w:tcBorders>
            <w:shd w:val="clear" w:color="auto" w:fill="FFFFFF"/>
            <w:noWrap w:val="0"/>
            <w:vAlign w:val="top"/>
          </w:tcPr>
          <w:p w14:paraId="4DC48067">
            <w:pPr>
              <w:rPr>
                <w:rFonts w:hint="eastAsia" w:ascii="宋体" w:hAnsi="宋体" w:cs="宋体"/>
                <w:color w:val="auto"/>
                <w:sz w:val="21"/>
                <w:szCs w:val="21"/>
                <w:highlight w:val="none"/>
              </w:rPr>
            </w:pPr>
          </w:p>
        </w:tc>
      </w:tr>
    </w:tbl>
    <w:p w14:paraId="2CE7153F">
      <w:pPr>
        <w:autoSpaceDE w:val="0"/>
        <w:autoSpaceDN w:val="0"/>
        <w:spacing w:line="360" w:lineRule="auto"/>
        <w:ind w:left="4335" w:leftChars="1950" w:hanging="240" w:hangingChars="100"/>
        <w:rPr>
          <w:rFonts w:hint="eastAsia" w:ascii="宋体" w:hAnsi="宋体" w:cs="宋体"/>
          <w:color w:val="auto"/>
          <w:kern w:val="0"/>
          <w:sz w:val="24"/>
          <w:highlight w:val="none"/>
        </w:rPr>
      </w:pPr>
    </w:p>
    <w:p w14:paraId="1D94E965">
      <w:pPr>
        <w:autoSpaceDE w:val="0"/>
        <w:autoSpaceDN w:val="0"/>
        <w:spacing w:line="360" w:lineRule="auto"/>
        <w:ind w:left="4335" w:leftChars="1950" w:hanging="240" w:hangingChars="100"/>
        <w:rPr>
          <w:rFonts w:hint="eastAsia" w:ascii="宋体" w:hAnsi="宋体" w:cs="宋体"/>
          <w:color w:val="auto"/>
          <w:kern w:val="0"/>
          <w:sz w:val="24"/>
          <w:highlight w:val="none"/>
        </w:rPr>
      </w:pPr>
    </w:p>
    <w:p w14:paraId="7E8F5E41">
      <w:pPr>
        <w:autoSpaceDE w:val="0"/>
        <w:autoSpaceDN w:val="0"/>
        <w:spacing w:line="360" w:lineRule="auto"/>
        <w:ind w:left="4335" w:leftChars="1950" w:hanging="240" w:hangingChars="100"/>
        <w:rPr>
          <w:rFonts w:hint="eastAsia"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0FF9DDEF">
      <w:pPr>
        <w:autoSpaceDE w:val="0"/>
        <w:autoSpaceDN w:val="0"/>
        <w:spacing w:line="360" w:lineRule="auto"/>
        <w:ind w:firstLine="6300" w:firstLineChars="2625"/>
        <w:rPr>
          <w:rFonts w:hint="eastAsia" w:ascii="宋体" w:hAnsi="宋体" w:cs="宋体"/>
          <w:b/>
          <w:bCs/>
          <w:color w:val="auto"/>
          <w:sz w:val="24"/>
          <w:highlight w:val="none"/>
        </w:rPr>
      </w:pPr>
      <w:r>
        <w:rPr>
          <w:rFonts w:hint="eastAsia" w:ascii="宋体" w:hAnsi="宋体" w:cs="宋体"/>
          <w:color w:val="auto"/>
          <w:kern w:val="0"/>
          <w:sz w:val="24"/>
          <w:highlight w:val="none"/>
          <w:lang w:val="zh-CN"/>
        </w:rPr>
        <w:t>日期：  年  月  日</w:t>
      </w:r>
    </w:p>
    <w:p w14:paraId="08954C6A">
      <w:pPr>
        <w:autoSpaceDE w:val="0"/>
        <w:autoSpaceDN w:val="0"/>
        <w:spacing w:line="360" w:lineRule="auto"/>
        <w:ind w:firstLine="6480" w:firstLineChars="2700"/>
        <w:rPr>
          <w:rFonts w:hint="eastAsia" w:ascii="宋体" w:hAnsi="宋体" w:cs="宋体"/>
          <w:color w:val="auto"/>
          <w:kern w:val="0"/>
          <w:sz w:val="24"/>
          <w:highlight w:val="none"/>
          <w:lang w:val="zh-CN"/>
        </w:rPr>
      </w:pPr>
    </w:p>
    <w:p w14:paraId="5ABF7BEC">
      <w:pPr>
        <w:snapToGrid w:val="0"/>
        <w:spacing w:line="360" w:lineRule="auto"/>
        <w:rPr>
          <w:rFonts w:hint="eastAsia" w:ascii="宋体" w:hAnsi="宋体" w:cs="宋体"/>
          <w:b/>
          <w:color w:val="auto"/>
          <w:sz w:val="30"/>
          <w:szCs w:val="30"/>
          <w:highlight w:val="none"/>
        </w:rPr>
      </w:pPr>
      <w:r>
        <w:rPr>
          <w:rFonts w:hint="eastAsia" w:ascii="宋体" w:hAnsi="宋体" w:cs="宋体"/>
          <w:b/>
          <w:color w:val="auto"/>
          <w:sz w:val="30"/>
          <w:szCs w:val="30"/>
          <w:highlight w:val="none"/>
        </w:rPr>
        <w:br w:type="page"/>
      </w:r>
      <w:r>
        <w:rPr>
          <w:rFonts w:hint="eastAsia" w:ascii="宋体" w:hAnsi="宋体" w:cs="宋体"/>
          <w:b/>
          <w:color w:val="auto"/>
          <w:sz w:val="30"/>
          <w:szCs w:val="30"/>
          <w:highlight w:val="none"/>
        </w:rPr>
        <w:t>九、项目管理机构</w:t>
      </w:r>
    </w:p>
    <w:p w14:paraId="54929AEC">
      <w:pPr>
        <w:spacing w:line="360" w:lineRule="auto"/>
        <w:ind w:firstLine="602" w:firstLineChars="200"/>
        <w:jc w:val="center"/>
        <w:rPr>
          <w:rFonts w:hint="eastAsia" w:ascii="宋体" w:hAnsi="宋体" w:cs="宋体"/>
          <w:b/>
          <w:bCs/>
          <w:color w:val="auto"/>
          <w:sz w:val="30"/>
          <w:szCs w:val="30"/>
          <w:highlight w:val="none"/>
        </w:rPr>
      </w:pPr>
      <w:bookmarkStart w:id="161" w:name="_Toc389065364"/>
      <w:bookmarkStart w:id="162" w:name="_Toc251052200"/>
      <w:bookmarkStart w:id="163" w:name="_Toc173579006"/>
      <w:bookmarkStart w:id="164" w:name="_Toc153274948"/>
      <w:bookmarkStart w:id="165" w:name="_Toc172364026"/>
      <w:r>
        <w:rPr>
          <w:rFonts w:hint="eastAsia" w:ascii="宋体" w:hAnsi="宋体" w:cs="宋体"/>
          <w:b/>
          <w:bCs/>
          <w:color w:val="auto"/>
          <w:sz w:val="30"/>
          <w:szCs w:val="30"/>
          <w:highlight w:val="none"/>
          <w:lang w:val="en-US" w:eastAsia="zh-CN"/>
        </w:rPr>
        <w:t>1</w:t>
      </w:r>
      <w:r>
        <w:rPr>
          <w:rFonts w:hint="eastAsia" w:ascii="宋体" w:hAnsi="宋体" w:cs="宋体"/>
          <w:b/>
          <w:bCs/>
          <w:color w:val="auto"/>
          <w:sz w:val="30"/>
          <w:szCs w:val="30"/>
          <w:highlight w:val="none"/>
        </w:rPr>
        <w:t>.项目经理（注册建造师）简历表</w:t>
      </w:r>
      <w:bookmarkEnd w:id="161"/>
      <w:bookmarkEnd w:id="162"/>
      <w:bookmarkEnd w:id="163"/>
      <w:bookmarkEnd w:id="164"/>
      <w:bookmarkEnd w:id="165"/>
    </w:p>
    <w:tbl>
      <w:tblPr>
        <w:tblStyle w:val="23"/>
        <w:tblpPr w:leftFromText="180" w:rightFromText="180" w:vertAnchor="text" w:horzAnchor="page" w:tblpX="1563" w:tblpY="43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7"/>
        <w:gridCol w:w="464"/>
        <w:gridCol w:w="1548"/>
        <w:gridCol w:w="328"/>
        <w:gridCol w:w="1219"/>
        <w:gridCol w:w="674"/>
        <w:gridCol w:w="874"/>
        <w:gridCol w:w="711"/>
        <w:gridCol w:w="836"/>
        <w:gridCol w:w="272"/>
        <w:gridCol w:w="1276"/>
      </w:tblGrid>
      <w:tr w14:paraId="00706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37" w:type="dxa"/>
            <w:noWrap w:val="0"/>
            <w:vAlign w:val="center"/>
          </w:tcPr>
          <w:p w14:paraId="10914339">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姓名</w:t>
            </w:r>
          </w:p>
        </w:tc>
        <w:tc>
          <w:tcPr>
            <w:tcW w:w="2340" w:type="dxa"/>
            <w:gridSpan w:val="3"/>
            <w:noWrap w:val="0"/>
            <w:vAlign w:val="center"/>
          </w:tcPr>
          <w:p w14:paraId="2330AB7E">
            <w:pPr>
              <w:spacing w:line="360" w:lineRule="auto"/>
              <w:jc w:val="center"/>
              <w:rPr>
                <w:rFonts w:hint="eastAsia" w:ascii="宋体" w:hAnsi="宋体" w:cs="宋体"/>
                <w:color w:val="auto"/>
                <w:sz w:val="24"/>
                <w:highlight w:val="none"/>
              </w:rPr>
            </w:pPr>
          </w:p>
        </w:tc>
        <w:tc>
          <w:tcPr>
            <w:tcW w:w="1893" w:type="dxa"/>
            <w:gridSpan w:val="2"/>
            <w:noWrap w:val="0"/>
            <w:vAlign w:val="center"/>
          </w:tcPr>
          <w:p w14:paraId="143E77EE">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性别</w:t>
            </w:r>
          </w:p>
        </w:tc>
        <w:tc>
          <w:tcPr>
            <w:tcW w:w="1585" w:type="dxa"/>
            <w:gridSpan w:val="2"/>
            <w:noWrap w:val="0"/>
            <w:vAlign w:val="center"/>
          </w:tcPr>
          <w:p w14:paraId="60F4FC8E">
            <w:pPr>
              <w:spacing w:line="360" w:lineRule="auto"/>
              <w:jc w:val="center"/>
              <w:rPr>
                <w:rFonts w:hint="eastAsia" w:ascii="宋体" w:hAnsi="宋体" w:cs="宋体"/>
                <w:color w:val="auto"/>
                <w:sz w:val="24"/>
                <w:highlight w:val="none"/>
              </w:rPr>
            </w:pPr>
          </w:p>
        </w:tc>
        <w:tc>
          <w:tcPr>
            <w:tcW w:w="1108" w:type="dxa"/>
            <w:gridSpan w:val="2"/>
            <w:noWrap w:val="0"/>
            <w:vAlign w:val="center"/>
          </w:tcPr>
          <w:p w14:paraId="1587FE64">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年龄</w:t>
            </w:r>
          </w:p>
        </w:tc>
        <w:tc>
          <w:tcPr>
            <w:tcW w:w="1276" w:type="dxa"/>
            <w:noWrap w:val="0"/>
            <w:vAlign w:val="center"/>
          </w:tcPr>
          <w:p w14:paraId="77DCC0D4">
            <w:pPr>
              <w:spacing w:line="360" w:lineRule="auto"/>
              <w:jc w:val="center"/>
              <w:rPr>
                <w:rFonts w:hint="eastAsia" w:ascii="宋体" w:hAnsi="宋体" w:cs="宋体"/>
                <w:color w:val="auto"/>
                <w:sz w:val="24"/>
                <w:highlight w:val="none"/>
              </w:rPr>
            </w:pPr>
          </w:p>
        </w:tc>
      </w:tr>
      <w:tr w14:paraId="34DD3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937" w:type="dxa"/>
            <w:noWrap w:val="0"/>
            <w:vAlign w:val="center"/>
          </w:tcPr>
          <w:p w14:paraId="772768D0">
            <w:pPr>
              <w:jc w:val="center"/>
              <w:rPr>
                <w:rFonts w:hint="eastAsia" w:ascii="宋体" w:hAnsi="宋体" w:cs="宋体"/>
                <w:color w:val="auto"/>
                <w:sz w:val="24"/>
                <w:highlight w:val="none"/>
              </w:rPr>
            </w:pPr>
            <w:r>
              <w:rPr>
                <w:rFonts w:hint="eastAsia" w:ascii="宋体" w:hAnsi="宋体" w:cs="宋体"/>
                <w:color w:val="auto"/>
                <w:sz w:val="24"/>
                <w:highlight w:val="none"/>
              </w:rPr>
              <w:t>职务</w:t>
            </w:r>
          </w:p>
        </w:tc>
        <w:tc>
          <w:tcPr>
            <w:tcW w:w="2340" w:type="dxa"/>
            <w:gridSpan w:val="3"/>
            <w:noWrap w:val="0"/>
            <w:vAlign w:val="center"/>
          </w:tcPr>
          <w:p w14:paraId="4E3BB70D">
            <w:pPr>
              <w:jc w:val="center"/>
              <w:rPr>
                <w:rFonts w:hint="eastAsia" w:ascii="宋体" w:hAnsi="宋体" w:cs="宋体"/>
                <w:color w:val="auto"/>
                <w:sz w:val="24"/>
                <w:highlight w:val="none"/>
              </w:rPr>
            </w:pPr>
          </w:p>
        </w:tc>
        <w:tc>
          <w:tcPr>
            <w:tcW w:w="1893" w:type="dxa"/>
            <w:gridSpan w:val="2"/>
            <w:noWrap w:val="0"/>
            <w:vAlign w:val="center"/>
          </w:tcPr>
          <w:p w14:paraId="4703ECB7">
            <w:pPr>
              <w:jc w:val="center"/>
              <w:rPr>
                <w:rFonts w:hint="eastAsia" w:ascii="宋体" w:hAnsi="宋体" w:cs="宋体"/>
                <w:color w:val="auto"/>
                <w:sz w:val="24"/>
                <w:highlight w:val="none"/>
              </w:rPr>
            </w:pPr>
            <w:r>
              <w:rPr>
                <w:rFonts w:hint="eastAsia" w:ascii="宋体" w:hAnsi="宋体" w:cs="宋体"/>
                <w:color w:val="auto"/>
                <w:sz w:val="24"/>
                <w:highlight w:val="none"/>
              </w:rPr>
              <w:t>职称</w:t>
            </w:r>
          </w:p>
        </w:tc>
        <w:tc>
          <w:tcPr>
            <w:tcW w:w="1585" w:type="dxa"/>
            <w:gridSpan w:val="2"/>
            <w:noWrap w:val="0"/>
            <w:vAlign w:val="center"/>
          </w:tcPr>
          <w:p w14:paraId="22CD3E08">
            <w:pPr>
              <w:jc w:val="center"/>
              <w:rPr>
                <w:rFonts w:hint="eastAsia" w:ascii="宋体" w:hAnsi="宋体" w:cs="宋体"/>
                <w:color w:val="auto"/>
                <w:sz w:val="24"/>
                <w:highlight w:val="none"/>
              </w:rPr>
            </w:pPr>
          </w:p>
        </w:tc>
        <w:tc>
          <w:tcPr>
            <w:tcW w:w="1108" w:type="dxa"/>
            <w:gridSpan w:val="2"/>
            <w:noWrap w:val="0"/>
            <w:vAlign w:val="center"/>
          </w:tcPr>
          <w:p w14:paraId="6D53C194">
            <w:pPr>
              <w:jc w:val="center"/>
              <w:rPr>
                <w:rFonts w:hint="eastAsia" w:ascii="宋体" w:hAnsi="宋体" w:cs="宋体"/>
                <w:color w:val="auto"/>
                <w:sz w:val="24"/>
                <w:highlight w:val="none"/>
              </w:rPr>
            </w:pPr>
            <w:r>
              <w:rPr>
                <w:rFonts w:hint="eastAsia" w:ascii="宋体" w:hAnsi="宋体" w:cs="宋体"/>
                <w:color w:val="auto"/>
                <w:sz w:val="24"/>
                <w:highlight w:val="none"/>
              </w:rPr>
              <w:t>学历</w:t>
            </w:r>
          </w:p>
        </w:tc>
        <w:tc>
          <w:tcPr>
            <w:tcW w:w="1276" w:type="dxa"/>
            <w:noWrap w:val="0"/>
            <w:vAlign w:val="center"/>
          </w:tcPr>
          <w:p w14:paraId="18D92BF6">
            <w:pPr>
              <w:jc w:val="center"/>
              <w:rPr>
                <w:rFonts w:hint="eastAsia" w:ascii="宋体" w:hAnsi="宋体" w:cs="宋体"/>
                <w:color w:val="auto"/>
                <w:sz w:val="24"/>
                <w:highlight w:val="none"/>
              </w:rPr>
            </w:pPr>
          </w:p>
        </w:tc>
      </w:tr>
      <w:tr w14:paraId="65804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277" w:type="dxa"/>
            <w:gridSpan w:val="4"/>
            <w:noWrap w:val="0"/>
            <w:vAlign w:val="center"/>
          </w:tcPr>
          <w:p w14:paraId="01C025D1">
            <w:pPr>
              <w:jc w:val="center"/>
              <w:rPr>
                <w:rFonts w:hint="eastAsia" w:ascii="宋体" w:hAnsi="宋体" w:cs="宋体"/>
                <w:color w:val="auto"/>
                <w:sz w:val="24"/>
                <w:highlight w:val="none"/>
              </w:rPr>
            </w:pPr>
            <w:r>
              <w:rPr>
                <w:rFonts w:hint="eastAsia" w:ascii="宋体" w:hAnsi="宋体" w:cs="宋体"/>
                <w:color w:val="auto"/>
                <w:sz w:val="24"/>
                <w:highlight w:val="none"/>
              </w:rPr>
              <w:t>参加工作时间</w:t>
            </w:r>
          </w:p>
        </w:tc>
        <w:tc>
          <w:tcPr>
            <w:tcW w:w="1893" w:type="dxa"/>
            <w:gridSpan w:val="2"/>
            <w:noWrap w:val="0"/>
            <w:vAlign w:val="center"/>
          </w:tcPr>
          <w:p w14:paraId="2F13BEE4">
            <w:pPr>
              <w:jc w:val="center"/>
              <w:rPr>
                <w:rFonts w:hint="eastAsia" w:ascii="宋体" w:hAnsi="宋体" w:cs="宋体"/>
                <w:color w:val="auto"/>
                <w:sz w:val="24"/>
                <w:highlight w:val="none"/>
              </w:rPr>
            </w:pPr>
          </w:p>
        </w:tc>
        <w:tc>
          <w:tcPr>
            <w:tcW w:w="2693" w:type="dxa"/>
            <w:gridSpan w:val="4"/>
            <w:noWrap w:val="0"/>
            <w:vAlign w:val="center"/>
          </w:tcPr>
          <w:p w14:paraId="0E2BA2B6">
            <w:pPr>
              <w:jc w:val="center"/>
              <w:rPr>
                <w:rFonts w:hint="eastAsia" w:ascii="宋体" w:hAnsi="宋体" w:cs="宋体"/>
                <w:color w:val="auto"/>
                <w:sz w:val="24"/>
                <w:highlight w:val="none"/>
              </w:rPr>
            </w:pPr>
            <w:r>
              <w:rPr>
                <w:rFonts w:hint="eastAsia" w:ascii="宋体" w:hAnsi="宋体" w:cs="宋体"/>
                <w:color w:val="auto"/>
                <w:sz w:val="24"/>
                <w:highlight w:val="none"/>
              </w:rPr>
              <w:t>担任项目经理年限</w:t>
            </w:r>
          </w:p>
        </w:tc>
        <w:tc>
          <w:tcPr>
            <w:tcW w:w="1276" w:type="dxa"/>
            <w:noWrap w:val="0"/>
            <w:vAlign w:val="center"/>
          </w:tcPr>
          <w:p w14:paraId="6D53E860">
            <w:pPr>
              <w:jc w:val="center"/>
              <w:rPr>
                <w:rFonts w:hint="eastAsia" w:ascii="宋体" w:hAnsi="宋体" w:cs="宋体"/>
                <w:color w:val="auto"/>
                <w:sz w:val="24"/>
                <w:highlight w:val="none"/>
              </w:rPr>
            </w:pPr>
          </w:p>
        </w:tc>
      </w:tr>
      <w:tr w14:paraId="1BE07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atLeast"/>
        </w:trPr>
        <w:tc>
          <w:tcPr>
            <w:tcW w:w="3277" w:type="dxa"/>
            <w:gridSpan w:val="4"/>
            <w:noWrap w:val="0"/>
            <w:vAlign w:val="center"/>
          </w:tcPr>
          <w:p w14:paraId="1D243AE2">
            <w:pPr>
              <w:jc w:val="center"/>
              <w:rPr>
                <w:rFonts w:hint="eastAsia" w:ascii="宋体" w:hAnsi="宋体" w:cs="宋体"/>
                <w:color w:val="auto"/>
                <w:sz w:val="24"/>
                <w:highlight w:val="none"/>
              </w:rPr>
            </w:pPr>
            <w:r>
              <w:rPr>
                <w:rFonts w:hint="eastAsia" w:ascii="宋体" w:hAnsi="宋体" w:cs="宋体"/>
                <w:color w:val="auto"/>
                <w:sz w:val="24"/>
                <w:highlight w:val="none"/>
              </w:rPr>
              <w:t>建造师注册编号</w:t>
            </w:r>
          </w:p>
        </w:tc>
        <w:tc>
          <w:tcPr>
            <w:tcW w:w="5862" w:type="dxa"/>
            <w:gridSpan w:val="7"/>
            <w:noWrap w:val="0"/>
            <w:vAlign w:val="center"/>
          </w:tcPr>
          <w:p w14:paraId="7E84188C">
            <w:pPr>
              <w:jc w:val="center"/>
              <w:rPr>
                <w:rFonts w:hint="eastAsia" w:ascii="宋体" w:hAnsi="宋体" w:cs="宋体"/>
                <w:color w:val="auto"/>
                <w:sz w:val="24"/>
                <w:highlight w:val="none"/>
              </w:rPr>
            </w:pPr>
          </w:p>
        </w:tc>
      </w:tr>
      <w:tr w14:paraId="11382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9139" w:type="dxa"/>
            <w:gridSpan w:val="11"/>
            <w:noWrap w:val="0"/>
            <w:vAlign w:val="center"/>
          </w:tcPr>
          <w:p w14:paraId="614C1603">
            <w:pPr>
              <w:jc w:val="center"/>
              <w:rPr>
                <w:rFonts w:hint="eastAsia" w:ascii="宋体" w:hAnsi="宋体" w:cs="宋体"/>
                <w:color w:val="auto"/>
                <w:sz w:val="24"/>
                <w:highlight w:val="none"/>
              </w:rPr>
            </w:pPr>
            <w:r>
              <w:rPr>
                <w:rFonts w:hint="eastAsia" w:ascii="宋体" w:hAnsi="宋体" w:cs="宋体"/>
                <w:color w:val="auto"/>
                <w:sz w:val="24"/>
                <w:highlight w:val="none"/>
              </w:rPr>
              <w:t>在建和已完工程项目情况</w:t>
            </w:r>
          </w:p>
        </w:tc>
      </w:tr>
      <w:tr w14:paraId="7D4B3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01" w:type="dxa"/>
            <w:gridSpan w:val="2"/>
            <w:noWrap w:val="0"/>
            <w:vAlign w:val="center"/>
          </w:tcPr>
          <w:p w14:paraId="4375BBC4">
            <w:pPr>
              <w:jc w:val="center"/>
              <w:rPr>
                <w:rFonts w:hint="eastAsia" w:ascii="宋体" w:hAnsi="宋体" w:cs="宋体"/>
                <w:color w:val="auto"/>
                <w:sz w:val="24"/>
                <w:highlight w:val="none"/>
              </w:rPr>
            </w:pPr>
            <w:r>
              <w:rPr>
                <w:rFonts w:hint="eastAsia" w:ascii="宋体" w:hAnsi="宋体" w:cs="宋体"/>
                <w:color w:val="auto"/>
                <w:sz w:val="24"/>
                <w:highlight w:val="none"/>
              </w:rPr>
              <w:t>建设单位</w:t>
            </w:r>
          </w:p>
        </w:tc>
        <w:tc>
          <w:tcPr>
            <w:tcW w:w="1548" w:type="dxa"/>
            <w:noWrap w:val="0"/>
            <w:vAlign w:val="center"/>
          </w:tcPr>
          <w:p w14:paraId="3A4A95B7">
            <w:pPr>
              <w:jc w:val="center"/>
              <w:rPr>
                <w:rFonts w:hint="eastAsia" w:ascii="宋体" w:hAnsi="宋体" w:cs="宋体"/>
                <w:color w:val="auto"/>
                <w:sz w:val="24"/>
                <w:highlight w:val="none"/>
              </w:rPr>
            </w:pPr>
            <w:r>
              <w:rPr>
                <w:rFonts w:hint="eastAsia" w:ascii="宋体" w:hAnsi="宋体" w:cs="宋体"/>
                <w:color w:val="auto"/>
                <w:sz w:val="24"/>
                <w:highlight w:val="none"/>
              </w:rPr>
              <w:t>项目名称</w:t>
            </w:r>
          </w:p>
        </w:tc>
        <w:tc>
          <w:tcPr>
            <w:tcW w:w="1547" w:type="dxa"/>
            <w:gridSpan w:val="2"/>
            <w:noWrap w:val="0"/>
            <w:vAlign w:val="center"/>
          </w:tcPr>
          <w:p w14:paraId="17D436F5">
            <w:pPr>
              <w:jc w:val="center"/>
              <w:rPr>
                <w:rFonts w:hint="eastAsia" w:ascii="宋体" w:hAnsi="宋体" w:cs="宋体"/>
                <w:color w:val="auto"/>
                <w:sz w:val="24"/>
                <w:highlight w:val="none"/>
              </w:rPr>
            </w:pPr>
            <w:r>
              <w:rPr>
                <w:rFonts w:hint="eastAsia" w:ascii="宋体" w:hAnsi="宋体" w:cs="宋体"/>
                <w:color w:val="auto"/>
                <w:sz w:val="24"/>
                <w:highlight w:val="none"/>
              </w:rPr>
              <w:t>建设规模</w:t>
            </w:r>
          </w:p>
        </w:tc>
        <w:tc>
          <w:tcPr>
            <w:tcW w:w="1548" w:type="dxa"/>
            <w:gridSpan w:val="2"/>
            <w:noWrap w:val="0"/>
            <w:vAlign w:val="center"/>
          </w:tcPr>
          <w:p w14:paraId="6A58EF8A">
            <w:pPr>
              <w:jc w:val="center"/>
              <w:rPr>
                <w:rFonts w:hint="eastAsia" w:ascii="宋体" w:hAnsi="宋体" w:cs="宋体"/>
                <w:color w:val="auto"/>
                <w:sz w:val="24"/>
                <w:highlight w:val="none"/>
              </w:rPr>
            </w:pPr>
            <w:r>
              <w:rPr>
                <w:rFonts w:hint="eastAsia" w:ascii="宋体" w:hAnsi="宋体" w:cs="宋体"/>
                <w:color w:val="auto"/>
                <w:sz w:val="24"/>
                <w:highlight w:val="none"/>
              </w:rPr>
              <w:t>开、竣工日期</w:t>
            </w:r>
          </w:p>
        </w:tc>
        <w:tc>
          <w:tcPr>
            <w:tcW w:w="1547" w:type="dxa"/>
            <w:gridSpan w:val="2"/>
            <w:noWrap w:val="0"/>
            <w:vAlign w:val="center"/>
          </w:tcPr>
          <w:p w14:paraId="0371AC39">
            <w:pPr>
              <w:jc w:val="center"/>
              <w:rPr>
                <w:rFonts w:hint="eastAsia" w:ascii="宋体" w:hAnsi="宋体" w:cs="宋体"/>
                <w:color w:val="auto"/>
                <w:sz w:val="24"/>
                <w:highlight w:val="none"/>
              </w:rPr>
            </w:pPr>
            <w:r>
              <w:rPr>
                <w:rFonts w:hint="eastAsia" w:ascii="宋体" w:hAnsi="宋体" w:cs="宋体"/>
                <w:color w:val="auto"/>
                <w:sz w:val="24"/>
                <w:highlight w:val="none"/>
              </w:rPr>
              <w:t>在建或已完</w:t>
            </w:r>
          </w:p>
        </w:tc>
        <w:tc>
          <w:tcPr>
            <w:tcW w:w="1548" w:type="dxa"/>
            <w:gridSpan w:val="2"/>
            <w:noWrap w:val="0"/>
            <w:vAlign w:val="center"/>
          </w:tcPr>
          <w:p w14:paraId="279C21E7">
            <w:pPr>
              <w:jc w:val="center"/>
              <w:rPr>
                <w:rFonts w:hint="eastAsia" w:ascii="宋体" w:hAnsi="宋体" w:cs="宋体"/>
                <w:color w:val="auto"/>
                <w:sz w:val="24"/>
                <w:highlight w:val="none"/>
              </w:rPr>
            </w:pPr>
            <w:r>
              <w:rPr>
                <w:rFonts w:hint="eastAsia" w:ascii="宋体" w:hAnsi="宋体" w:cs="宋体"/>
                <w:color w:val="auto"/>
                <w:sz w:val="24"/>
                <w:highlight w:val="none"/>
              </w:rPr>
              <w:t>工程质量</w:t>
            </w:r>
          </w:p>
        </w:tc>
      </w:tr>
      <w:tr w14:paraId="17C5C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1401" w:type="dxa"/>
            <w:gridSpan w:val="2"/>
            <w:noWrap w:val="0"/>
            <w:vAlign w:val="center"/>
          </w:tcPr>
          <w:p w14:paraId="79D42310">
            <w:pPr>
              <w:jc w:val="center"/>
              <w:rPr>
                <w:rFonts w:hint="eastAsia" w:ascii="宋体" w:hAnsi="宋体" w:cs="宋体"/>
                <w:color w:val="auto"/>
                <w:sz w:val="24"/>
                <w:highlight w:val="none"/>
              </w:rPr>
            </w:pPr>
          </w:p>
        </w:tc>
        <w:tc>
          <w:tcPr>
            <w:tcW w:w="1548" w:type="dxa"/>
            <w:noWrap w:val="0"/>
            <w:vAlign w:val="center"/>
          </w:tcPr>
          <w:p w14:paraId="77F641C1">
            <w:pPr>
              <w:jc w:val="center"/>
              <w:rPr>
                <w:rFonts w:hint="eastAsia" w:ascii="宋体" w:hAnsi="宋体" w:cs="宋体"/>
                <w:color w:val="auto"/>
                <w:sz w:val="24"/>
                <w:highlight w:val="none"/>
              </w:rPr>
            </w:pPr>
          </w:p>
        </w:tc>
        <w:tc>
          <w:tcPr>
            <w:tcW w:w="1547" w:type="dxa"/>
            <w:gridSpan w:val="2"/>
            <w:noWrap w:val="0"/>
            <w:vAlign w:val="center"/>
          </w:tcPr>
          <w:p w14:paraId="67F14E80">
            <w:pPr>
              <w:jc w:val="center"/>
              <w:rPr>
                <w:rFonts w:hint="eastAsia" w:ascii="宋体" w:hAnsi="宋体" w:cs="宋体"/>
                <w:color w:val="auto"/>
                <w:sz w:val="24"/>
                <w:highlight w:val="none"/>
              </w:rPr>
            </w:pPr>
          </w:p>
        </w:tc>
        <w:tc>
          <w:tcPr>
            <w:tcW w:w="1548" w:type="dxa"/>
            <w:gridSpan w:val="2"/>
            <w:noWrap w:val="0"/>
            <w:vAlign w:val="center"/>
          </w:tcPr>
          <w:p w14:paraId="3D608B54">
            <w:pPr>
              <w:jc w:val="center"/>
              <w:rPr>
                <w:rFonts w:hint="eastAsia" w:ascii="宋体" w:hAnsi="宋体" w:cs="宋体"/>
                <w:color w:val="auto"/>
                <w:sz w:val="24"/>
                <w:highlight w:val="none"/>
              </w:rPr>
            </w:pPr>
          </w:p>
        </w:tc>
        <w:tc>
          <w:tcPr>
            <w:tcW w:w="1547" w:type="dxa"/>
            <w:gridSpan w:val="2"/>
            <w:noWrap w:val="0"/>
            <w:vAlign w:val="center"/>
          </w:tcPr>
          <w:p w14:paraId="0869960F">
            <w:pPr>
              <w:jc w:val="center"/>
              <w:rPr>
                <w:rFonts w:hint="eastAsia" w:ascii="宋体" w:hAnsi="宋体" w:cs="宋体"/>
                <w:color w:val="auto"/>
                <w:sz w:val="24"/>
                <w:highlight w:val="none"/>
              </w:rPr>
            </w:pPr>
          </w:p>
        </w:tc>
        <w:tc>
          <w:tcPr>
            <w:tcW w:w="1548" w:type="dxa"/>
            <w:gridSpan w:val="2"/>
            <w:noWrap w:val="0"/>
            <w:vAlign w:val="center"/>
          </w:tcPr>
          <w:p w14:paraId="5EDB606E">
            <w:pPr>
              <w:jc w:val="center"/>
              <w:rPr>
                <w:rFonts w:hint="eastAsia" w:ascii="宋体" w:hAnsi="宋体" w:cs="宋体"/>
                <w:color w:val="auto"/>
                <w:sz w:val="24"/>
                <w:highlight w:val="none"/>
              </w:rPr>
            </w:pPr>
          </w:p>
        </w:tc>
      </w:tr>
      <w:tr w14:paraId="42286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1401" w:type="dxa"/>
            <w:gridSpan w:val="2"/>
            <w:noWrap w:val="0"/>
            <w:vAlign w:val="center"/>
          </w:tcPr>
          <w:p w14:paraId="007FA7B6">
            <w:pPr>
              <w:jc w:val="center"/>
              <w:rPr>
                <w:rFonts w:hint="eastAsia" w:ascii="宋体" w:hAnsi="宋体" w:cs="宋体"/>
                <w:color w:val="auto"/>
                <w:sz w:val="24"/>
                <w:highlight w:val="none"/>
              </w:rPr>
            </w:pPr>
          </w:p>
        </w:tc>
        <w:tc>
          <w:tcPr>
            <w:tcW w:w="1548" w:type="dxa"/>
            <w:noWrap w:val="0"/>
            <w:vAlign w:val="center"/>
          </w:tcPr>
          <w:p w14:paraId="16D51A47">
            <w:pPr>
              <w:jc w:val="center"/>
              <w:rPr>
                <w:rFonts w:hint="eastAsia" w:ascii="宋体" w:hAnsi="宋体" w:cs="宋体"/>
                <w:color w:val="auto"/>
                <w:sz w:val="24"/>
                <w:highlight w:val="none"/>
              </w:rPr>
            </w:pPr>
          </w:p>
        </w:tc>
        <w:tc>
          <w:tcPr>
            <w:tcW w:w="1547" w:type="dxa"/>
            <w:gridSpan w:val="2"/>
            <w:noWrap w:val="0"/>
            <w:vAlign w:val="center"/>
          </w:tcPr>
          <w:p w14:paraId="64AF51C0">
            <w:pPr>
              <w:jc w:val="center"/>
              <w:rPr>
                <w:rFonts w:hint="eastAsia" w:ascii="宋体" w:hAnsi="宋体" w:cs="宋体"/>
                <w:color w:val="auto"/>
                <w:sz w:val="24"/>
                <w:highlight w:val="none"/>
              </w:rPr>
            </w:pPr>
          </w:p>
        </w:tc>
        <w:tc>
          <w:tcPr>
            <w:tcW w:w="1548" w:type="dxa"/>
            <w:gridSpan w:val="2"/>
            <w:noWrap w:val="0"/>
            <w:vAlign w:val="center"/>
          </w:tcPr>
          <w:p w14:paraId="4942AB2B">
            <w:pPr>
              <w:jc w:val="center"/>
              <w:rPr>
                <w:rFonts w:hint="eastAsia" w:ascii="宋体" w:hAnsi="宋体" w:cs="宋体"/>
                <w:color w:val="auto"/>
                <w:sz w:val="24"/>
                <w:highlight w:val="none"/>
              </w:rPr>
            </w:pPr>
          </w:p>
        </w:tc>
        <w:tc>
          <w:tcPr>
            <w:tcW w:w="1547" w:type="dxa"/>
            <w:gridSpan w:val="2"/>
            <w:noWrap w:val="0"/>
            <w:vAlign w:val="center"/>
          </w:tcPr>
          <w:p w14:paraId="1D027F3F">
            <w:pPr>
              <w:jc w:val="center"/>
              <w:rPr>
                <w:rFonts w:hint="eastAsia" w:ascii="宋体" w:hAnsi="宋体" w:cs="宋体"/>
                <w:color w:val="auto"/>
                <w:sz w:val="24"/>
                <w:highlight w:val="none"/>
              </w:rPr>
            </w:pPr>
          </w:p>
        </w:tc>
        <w:tc>
          <w:tcPr>
            <w:tcW w:w="1548" w:type="dxa"/>
            <w:gridSpan w:val="2"/>
            <w:noWrap w:val="0"/>
            <w:vAlign w:val="center"/>
          </w:tcPr>
          <w:p w14:paraId="11041BC8">
            <w:pPr>
              <w:jc w:val="center"/>
              <w:rPr>
                <w:rFonts w:hint="eastAsia" w:ascii="宋体" w:hAnsi="宋体" w:cs="宋体"/>
                <w:color w:val="auto"/>
                <w:sz w:val="24"/>
                <w:highlight w:val="none"/>
              </w:rPr>
            </w:pPr>
          </w:p>
        </w:tc>
      </w:tr>
      <w:tr w14:paraId="08EC2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1401" w:type="dxa"/>
            <w:gridSpan w:val="2"/>
            <w:noWrap w:val="0"/>
            <w:vAlign w:val="center"/>
          </w:tcPr>
          <w:p w14:paraId="55654246">
            <w:pPr>
              <w:jc w:val="center"/>
              <w:rPr>
                <w:rFonts w:hint="eastAsia" w:ascii="宋体" w:hAnsi="宋体" w:cs="宋体"/>
                <w:color w:val="auto"/>
                <w:sz w:val="24"/>
                <w:highlight w:val="none"/>
              </w:rPr>
            </w:pPr>
          </w:p>
        </w:tc>
        <w:tc>
          <w:tcPr>
            <w:tcW w:w="1548" w:type="dxa"/>
            <w:noWrap w:val="0"/>
            <w:vAlign w:val="center"/>
          </w:tcPr>
          <w:p w14:paraId="7FF4F968">
            <w:pPr>
              <w:jc w:val="center"/>
              <w:rPr>
                <w:rFonts w:hint="eastAsia" w:ascii="宋体" w:hAnsi="宋体" w:cs="宋体"/>
                <w:color w:val="auto"/>
                <w:sz w:val="24"/>
                <w:highlight w:val="none"/>
              </w:rPr>
            </w:pPr>
          </w:p>
        </w:tc>
        <w:tc>
          <w:tcPr>
            <w:tcW w:w="1547" w:type="dxa"/>
            <w:gridSpan w:val="2"/>
            <w:noWrap w:val="0"/>
            <w:vAlign w:val="center"/>
          </w:tcPr>
          <w:p w14:paraId="79F00DDE">
            <w:pPr>
              <w:jc w:val="center"/>
              <w:rPr>
                <w:rFonts w:hint="eastAsia" w:ascii="宋体" w:hAnsi="宋体" w:cs="宋体"/>
                <w:color w:val="auto"/>
                <w:sz w:val="24"/>
                <w:highlight w:val="none"/>
              </w:rPr>
            </w:pPr>
          </w:p>
        </w:tc>
        <w:tc>
          <w:tcPr>
            <w:tcW w:w="1548" w:type="dxa"/>
            <w:gridSpan w:val="2"/>
            <w:noWrap w:val="0"/>
            <w:vAlign w:val="center"/>
          </w:tcPr>
          <w:p w14:paraId="59D5C087">
            <w:pPr>
              <w:jc w:val="center"/>
              <w:rPr>
                <w:rFonts w:hint="eastAsia" w:ascii="宋体" w:hAnsi="宋体" w:cs="宋体"/>
                <w:color w:val="auto"/>
                <w:sz w:val="24"/>
                <w:highlight w:val="none"/>
              </w:rPr>
            </w:pPr>
          </w:p>
        </w:tc>
        <w:tc>
          <w:tcPr>
            <w:tcW w:w="1547" w:type="dxa"/>
            <w:gridSpan w:val="2"/>
            <w:noWrap w:val="0"/>
            <w:vAlign w:val="center"/>
          </w:tcPr>
          <w:p w14:paraId="472DD31B">
            <w:pPr>
              <w:jc w:val="center"/>
              <w:rPr>
                <w:rFonts w:hint="eastAsia" w:ascii="宋体" w:hAnsi="宋体" w:cs="宋体"/>
                <w:color w:val="auto"/>
                <w:sz w:val="24"/>
                <w:highlight w:val="none"/>
              </w:rPr>
            </w:pPr>
          </w:p>
        </w:tc>
        <w:tc>
          <w:tcPr>
            <w:tcW w:w="1548" w:type="dxa"/>
            <w:gridSpan w:val="2"/>
            <w:noWrap w:val="0"/>
            <w:vAlign w:val="center"/>
          </w:tcPr>
          <w:p w14:paraId="3BD98E67">
            <w:pPr>
              <w:jc w:val="center"/>
              <w:rPr>
                <w:rFonts w:hint="eastAsia" w:ascii="宋体" w:hAnsi="宋体" w:cs="宋体"/>
                <w:color w:val="auto"/>
                <w:sz w:val="24"/>
                <w:highlight w:val="none"/>
              </w:rPr>
            </w:pPr>
          </w:p>
        </w:tc>
      </w:tr>
      <w:tr w14:paraId="50AB0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1401" w:type="dxa"/>
            <w:gridSpan w:val="2"/>
            <w:noWrap w:val="0"/>
            <w:vAlign w:val="center"/>
          </w:tcPr>
          <w:p w14:paraId="3448490C">
            <w:pPr>
              <w:jc w:val="center"/>
              <w:rPr>
                <w:rFonts w:hint="eastAsia" w:ascii="宋体" w:hAnsi="宋体" w:cs="宋体"/>
                <w:color w:val="auto"/>
                <w:sz w:val="24"/>
                <w:highlight w:val="none"/>
              </w:rPr>
            </w:pPr>
          </w:p>
        </w:tc>
        <w:tc>
          <w:tcPr>
            <w:tcW w:w="1548" w:type="dxa"/>
            <w:noWrap w:val="0"/>
            <w:vAlign w:val="center"/>
          </w:tcPr>
          <w:p w14:paraId="39EBAFD2">
            <w:pPr>
              <w:jc w:val="center"/>
              <w:rPr>
                <w:rFonts w:hint="eastAsia" w:ascii="宋体" w:hAnsi="宋体" w:cs="宋体"/>
                <w:color w:val="auto"/>
                <w:sz w:val="24"/>
                <w:highlight w:val="none"/>
              </w:rPr>
            </w:pPr>
          </w:p>
        </w:tc>
        <w:tc>
          <w:tcPr>
            <w:tcW w:w="1547" w:type="dxa"/>
            <w:gridSpan w:val="2"/>
            <w:noWrap w:val="0"/>
            <w:vAlign w:val="center"/>
          </w:tcPr>
          <w:p w14:paraId="590104CF">
            <w:pPr>
              <w:jc w:val="center"/>
              <w:rPr>
                <w:rFonts w:hint="eastAsia" w:ascii="宋体" w:hAnsi="宋体" w:cs="宋体"/>
                <w:color w:val="auto"/>
                <w:sz w:val="24"/>
                <w:highlight w:val="none"/>
              </w:rPr>
            </w:pPr>
          </w:p>
        </w:tc>
        <w:tc>
          <w:tcPr>
            <w:tcW w:w="1548" w:type="dxa"/>
            <w:gridSpan w:val="2"/>
            <w:noWrap w:val="0"/>
            <w:vAlign w:val="center"/>
          </w:tcPr>
          <w:p w14:paraId="26AFEAE8">
            <w:pPr>
              <w:jc w:val="center"/>
              <w:rPr>
                <w:rFonts w:hint="eastAsia" w:ascii="宋体" w:hAnsi="宋体" w:cs="宋体"/>
                <w:color w:val="auto"/>
                <w:sz w:val="24"/>
                <w:highlight w:val="none"/>
              </w:rPr>
            </w:pPr>
          </w:p>
        </w:tc>
        <w:tc>
          <w:tcPr>
            <w:tcW w:w="1547" w:type="dxa"/>
            <w:gridSpan w:val="2"/>
            <w:noWrap w:val="0"/>
            <w:vAlign w:val="center"/>
          </w:tcPr>
          <w:p w14:paraId="1DC9716D">
            <w:pPr>
              <w:jc w:val="center"/>
              <w:rPr>
                <w:rFonts w:hint="eastAsia" w:ascii="宋体" w:hAnsi="宋体" w:cs="宋体"/>
                <w:color w:val="auto"/>
                <w:sz w:val="24"/>
                <w:highlight w:val="none"/>
              </w:rPr>
            </w:pPr>
          </w:p>
        </w:tc>
        <w:tc>
          <w:tcPr>
            <w:tcW w:w="1548" w:type="dxa"/>
            <w:gridSpan w:val="2"/>
            <w:noWrap w:val="0"/>
            <w:vAlign w:val="center"/>
          </w:tcPr>
          <w:p w14:paraId="22DB76EF">
            <w:pPr>
              <w:jc w:val="center"/>
              <w:rPr>
                <w:rFonts w:hint="eastAsia" w:ascii="宋体" w:hAnsi="宋体" w:cs="宋体"/>
                <w:color w:val="auto"/>
                <w:sz w:val="24"/>
                <w:highlight w:val="none"/>
              </w:rPr>
            </w:pPr>
          </w:p>
        </w:tc>
      </w:tr>
    </w:tbl>
    <w:p w14:paraId="314C7ED7">
      <w:pPr>
        <w:rPr>
          <w:rFonts w:hint="eastAsia" w:ascii="宋体" w:hAnsi="宋体" w:cs="宋体"/>
          <w:color w:val="auto"/>
          <w:sz w:val="24"/>
          <w:highlight w:val="none"/>
        </w:rPr>
      </w:pPr>
    </w:p>
    <w:p w14:paraId="35835240">
      <w:pPr>
        <w:spacing w:line="360" w:lineRule="auto"/>
        <w:rPr>
          <w:rFonts w:hint="eastAsia" w:ascii="宋体" w:hAnsi="宋体" w:cs="宋体"/>
          <w:color w:val="auto"/>
          <w:sz w:val="24"/>
          <w:highlight w:val="none"/>
        </w:rPr>
      </w:pPr>
    </w:p>
    <w:p w14:paraId="6BDD1DC2">
      <w:pPr>
        <w:spacing w:line="360" w:lineRule="auto"/>
        <w:rPr>
          <w:rFonts w:hint="eastAsia" w:ascii="宋体" w:hAnsi="宋体" w:cs="宋体"/>
          <w:color w:val="auto"/>
          <w:sz w:val="24"/>
          <w:highlight w:val="none"/>
        </w:rPr>
      </w:pPr>
      <w:r>
        <w:rPr>
          <w:rFonts w:hint="eastAsia" w:ascii="宋体" w:hAnsi="宋体" w:cs="宋体"/>
          <w:color w:val="auto"/>
          <w:sz w:val="24"/>
          <w:highlight w:val="none"/>
        </w:rPr>
        <w:t>备注：附项目经理的</w:t>
      </w:r>
      <w:r>
        <w:rPr>
          <w:rFonts w:hint="eastAsia" w:ascii="宋体" w:hAnsi="宋体" w:cs="宋体"/>
          <w:color w:val="auto"/>
          <w:sz w:val="24"/>
          <w:highlight w:val="none"/>
          <w:lang w:eastAsia="zh-CN"/>
        </w:rPr>
        <w:t>相关</w:t>
      </w:r>
      <w:r>
        <w:rPr>
          <w:rFonts w:hint="eastAsia" w:ascii="宋体" w:hAnsi="宋体" w:cs="宋体"/>
          <w:color w:val="auto"/>
          <w:sz w:val="24"/>
          <w:highlight w:val="none"/>
        </w:rPr>
        <w:t>证明材料复印件。</w:t>
      </w:r>
    </w:p>
    <w:p w14:paraId="54801793">
      <w:pPr>
        <w:spacing w:before="120" w:beforeLines="50"/>
        <w:ind w:firstLine="480" w:firstLineChars="200"/>
        <w:rPr>
          <w:rFonts w:hint="eastAsia" w:ascii="宋体" w:hAnsi="宋体" w:cs="宋体"/>
          <w:color w:val="auto"/>
          <w:sz w:val="24"/>
          <w:highlight w:val="none"/>
        </w:rPr>
      </w:pPr>
    </w:p>
    <w:p w14:paraId="32DD8C22">
      <w:pPr>
        <w:spacing w:line="360" w:lineRule="auto"/>
        <w:jc w:val="left"/>
        <w:rPr>
          <w:rFonts w:hint="eastAsia" w:ascii="宋体" w:hAnsi="宋体" w:cs="宋体"/>
          <w:color w:val="auto"/>
          <w:sz w:val="24"/>
          <w:highlight w:val="none"/>
        </w:rPr>
      </w:pPr>
    </w:p>
    <w:p w14:paraId="71851715">
      <w:pPr>
        <w:autoSpaceDE w:val="0"/>
        <w:autoSpaceDN w:val="0"/>
        <w:spacing w:line="360" w:lineRule="auto"/>
        <w:ind w:left="4365" w:leftChars="1850" w:hanging="480" w:hangingChars="200"/>
        <w:rPr>
          <w:rFonts w:hint="eastAsia"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32715C8A">
      <w:pPr>
        <w:autoSpaceDE w:val="0"/>
        <w:autoSpaceDN w:val="0"/>
        <w:spacing w:line="360" w:lineRule="auto"/>
        <w:ind w:firstLine="6120" w:firstLineChars="2550"/>
        <w:rPr>
          <w:rFonts w:hint="eastAsia" w:ascii="宋体" w:hAnsi="宋体" w:cs="宋体"/>
          <w:b/>
          <w:bCs/>
          <w:color w:val="auto"/>
          <w:sz w:val="24"/>
          <w:highlight w:val="none"/>
        </w:rPr>
      </w:pPr>
      <w:r>
        <w:rPr>
          <w:rFonts w:hint="eastAsia" w:ascii="宋体" w:hAnsi="宋体" w:cs="宋体"/>
          <w:color w:val="auto"/>
          <w:kern w:val="0"/>
          <w:sz w:val="24"/>
          <w:highlight w:val="none"/>
          <w:lang w:val="zh-CN"/>
        </w:rPr>
        <w:t>日期：  年  月   日</w:t>
      </w:r>
    </w:p>
    <w:p w14:paraId="5A17D07D">
      <w:pPr>
        <w:spacing w:line="360" w:lineRule="auto"/>
        <w:rPr>
          <w:rFonts w:hint="eastAsia" w:ascii="宋体" w:hAnsi="宋体" w:cs="宋体"/>
          <w:color w:val="auto"/>
          <w:sz w:val="24"/>
          <w:highlight w:val="none"/>
        </w:rPr>
        <w:sectPr>
          <w:headerReference r:id="rId10" w:type="default"/>
          <w:footerReference r:id="rId11" w:type="default"/>
          <w:pgSz w:w="11907" w:h="16840"/>
          <w:pgMar w:top="1134" w:right="1587" w:bottom="1134" w:left="1587" w:header="851" w:footer="851" w:gutter="0"/>
          <w:pgBorders>
            <w:top w:val="none" w:sz="0" w:space="0"/>
            <w:left w:val="none" w:sz="0" w:space="0"/>
            <w:bottom w:val="none" w:sz="0" w:space="0"/>
            <w:right w:val="none" w:sz="0" w:space="0"/>
          </w:pgBorders>
          <w:cols w:space="720" w:num="1"/>
          <w:docGrid w:linePitch="312" w:charSpace="0"/>
        </w:sectPr>
      </w:pPr>
    </w:p>
    <w:p w14:paraId="3FE16ED7">
      <w:pPr>
        <w:spacing w:line="360" w:lineRule="auto"/>
        <w:rPr>
          <w:rFonts w:hint="eastAsia" w:ascii="宋体" w:hAnsi="宋体" w:cs="宋体"/>
          <w:color w:val="auto"/>
          <w:sz w:val="24"/>
          <w:highlight w:val="none"/>
        </w:rPr>
      </w:pPr>
    </w:p>
    <w:p w14:paraId="2221529D">
      <w:pPr>
        <w:ind w:left="482"/>
        <w:jc w:val="center"/>
        <w:rPr>
          <w:rFonts w:hint="eastAsia" w:ascii="宋体" w:hAnsi="宋体" w:cs="宋体"/>
          <w:b/>
          <w:bCs/>
          <w:color w:val="auto"/>
          <w:sz w:val="30"/>
          <w:szCs w:val="30"/>
          <w:highlight w:val="none"/>
        </w:rPr>
      </w:pPr>
      <w:bookmarkStart w:id="166" w:name="_Toc173579007"/>
      <w:bookmarkStart w:id="167" w:name="_Toc172364027"/>
      <w:bookmarkStart w:id="168" w:name="_Toc389065365"/>
      <w:bookmarkStart w:id="169" w:name="_Toc153274949"/>
      <w:bookmarkStart w:id="170" w:name="_Toc251052219"/>
      <w:r>
        <w:rPr>
          <w:rFonts w:hint="eastAsia" w:ascii="宋体" w:hAnsi="宋体" w:cs="宋体"/>
          <w:b/>
          <w:bCs/>
          <w:color w:val="auto"/>
          <w:sz w:val="30"/>
          <w:szCs w:val="30"/>
          <w:highlight w:val="none"/>
          <w:lang w:val="en-US" w:eastAsia="zh-CN"/>
        </w:rPr>
        <w:t>2</w:t>
      </w:r>
      <w:r>
        <w:rPr>
          <w:rFonts w:hint="eastAsia" w:ascii="宋体" w:hAnsi="宋体" w:cs="宋体"/>
          <w:b/>
          <w:bCs/>
          <w:color w:val="auto"/>
          <w:sz w:val="30"/>
          <w:szCs w:val="30"/>
          <w:highlight w:val="none"/>
        </w:rPr>
        <w:t>.项目技术负责人简历表</w:t>
      </w:r>
      <w:bookmarkEnd w:id="166"/>
      <w:bookmarkEnd w:id="167"/>
      <w:bookmarkEnd w:id="168"/>
      <w:bookmarkEnd w:id="169"/>
      <w:bookmarkEnd w:id="170"/>
    </w:p>
    <w:p w14:paraId="72BBFDE8">
      <w:pPr>
        <w:rPr>
          <w:rFonts w:hint="eastAsia" w:ascii="宋体" w:hAnsi="宋体" w:cs="宋体"/>
          <w:color w:val="auto"/>
          <w:sz w:val="24"/>
          <w:highlight w:val="none"/>
        </w:rPr>
      </w:pPr>
    </w:p>
    <w:tbl>
      <w:tblPr>
        <w:tblStyle w:val="23"/>
        <w:tblW w:w="90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7"/>
        <w:gridCol w:w="457"/>
        <w:gridCol w:w="1525"/>
        <w:gridCol w:w="324"/>
        <w:gridCol w:w="1200"/>
        <w:gridCol w:w="665"/>
        <w:gridCol w:w="860"/>
        <w:gridCol w:w="702"/>
        <w:gridCol w:w="822"/>
        <w:gridCol w:w="270"/>
        <w:gridCol w:w="1126"/>
      </w:tblGrid>
      <w:tr w14:paraId="146CB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067" w:type="dxa"/>
            <w:noWrap w:val="0"/>
            <w:vAlign w:val="center"/>
          </w:tcPr>
          <w:p w14:paraId="1D13473D">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姓名</w:t>
            </w:r>
          </w:p>
        </w:tc>
        <w:tc>
          <w:tcPr>
            <w:tcW w:w="2306" w:type="dxa"/>
            <w:gridSpan w:val="3"/>
            <w:noWrap w:val="0"/>
            <w:vAlign w:val="center"/>
          </w:tcPr>
          <w:p w14:paraId="347C70EE">
            <w:pPr>
              <w:spacing w:line="360" w:lineRule="auto"/>
              <w:jc w:val="center"/>
              <w:rPr>
                <w:rFonts w:hint="eastAsia" w:ascii="宋体" w:hAnsi="宋体" w:cs="宋体"/>
                <w:color w:val="auto"/>
                <w:sz w:val="24"/>
                <w:highlight w:val="none"/>
              </w:rPr>
            </w:pPr>
          </w:p>
        </w:tc>
        <w:tc>
          <w:tcPr>
            <w:tcW w:w="1865" w:type="dxa"/>
            <w:gridSpan w:val="2"/>
            <w:noWrap w:val="0"/>
            <w:vAlign w:val="center"/>
          </w:tcPr>
          <w:p w14:paraId="0C5AC857">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性别</w:t>
            </w:r>
          </w:p>
        </w:tc>
        <w:tc>
          <w:tcPr>
            <w:tcW w:w="1562" w:type="dxa"/>
            <w:gridSpan w:val="2"/>
            <w:noWrap w:val="0"/>
            <w:vAlign w:val="center"/>
          </w:tcPr>
          <w:p w14:paraId="559B5279">
            <w:pPr>
              <w:spacing w:line="360" w:lineRule="auto"/>
              <w:jc w:val="center"/>
              <w:rPr>
                <w:rFonts w:hint="eastAsia" w:ascii="宋体" w:hAnsi="宋体" w:cs="宋体"/>
                <w:color w:val="auto"/>
                <w:sz w:val="24"/>
                <w:highlight w:val="none"/>
              </w:rPr>
            </w:pPr>
          </w:p>
        </w:tc>
        <w:tc>
          <w:tcPr>
            <w:tcW w:w="1092" w:type="dxa"/>
            <w:gridSpan w:val="2"/>
            <w:noWrap w:val="0"/>
            <w:vAlign w:val="center"/>
          </w:tcPr>
          <w:p w14:paraId="30C9FAA0">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年龄</w:t>
            </w:r>
          </w:p>
        </w:tc>
        <w:tc>
          <w:tcPr>
            <w:tcW w:w="1126" w:type="dxa"/>
            <w:noWrap w:val="0"/>
            <w:vAlign w:val="center"/>
          </w:tcPr>
          <w:p w14:paraId="55393F6E">
            <w:pPr>
              <w:spacing w:line="360" w:lineRule="auto"/>
              <w:jc w:val="center"/>
              <w:rPr>
                <w:rFonts w:hint="eastAsia" w:ascii="宋体" w:hAnsi="宋体" w:cs="宋体"/>
                <w:color w:val="auto"/>
                <w:sz w:val="24"/>
                <w:highlight w:val="none"/>
              </w:rPr>
            </w:pPr>
          </w:p>
        </w:tc>
      </w:tr>
      <w:tr w14:paraId="67712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067" w:type="dxa"/>
            <w:noWrap w:val="0"/>
            <w:vAlign w:val="center"/>
          </w:tcPr>
          <w:p w14:paraId="4E5D43BF">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职务</w:t>
            </w:r>
          </w:p>
        </w:tc>
        <w:tc>
          <w:tcPr>
            <w:tcW w:w="2306" w:type="dxa"/>
            <w:gridSpan w:val="3"/>
            <w:noWrap w:val="0"/>
            <w:vAlign w:val="center"/>
          </w:tcPr>
          <w:p w14:paraId="2687E291">
            <w:pPr>
              <w:spacing w:line="360" w:lineRule="auto"/>
              <w:jc w:val="center"/>
              <w:rPr>
                <w:rFonts w:hint="eastAsia" w:ascii="宋体" w:hAnsi="宋体" w:cs="宋体"/>
                <w:color w:val="auto"/>
                <w:sz w:val="24"/>
                <w:highlight w:val="none"/>
              </w:rPr>
            </w:pPr>
          </w:p>
        </w:tc>
        <w:tc>
          <w:tcPr>
            <w:tcW w:w="1865" w:type="dxa"/>
            <w:gridSpan w:val="2"/>
            <w:noWrap w:val="0"/>
            <w:vAlign w:val="center"/>
          </w:tcPr>
          <w:p w14:paraId="06C9ACFE">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职称</w:t>
            </w:r>
          </w:p>
        </w:tc>
        <w:tc>
          <w:tcPr>
            <w:tcW w:w="1562" w:type="dxa"/>
            <w:gridSpan w:val="2"/>
            <w:noWrap w:val="0"/>
            <w:vAlign w:val="center"/>
          </w:tcPr>
          <w:p w14:paraId="2C720223">
            <w:pPr>
              <w:spacing w:line="360" w:lineRule="auto"/>
              <w:jc w:val="center"/>
              <w:rPr>
                <w:rFonts w:hint="eastAsia" w:ascii="宋体" w:hAnsi="宋体" w:cs="宋体"/>
                <w:color w:val="auto"/>
                <w:sz w:val="24"/>
                <w:highlight w:val="none"/>
              </w:rPr>
            </w:pPr>
          </w:p>
        </w:tc>
        <w:tc>
          <w:tcPr>
            <w:tcW w:w="1092" w:type="dxa"/>
            <w:gridSpan w:val="2"/>
            <w:noWrap w:val="0"/>
            <w:vAlign w:val="center"/>
          </w:tcPr>
          <w:p w14:paraId="72D45A78">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学历</w:t>
            </w:r>
          </w:p>
        </w:tc>
        <w:tc>
          <w:tcPr>
            <w:tcW w:w="1126" w:type="dxa"/>
            <w:noWrap w:val="0"/>
            <w:vAlign w:val="center"/>
          </w:tcPr>
          <w:p w14:paraId="3743C7CB">
            <w:pPr>
              <w:spacing w:line="360" w:lineRule="auto"/>
              <w:jc w:val="center"/>
              <w:rPr>
                <w:rFonts w:hint="eastAsia" w:ascii="宋体" w:hAnsi="宋体" w:cs="宋体"/>
                <w:color w:val="auto"/>
                <w:sz w:val="24"/>
                <w:highlight w:val="none"/>
              </w:rPr>
            </w:pPr>
          </w:p>
        </w:tc>
      </w:tr>
      <w:tr w14:paraId="146D3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3373" w:type="dxa"/>
            <w:gridSpan w:val="4"/>
            <w:noWrap w:val="0"/>
            <w:vAlign w:val="center"/>
          </w:tcPr>
          <w:p w14:paraId="488A38BE">
            <w:pPr>
              <w:jc w:val="center"/>
              <w:rPr>
                <w:rFonts w:hint="eastAsia" w:ascii="宋体" w:hAnsi="宋体" w:cs="宋体"/>
                <w:color w:val="auto"/>
                <w:sz w:val="24"/>
                <w:highlight w:val="none"/>
              </w:rPr>
            </w:pPr>
            <w:r>
              <w:rPr>
                <w:rFonts w:hint="eastAsia" w:ascii="宋体" w:hAnsi="宋体" w:cs="宋体"/>
                <w:color w:val="auto"/>
                <w:sz w:val="24"/>
                <w:highlight w:val="none"/>
              </w:rPr>
              <w:t>参加工作时间</w:t>
            </w:r>
          </w:p>
        </w:tc>
        <w:tc>
          <w:tcPr>
            <w:tcW w:w="1865" w:type="dxa"/>
            <w:gridSpan w:val="2"/>
            <w:noWrap w:val="0"/>
            <w:vAlign w:val="center"/>
          </w:tcPr>
          <w:p w14:paraId="0551A54A">
            <w:pPr>
              <w:jc w:val="center"/>
              <w:rPr>
                <w:rFonts w:hint="eastAsia" w:ascii="宋体" w:hAnsi="宋体" w:cs="宋体"/>
                <w:color w:val="auto"/>
                <w:sz w:val="24"/>
                <w:highlight w:val="none"/>
              </w:rPr>
            </w:pPr>
          </w:p>
        </w:tc>
        <w:tc>
          <w:tcPr>
            <w:tcW w:w="2654" w:type="dxa"/>
            <w:gridSpan w:val="4"/>
            <w:noWrap w:val="0"/>
            <w:vAlign w:val="center"/>
          </w:tcPr>
          <w:p w14:paraId="104EAD6C">
            <w:pPr>
              <w:jc w:val="center"/>
              <w:rPr>
                <w:rFonts w:hint="eastAsia" w:ascii="宋体" w:hAnsi="宋体" w:cs="宋体"/>
                <w:color w:val="auto"/>
                <w:sz w:val="24"/>
                <w:highlight w:val="none"/>
              </w:rPr>
            </w:pPr>
            <w:r>
              <w:rPr>
                <w:rFonts w:hint="eastAsia" w:ascii="宋体" w:hAnsi="宋体" w:cs="宋体"/>
                <w:color w:val="auto"/>
                <w:sz w:val="24"/>
                <w:highlight w:val="none"/>
              </w:rPr>
              <w:t>担任技术负责人年限</w:t>
            </w:r>
          </w:p>
        </w:tc>
        <w:tc>
          <w:tcPr>
            <w:tcW w:w="1126" w:type="dxa"/>
            <w:noWrap w:val="0"/>
            <w:vAlign w:val="center"/>
          </w:tcPr>
          <w:p w14:paraId="5AECB637">
            <w:pPr>
              <w:jc w:val="center"/>
              <w:rPr>
                <w:rFonts w:hint="eastAsia" w:ascii="宋体" w:hAnsi="宋体" w:cs="宋体"/>
                <w:color w:val="auto"/>
                <w:sz w:val="24"/>
                <w:highlight w:val="none"/>
              </w:rPr>
            </w:pPr>
          </w:p>
        </w:tc>
      </w:tr>
      <w:tr w14:paraId="19FD7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9018" w:type="dxa"/>
            <w:gridSpan w:val="11"/>
            <w:noWrap w:val="0"/>
            <w:vAlign w:val="center"/>
          </w:tcPr>
          <w:p w14:paraId="484E419B">
            <w:pPr>
              <w:jc w:val="center"/>
              <w:rPr>
                <w:rFonts w:hint="eastAsia" w:ascii="宋体" w:hAnsi="宋体" w:cs="宋体"/>
                <w:color w:val="auto"/>
                <w:sz w:val="24"/>
                <w:highlight w:val="none"/>
              </w:rPr>
            </w:pPr>
            <w:r>
              <w:rPr>
                <w:rFonts w:hint="eastAsia" w:ascii="宋体" w:hAnsi="宋体" w:cs="宋体"/>
                <w:color w:val="auto"/>
                <w:sz w:val="24"/>
                <w:highlight w:val="none"/>
              </w:rPr>
              <w:t>在建和已完工程项目情况</w:t>
            </w:r>
          </w:p>
        </w:tc>
      </w:tr>
      <w:tr w14:paraId="32D91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524" w:type="dxa"/>
            <w:gridSpan w:val="2"/>
            <w:noWrap w:val="0"/>
            <w:vAlign w:val="center"/>
          </w:tcPr>
          <w:p w14:paraId="0C84CA12">
            <w:pPr>
              <w:jc w:val="center"/>
              <w:rPr>
                <w:rFonts w:hint="eastAsia" w:ascii="宋体" w:hAnsi="宋体" w:cs="宋体"/>
                <w:color w:val="auto"/>
                <w:sz w:val="24"/>
                <w:highlight w:val="none"/>
              </w:rPr>
            </w:pPr>
            <w:r>
              <w:rPr>
                <w:rFonts w:hint="eastAsia" w:ascii="宋体" w:hAnsi="宋体" w:cs="宋体"/>
                <w:color w:val="auto"/>
                <w:sz w:val="24"/>
                <w:highlight w:val="none"/>
              </w:rPr>
              <w:t>建设单位</w:t>
            </w:r>
          </w:p>
        </w:tc>
        <w:tc>
          <w:tcPr>
            <w:tcW w:w="1525" w:type="dxa"/>
            <w:noWrap w:val="0"/>
            <w:vAlign w:val="center"/>
          </w:tcPr>
          <w:p w14:paraId="400F7870">
            <w:pPr>
              <w:jc w:val="center"/>
              <w:rPr>
                <w:rFonts w:hint="eastAsia" w:ascii="宋体" w:hAnsi="宋体" w:cs="宋体"/>
                <w:color w:val="auto"/>
                <w:sz w:val="24"/>
                <w:highlight w:val="none"/>
              </w:rPr>
            </w:pPr>
            <w:r>
              <w:rPr>
                <w:rFonts w:hint="eastAsia" w:ascii="宋体" w:hAnsi="宋体" w:cs="宋体"/>
                <w:color w:val="auto"/>
                <w:sz w:val="24"/>
                <w:highlight w:val="none"/>
              </w:rPr>
              <w:t>项目名称</w:t>
            </w:r>
          </w:p>
        </w:tc>
        <w:tc>
          <w:tcPr>
            <w:tcW w:w="1524" w:type="dxa"/>
            <w:gridSpan w:val="2"/>
            <w:noWrap w:val="0"/>
            <w:vAlign w:val="center"/>
          </w:tcPr>
          <w:p w14:paraId="4C6AD885">
            <w:pPr>
              <w:jc w:val="center"/>
              <w:rPr>
                <w:rFonts w:hint="eastAsia" w:ascii="宋体" w:hAnsi="宋体" w:cs="宋体"/>
                <w:color w:val="auto"/>
                <w:sz w:val="24"/>
                <w:highlight w:val="none"/>
              </w:rPr>
            </w:pPr>
            <w:r>
              <w:rPr>
                <w:rFonts w:hint="eastAsia" w:ascii="宋体" w:hAnsi="宋体" w:cs="宋体"/>
                <w:color w:val="auto"/>
                <w:sz w:val="24"/>
                <w:highlight w:val="none"/>
              </w:rPr>
              <w:t>建设规模</w:t>
            </w:r>
          </w:p>
        </w:tc>
        <w:tc>
          <w:tcPr>
            <w:tcW w:w="1525" w:type="dxa"/>
            <w:gridSpan w:val="2"/>
            <w:noWrap w:val="0"/>
            <w:vAlign w:val="center"/>
          </w:tcPr>
          <w:p w14:paraId="022B711E">
            <w:pPr>
              <w:jc w:val="center"/>
              <w:rPr>
                <w:rFonts w:hint="eastAsia" w:ascii="宋体" w:hAnsi="宋体" w:cs="宋体"/>
                <w:color w:val="auto"/>
                <w:sz w:val="24"/>
                <w:highlight w:val="none"/>
              </w:rPr>
            </w:pPr>
            <w:r>
              <w:rPr>
                <w:rFonts w:hint="eastAsia" w:ascii="宋体" w:hAnsi="宋体" w:cs="宋体"/>
                <w:color w:val="auto"/>
                <w:sz w:val="24"/>
                <w:highlight w:val="none"/>
              </w:rPr>
              <w:t>开、竣工日期</w:t>
            </w:r>
          </w:p>
        </w:tc>
        <w:tc>
          <w:tcPr>
            <w:tcW w:w="1524" w:type="dxa"/>
            <w:gridSpan w:val="2"/>
            <w:noWrap w:val="0"/>
            <w:vAlign w:val="center"/>
          </w:tcPr>
          <w:p w14:paraId="3BF371AE">
            <w:pPr>
              <w:jc w:val="center"/>
              <w:rPr>
                <w:rFonts w:hint="eastAsia" w:ascii="宋体" w:hAnsi="宋体" w:cs="宋体"/>
                <w:color w:val="auto"/>
                <w:sz w:val="24"/>
                <w:highlight w:val="none"/>
              </w:rPr>
            </w:pPr>
            <w:r>
              <w:rPr>
                <w:rFonts w:hint="eastAsia" w:ascii="宋体" w:hAnsi="宋体" w:cs="宋体"/>
                <w:color w:val="auto"/>
                <w:sz w:val="24"/>
                <w:highlight w:val="none"/>
              </w:rPr>
              <w:t>在建或已完</w:t>
            </w:r>
          </w:p>
        </w:tc>
        <w:tc>
          <w:tcPr>
            <w:tcW w:w="1396" w:type="dxa"/>
            <w:gridSpan w:val="2"/>
            <w:noWrap w:val="0"/>
            <w:vAlign w:val="center"/>
          </w:tcPr>
          <w:p w14:paraId="0E8AF418">
            <w:pPr>
              <w:jc w:val="center"/>
              <w:rPr>
                <w:rFonts w:hint="eastAsia" w:ascii="宋体" w:hAnsi="宋体" w:cs="宋体"/>
                <w:color w:val="auto"/>
                <w:sz w:val="24"/>
                <w:highlight w:val="none"/>
              </w:rPr>
            </w:pPr>
            <w:r>
              <w:rPr>
                <w:rFonts w:hint="eastAsia" w:ascii="宋体" w:hAnsi="宋体" w:cs="宋体"/>
                <w:color w:val="auto"/>
                <w:sz w:val="24"/>
                <w:highlight w:val="none"/>
              </w:rPr>
              <w:t>工程质量</w:t>
            </w:r>
          </w:p>
        </w:tc>
      </w:tr>
      <w:tr w14:paraId="0C286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524" w:type="dxa"/>
            <w:gridSpan w:val="2"/>
            <w:noWrap w:val="0"/>
            <w:vAlign w:val="center"/>
          </w:tcPr>
          <w:p w14:paraId="156E2E7F">
            <w:pPr>
              <w:jc w:val="center"/>
              <w:rPr>
                <w:rFonts w:hint="eastAsia" w:ascii="宋体" w:hAnsi="宋体" w:cs="宋体"/>
                <w:color w:val="auto"/>
                <w:sz w:val="24"/>
                <w:highlight w:val="none"/>
              </w:rPr>
            </w:pPr>
          </w:p>
        </w:tc>
        <w:tc>
          <w:tcPr>
            <w:tcW w:w="1525" w:type="dxa"/>
            <w:noWrap w:val="0"/>
            <w:vAlign w:val="center"/>
          </w:tcPr>
          <w:p w14:paraId="5665F3D4">
            <w:pPr>
              <w:jc w:val="center"/>
              <w:rPr>
                <w:rFonts w:hint="eastAsia" w:ascii="宋体" w:hAnsi="宋体" w:cs="宋体"/>
                <w:color w:val="auto"/>
                <w:sz w:val="24"/>
                <w:highlight w:val="none"/>
              </w:rPr>
            </w:pPr>
          </w:p>
        </w:tc>
        <w:tc>
          <w:tcPr>
            <w:tcW w:w="1524" w:type="dxa"/>
            <w:gridSpan w:val="2"/>
            <w:noWrap w:val="0"/>
            <w:vAlign w:val="center"/>
          </w:tcPr>
          <w:p w14:paraId="25A19786">
            <w:pPr>
              <w:jc w:val="center"/>
              <w:rPr>
                <w:rFonts w:hint="eastAsia" w:ascii="宋体" w:hAnsi="宋体" w:cs="宋体"/>
                <w:color w:val="auto"/>
                <w:sz w:val="24"/>
                <w:highlight w:val="none"/>
              </w:rPr>
            </w:pPr>
          </w:p>
        </w:tc>
        <w:tc>
          <w:tcPr>
            <w:tcW w:w="1525" w:type="dxa"/>
            <w:gridSpan w:val="2"/>
            <w:noWrap w:val="0"/>
            <w:vAlign w:val="center"/>
          </w:tcPr>
          <w:p w14:paraId="7F25CDBC">
            <w:pPr>
              <w:jc w:val="center"/>
              <w:rPr>
                <w:rFonts w:hint="eastAsia" w:ascii="宋体" w:hAnsi="宋体" w:cs="宋体"/>
                <w:color w:val="auto"/>
                <w:sz w:val="24"/>
                <w:highlight w:val="none"/>
              </w:rPr>
            </w:pPr>
          </w:p>
        </w:tc>
        <w:tc>
          <w:tcPr>
            <w:tcW w:w="1524" w:type="dxa"/>
            <w:gridSpan w:val="2"/>
            <w:noWrap w:val="0"/>
            <w:vAlign w:val="center"/>
          </w:tcPr>
          <w:p w14:paraId="10C02D1A">
            <w:pPr>
              <w:jc w:val="center"/>
              <w:rPr>
                <w:rFonts w:hint="eastAsia" w:ascii="宋体" w:hAnsi="宋体" w:cs="宋体"/>
                <w:color w:val="auto"/>
                <w:sz w:val="24"/>
                <w:highlight w:val="none"/>
              </w:rPr>
            </w:pPr>
          </w:p>
        </w:tc>
        <w:tc>
          <w:tcPr>
            <w:tcW w:w="1396" w:type="dxa"/>
            <w:gridSpan w:val="2"/>
            <w:noWrap w:val="0"/>
            <w:vAlign w:val="center"/>
          </w:tcPr>
          <w:p w14:paraId="27D573DF">
            <w:pPr>
              <w:jc w:val="center"/>
              <w:rPr>
                <w:rFonts w:hint="eastAsia" w:ascii="宋体" w:hAnsi="宋体" w:cs="宋体"/>
                <w:color w:val="auto"/>
                <w:sz w:val="24"/>
                <w:highlight w:val="none"/>
              </w:rPr>
            </w:pPr>
          </w:p>
        </w:tc>
      </w:tr>
      <w:tr w14:paraId="7AE86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524" w:type="dxa"/>
            <w:gridSpan w:val="2"/>
            <w:noWrap w:val="0"/>
            <w:vAlign w:val="center"/>
          </w:tcPr>
          <w:p w14:paraId="374AB3FE">
            <w:pPr>
              <w:jc w:val="center"/>
              <w:rPr>
                <w:rFonts w:hint="eastAsia" w:ascii="宋体" w:hAnsi="宋体" w:cs="宋体"/>
                <w:color w:val="auto"/>
                <w:sz w:val="24"/>
                <w:highlight w:val="none"/>
              </w:rPr>
            </w:pPr>
          </w:p>
        </w:tc>
        <w:tc>
          <w:tcPr>
            <w:tcW w:w="1525" w:type="dxa"/>
            <w:noWrap w:val="0"/>
            <w:vAlign w:val="center"/>
          </w:tcPr>
          <w:p w14:paraId="64241981">
            <w:pPr>
              <w:jc w:val="center"/>
              <w:rPr>
                <w:rFonts w:hint="eastAsia" w:ascii="宋体" w:hAnsi="宋体" w:cs="宋体"/>
                <w:color w:val="auto"/>
                <w:sz w:val="24"/>
                <w:highlight w:val="none"/>
              </w:rPr>
            </w:pPr>
          </w:p>
        </w:tc>
        <w:tc>
          <w:tcPr>
            <w:tcW w:w="1524" w:type="dxa"/>
            <w:gridSpan w:val="2"/>
            <w:noWrap w:val="0"/>
            <w:vAlign w:val="center"/>
          </w:tcPr>
          <w:p w14:paraId="4B8FAD0D">
            <w:pPr>
              <w:jc w:val="center"/>
              <w:rPr>
                <w:rFonts w:hint="eastAsia" w:ascii="宋体" w:hAnsi="宋体" w:cs="宋体"/>
                <w:color w:val="auto"/>
                <w:sz w:val="24"/>
                <w:highlight w:val="none"/>
              </w:rPr>
            </w:pPr>
          </w:p>
        </w:tc>
        <w:tc>
          <w:tcPr>
            <w:tcW w:w="1525" w:type="dxa"/>
            <w:gridSpan w:val="2"/>
            <w:noWrap w:val="0"/>
            <w:vAlign w:val="center"/>
          </w:tcPr>
          <w:p w14:paraId="0D075C7A">
            <w:pPr>
              <w:jc w:val="center"/>
              <w:rPr>
                <w:rFonts w:hint="eastAsia" w:ascii="宋体" w:hAnsi="宋体" w:cs="宋体"/>
                <w:color w:val="auto"/>
                <w:sz w:val="24"/>
                <w:highlight w:val="none"/>
              </w:rPr>
            </w:pPr>
          </w:p>
        </w:tc>
        <w:tc>
          <w:tcPr>
            <w:tcW w:w="1524" w:type="dxa"/>
            <w:gridSpan w:val="2"/>
            <w:noWrap w:val="0"/>
            <w:vAlign w:val="center"/>
          </w:tcPr>
          <w:p w14:paraId="00BE87FC">
            <w:pPr>
              <w:jc w:val="center"/>
              <w:rPr>
                <w:rFonts w:hint="eastAsia" w:ascii="宋体" w:hAnsi="宋体" w:cs="宋体"/>
                <w:color w:val="auto"/>
                <w:sz w:val="24"/>
                <w:highlight w:val="none"/>
              </w:rPr>
            </w:pPr>
          </w:p>
        </w:tc>
        <w:tc>
          <w:tcPr>
            <w:tcW w:w="1396" w:type="dxa"/>
            <w:gridSpan w:val="2"/>
            <w:noWrap w:val="0"/>
            <w:vAlign w:val="center"/>
          </w:tcPr>
          <w:p w14:paraId="5EB57792">
            <w:pPr>
              <w:jc w:val="center"/>
              <w:rPr>
                <w:rFonts w:hint="eastAsia" w:ascii="宋体" w:hAnsi="宋体" w:cs="宋体"/>
                <w:color w:val="auto"/>
                <w:sz w:val="24"/>
                <w:highlight w:val="none"/>
              </w:rPr>
            </w:pPr>
          </w:p>
        </w:tc>
      </w:tr>
      <w:tr w14:paraId="49FC6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524" w:type="dxa"/>
            <w:gridSpan w:val="2"/>
            <w:noWrap w:val="0"/>
            <w:vAlign w:val="center"/>
          </w:tcPr>
          <w:p w14:paraId="690DC26A">
            <w:pPr>
              <w:jc w:val="center"/>
              <w:rPr>
                <w:rFonts w:hint="eastAsia" w:ascii="宋体" w:hAnsi="宋体" w:cs="宋体"/>
                <w:color w:val="auto"/>
                <w:sz w:val="24"/>
                <w:highlight w:val="none"/>
              </w:rPr>
            </w:pPr>
          </w:p>
        </w:tc>
        <w:tc>
          <w:tcPr>
            <w:tcW w:w="1525" w:type="dxa"/>
            <w:noWrap w:val="0"/>
            <w:vAlign w:val="center"/>
          </w:tcPr>
          <w:p w14:paraId="4892AEBD">
            <w:pPr>
              <w:jc w:val="center"/>
              <w:rPr>
                <w:rFonts w:hint="eastAsia" w:ascii="宋体" w:hAnsi="宋体" w:cs="宋体"/>
                <w:color w:val="auto"/>
                <w:sz w:val="24"/>
                <w:highlight w:val="none"/>
              </w:rPr>
            </w:pPr>
          </w:p>
        </w:tc>
        <w:tc>
          <w:tcPr>
            <w:tcW w:w="1524" w:type="dxa"/>
            <w:gridSpan w:val="2"/>
            <w:noWrap w:val="0"/>
            <w:vAlign w:val="center"/>
          </w:tcPr>
          <w:p w14:paraId="622DED0A">
            <w:pPr>
              <w:jc w:val="center"/>
              <w:rPr>
                <w:rFonts w:hint="eastAsia" w:ascii="宋体" w:hAnsi="宋体" w:cs="宋体"/>
                <w:color w:val="auto"/>
                <w:sz w:val="24"/>
                <w:highlight w:val="none"/>
              </w:rPr>
            </w:pPr>
          </w:p>
        </w:tc>
        <w:tc>
          <w:tcPr>
            <w:tcW w:w="1525" w:type="dxa"/>
            <w:gridSpan w:val="2"/>
            <w:noWrap w:val="0"/>
            <w:vAlign w:val="center"/>
          </w:tcPr>
          <w:p w14:paraId="583553B9">
            <w:pPr>
              <w:jc w:val="center"/>
              <w:rPr>
                <w:rFonts w:hint="eastAsia" w:ascii="宋体" w:hAnsi="宋体" w:cs="宋体"/>
                <w:color w:val="auto"/>
                <w:sz w:val="24"/>
                <w:highlight w:val="none"/>
              </w:rPr>
            </w:pPr>
          </w:p>
        </w:tc>
        <w:tc>
          <w:tcPr>
            <w:tcW w:w="1524" w:type="dxa"/>
            <w:gridSpan w:val="2"/>
            <w:noWrap w:val="0"/>
            <w:vAlign w:val="center"/>
          </w:tcPr>
          <w:p w14:paraId="6E1CB427">
            <w:pPr>
              <w:jc w:val="center"/>
              <w:rPr>
                <w:rFonts w:hint="eastAsia" w:ascii="宋体" w:hAnsi="宋体" w:cs="宋体"/>
                <w:color w:val="auto"/>
                <w:sz w:val="24"/>
                <w:highlight w:val="none"/>
              </w:rPr>
            </w:pPr>
          </w:p>
        </w:tc>
        <w:tc>
          <w:tcPr>
            <w:tcW w:w="1396" w:type="dxa"/>
            <w:gridSpan w:val="2"/>
            <w:noWrap w:val="0"/>
            <w:vAlign w:val="center"/>
          </w:tcPr>
          <w:p w14:paraId="4106827A">
            <w:pPr>
              <w:jc w:val="center"/>
              <w:rPr>
                <w:rFonts w:hint="eastAsia" w:ascii="宋体" w:hAnsi="宋体" w:cs="宋体"/>
                <w:color w:val="auto"/>
                <w:sz w:val="24"/>
                <w:highlight w:val="none"/>
              </w:rPr>
            </w:pPr>
          </w:p>
        </w:tc>
      </w:tr>
      <w:tr w14:paraId="2DF72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524" w:type="dxa"/>
            <w:gridSpan w:val="2"/>
            <w:noWrap w:val="0"/>
            <w:vAlign w:val="center"/>
          </w:tcPr>
          <w:p w14:paraId="60533F59">
            <w:pPr>
              <w:jc w:val="center"/>
              <w:rPr>
                <w:rFonts w:hint="eastAsia" w:ascii="宋体" w:hAnsi="宋体" w:cs="宋体"/>
                <w:color w:val="auto"/>
                <w:sz w:val="24"/>
                <w:highlight w:val="none"/>
              </w:rPr>
            </w:pPr>
          </w:p>
        </w:tc>
        <w:tc>
          <w:tcPr>
            <w:tcW w:w="1525" w:type="dxa"/>
            <w:noWrap w:val="0"/>
            <w:vAlign w:val="center"/>
          </w:tcPr>
          <w:p w14:paraId="24BDF485">
            <w:pPr>
              <w:jc w:val="center"/>
              <w:rPr>
                <w:rFonts w:hint="eastAsia" w:ascii="宋体" w:hAnsi="宋体" w:cs="宋体"/>
                <w:color w:val="auto"/>
                <w:sz w:val="24"/>
                <w:highlight w:val="none"/>
              </w:rPr>
            </w:pPr>
          </w:p>
        </w:tc>
        <w:tc>
          <w:tcPr>
            <w:tcW w:w="1524" w:type="dxa"/>
            <w:gridSpan w:val="2"/>
            <w:noWrap w:val="0"/>
            <w:vAlign w:val="center"/>
          </w:tcPr>
          <w:p w14:paraId="44609D1B">
            <w:pPr>
              <w:jc w:val="center"/>
              <w:rPr>
                <w:rFonts w:hint="eastAsia" w:ascii="宋体" w:hAnsi="宋体" w:cs="宋体"/>
                <w:color w:val="auto"/>
                <w:sz w:val="24"/>
                <w:highlight w:val="none"/>
              </w:rPr>
            </w:pPr>
          </w:p>
        </w:tc>
        <w:tc>
          <w:tcPr>
            <w:tcW w:w="1525" w:type="dxa"/>
            <w:gridSpan w:val="2"/>
            <w:noWrap w:val="0"/>
            <w:vAlign w:val="center"/>
          </w:tcPr>
          <w:p w14:paraId="4CA66A52">
            <w:pPr>
              <w:jc w:val="center"/>
              <w:rPr>
                <w:rFonts w:hint="eastAsia" w:ascii="宋体" w:hAnsi="宋体" w:cs="宋体"/>
                <w:color w:val="auto"/>
                <w:sz w:val="24"/>
                <w:highlight w:val="none"/>
              </w:rPr>
            </w:pPr>
          </w:p>
        </w:tc>
        <w:tc>
          <w:tcPr>
            <w:tcW w:w="1524" w:type="dxa"/>
            <w:gridSpan w:val="2"/>
            <w:noWrap w:val="0"/>
            <w:vAlign w:val="center"/>
          </w:tcPr>
          <w:p w14:paraId="315C32BF">
            <w:pPr>
              <w:jc w:val="center"/>
              <w:rPr>
                <w:rFonts w:hint="eastAsia" w:ascii="宋体" w:hAnsi="宋体" w:cs="宋体"/>
                <w:color w:val="auto"/>
                <w:sz w:val="24"/>
                <w:highlight w:val="none"/>
              </w:rPr>
            </w:pPr>
          </w:p>
        </w:tc>
        <w:tc>
          <w:tcPr>
            <w:tcW w:w="1396" w:type="dxa"/>
            <w:gridSpan w:val="2"/>
            <w:noWrap w:val="0"/>
            <w:vAlign w:val="center"/>
          </w:tcPr>
          <w:p w14:paraId="7B0BE1E6">
            <w:pPr>
              <w:jc w:val="center"/>
              <w:rPr>
                <w:rFonts w:hint="eastAsia" w:ascii="宋体" w:hAnsi="宋体" w:cs="宋体"/>
                <w:color w:val="auto"/>
                <w:sz w:val="24"/>
                <w:highlight w:val="none"/>
              </w:rPr>
            </w:pPr>
          </w:p>
        </w:tc>
      </w:tr>
    </w:tbl>
    <w:p w14:paraId="7E77EA4F">
      <w:pPr>
        <w:spacing w:line="360" w:lineRule="auto"/>
        <w:rPr>
          <w:rFonts w:hint="eastAsia" w:ascii="宋体" w:hAnsi="宋体" w:cs="宋体"/>
          <w:color w:val="auto"/>
          <w:sz w:val="24"/>
          <w:highlight w:val="none"/>
        </w:rPr>
      </w:pPr>
    </w:p>
    <w:p w14:paraId="3E967011">
      <w:pPr>
        <w:spacing w:line="360" w:lineRule="auto"/>
        <w:rPr>
          <w:rFonts w:hint="eastAsia" w:ascii="宋体" w:hAnsi="宋体" w:cs="宋体"/>
          <w:color w:val="auto"/>
          <w:sz w:val="24"/>
          <w:highlight w:val="none"/>
        </w:rPr>
      </w:pPr>
      <w:r>
        <w:rPr>
          <w:rFonts w:hint="eastAsia" w:ascii="宋体" w:hAnsi="宋体" w:cs="宋体"/>
          <w:color w:val="auto"/>
          <w:sz w:val="24"/>
          <w:highlight w:val="none"/>
        </w:rPr>
        <w:t>备注：附技术负责人</w:t>
      </w:r>
      <w:r>
        <w:rPr>
          <w:rFonts w:hint="eastAsia" w:ascii="宋体" w:hAnsi="宋体" w:cs="宋体"/>
          <w:color w:val="auto"/>
          <w:sz w:val="24"/>
          <w:highlight w:val="none"/>
          <w:lang w:eastAsia="zh-CN"/>
        </w:rPr>
        <w:t>相关</w:t>
      </w:r>
      <w:r>
        <w:rPr>
          <w:rFonts w:hint="eastAsia" w:ascii="宋体" w:hAnsi="宋体" w:cs="宋体"/>
          <w:color w:val="auto"/>
          <w:sz w:val="24"/>
          <w:highlight w:val="none"/>
        </w:rPr>
        <w:t>证明材料复印件。</w:t>
      </w:r>
    </w:p>
    <w:p w14:paraId="676C8439">
      <w:pPr>
        <w:autoSpaceDE w:val="0"/>
        <w:autoSpaceDN w:val="0"/>
        <w:spacing w:line="360" w:lineRule="auto"/>
        <w:rPr>
          <w:rFonts w:hint="eastAsia" w:ascii="宋体" w:hAnsi="宋体" w:cs="宋体"/>
          <w:b/>
          <w:bCs/>
          <w:color w:val="auto"/>
          <w:sz w:val="24"/>
          <w:highlight w:val="none"/>
        </w:rPr>
      </w:pPr>
    </w:p>
    <w:p w14:paraId="6FF8E155">
      <w:pPr>
        <w:autoSpaceDE w:val="0"/>
        <w:autoSpaceDN w:val="0"/>
        <w:spacing w:line="360" w:lineRule="auto"/>
        <w:ind w:left="4335" w:leftChars="1950" w:hanging="240" w:hangingChars="100"/>
        <w:rPr>
          <w:rFonts w:hint="eastAsia"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1BF0FAE6">
      <w:pPr>
        <w:autoSpaceDE w:val="0"/>
        <w:autoSpaceDN w:val="0"/>
        <w:spacing w:line="360" w:lineRule="auto"/>
        <w:ind w:firstLine="6480" w:firstLineChars="2700"/>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日期：  年  月   日</w:t>
      </w:r>
    </w:p>
    <w:p w14:paraId="58B1DBCE">
      <w:pPr>
        <w:autoSpaceDE w:val="0"/>
        <w:autoSpaceDN w:val="0"/>
        <w:spacing w:line="360" w:lineRule="auto"/>
        <w:ind w:firstLine="6505" w:firstLineChars="2700"/>
        <w:rPr>
          <w:rFonts w:hint="eastAsia" w:ascii="宋体" w:hAnsi="宋体" w:cs="宋体"/>
          <w:b/>
          <w:bCs/>
          <w:color w:val="auto"/>
          <w:sz w:val="24"/>
          <w:highlight w:val="none"/>
        </w:rPr>
      </w:pPr>
    </w:p>
    <w:p w14:paraId="1ABF2C26">
      <w:pPr>
        <w:autoSpaceDE w:val="0"/>
        <w:autoSpaceDN w:val="0"/>
        <w:spacing w:line="360" w:lineRule="auto"/>
        <w:ind w:firstLine="6505" w:firstLineChars="2700"/>
        <w:rPr>
          <w:rFonts w:hint="eastAsia" w:ascii="宋体" w:hAnsi="宋体" w:cs="宋体"/>
          <w:b/>
          <w:bCs/>
          <w:color w:val="auto"/>
          <w:sz w:val="24"/>
          <w:highlight w:val="none"/>
        </w:rPr>
      </w:pPr>
    </w:p>
    <w:p w14:paraId="7A9F223C">
      <w:pPr>
        <w:autoSpaceDE w:val="0"/>
        <w:autoSpaceDN w:val="0"/>
        <w:spacing w:line="360" w:lineRule="auto"/>
        <w:ind w:firstLine="6505" w:firstLineChars="2700"/>
        <w:rPr>
          <w:rFonts w:hint="eastAsia" w:ascii="宋体" w:hAnsi="宋体" w:cs="宋体"/>
          <w:b/>
          <w:bCs/>
          <w:color w:val="auto"/>
          <w:sz w:val="24"/>
          <w:highlight w:val="none"/>
        </w:rPr>
      </w:pPr>
    </w:p>
    <w:p w14:paraId="45639819">
      <w:pPr>
        <w:autoSpaceDE w:val="0"/>
        <w:autoSpaceDN w:val="0"/>
        <w:spacing w:line="360" w:lineRule="auto"/>
        <w:ind w:firstLine="6505" w:firstLineChars="2700"/>
        <w:rPr>
          <w:rFonts w:hint="eastAsia" w:ascii="宋体" w:hAnsi="宋体" w:cs="宋体"/>
          <w:b/>
          <w:bCs/>
          <w:color w:val="auto"/>
          <w:sz w:val="24"/>
          <w:highlight w:val="none"/>
        </w:rPr>
      </w:pPr>
    </w:p>
    <w:p w14:paraId="71BB04BF">
      <w:pPr>
        <w:autoSpaceDE w:val="0"/>
        <w:autoSpaceDN w:val="0"/>
        <w:spacing w:line="360" w:lineRule="auto"/>
        <w:ind w:firstLine="6505" w:firstLineChars="2700"/>
        <w:rPr>
          <w:rFonts w:hint="eastAsia" w:ascii="宋体" w:hAnsi="宋体" w:cs="宋体"/>
          <w:b/>
          <w:bCs/>
          <w:color w:val="auto"/>
          <w:sz w:val="24"/>
          <w:highlight w:val="none"/>
        </w:rPr>
      </w:pPr>
    </w:p>
    <w:p w14:paraId="0EA1B1FC">
      <w:pPr>
        <w:autoSpaceDE w:val="0"/>
        <w:autoSpaceDN w:val="0"/>
        <w:spacing w:line="360" w:lineRule="auto"/>
        <w:ind w:firstLine="6505" w:firstLineChars="2700"/>
        <w:rPr>
          <w:rFonts w:hint="eastAsia" w:ascii="宋体" w:hAnsi="宋体" w:cs="宋体"/>
          <w:b/>
          <w:bCs/>
          <w:color w:val="auto"/>
          <w:sz w:val="24"/>
          <w:highlight w:val="none"/>
        </w:rPr>
      </w:pPr>
    </w:p>
    <w:p w14:paraId="57CD8753">
      <w:pPr>
        <w:autoSpaceDE w:val="0"/>
        <w:autoSpaceDN w:val="0"/>
        <w:spacing w:line="360" w:lineRule="auto"/>
        <w:ind w:firstLine="6505" w:firstLineChars="2700"/>
        <w:rPr>
          <w:rFonts w:hint="eastAsia" w:ascii="宋体" w:hAnsi="宋体" w:cs="宋体"/>
          <w:b/>
          <w:bCs/>
          <w:color w:val="auto"/>
          <w:sz w:val="24"/>
          <w:highlight w:val="none"/>
        </w:rPr>
      </w:pPr>
    </w:p>
    <w:p w14:paraId="1CC56596">
      <w:pPr>
        <w:autoSpaceDE w:val="0"/>
        <w:autoSpaceDN w:val="0"/>
        <w:spacing w:line="360" w:lineRule="auto"/>
        <w:ind w:firstLine="6505" w:firstLineChars="2700"/>
        <w:rPr>
          <w:rFonts w:hint="eastAsia" w:ascii="宋体" w:hAnsi="宋体" w:cs="宋体"/>
          <w:b/>
          <w:bCs/>
          <w:color w:val="auto"/>
          <w:sz w:val="24"/>
          <w:highlight w:val="none"/>
        </w:rPr>
      </w:pPr>
    </w:p>
    <w:p w14:paraId="59EE2263">
      <w:pPr>
        <w:autoSpaceDE w:val="0"/>
        <w:autoSpaceDN w:val="0"/>
        <w:spacing w:line="360" w:lineRule="auto"/>
        <w:ind w:firstLine="6505" w:firstLineChars="2700"/>
        <w:rPr>
          <w:rFonts w:hint="eastAsia" w:ascii="宋体" w:hAnsi="宋体" w:cs="宋体"/>
          <w:b/>
          <w:bCs/>
          <w:color w:val="auto"/>
          <w:sz w:val="24"/>
          <w:highlight w:val="none"/>
        </w:rPr>
      </w:pPr>
    </w:p>
    <w:p w14:paraId="4B40B9C5">
      <w:pPr>
        <w:autoSpaceDE w:val="0"/>
        <w:autoSpaceDN w:val="0"/>
        <w:spacing w:line="360" w:lineRule="auto"/>
        <w:ind w:firstLine="6505" w:firstLineChars="2700"/>
        <w:rPr>
          <w:rFonts w:hint="eastAsia" w:ascii="宋体" w:hAnsi="宋体" w:cs="宋体"/>
          <w:b/>
          <w:bCs/>
          <w:color w:val="auto"/>
          <w:sz w:val="24"/>
          <w:highlight w:val="none"/>
        </w:rPr>
      </w:pPr>
    </w:p>
    <w:p w14:paraId="3D649B82">
      <w:pPr>
        <w:autoSpaceDE w:val="0"/>
        <w:autoSpaceDN w:val="0"/>
        <w:spacing w:line="360" w:lineRule="auto"/>
        <w:ind w:firstLine="6505" w:firstLineChars="2700"/>
        <w:rPr>
          <w:rFonts w:hint="eastAsia" w:ascii="宋体" w:hAnsi="宋体" w:cs="宋体"/>
          <w:b/>
          <w:bCs/>
          <w:color w:val="auto"/>
          <w:sz w:val="24"/>
          <w:highlight w:val="none"/>
        </w:rPr>
      </w:pPr>
    </w:p>
    <w:p w14:paraId="0B9547A6">
      <w:pPr>
        <w:autoSpaceDE w:val="0"/>
        <w:autoSpaceDN w:val="0"/>
        <w:spacing w:line="360" w:lineRule="auto"/>
        <w:ind w:firstLine="6505" w:firstLineChars="2700"/>
        <w:rPr>
          <w:rFonts w:hint="eastAsia" w:ascii="宋体" w:hAnsi="宋体" w:cs="宋体"/>
          <w:b/>
          <w:bCs/>
          <w:color w:val="auto"/>
          <w:sz w:val="24"/>
          <w:highlight w:val="none"/>
        </w:rPr>
      </w:pPr>
    </w:p>
    <w:p w14:paraId="6B01CD2A">
      <w:pPr>
        <w:autoSpaceDE w:val="0"/>
        <w:autoSpaceDN w:val="0"/>
        <w:spacing w:line="360" w:lineRule="auto"/>
        <w:ind w:firstLine="6505" w:firstLineChars="2700"/>
        <w:rPr>
          <w:rFonts w:hint="eastAsia" w:ascii="宋体" w:hAnsi="宋体" w:cs="宋体"/>
          <w:b/>
          <w:bCs/>
          <w:color w:val="auto"/>
          <w:sz w:val="24"/>
          <w:highlight w:val="none"/>
        </w:rPr>
      </w:pPr>
    </w:p>
    <w:p w14:paraId="5BBA291A">
      <w:pPr>
        <w:pStyle w:val="37"/>
        <w:jc w:val="center"/>
        <w:rPr>
          <w:rFonts w:hint="eastAsia" w:ascii="宋体" w:hAnsi="宋体" w:cs="宋体"/>
          <w:b/>
          <w:color w:val="auto"/>
          <w:sz w:val="30"/>
          <w:szCs w:val="30"/>
          <w:highlight w:val="none"/>
        </w:rPr>
      </w:pPr>
      <w:bookmarkStart w:id="171" w:name="_Toc172364025"/>
      <w:bookmarkStart w:id="172" w:name="_Toc153274947"/>
      <w:bookmarkStart w:id="173" w:name="_Toc251052184"/>
      <w:bookmarkStart w:id="174" w:name="_Toc173579005"/>
      <w:r>
        <w:rPr>
          <w:rFonts w:hint="eastAsia" w:ascii="宋体" w:hAnsi="宋体" w:cs="宋体"/>
          <w:b/>
          <w:bCs/>
          <w:color w:val="auto"/>
          <w:sz w:val="30"/>
          <w:szCs w:val="30"/>
          <w:highlight w:val="none"/>
          <w:lang w:val="en-US" w:eastAsia="zh-CN"/>
        </w:rPr>
        <w:t>3</w:t>
      </w:r>
      <w:r>
        <w:rPr>
          <w:rFonts w:hint="eastAsia" w:ascii="宋体" w:hAnsi="宋体" w:cs="宋体"/>
          <w:b/>
          <w:color w:val="auto"/>
          <w:sz w:val="30"/>
          <w:szCs w:val="30"/>
          <w:highlight w:val="none"/>
        </w:rPr>
        <w:t>.</w:t>
      </w:r>
      <w:bookmarkEnd w:id="171"/>
      <w:bookmarkEnd w:id="172"/>
      <w:bookmarkEnd w:id="173"/>
      <w:bookmarkEnd w:id="174"/>
      <w:r>
        <w:rPr>
          <w:rFonts w:hint="eastAsia" w:ascii="宋体" w:hAnsi="宋体" w:cs="宋体"/>
          <w:b/>
          <w:color w:val="auto"/>
          <w:sz w:val="30"/>
          <w:szCs w:val="30"/>
          <w:highlight w:val="none"/>
        </w:rPr>
        <w:t>项目管理机构配备情况表</w:t>
      </w:r>
    </w:p>
    <w:p w14:paraId="08B6A5F3">
      <w:pPr>
        <w:pStyle w:val="37"/>
        <w:jc w:val="center"/>
        <w:rPr>
          <w:rFonts w:hint="eastAsia" w:ascii="宋体" w:hAnsi="宋体" w:cs="宋体"/>
          <w:b/>
          <w:color w:val="auto"/>
          <w:sz w:val="30"/>
          <w:szCs w:val="30"/>
          <w:highlight w:val="none"/>
        </w:rPr>
      </w:pPr>
    </w:p>
    <w:tbl>
      <w:tblPr>
        <w:tblStyle w:val="23"/>
        <w:tblW w:w="93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829"/>
        <w:gridCol w:w="816"/>
        <w:gridCol w:w="1148"/>
        <w:gridCol w:w="1148"/>
        <w:gridCol w:w="1148"/>
        <w:gridCol w:w="1148"/>
        <w:gridCol w:w="850"/>
        <w:gridCol w:w="1276"/>
      </w:tblGrid>
      <w:tr w14:paraId="0A0C8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jc w:val="center"/>
        </w:trPr>
        <w:tc>
          <w:tcPr>
            <w:tcW w:w="993" w:type="dxa"/>
            <w:vMerge w:val="restart"/>
            <w:noWrap w:val="0"/>
            <w:vAlign w:val="center"/>
          </w:tcPr>
          <w:p w14:paraId="1C0D106D">
            <w:pPr>
              <w:pStyle w:val="38"/>
              <w:ind w:left="223" w:hanging="222" w:hangingChars="106"/>
              <w:jc w:val="center"/>
              <w:rPr>
                <w:color w:val="auto"/>
                <w:highlight w:val="none"/>
              </w:rPr>
            </w:pPr>
            <w:r>
              <w:rPr>
                <w:rFonts w:hint="eastAsia" w:cs="宋体"/>
                <w:color w:val="auto"/>
                <w:highlight w:val="none"/>
              </w:rPr>
              <w:t>岗位</w:t>
            </w:r>
          </w:p>
        </w:tc>
        <w:tc>
          <w:tcPr>
            <w:tcW w:w="829" w:type="dxa"/>
            <w:vMerge w:val="restart"/>
            <w:noWrap w:val="0"/>
            <w:vAlign w:val="center"/>
          </w:tcPr>
          <w:p w14:paraId="1D25778C">
            <w:pPr>
              <w:pStyle w:val="38"/>
              <w:ind w:left="223" w:hanging="222" w:hangingChars="106"/>
              <w:jc w:val="center"/>
              <w:rPr>
                <w:color w:val="auto"/>
                <w:highlight w:val="none"/>
              </w:rPr>
            </w:pPr>
            <w:bookmarkStart w:id="175" w:name="_Toc251052187"/>
            <w:r>
              <w:rPr>
                <w:rFonts w:hint="eastAsia" w:cs="宋体"/>
                <w:color w:val="auto"/>
                <w:highlight w:val="none"/>
              </w:rPr>
              <w:t>姓名</w:t>
            </w:r>
            <w:bookmarkEnd w:id="175"/>
          </w:p>
        </w:tc>
        <w:tc>
          <w:tcPr>
            <w:tcW w:w="816" w:type="dxa"/>
            <w:vMerge w:val="restart"/>
            <w:noWrap w:val="0"/>
            <w:vAlign w:val="center"/>
          </w:tcPr>
          <w:p w14:paraId="50C64A9B">
            <w:pPr>
              <w:pStyle w:val="38"/>
              <w:ind w:left="223" w:hanging="222" w:hangingChars="106"/>
              <w:jc w:val="center"/>
              <w:rPr>
                <w:color w:val="auto"/>
                <w:highlight w:val="none"/>
              </w:rPr>
            </w:pPr>
            <w:bookmarkStart w:id="176" w:name="_Toc251052188"/>
            <w:r>
              <w:rPr>
                <w:rFonts w:hint="eastAsia" w:cs="宋体"/>
                <w:color w:val="auto"/>
                <w:highlight w:val="none"/>
              </w:rPr>
              <w:t>职称</w:t>
            </w:r>
            <w:bookmarkEnd w:id="176"/>
          </w:p>
        </w:tc>
        <w:tc>
          <w:tcPr>
            <w:tcW w:w="4592" w:type="dxa"/>
            <w:gridSpan w:val="4"/>
            <w:noWrap w:val="0"/>
            <w:vAlign w:val="center"/>
          </w:tcPr>
          <w:p w14:paraId="0586A37B">
            <w:pPr>
              <w:pStyle w:val="38"/>
              <w:ind w:left="223" w:hanging="222" w:hangingChars="106"/>
              <w:jc w:val="center"/>
              <w:rPr>
                <w:color w:val="auto"/>
                <w:highlight w:val="none"/>
              </w:rPr>
            </w:pPr>
            <w:bookmarkStart w:id="177" w:name="_Toc251052189"/>
            <w:r>
              <w:rPr>
                <w:rFonts w:hint="eastAsia" w:cs="宋体"/>
                <w:color w:val="auto"/>
                <w:highlight w:val="none"/>
              </w:rPr>
              <w:t>执业或职业资格证明</w:t>
            </w:r>
            <w:bookmarkEnd w:id="177"/>
          </w:p>
        </w:tc>
        <w:tc>
          <w:tcPr>
            <w:tcW w:w="2126" w:type="dxa"/>
            <w:gridSpan w:val="2"/>
            <w:noWrap w:val="0"/>
            <w:vAlign w:val="center"/>
          </w:tcPr>
          <w:p w14:paraId="14102F7F">
            <w:pPr>
              <w:pStyle w:val="38"/>
              <w:ind w:left="223" w:hanging="222" w:hangingChars="106"/>
              <w:jc w:val="center"/>
              <w:rPr>
                <w:color w:val="auto"/>
                <w:highlight w:val="none"/>
              </w:rPr>
            </w:pPr>
            <w:bookmarkStart w:id="178" w:name="_Toc251052190"/>
            <w:r>
              <w:rPr>
                <w:rFonts w:hint="eastAsia" w:cs="宋体"/>
                <w:color w:val="auto"/>
                <w:highlight w:val="none"/>
              </w:rPr>
              <w:t>承担完工</w:t>
            </w:r>
            <w:bookmarkEnd w:id="178"/>
            <w:bookmarkStart w:id="179" w:name="_Toc251052191"/>
            <w:r>
              <w:rPr>
                <w:rFonts w:hint="eastAsia" w:cs="宋体"/>
                <w:color w:val="auto"/>
                <w:highlight w:val="none"/>
              </w:rPr>
              <w:t>工程情况</w:t>
            </w:r>
            <w:bookmarkEnd w:id="179"/>
          </w:p>
        </w:tc>
      </w:tr>
      <w:tr w14:paraId="64DD2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jc w:val="center"/>
        </w:trPr>
        <w:tc>
          <w:tcPr>
            <w:tcW w:w="993" w:type="dxa"/>
            <w:vMerge w:val="continue"/>
            <w:noWrap w:val="0"/>
            <w:vAlign w:val="center"/>
          </w:tcPr>
          <w:p w14:paraId="3C6C913F">
            <w:pPr>
              <w:pStyle w:val="38"/>
              <w:ind w:left="223" w:hanging="222" w:hangingChars="106"/>
              <w:jc w:val="center"/>
              <w:rPr>
                <w:color w:val="auto"/>
                <w:highlight w:val="none"/>
              </w:rPr>
            </w:pPr>
          </w:p>
        </w:tc>
        <w:tc>
          <w:tcPr>
            <w:tcW w:w="829" w:type="dxa"/>
            <w:vMerge w:val="continue"/>
            <w:noWrap w:val="0"/>
            <w:vAlign w:val="center"/>
          </w:tcPr>
          <w:p w14:paraId="26699A59">
            <w:pPr>
              <w:pStyle w:val="38"/>
              <w:ind w:left="223" w:hanging="222" w:hangingChars="106"/>
              <w:jc w:val="center"/>
              <w:rPr>
                <w:color w:val="auto"/>
                <w:highlight w:val="none"/>
              </w:rPr>
            </w:pPr>
          </w:p>
        </w:tc>
        <w:tc>
          <w:tcPr>
            <w:tcW w:w="816" w:type="dxa"/>
            <w:vMerge w:val="continue"/>
            <w:noWrap w:val="0"/>
            <w:vAlign w:val="center"/>
          </w:tcPr>
          <w:p w14:paraId="0BC588A6">
            <w:pPr>
              <w:pStyle w:val="38"/>
              <w:ind w:left="223" w:hanging="222" w:hangingChars="106"/>
              <w:jc w:val="center"/>
              <w:rPr>
                <w:color w:val="auto"/>
                <w:highlight w:val="none"/>
              </w:rPr>
            </w:pPr>
          </w:p>
        </w:tc>
        <w:tc>
          <w:tcPr>
            <w:tcW w:w="1148" w:type="dxa"/>
            <w:noWrap w:val="0"/>
            <w:vAlign w:val="center"/>
          </w:tcPr>
          <w:p w14:paraId="50AA03DA">
            <w:pPr>
              <w:pStyle w:val="38"/>
              <w:ind w:left="223" w:hanging="222" w:hangingChars="106"/>
              <w:jc w:val="center"/>
              <w:rPr>
                <w:color w:val="auto"/>
                <w:highlight w:val="none"/>
              </w:rPr>
            </w:pPr>
            <w:bookmarkStart w:id="180" w:name="_Toc251052192"/>
            <w:r>
              <w:rPr>
                <w:rFonts w:hint="eastAsia" w:cs="宋体"/>
                <w:color w:val="auto"/>
                <w:highlight w:val="none"/>
              </w:rPr>
              <w:t>证书名称</w:t>
            </w:r>
            <w:bookmarkEnd w:id="180"/>
          </w:p>
        </w:tc>
        <w:tc>
          <w:tcPr>
            <w:tcW w:w="1148" w:type="dxa"/>
            <w:noWrap w:val="0"/>
            <w:vAlign w:val="center"/>
          </w:tcPr>
          <w:p w14:paraId="36A1AF58">
            <w:pPr>
              <w:pStyle w:val="38"/>
              <w:ind w:left="223" w:hanging="222" w:hangingChars="106"/>
              <w:jc w:val="center"/>
              <w:rPr>
                <w:color w:val="auto"/>
                <w:highlight w:val="none"/>
              </w:rPr>
            </w:pPr>
            <w:bookmarkStart w:id="181" w:name="_Toc251052193"/>
            <w:r>
              <w:rPr>
                <w:rFonts w:hint="eastAsia" w:cs="宋体"/>
                <w:color w:val="auto"/>
                <w:highlight w:val="none"/>
              </w:rPr>
              <w:t>级别</w:t>
            </w:r>
            <w:bookmarkEnd w:id="181"/>
          </w:p>
        </w:tc>
        <w:tc>
          <w:tcPr>
            <w:tcW w:w="1148" w:type="dxa"/>
            <w:noWrap w:val="0"/>
            <w:vAlign w:val="center"/>
          </w:tcPr>
          <w:p w14:paraId="3B35FAAC">
            <w:pPr>
              <w:pStyle w:val="38"/>
              <w:ind w:left="223" w:hanging="222" w:hangingChars="106"/>
              <w:jc w:val="center"/>
              <w:rPr>
                <w:color w:val="auto"/>
                <w:highlight w:val="none"/>
              </w:rPr>
            </w:pPr>
            <w:bookmarkStart w:id="182" w:name="_Toc251052194"/>
            <w:r>
              <w:rPr>
                <w:rFonts w:hint="eastAsia" w:cs="宋体"/>
                <w:color w:val="auto"/>
                <w:highlight w:val="none"/>
              </w:rPr>
              <w:t>证号</w:t>
            </w:r>
            <w:bookmarkEnd w:id="182"/>
          </w:p>
        </w:tc>
        <w:tc>
          <w:tcPr>
            <w:tcW w:w="1148" w:type="dxa"/>
            <w:noWrap w:val="0"/>
            <w:vAlign w:val="center"/>
          </w:tcPr>
          <w:p w14:paraId="65EDE397">
            <w:pPr>
              <w:pStyle w:val="38"/>
              <w:ind w:left="223" w:hanging="222" w:hangingChars="106"/>
              <w:jc w:val="center"/>
              <w:rPr>
                <w:color w:val="auto"/>
                <w:highlight w:val="none"/>
              </w:rPr>
            </w:pPr>
            <w:bookmarkStart w:id="183" w:name="_Toc251052195"/>
            <w:r>
              <w:rPr>
                <w:rFonts w:hint="eastAsia" w:cs="宋体"/>
                <w:color w:val="auto"/>
                <w:highlight w:val="none"/>
              </w:rPr>
              <w:t>专业</w:t>
            </w:r>
            <w:bookmarkEnd w:id="183"/>
          </w:p>
        </w:tc>
        <w:tc>
          <w:tcPr>
            <w:tcW w:w="850" w:type="dxa"/>
            <w:noWrap w:val="0"/>
            <w:vAlign w:val="center"/>
          </w:tcPr>
          <w:p w14:paraId="7DE6115D">
            <w:pPr>
              <w:pStyle w:val="38"/>
              <w:ind w:left="223" w:hanging="222" w:hangingChars="106"/>
              <w:jc w:val="center"/>
              <w:rPr>
                <w:color w:val="auto"/>
                <w:highlight w:val="none"/>
              </w:rPr>
            </w:pPr>
            <w:bookmarkStart w:id="184" w:name="_Toc251052197"/>
            <w:r>
              <w:rPr>
                <w:rFonts w:hint="eastAsia" w:cs="宋体"/>
                <w:color w:val="auto"/>
                <w:highlight w:val="none"/>
              </w:rPr>
              <w:t>项目数</w:t>
            </w:r>
            <w:bookmarkEnd w:id="184"/>
          </w:p>
        </w:tc>
        <w:tc>
          <w:tcPr>
            <w:tcW w:w="1276" w:type="dxa"/>
            <w:noWrap w:val="0"/>
            <w:vAlign w:val="center"/>
          </w:tcPr>
          <w:p w14:paraId="6F16539B">
            <w:pPr>
              <w:pStyle w:val="38"/>
              <w:ind w:left="223" w:hanging="222" w:hangingChars="106"/>
              <w:jc w:val="center"/>
              <w:rPr>
                <w:color w:val="auto"/>
                <w:highlight w:val="none"/>
              </w:rPr>
            </w:pPr>
            <w:bookmarkStart w:id="185" w:name="_Toc251052198"/>
            <w:r>
              <w:rPr>
                <w:rFonts w:hint="eastAsia" w:cs="宋体"/>
                <w:color w:val="auto"/>
                <w:highlight w:val="none"/>
              </w:rPr>
              <w:t>主要项目</w:t>
            </w:r>
          </w:p>
          <w:p w14:paraId="7BD20789">
            <w:pPr>
              <w:pStyle w:val="38"/>
              <w:ind w:left="223" w:hanging="222" w:hangingChars="106"/>
              <w:jc w:val="center"/>
              <w:rPr>
                <w:color w:val="auto"/>
                <w:highlight w:val="none"/>
              </w:rPr>
            </w:pPr>
            <w:r>
              <w:rPr>
                <w:rFonts w:hint="eastAsia" w:cs="宋体"/>
                <w:color w:val="auto"/>
                <w:highlight w:val="none"/>
              </w:rPr>
              <w:t>名称</w:t>
            </w:r>
            <w:bookmarkEnd w:id="185"/>
          </w:p>
        </w:tc>
      </w:tr>
      <w:tr w14:paraId="22153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noWrap w:val="0"/>
            <w:vAlign w:val="center"/>
          </w:tcPr>
          <w:p w14:paraId="2799D0E0">
            <w:pPr>
              <w:pStyle w:val="38"/>
              <w:ind w:left="223" w:hanging="222" w:hangingChars="106"/>
              <w:jc w:val="center"/>
              <w:rPr>
                <w:color w:val="auto"/>
                <w:highlight w:val="none"/>
              </w:rPr>
            </w:pPr>
            <w:r>
              <w:rPr>
                <w:rFonts w:hint="eastAsia" w:cs="宋体"/>
                <w:color w:val="auto"/>
                <w:highlight w:val="none"/>
              </w:rPr>
              <w:t>施工员</w:t>
            </w:r>
          </w:p>
        </w:tc>
        <w:tc>
          <w:tcPr>
            <w:tcW w:w="829" w:type="dxa"/>
            <w:noWrap w:val="0"/>
            <w:vAlign w:val="center"/>
          </w:tcPr>
          <w:p w14:paraId="6A9291C8">
            <w:pPr>
              <w:pStyle w:val="38"/>
              <w:ind w:left="223" w:hanging="222" w:hangingChars="106"/>
              <w:jc w:val="center"/>
              <w:rPr>
                <w:color w:val="auto"/>
                <w:highlight w:val="none"/>
              </w:rPr>
            </w:pPr>
          </w:p>
        </w:tc>
        <w:tc>
          <w:tcPr>
            <w:tcW w:w="816" w:type="dxa"/>
            <w:noWrap w:val="0"/>
            <w:vAlign w:val="center"/>
          </w:tcPr>
          <w:p w14:paraId="087D0F38">
            <w:pPr>
              <w:pStyle w:val="38"/>
              <w:ind w:left="223" w:hanging="222" w:hangingChars="106"/>
              <w:jc w:val="center"/>
              <w:rPr>
                <w:color w:val="auto"/>
                <w:highlight w:val="none"/>
              </w:rPr>
            </w:pPr>
          </w:p>
        </w:tc>
        <w:tc>
          <w:tcPr>
            <w:tcW w:w="1148" w:type="dxa"/>
            <w:noWrap w:val="0"/>
            <w:vAlign w:val="center"/>
          </w:tcPr>
          <w:p w14:paraId="23525B13">
            <w:pPr>
              <w:pStyle w:val="38"/>
              <w:ind w:left="223" w:hanging="222" w:hangingChars="106"/>
              <w:jc w:val="center"/>
              <w:rPr>
                <w:color w:val="auto"/>
                <w:highlight w:val="none"/>
              </w:rPr>
            </w:pPr>
          </w:p>
        </w:tc>
        <w:tc>
          <w:tcPr>
            <w:tcW w:w="1148" w:type="dxa"/>
            <w:noWrap w:val="0"/>
            <w:vAlign w:val="center"/>
          </w:tcPr>
          <w:p w14:paraId="13052713">
            <w:pPr>
              <w:pStyle w:val="38"/>
              <w:ind w:left="223" w:hanging="222" w:hangingChars="106"/>
              <w:jc w:val="center"/>
              <w:rPr>
                <w:color w:val="auto"/>
                <w:highlight w:val="none"/>
              </w:rPr>
            </w:pPr>
          </w:p>
        </w:tc>
        <w:tc>
          <w:tcPr>
            <w:tcW w:w="1148" w:type="dxa"/>
            <w:noWrap w:val="0"/>
            <w:vAlign w:val="center"/>
          </w:tcPr>
          <w:p w14:paraId="3D1186FC">
            <w:pPr>
              <w:pStyle w:val="38"/>
              <w:ind w:left="223" w:hanging="222" w:hangingChars="106"/>
              <w:jc w:val="center"/>
              <w:rPr>
                <w:color w:val="auto"/>
                <w:highlight w:val="none"/>
              </w:rPr>
            </w:pPr>
          </w:p>
        </w:tc>
        <w:tc>
          <w:tcPr>
            <w:tcW w:w="1148" w:type="dxa"/>
            <w:noWrap w:val="0"/>
            <w:vAlign w:val="center"/>
          </w:tcPr>
          <w:p w14:paraId="4C269D66">
            <w:pPr>
              <w:pStyle w:val="38"/>
              <w:ind w:left="223" w:hanging="222" w:hangingChars="106"/>
              <w:jc w:val="center"/>
              <w:rPr>
                <w:color w:val="auto"/>
                <w:highlight w:val="none"/>
              </w:rPr>
            </w:pPr>
          </w:p>
        </w:tc>
        <w:tc>
          <w:tcPr>
            <w:tcW w:w="850" w:type="dxa"/>
            <w:noWrap w:val="0"/>
            <w:vAlign w:val="center"/>
          </w:tcPr>
          <w:p w14:paraId="0AD86578">
            <w:pPr>
              <w:pStyle w:val="38"/>
              <w:ind w:left="223" w:hanging="222" w:hangingChars="106"/>
              <w:jc w:val="center"/>
              <w:rPr>
                <w:color w:val="auto"/>
                <w:highlight w:val="none"/>
              </w:rPr>
            </w:pPr>
          </w:p>
        </w:tc>
        <w:tc>
          <w:tcPr>
            <w:tcW w:w="1276" w:type="dxa"/>
            <w:noWrap w:val="0"/>
            <w:vAlign w:val="center"/>
          </w:tcPr>
          <w:p w14:paraId="776AE50F">
            <w:pPr>
              <w:pStyle w:val="38"/>
              <w:ind w:left="223" w:hanging="222" w:hangingChars="106"/>
              <w:jc w:val="center"/>
              <w:rPr>
                <w:color w:val="auto"/>
                <w:highlight w:val="none"/>
              </w:rPr>
            </w:pPr>
          </w:p>
        </w:tc>
      </w:tr>
      <w:tr w14:paraId="473FF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noWrap w:val="0"/>
            <w:vAlign w:val="center"/>
          </w:tcPr>
          <w:p w14:paraId="25109638">
            <w:pPr>
              <w:pStyle w:val="38"/>
              <w:ind w:left="223" w:hanging="222" w:hangingChars="106"/>
              <w:jc w:val="center"/>
              <w:rPr>
                <w:color w:val="auto"/>
                <w:highlight w:val="none"/>
              </w:rPr>
            </w:pPr>
            <w:r>
              <w:rPr>
                <w:rFonts w:hint="eastAsia" w:cs="宋体"/>
                <w:color w:val="auto"/>
                <w:highlight w:val="none"/>
              </w:rPr>
              <w:t>质量员</w:t>
            </w:r>
          </w:p>
        </w:tc>
        <w:tc>
          <w:tcPr>
            <w:tcW w:w="829" w:type="dxa"/>
            <w:noWrap w:val="0"/>
            <w:vAlign w:val="center"/>
          </w:tcPr>
          <w:p w14:paraId="37951032">
            <w:pPr>
              <w:pStyle w:val="38"/>
              <w:ind w:left="223" w:hanging="222" w:hangingChars="106"/>
              <w:jc w:val="center"/>
              <w:rPr>
                <w:color w:val="auto"/>
                <w:highlight w:val="none"/>
              </w:rPr>
            </w:pPr>
          </w:p>
        </w:tc>
        <w:tc>
          <w:tcPr>
            <w:tcW w:w="816" w:type="dxa"/>
            <w:noWrap w:val="0"/>
            <w:vAlign w:val="center"/>
          </w:tcPr>
          <w:p w14:paraId="3E575923">
            <w:pPr>
              <w:pStyle w:val="38"/>
              <w:ind w:left="223" w:hanging="222" w:hangingChars="106"/>
              <w:jc w:val="center"/>
              <w:rPr>
                <w:color w:val="auto"/>
                <w:highlight w:val="none"/>
              </w:rPr>
            </w:pPr>
          </w:p>
        </w:tc>
        <w:tc>
          <w:tcPr>
            <w:tcW w:w="1148" w:type="dxa"/>
            <w:noWrap w:val="0"/>
            <w:vAlign w:val="center"/>
          </w:tcPr>
          <w:p w14:paraId="45666D4A">
            <w:pPr>
              <w:pStyle w:val="38"/>
              <w:ind w:left="223" w:hanging="222" w:hangingChars="106"/>
              <w:jc w:val="center"/>
              <w:rPr>
                <w:color w:val="auto"/>
                <w:highlight w:val="none"/>
              </w:rPr>
            </w:pPr>
          </w:p>
        </w:tc>
        <w:tc>
          <w:tcPr>
            <w:tcW w:w="1148" w:type="dxa"/>
            <w:noWrap w:val="0"/>
            <w:vAlign w:val="center"/>
          </w:tcPr>
          <w:p w14:paraId="1DAA356F">
            <w:pPr>
              <w:pStyle w:val="38"/>
              <w:ind w:left="223" w:hanging="222" w:hangingChars="106"/>
              <w:jc w:val="center"/>
              <w:rPr>
                <w:color w:val="auto"/>
                <w:highlight w:val="none"/>
              </w:rPr>
            </w:pPr>
          </w:p>
        </w:tc>
        <w:tc>
          <w:tcPr>
            <w:tcW w:w="1148" w:type="dxa"/>
            <w:noWrap w:val="0"/>
            <w:vAlign w:val="center"/>
          </w:tcPr>
          <w:p w14:paraId="0D574B3B">
            <w:pPr>
              <w:pStyle w:val="38"/>
              <w:ind w:left="223" w:hanging="222" w:hangingChars="106"/>
              <w:jc w:val="center"/>
              <w:rPr>
                <w:color w:val="auto"/>
                <w:highlight w:val="none"/>
              </w:rPr>
            </w:pPr>
          </w:p>
        </w:tc>
        <w:tc>
          <w:tcPr>
            <w:tcW w:w="1148" w:type="dxa"/>
            <w:noWrap w:val="0"/>
            <w:vAlign w:val="center"/>
          </w:tcPr>
          <w:p w14:paraId="2929BC8E">
            <w:pPr>
              <w:pStyle w:val="38"/>
              <w:ind w:left="223" w:hanging="222" w:hangingChars="106"/>
              <w:jc w:val="center"/>
              <w:rPr>
                <w:color w:val="auto"/>
                <w:highlight w:val="none"/>
              </w:rPr>
            </w:pPr>
          </w:p>
        </w:tc>
        <w:tc>
          <w:tcPr>
            <w:tcW w:w="850" w:type="dxa"/>
            <w:noWrap w:val="0"/>
            <w:vAlign w:val="center"/>
          </w:tcPr>
          <w:p w14:paraId="7B0CBC08">
            <w:pPr>
              <w:pStyle w:val="38"/>
              <w:ind w:left="223" w:hanging="222" w:hangingChars="106"/>
              <w:jc w:val="center"/>
              <w:rPr>
                <w:color w:val="auto"/>
                <w:highlight w:val="none"/>
              </w:rPr>
            </w:pPr>
          </w:p>
        </w:tc>
        <w:tc>
          <w:tcPr>
            <w:tcW w:w="1276" w:type="dxa"/>
            <w:noWrap w:val="0"/>
            <w:vAlign w:val="center"/>
          </w:tcPr>
          <w:p w14:paraId="45A37960">
            <w:pPr>
              <w:pStyle w:val="38"/>
              <w:ind w:left="223" w:hanging="222" w:hangingChars="106"/>
              <w:jc w:val="center"/>
              <w:rPr>
                <w:color w:val="auto"/>
                <w:highlight w:val="none"/>
              </w:rPr>
            </w:pPr>
          </w:p>
        </w:tc>
      </w:tr>
      <w:tr w14:paraId="65DD7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noWrap w:val="0"/>
            <w:vAlign w:val="center"/>
          </w:tcPr>
          <w:p w14:paraId="42CECBC1">
            <w:pPr>
              <w:pStyle w:val="38"/>
              <w:ind w:left="223" w:hanging="222" w:hangingChars="106"/>
              <w:jc w:val="center"/>
              <w:rPr>
                <w:color w:val="auto"/>
                <w:highlight w:val="none"/>
              </w:rPr>
            </w:pPr>
            <w:r>
              <w:rPr>
                <w:rFonts w:hint="eastAsia" w:cs="宋体"/>
                <w:color w:val="auto"/>
                <w:highlight w:val="none"/>
              </w:rPr>
              <w:t>安全员</w:t>
            </w:r>
          </w:p>
        </w:tc>
        <w:tc>
          <w:tcPr>
            <w:tcW w:w="829" w:type="dxa"/>
            <w:noWrap w:val="0"/>
            <w:vAlign w:val="center"/>
          </w:tcPr>
          <w:p w14:paraId="72C54204">
            <w:pPr>
              <w:pStyle w:val="38"/>
              <w:ind w:left="223" w:hanging="222" w:hangingChars="106"/>
              <w:jc w:val="center"/>
              <w:rPr>
                <w:color w:val="auto"/>
                <w:highlight w:val="none"/>
              </w:rPr>
            </w:pPr>
          </w:p>
        </w:tc>
        <w:tc>
          <w:tcPr>
            <w:tcW w:w="816" w:type="dxa"/>
            <w:noWrap w:val="0"/>
            <w:vAlign w:val="center"/>
          </w:tcPr>
          <w:p w14:paraId="159D077D">
            <w:pPr>
              <w:pStyle w:val="38"/>
              <w:ind w:left="223" w:hanging="222" w:hangingChars="106"/>
              <w:jc w:val="center"/>
              <w:rPr>
                <w:color w:val="auto"/>
                <w:highlight w:val="none"/>
              </w:rPr>
            </w:pPr>
          </w:p>
        </w:tc>
        <w:tc>
          <w:tcPr>
            <w:tcW w:w="1148" w:type="dxa"/>
            <w:noWrap w:val="0"/>
            <w:vAlign w:val="center"/>
          </w:tcPr>
          <w:p w14:paraId="04461786">
            <w:pPr>
              <w:pStyle w:val="38"/>
              <w:ind w:left="223" w:hanging="222" w:hangingChars="106"/>
              <w:jc w:val="center"/>
              <w:rPr>
                <w:color w:val="auto"/>
                <w:highlight w:val="none"/>
              </w:rPr>
            </w:pPr>
          </w:p>
        </w:tc>
        <w:tc>
          <w:tcPr>
            <w:tcW w:w="1148" w:type="dxa"/>
            <w:noWrap w:val="0"/>
            <w:vAlign w:val="center"/>
          </w:tcPr>
          <w:p w14:paraId="6D12170B">
            <w:pPr>
              <w:pStyle w:val="38"/>
              <w:ind w:left="223" w:hanging="222" w:hangingChars="106"/>
              <w:jc w:val="center"/>
              <w:rPr>
                <w:color w:val="auto"/>
                <w:highlight w:val="none"/>
              </w:rPr>
            </w:pPr>
          </w:p>
        </w:tc>
        <w:tc>
          <w:tcPr>
            <w:tcW w:w="1148" w:type="dxa"/>
            <w:noWrap w:val="0"/>
            <w:vAlign w:val="center"/>
          </w:tcPr>
          <w:p w14:paraId="0A2F9484">
            <w:pPr>
              <w:pStyle w:val="38"/>
              <w:ind w:left="223" w:hanging="222" w:hangingChars="106"/>
              <w:jc w:val="center"/>
              <w:rPr>
                <w:color w:val="auto"/>
                <w:highlight w:val="none"/>
              </w:rPr>
            </w:pPr>
          </w:p>
        </w:tc>
        <w:tc>
          <w:tcPr>
            <w:tcW w:w="1148" w:type="dxa"/>
            <w:noWrap w:val="0"/>
            <w:vAlign w:val="center"/>
          </w:tcPr>
          <w:p w14:paraId="751B4D10">
            <w:pPr>
              <w:pStyle w:val="38"/>
              <w:ind w:left="223" w:hanging="222" w:hangingChars="106"/>
              <w:jc w:val="center"/>
              <w:rPr>
                <w:color w:val="auto"/>
                <w:highlight w:val="none"/>
              </w:rPr>
            </w:pPr>
          </w:p>
        </w:tc>
        <w:tc>
          <w:tcPr>
            <w:tcW w:w="850" w:type="dxa"/>
            <w:noWrap w:val="0"/>
            <w:vAlign w:val="center"/>
          </w:tcPr>
          <w:p w14:paraId="3F9A4268">
            <w:pPr>
              <w:pStyle w:val="38"/>
              <w:ind w:left="223" w:hanging="222" w:hangingChars="106"/>
              <w:jc w:val="center"/>
              <w:rPr>
                <w:color w:val="auto"/>
                <w:highlight w:val="none"/>
              </w:rPr>
            </w:pPr>
          </w:p>
        </w:tc>
        <w:tc>
          <w:tcPr>
            <w:tcW w:w="1276" w:type="dxa"/>
            <w:noWrap w:val="0"/>
            <w:vAlign w:val="center"/>
          </w:tcPr>
          <w:p w14:paraId="681B0FF8">
            <w:pPr>
              <w:pStyle w:val="38"/>
              <w:ind w:left="223" w:hanging="222" w:hangingChars="106"/>
              <w:jc w:val="center"/>
              <w:rPr>
                <w:color w:val="auto"/>
                <w:highlight w:val="none"/>
              </w:rPr>
            </w:pPr>
          </w:p>
        </w:tc>
      </w:tr>
      <w:tr w14:paraId="2DE3E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noWrap w:val="0"/>
            <w:vAlign w:val="center"/>
          </w:tcPr>
          <w:p w14:paraId="6AB2F3DE">
            <w:pPr>
              <w:pStyle w:val="38"/>
              <w:ind w:left="223" w:hanging="222" w:hangingChars="106"/>
              <w:jc w:val="center"/>
              <w:rPr>
                <w:color w:val="auto"/>
                <w:highlight w:val="none"/>
              </w:rPr>
            </w:pPr>
            <w:r>
              <w:rPr>
                <w:rFonts w:hint="eastAsia" w:cs="宋体"/>
                <w:color w:val="auto"/>
                <w:highlight w:val="none"/>
              </w:rPr>
              <w:t>材料员</w:t>
            </w:r>
          </w:p>
        </w:tc>
        <w:tc>
          <w:tcPr>
            <w:tcW w:w="829" w:type="dxa"/>
            <w:noWrap w:val="0"/>
            <w:vAlign w:val="center"/>
          </w:tcPr>
          <w:p w14:paraId="22CCE810">
            <w:pPr>
              <w:pStyle w:val="38"/>
              <w:ind w:left="223" w:hanging="222" w:hangingChars="106"/>
              <w:jc w:val="center"/>
              <w:rPr>
                <w:color w:val="auto"/>
                <w:highlight w:val="none"/>
              </w:rPr>
            </w:pPr>
          </w:p>
        </w:tc>
        <w:tc>
          <w:tcPr>
            <w:tcW w:w="816" w:type="dxa"/>
            <w:noWrap w:val="0"/>
            <w:vAlign w:val="center"/>
          </w:tcPr>
          <w:p w14:paraId="63FCEC28">
            <w:pPr>
              <w:pStyle w:val="38"/>
              <w:ind w:left="223" w:hanging="222" w:hangingChars="106"/>
              <w:jc w:val="center"/>
              <w:rPr>
                <w:color w:val="auto"/>
                <w:highlight w:val="none"/>
              </w:rPr>
            </w:pPr>
          </w:p>
        </w:tc>
        <w:tc>
          <w:tcPr>
            <w:tcW w:w="1148" w:type="dxa"/>
            <w:noWrap w:val="0"/>
            <w:vAlign w:val="center"/>
          </w:tcPr>
          <w:p w14:paraId="3DB43757">
            <w:pPr>
              <w:pStyle w:val="38"/>
              <w:ind w:left="223" w:hanging="222" w:hangingChars="106"/>
              <w:jc w:val="center"/>
              <w:rPr>
                <w:color w:val="auto"/>
                <w:highlight w:val="none"/>
              </w:rPr>
            </w:pPr>
          </w:p>
        </w:tc>
        <w:tc>
          <w:tcPr>
            <w:tcW w:w="1148" w:type="dxa"/>
            <w:noWrap w:val="0"/>
            <w:vAlign w:val="center"/>
          </w:tcPr>
          <w:p w14:paraId="009CA997">
            <w:pPr>
              <w:pStyle w:val="38"/>
              <w:ind w:left="223" w:hanging="222" w:hangingChars="106"/>
              <w:jc w:val="center"/>
              <w:rPr>
                <w:color w:val="auto"/>
                <w:highlight w:val="none"/>
              </w:rPr>
            </w:pPr>
          </w:p>
        </w:tc>
        <w:tc>
          <w:tcPr>
            <w:tcW w:w="1148" w:type="dxa"/>
            <w:noWrap w:val="0"/>
            <w:vAlign w:val="center"/>
          </w:tcPr>
          <w:p w14:paraId="47E7EF82">
            <w:pPr>
              <w:pStyle w:val="38"/>
              <w:ind w:left="223" w:hanging="222" w:hangingChars="106"/>
              <w:jc w:val="center"/>
              <w:rPr>
                <w:color w:val="auto"/>
                <w:highlight w:val="none"/>
              </w:rPr>
            </w:pPr>
          </w:p>
        </w:tc>
        <w:tc>
          <w:tcPr>
            <w:tcW w:w="1148" w:type="dxa"/>
            <w:noWrap w:val="0"/>
            <w:vAlign w:val="center"/>
          </w:tcPr>
          <w:p w14:paraId="10B3AF4B">
            <w:pPr>
              <w:pStyle w:val="38"/>
              <w:ind w:left="223" w:hanging="222" w:hangingChars="106"/>
              <w:jc w:val="center"/>
              <w:rPr>
                <w:color w:val="auto"/>
                <w:highlight w:val="none"/>
              </w:rPr>
            </w:pPr>
          </w:p>
        </w:tc>
        <w:tc>
          <w:tcPr>
            <w:tcW w:w="850" w:type="dxa"/>
            <w:noWrap w:val="0"/>
            <w:vAlign w:val="center"/>
          </w:tcPr>
          <w:p w14:paraId="659736E9">
            <w:pPr>
              <w:pStyle w:val="38"/>
              <w:ind w:left="223" w:hanging="222" w:hangingChars="106"/>
              <w:jc w:val="center"/>
              <w:rPr>
                <w:color w:val="auto"/>
                <w:highlight w:val="none"/>
              </w:rPr>
            </w:pPr>
          </w:p>
        </w:tc>
        <w:tc>
          <w:tcPr>
            <w:tcW w:w="1276" w:type="dxa"/>
            <w:noWrap w:val="0"/>
            <w:vAlign w:val="center"/>
          </w:tcPr>
          <w:p w14:paraId="3DD297BF">
            <w:pPr>
              <w:pStyle w:val="38"/>
              <w:ind w:left="223" w:hanging="222" w:hangingChars="106"/>
              <w:jc w:val="center"/>
              <w:rPr>
                <w:color w:val="auto"/>
                <w:highlight w:val="none"/>
              </w:rPr>
            </w:pPr>
          </w:p>
        </w:tc>
      </w:tr>
      <w:tr w14:paraId="6475B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noWrap w:val="0"/>
            <w:vAlign w:val="center"/>
          </w:tcPr>
          <w:p w14:paraId="1A0B77C7">
            <w:pPr>
              <w:pStyle w:val="38"/>
              <w:ind w:left="223" w:hanging="222" w:hangingChars="106"/>
              <w:jc w:val="center"/>
              <w:rPr>
                <w:color w:val="auto"/>
                <w:highlight w:val="none"/>
              </w:rPr>
            </w:pPr>
          </w:p>
        </w:tc>
        <w:tc>
          <w:tcPr>
            <w:tcW w:w="829" w:type="dxa"/>
            <w:noWrap w:val="0"/>
            <w:vAlign w:val="center"/>
          </w:tcPr>
          <w:p w14:paraId="22F711AB">
            <w:pPr>
              <w:pStyle w:val="38"/>
              <w:ind w:left="223" w:hanging="222" w:hangingChars="106"/>
              <w:jc w:val="center"/>
              <w:rPr>
                <w:color w:val="auto"/>
                <w:highlight w:val="none"/>
              </w:rPr>
            </w:pPr>
          </w:p>
        </w:tc>
        <w:tc>
          <w:tcPr>
            <w:tcW w:w="816" w:type="dxa"/>
            <w:noWrap w:val="0"/>
            <w:vAlign w:val="center"/>
          </w:tcPr>
          <w:p w14:paraId="0D95189A">
            <w:pPr>
              <w:pStyle w:val="38"/>
              <w:ind w:left="223" w:hanging="222" w:hangingChars="106"/>
              <w:jc w:val="center"/>
              <w:rPr>
                <w:color w:val="auto"/>
                <w:highlight w:val="none"/>
              </w:rPr>
            </w:pPr>
          </w:p>
        </w:tc>
        <w:tc>
          <w:tcPr>
            <w:tcW w:w="1148" w:type="dxa"/>
            <w:noWrap w:val="0"/>
            <w:vAlign w:val="center"/>
          </w:tcPr>
          <w:p w14:paraId="0F55E706">
            <w:pPr>
              <w:pStyle w:val="38"/>
              <w:ind w:left="223" w:hanging="222" w:hangingChars="106"/>
              <w:jc w:val="center"/>
              <w:rPr>
                <w:color w:val="auto"/>
                <w:highlight w:val="none"/>
              </w:rPr>
            </w:pPr>
          </w:p>
        </w:tc>
        <w:tc>
          <w:tcPr>
            <w:tcW w:w="1148" w:type="dxa"/>
            <w:noWrap w:val="0"/>
            <w:vAlign w:val="center"/>
          </w:tcPr>
          <w:p w14:paraId="0C337BDD">
            <w:pPr>
              <w:pStyle w:val="38"/>
              <w:ind w:left="223" w:hanging="222" w:hangingChars="106"/>
              <w:jc w:val="center"/>
              <w:rPr>
                <w:color w:val="auto"/>
                <w:highlight w:val="none"/>
              </w:rPr>
            </w:pPr>
          </w:p>
        </w:tc>
        <w:tc>
          <w:tcPr>
            <w:tcW w:w="1148" w:type="dxa"/>
            <w:noWrap w:val="0"/>
            <w:vAlign w:val="center"/>
          </w:tcPr>
          <w:p w14:paraId="10070A68">
            <w:pPr>
              <w:pStyle w:val="38"/>
              <w:ind w:left="223" w:hanging="222" w:hangingChars="106"/>
              <w:jc w:val="center"/>
              <w:rPr>
                <w:color w:val="auto"/>
                <w:highlight w:val="none"/>
              </w:rPr>
            </w:pPr>
          </w:p>
        </w:tc>
        <w:tc>
          <w:tcPr>
            <w:tcW w:w="1148" w:type="dxa"/>
            <w:noWrap w:val="0"/>
            <w:vAlign w:val="center"/>
          </w:tcPr>
          <w:p w14:paraId="65B12243">
            <w:pPr>
              <w:pStyle w:val="38"/>
              <w:ind w:left="223" w:hanging="222" w:hangingChars="106"/>
              <w:jc w:val="center"/>
              <w:rPr>
                <w:color w:val="auto"/>
                <w:highlight w:val="none"/>
              </w:rPr>
            </w:pPr>
          </w:p>
        </w:tc>
        <w:tc>
          <w:tcPr>
            <w:tcW w:w="850" w:type="dxa"/>
            <w:noWrap w:val="0"/>
            <w:vAlign w:val="center"/>
          </w:tcPr>
          <w:p w14:paraId="672F97A2">
            <w:pPr>
              <w:pStyle w:val="38"/>
              <w:ind w:left="223" w:hanging="222" w:hangingChars="106"/>
              <w:jc w:val="center"/>
              <w:rPr>
                <w:color w:val="auto"/>
                <w:highlight w:val="none"/>
              </w:rPr>
            </w:pPr>
          </w:p>
        </w:tc>
        <w:tc>
          <w:tcPr>
            <w:tcW w:w="1276" w:type="dxa"/>
            <w:noWrap w:val="0"/>
            <w:vAlign w:val="center"/>
          </w:tcPr>
          <w:p w14:paraId="30CE3FBE">
            <w:pPr>
              <w:pStyle w:val="38"/>
              <w:ind w:left="223" w:hanging="222" w:hangingChars="106"/>
              <w:jc w:val="center"/>
              <w:rPr>
                <w:color w:val="auto"/>
                <w:highlight w:val="none"/>
              </w:rPr>
            </w:pPr>
          </w:p>
        </w:tc>
      </w:tr>
      <w:tr w14:paraId="617FB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noWrap w:val="0"/>
            <w:vAlign w:val="center"/>
          </w:tcPr>
          <w:p w14:paraId="61F1D202">
            <w:pPr>
              <w:pStyle w:val="38"/>
              <w:ind w:left="223" w:hanging="222" w:hangingChars="106"/>
              <w:jc w:val="center"/>
              <w:rPr>
                <w:color w:val="auto"/>
                <w:highlight w:val="none"/>
              </w:rPr>
            </w:pPr>
            <w:r>
              <w:rPr>
                <w:color w:val="auto"/>
                <w:highlight w:val="none"/>
              </w:rPr>
              <w:t>……</w:t>
            </w:r>
          </w:p>
        </w:tc>
        <w:tc>
          <w:tcPr>
            <w:tcW w:w="829" w:type="dxa"/>
            <w:noWrap w:val="0"/>
            <w:vAlign w:val="center"/>
          </w:tcPr>
          <w:p w14:paraId="2ABE0057">
            <w:pPr>
              <w:pStyle w:val="38"/>
              <w:ind w:left="223" w:hanging="222" w:hangingChars="106"/>
              <w:jc w:val="center"/>
              <w:rPr>
                <w:color w:val="auto"/>
                <w:highlight w:val="none"/>
              </w:rPr>
            </w:pPr>
          </w:p>
        </w:tc>
        <w:tc>
          <w:tcPr>
            <w:tcW w:w="816" w:type="dxa"/>
            <w:noWrap w:val="0"/>
            <w:vAlign w:val="center"/>
          </w:tcPr>
          <w:p w14:paraId="5808E9BA">
            <w:pPr>
              <w:pStyle w:val="38"/>
              <w:ind w:left="223" w:hanging="222" w:hangingChars="106"/>
              <w:jc w:val="center"/>
              <w:rPr>
                <w:color w:val="auto"/>
                <w:highlight w:val="none"/>
              </w:rPr>
            </w:pPr>
          </w:p>
        </w:tc>
        <w:tc>
          <w:tcPr>
            <w:tcW w:w="1148" w:type="dxa"/>
            <w:noWrap w:val="0"/>
            <w:vAlign w:val="center"/>
          </w:tcPr>
          <w:p w14:paraId="006B7D74">
            <w:pPr>
              <w:pStyle w:val="38"/>
              <w:ind w:left="223" w:hanging="222" w:hangingChars="106"/>
              <w:jc w:val="center"/>
              <w:rPr>
                <w:color w:val="auto"/>
                <w:highlight w:val="none"/>
              </w:rPr>
            </w:pPr>
          </w:p>
        </w:tc>
        <w:tc>
          <w:tcPr>
            <w:tcW w:w="1148" w:type="dxa"/>
            <w:noWrap w:val="0"/>
            <w:vAlign w:val="center"/>
          </w:tcPr>
          <w:p w14:paraId="2B3F3D80">
            <w:pPr>
              <w:pStyle w:val="38"/>
              <w:ind w:left="223" w:hanging="222" w:hangingChars="106"/>
              <w:jc w:val="center"/>
              <w:rPr>
                <w:color w:val="auto"/>
                <w:highlight w:val="none"/>
              </w:rPr>
            </w:pPr>
          </w:p>
        </w:tc>
        <w:tc>
          <w:tcPr>
            <w:tcW w:w="1148" w:type="dxa"/>
            <w:noWrap w:val="0"/>
            <w:vAlign w:val="center"/>
          </w:tcPr>
          <w:p w14:paraId="2D468B03">
            <w:pPr>
              <w:pStyle w:val="38"/>
              <w:ind w:left="223" w:hanging="222" w:hangingChars="106"/>
              <w:jc w:val="center"/>
              <w:rPr>
                <w:color w:val="auto"/>
                <w:highlight w:val="none"/>
              </w:rPr>
            </w:pPr>
          </w:p>
        </w:tc>
        <w:tc>
          <w:tcPr>
            <w:tcW w:w="1148" w:type="dxa"/>
            <w:noWrap w:val="0"/>
            <w:vAlign w:val="center"/>
          </w:tcPr>
          <w:p w14:paraId="20E4D0AD">
            <w:pPr>
              <w:pStyle w:val="38"/>
              <w:ind w:left="223" w:hanging="222" w:hangingChars="106"/>
              <w:jc w:val="center"/>
              <w:rPr>
                <w:color w:val="auto"/>
                <w:highlight w:val="none"/>
              </w:rPr>
            </w:pPr>
          </w:p>
        </w:tc>
        <w:tc>
          <w:tcPr>
            <w:tcW w:w="850" w:type="dxa"/>
            <w:noWrap w:val="0"/>
            <w:vAlign w:val="center"/>
          </w:tcPr>
          <w:p w14:paraId="622B8292">
            <w:pPr>
              <w:pStyle w:val="38"/>
              <w:ind w:left="223" w:hanging="222" w:hangingChars="106"/>
              <w:jc w:val="center"/>
              <w:rPr>
                <w:color w:val="auto"/>
                <w:highlight w:val="none"/>
              </w:rPr>
            </w:pPr>
          </w:p>
        </w:tc>
        <w:tc>
          <w:tcPr>
            <w:tcW w:w="1276" w:type="dxa"/>
            <w:noWrap w:val="0"/>
            <w:vAlign w:val="center"/>
          </w:tcPr>
          <w:p w14:paraId="6D941C63">
            <w:pPr>
              <w:pStyle w:val="38"/>
              <w:ind w:left="223" w:hanging="222" w:hangingChars="106"/>
              <w:jc w:val="center"/>
              <w:rPr>
                <w:color w:val="auto"/>
                <w:highlight w:val="none"/>
              </w:rPr>
            </w:pPr>
          </w:p>
        </w:tc>
      </w:tr>
      <w:tr w14:paraId="2B381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9" w:hRule="atLeast"/>
          <w:jc w:val="center"/>
        </w:trPr>
        <w:tc>
          <w:tcPr>
            <w:tcW w:w="9356" w:type="dxa"/>
            <w:gridSpan w:val="9"/>
            <w:noWrap w:val="0"/>
            <w:vAlign w:val="center"/>
          </w:tcPr>
          <w:p w14:paraId="5642C887">
            <w:pPr>
              <w:pStyle w:val="38"/>
              <w:spacing w:line="360" w:lineRule="auto"/>
              <w:rPr>
                <w:color w:val="auto"/>
                <w:highlight w:val="none"/>
              </w:rPr>
            </w:pPr>
            <w:bookmarkStart w:id="186" w:name="_Toc251052199"/>
            <w:r>
              <w:rPr>
                <w:rFonts w:hint="eastAsia" w:cs="宋体"/>
                <w:color w:val="auto"/>
                <w:highlight w:val="none"/>
              </w:rPr>
              <w:t>一旦我单位</w:t>
            </w:r>
            <w:r>
              <w:rPr>
                <w:rFonts w:hint="eastAsia" w:cs="宋体"/>
                <w:color w:val="auto"/>
                <w:highlight w:val="none"/>
                <w:lang w:val="en-US" w:eastAsia="zh-CN"/>
              </w:rPr>
              <w:t>成交</w:t>
            </w:r>
            <w:r>
              <w:rPr>
                <w:rFonts w:hint="eastAsia" w:cs="宋体"/>
                <w:color w:val="auto"/>
                <w:highlight w:val="none"/>
              </w:rPr>
              <w:t>，将实行项目经理负责制，我方保证并配备上述项目管理机构。上述填报内容真实，若不真实，愿按有关规定接受处理。</w:t>
            </w:r>
            <w:bookmarkEnd w:id="186"/>
          </w:p>
        </w:tc>
      </w:tr>
    </w:tbl>
    <w:p w14:paraId="46714525">
      <w:pPr>
        <w:pStyle w:val="37"/>
        <w:jc w:val="center"/>
        <w:rPr>
          <w:rFonts w:hint="eastAsia" w:ascii="宋体" w:hAnsi="宋体" w:cs="宋体"/>
          <w:b/>
          <w:color w:val="auto"/>
          <w:sz w:val="30"/>
          <w:szCs w:val="30"/>
          <w:highlight w:val="none"/>
        </w:rPr>
      </w:pPr>
    </w:p>
    <w:p w14:paraId="0FA735E4">
      <w:pPr>
        <w:pStyle w:val="37"/>
        <w:jc w:val="center"/>
        <w:rPr>
          <w:rFonts w:hint="eastAsia" w:ascii="宋体" w:hAnsi="宋体" w:cs="宋体"/>
          <w:b/>
          <w:color w:val="auto"/>
          <w:sz w:val="30"/>
          <w:szCs w:val="30"/>
          <w:highlight w:val="none"/>
        </w:rPr>
      </w:pPr>
    </w:p>
    <w:p w14:paraId="2D83491F">
      <w:pPr>
        <w:spacing w:line="360" w:lineRule="auto"/>
        <w:rPr>
          <w:rFonts w:hint="eastAsia" w:ascii="宋体" w:hAnsi="宋体" w:cs="宋体"/>
          <w:color w:val="auto"/>
          <w:sz w:val="24"/>
          <w:highlight w:val="none"/>
        </w:rPr>
      </w:pPr>
    </w:p>
    <w:p w14:paraId="37D85DD8">
      <w:pPr>
        <w:autoSpaceDE w:val="0"/>
        <w:autoSpaceDN w:val="0"/>
        <w:spacing w:line="360" w:lineRule="auto"/>
        <w:ind w:left="4365" w:leftChars="1850" w:hanging="480" w:hangingChars="200"/>
        <w:rPr>
          <w:rFonts w:hint="eastAsia"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21F9DF48">
      <w:pPr>
        <w:autoSpaceDE w:val="0"/>
        <w:autoSpaceDN w:val="0"/>
        <w:spacing w:line="360" w:lineRule="auto"/>
        <w:ind w:firstLine="6120" w:firstLineChars="2550"/>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日期：  年  月  日</w:t>
      </w:r>
    </w:p>
    <w:p w14:paraId="39E8B493">
      <w:pPr>
        <w:pStyle w:val="35"/>
        <w:tabs>
          <w:tab w:val="left" w:pos="742"/>
        </w:tabs>
        <w:rPr>
          <w:rFonts w:hint="eastAsia"/>
          <w:color w:val="auto"/>
          <w:sz w:val="21"/>
          <w:szCs w:val="21"/>
          <w:highlight w:val="none"/>
        </w:rPr>
      </w:pPr>
    </w:p>
    <w:p w14:paraId="1972459F">
      <w:pPr>
        <w:pStyle w:val="35"/>
        <w:tabs>
          <w:tab w:val="left" w:pos="742"/>
        </w:tabs>
        <w:rPr>
          <w:rFonts w:hint="eastAsia"/>
          <w:color w:val="auto"/>
          <w:sz w:val="21"/>
          <w:szCs w:val="21"/>
          <w:highlight w:val="none"/>
        </w:rPr>
      </w:pPr>
      <w:r>
        <w:rPr>
          <w:rFonts w:hint="eastAsia"/>
          <w:color w:val="auto"/>
          <w:sz w:val="21"/>
          <w:szCs w:val="21"/>
          <w:highlight w:val="none"/>
        </w:rPr>
        <w:t>注：本表所列岗位的所有管理人员的情况均应如实填写。可按以上格式扩展为多页填写。</w:t>
      </w:r>
    </w:p>
    <w:p w14:paraId="2EA66B62">
      <w:pPr>
        <w:spacing w:line="480" w:lineRule="auto"/>
        <w:rPr>
          <w:rFonts w:hint="eastAsia" w:ascii="宋体" w:hAnsi="宋体" w:cs="宋体"/>
          <w:b/>
          <w:bCs/>
          <w:color w:val="auto"/>
          <w:szCs w:val="21"/>
          <w:highlight w:val="none"/>
          <w:lang w:val="zh-CN" w:bidi="zh-CN"/>
        </w:rPr>
        <w:sectPr>
          <w:headerReference r:id="rId12" w:type="default"/>
          <w:footerReference r:id="rId13" w:type="default"/>
          <w:pgSz w:w="11900" w:h="16839"/>
          <w:pgMar w:top="983" w:right="1620" w:bottom="679" w:left="1621" w:header="969" w:footer="850" w:gutter="0"/>
          <w:pgBorders>
            <w:top w:val="none" w:sz="0" w:space="0"/>
            <w:left w:val="none" w:sz="0" w:space="0"/>
            <w:bottom w:val="none" w:sz="0" w:space="0"/>
            <w:right w:val="none" w:sz="0" w:space="0"/>
          </w:pgBorders>
          <w:cols w:space="720" w:num="1"/>
        </w:sectPr>
      </w:pPr>
    </w:p>
    <w:p w14:paraId="582ECEAB">
      <w:pPr>
        <w:autoSpaceDE w:val="0"/>
        <w:autoSpaceDN w:val="0"/>
        <w:spacing w:line="360" w:lineRule="auto"/>
        <w:jc w:val="center"/>
        <w:rPr>
          <w:rFonts w:hint="eastAsia" w:ascii="宋体" w:hAnsi="宋体" w:cs="宋体"/>
          <w:b/>
          <w:bCs/>
          <w:color w:val="auto"/>
          <w:sz w:val="24"/>
          <w:highlight w:val="none"/>
        </w:rPr>
      </w:pPr>
      <w:r>
        <w:rPr>
          <w:rFonts w:hint="eastAsia" w:ascii="宋体" w:hAnsi="宋体" w:cs="宋体"/>
          <w:b/>
          <w:color w:val="auto"/>
          <w:sz w:val="30"/>
          <w:szCs w:val="30"/>
          <w:highlight w:val="none"/>
        </w:rPr>
        <w:t>十、</w:t>
      </w:r>
      <w:r>
        <w:rPr>
          <w:rFonts w:hint="eastAsia" w:ascii="宋体" w:hAnsi="宋体" w:cs="宋体"/>
          <w:b/>
          <w:color w:val="auto"/>
          <w:sz w:val="30"/>
          <w:szCs w:val="30"/>
          <w:highlight w:val="none"/>
          <w:lang w:val="en-US"/>
        </w:rPr>
        <w:t>建设工程项目管理承诺书(格式)</w:t>
      </w:r>
    </w:p>
    <w:p w14:paraId="7F53DB90">
      <w:pPr>
        <w:autoSpaceDE/>
        <w:autoSpaceDN/>
        <w:spacing w:line="500" w:lineRule="exact"/>
        <w:ind w:firstLine="420" w:firstLineChars="200"/>
        <w:jc w:val="both"/>
        <w:rPr>
          <w:rFonts w:ascii="仿宋" w:hAnsi="仿宋" w:eastAsia="仿宋" w:cs="Times New Roman"/>
          <w:color w:val="auto"/>
          <w:kern w:val="2"/>
          <w:sz w:val="21"/>
          <w:szCs w:val="21"/>
          <w:highlight w:val="none"/>
          <w:lang w:val="en-US" w:bidi="ar-SA"/>
        </w:rPr>
      </w:pPr>
      <w:r>
        <w:rPr>
          <w:rFonts w:hint="eastAsia" w:ascii="仿宋" w:hAnsi="仿宋" w:eastAsia="仿宋" w:cs="Times New Roman"/>
          <w:color w:val="auto"/>
          <w:kern w:val="2"/>
          <w:sz w:val="21"/>
          <w:szCs w:val="21"/>
          <w:highlight w:val="none"/>
          <w:lang w:val="en-US" w:bidi="ar-SA"/>
        </w:rPr>
        <w:t>致</w:t>
      </w:r>
      <w:r>
        <w:rPr>
          <w:rFonts w:hint="eastAsia" w:ascii="仿宋" w:hAnsi="仿宋" w:eastAsia="仿宋" w:cs="Times New Roman"/>
          <w:color w:val="auto"/>
          <w:kern w:val="2"/>
          <w:sz w:val="21"/>
          <w:szCs w:val="21"/>
          <w:highlight w:val="none"/>
          <w:u w:val="single"/>
          <w:lang w:val="en-US" w:bidi="ar-SA"/>
        </w:rPr>
        <w:t xml:space="preserve">               </w:t>
      </w:r>
      <w:r>
        <w:rPr>
          <w:rFonts w:hint="eastAsia" w:ascii="仿宋" w:hAnsi="仿宋" w:eastAsia="仿宋" w:cs="Times New Roman"/>
          <w:color w:val="auto"/>
          <w:kern w:val="2"/>
          <w:sz w:val="21"/>
          <w:szCs w:val="21"/>
          <w:highlight w:val="none"/>
          <w:lang w:val="en-US" w:bidi="ar-SA"/>
        </w:rPr>
        <w:t>（采购单位名称）：</w:t>
      </w:r>
    </w:p>
    <w:p w14:paraId="3BE0F134">
      <w:pPr>
        <w:autoSpaceDE/>
        <w:autoSpaceDN/>
        <w:spacing w:line="500" w:lineRule="exact"/>
        <w:ind w:firstLine="840" w:firstLineChars="400"/>
        <w:jc w:val="both"/>
        <w:rPr>
          <w:rFonts w:ascii="仿宋" w:hAnsi="仿宋" w:eastAsia="仿宋" w:cs="Times New Roman"/>
          <w:color w:val="auto"/>
          <w:kern w:val="2"/>
          <w:sz w:val="21"/>
          <w:szCs w:val="21"/>
          <w:highlight w:val="none"/>
          <w:lang w:val="en-US" w:bidi="ar-SA"/>
        </w:rPr>
      </w:pPr>
      <w:r>
        <w:rPr>
          <w:rFonts w:hint="eastAsia" w:ascii="仿宋" w:hAnsi="仿宋" w:eastAsia="仿宋" w:cs="Times New Roman"/>
          <w:color w:val="auto"/>
          <w:kern w:val="2"/>
          <w:sz w:val="21"/>
          <w:szCs w:val="21"/>
          <w:highlight w:val="none"/>
          <w:lang w:val="en-US" w:bidi="ar-SA"/>
        </w:rPr>
        <w:t>如我公司在贵单位的</w:t>
      </w:r>
      <w:r>
        <w:rPr>
          <w:rFonts w:hint="eastAsia" w:ascii="仿宋" w:hAnsi="仿宋" w:eastAsia="仿宋" w:cs="Times New Roman"/>
          <w:color w:val="auto"/>
          <w:kern w:val="2"/>
          <w:sz w:val="21"/>
          <w:szCs w:val="21"/>
          <w:highlight w:val="none"/>
          <w:u w:val="single"/>
          <w:lang w:val="en-US" w:bidi="ar-SA"/>
        </w:rPr>
        <w:t xml:space="preserve">                        </w:t>
      </w:r>
      <w:r>
        <w:rPr>
          <w:rFonts w:hint="eastAsia" w:ascii="仿宋" w:hAnsi="仿宋" w:eastAsia="仿宋" w:cs="Times New Roman"/>
          <w:color w:val="auto"/>
          <w:kern w:val="2"/>
          <w:sz w:val="21"/>
          <w:szCs w:val="21"/>
          <w:highlight w:val="none"/>
          <w:lang w:val="en-US" w:bidi="ar-SA"/>
        </w:rPr>
        <w:t>成交，我方在此向采购人承诺：</w:t>
      </w:r>
    </w:p>
    <w:p w14:paraId="451DA742">
      <w:pPr>
        <w:autoSpaceDE/>
        <w:autoSpaceDN/>
        <w:spacing w:line="500" w:lineRule="exact"/>
        <w:ind w:left="-10" w:firstLine="420" w:firstLineChars="200"/>
        <w:rPr>
          <w:rFonts w:ascii="仿宋" w:hAnsi="仿宋" w:eastAsia="仿宋" w:cs="Times New Roman"/>
          <w:color w:val="auto"/>
          <w:kern w:val="2"/>
          <w:sz w:val="21"/>
          <w:szCs w:val="21"/>
          <w:highlight w:val="none"/>
          <w:lang w:val="en-US" w:bidi="ar-SA"/>
        </w:rPr>
      </w:pPr>
      <w:r>
        <w:rPr>
          <w:rFonts w:ascii="仿宋" w:hAnsi="仿宋" w:eastAsia="仿宋" w:cs="Times New Roman"/>
          <w:color w:val="auto"/>
          <w:kern w:val="2"/>
          <w:sz w:val="21"/>
          <w:szCs w:val="21"/>
          <w:highlight w:val="none"/>
          <w:lang w:val="en-US" w:bidi="ar-SA"/>
        </w:rPr>
        <w:t>1</w:t>
      </w:r>
      <w:r>
        <w:rPr>
          <w:rFonts w:hint="eastAsia" w:ascii="仿宋" w:hAnsi="仿宋" w:eastAsia="仿宋"/>
          <w:color w:val="auto"/>
          <w:kern w:val="2"/>
          <w:sz w:val="21"/>
          <w:szCs w:val="21"/>
          <w:highlight w:val="none"/>
          <w:lang w:val="en-US" w:bidi="ar-SA"/>
        </w:rPr>
        <w:t>、一旦成交，我方保证在施工过程中，严格执行《广西壮族自治区建筑工程安全文明施工费使用管理细则》（桂建质〔</w:t>
      </w:r>
      <w:r>
        <w:rPr>
          <w:rFonts w:ascii="仿宋" w:hAnsi="仿宋" w:eastAsia="仿宋" w:cs="Times New Roman"/>
          <w:color w:val="auto"/>
          <w:kern w:val="2"/>
          <w:sz w:val="21"/>
          <w:szCs w:val="21"/>
          <w:highlight w:val="none"/>
          <w:lang w:val="en-US" w:bidi="ar-SA"/>
        </w:rPr>
        <w:t>2015</w:t>
      </w:r>
      <w:r>
        <w:rPr>
          <w:rFonts w:hint="eastAsia" w:ascii="仿宋" w:hAnsi="仿宋" w:eastAsia="仿宋"/>
          <w:color w:val="auto"/>
          <w:kern w:val="2"/>
          <w:sz w:val="21"/>
          <w:szCs w:val="21"/>
          <w:highlight w:val="none"/>
          <w:lang w:val="en-US" w:bidi="ar-SA"/>
        </w:rPr>
        <w:t>〕</w:t>
      </w:r>
      <w:r>
        <w:rPr>
          <w:rFonts w:ascii="仿宋" w:hAnsi="仿宋" w:eastAsia="仿宋" w:cs="Times New Roman"/>
          <w:color w:val="auto"/>
          <w:kern w:val="2"/>
          <w:sz w:val="21"/>
          <w:szCs w:val="21"/>
          <w:highlight w:val="none"/>
          <w:lang w:val="en-US" w:bidi="ar-SA"/>
        </w:rPr>
        <w:t>16</w:t>
      </w:r>
      <w:r>
        <w:rPr>
          <w:rFonts w:hint="eastAsia" w:ascii="仿宋" w:hAnsi="仿宋" w:eastAsia="仿宋"/>
          <w:color w:val="auto"/>
          <w:kern w:val="2"/>
          <w:sz w:val="21"/>
          <w:szCs w:val="21"/>
          <w:highlight w:val="none"/>
          <w:lang w:val="en-US" w:bidi="ar-SA"/>
        </w:rPr>
        <w:t>号）的有关规定，确保建设工程各项安全防护、文明施工措施落实到位。如我方在该项目的承包中出现未按桂建质〔</w:t>
      </w:r>
      <w:r>
        <w:rPr>
          <w:rFonts w:ascii="仿宋" w:hAnsi="仿宋" w:eastAsia="仿宋" w:cs="Times New Roman"/>
          <w:color w:val="auto"/>
          <w:kern w:val="2"/>
          <w:sz w:val="21"/>
          <w:szCs w:val="21"/>
          <w:highlight w:val="none"/>
          <w:lang w:val="en-US" w:bidi="ar-SA"/>
        </w:rPr>
        <w:t>2015</w:t>
      </w:r>
      <w:r>
        <w:rPr>
          <w:rFonts w:hint="eastAsia" w:ascii="仿宋" w:hAnsi="仿宋" w:eastAsia="仿宋"/>
          <w:color w:val="auto"/>
          <w:kern w:val="2"/>
          <w:sz w:val="21"/>
          <w:szCs w:val="21"/>
          <w:highlight w:val="none"/>
          <w:lang w:val="en-US" w:bidi="ar-SA"/>
        </w:rPr>
        <w:t>〕</w:t>
      </w:r>
      <w:r>
        <w:rPr>
          <w:rFonts w:ascii="仿宋" w:hAnsi="仿宋" w:eastAsia="仿宋" w:cs="Times New Roman"/>
          <w:color w:val="auto"/>
          <w:kern w:val="2"/>
          <w:sz w:val="21"/>
          <w:szCs w:val="21"/>
          <w:highlight w:val="none"/>
          <w:lang w:val="en-US" w:bidi="ar-SA"/>
        </w:rPr>
        <w:t>16</w:t>
      </w:r>
      <w:r>
        <w:rPr>
          <w:rFonts w:hint="eastAsia" w:ascii="仿宋" w:hAnsi="仿宋" w:eastAsia="仿宋"/>
          <w:color w:val="auto"/>
          <w:kern w:val="2"/>
          <w:sz w:val="21"/>
          <w:szCs w:val="21"/>
          <w:highlight w:val="none"/>
          <w:lang w:val="en-US" w:bidi="ar-SA"/>
        </w:rPr>
        <w:t>号文附件一规定执行的情形，我方愿意按照相关规定接受建设单位及有关主管部门的处罚。</w:t>
      </w:r>
    </w:p>
    <w:p w14:paraId="3D4E8827">
      <w:pPr>
        <w:autoSpaceDE/>
        <w:autoSpaceDN/>
        <w:spacing w:line="500" w:lineRule="exact"/>
        <w:ind w:left="-2" w:leftChars="-1" w:firstLine="420" w:firstLineChars="200"/>
        <w:rPr>
          <w:rFonts w:ascii="仿宋" w:hAnsi="仿宋" w:eastAsia="仿宋" w:cs="Times New Roman"/>
          <w:color w:val="auto"/>
          <w:kern w:val="2"/>
          <w:sz w:val="21"/>
          <w:szCs w:val="21"/>
          <w:highlight w:val="none"/>
          <w:lang w:val="en-US" w:bidi="ar-SA"/>
        </w:rPr>
      </w:pPr>
      <w:r>
        <w:rPr>
          <w:rFonts w:ascii="仿宋" w:hAnsi="仿宋" w:eastAsia="仿宋" w:cs="Times New Roman"/>
          <w:color w:val="auto"/>
          <w:kern w:val="2"/>
          <w:sz w:val="21"/>
          <w:szCs w:val="21"/>
          <w:highlight w:val="none"/>
          <w:lang w:val="en-US" w:bidi="ar-SA"/>
        </w:rPr>
        <w:t>2</w:t>
      </w:r>
      <w:r>
        <w:rPr>
          <w:rFonts w:hint="eastAsia" w:ascii="仿宋" w:hAnsi="仿宋" w:eastAsia="仿宋"/>
          <w:color w:val="auto"/>
          <w:kern w:val="2"/>
          <w:sz w:val="21"/>
          <w:szCs w:val="21"/>
          <w:highlight w:val="none"/>
          <w:lang w:val="en-US" w:bidi="ar-SA"/>
        </w:rPr>
        <w:t>、一旦成交，我方保证在施工过程中，严格执行散装水泥和预拌混凝土管理的有关规定，确保建设工程按规定使用散装水泥和预拌混凝土。如我方在该项目的承包中出现未按规定执行的情形，我方愿意按照相关规定接受建设单位及有关主管部门的处罚。</w:t>
      </w:r>
    </w:p>
    <w:p w14:paraId="3E9D3E23">
      <w:pPr>
        <w:autoSpaceDE/>
        <w:autoSpaceDN/>
        <w:spacing w:line="500" w:lineRule="exact"/>
        <w:ind w:left="-10" w:firstLine="420" w:firstLineChars="200"/>
        <w:rPr>
          <w:rFonts w:ascii="仿宋" w:hAnsi="仿宋" w:eastAsia="仿宋" w:cs="Times New Roman"/>
          <w:color w:val="auto"/>
          <w:kern w:val="2"/>
          <w:sz w:val="21"/>
          <w:szCs w:val="21"/>
          <w:highlight w:val="none"/>
          <w:lang w:val="en-US" w:bidi="ar-SA"/>
        </w:rPr>
      </w:pPr>
      <w:r>
        <w:rPr>
          <w:rFonts w:ascii="仿宋" w:hAnsi="仿宋" w:eastAsia="仿宋" w:cs="Times New Roman"/>
          <w:color w:val="auto"/>
          <w:kern w:val="2"/>
          <w:sz w:val="21"/>
          <w:szCs w:val="21"/>
          <w:highlight w:val="none"/>
          <w:lang w:val="en-US" w:bidi="ar-SA"/>
        </w:rPr>
        <w:t>3</w:t>
      </w:r>
      <w:r>
        <w:rPr>
          <w:rFonts w:hint="eastAsia" w:ascii="仿宋" w:hAnsi="仿宋" w:eastAsia="仿宋"/>
          <w:color w:val="auto"/>
          <w:kern w:val="2"/>
          <w:sz w:val="21"/>
          <w:szCs w:val="21"/>
          <w:highlight w:val="none"/>
          <w:lang w:val="en-US" w:bidi="ar-SA"/>
        </w:rPr>
        <w:t>、一旦成交，我方保证严格执行</w:t>
      </w:r>
      <w:bookmarkStart w:id="187" w:name="_Hlk16014343"/>
      <w:r>
        <w:rPr>
          <w:rFonts w:hint="eastAsia" w:ascii="仿宋" w:hAnsi="仿宋" w:eastAsia="仿宋"/>
          <w:color w:val="auto"/>
          <w:kern w:val="2"/>
          <w:sz w:val="21"/>
          <w:szCs w:val="21"/>
          <w:highlight w:val="none"/>
          <w:lang w:val="en-US" w:bidi="ar-SA"/>
        </w:rPr>
        <w:t>《危险性较大的分部分项工程安全管理规定》（建办质〔</w:t>
      </w:r>
      <w:r>
        <w:rPr>
          <w:rFonts w:ascii="仿宋" w:hAnsi="仿宋" w:eastAsia="仿宋" w:cs="Times New Roman"/>
          <w:color w:val="auto"/>
          <w:kern w:val="2"/>
          <w:sz w:val="21"/>
          <w:szCs w:val="21"/>
          <w:highlight w:val="none"/>
          <w:lang w:val="en-US" w:bidi="ar-SA"/>
        </w:rPr>
        <w:t>2018</w:t>
      </w:r>
      <w:r>
        <w:rPr>
          <w:rFonts w:hint="eastAsia" w:ascii="仿宋" w:hAnsi="仿宋" w:eastAsia="仿宋"/>
          <w:color w:val="auto"/>
          <w:kern w:val="2"/>
          <w:sz w:val="21"/>
          <w:szCs w:val="21"/>
          <w:highlight w:val="none"/>
          <w:lang w:val="en-US" w:bidi="ar-SA"/>
        </w:rPr>
        <w:t>〕</w:t>
      </w:r>
      <w:r>
        <w:rPr>
          <w:rFonts w:ascii="仿宋" w:hAnsi="仿宋" w:eastAsia="仿宋" w:cs="Times New Roman"/>
          <w:color w:val="auto"/>
          <w:kern w:val="2"/>
          <w:sz w:val="21"/>
          <w:szCs w:val="21"/>
          <w:highlight w:val="none"/>
          <w:lang w:val="en-US" w:bidi="ar-SA"/>
        </w:rPr>
        <w:t>31</w:t>
      </w:r>
      <w:r>
        <w:rPr>
          <w:rFonts w:hint="eastAsia" w:ascii="仿宋" w:hAnsi="仿宋" w:eastAsia="仿宋"/>
          <w:color w:val="auto"/>
          <w:kern w:val="2"/>
          <w:sz w:val="21"/>
          <w:szCs w:val="21"/>
          <w:highlight w:val="none"/>
          <w:lang w:val="en-US" w:bidi="ar-SA"/>
        </w:rPr>
        <w:t>号）</w:t>
      </w:r>
      <w:bookmarkEnd w:id="187"/>
      <w:r>
        <w:rPr>
          <w:rFonts w:hint="eastAsia" w:ascii="仿宋" w:hAnsi="仿宋" w:eastAsia="仿宋"/>
          <w:color w:val="auto"/>
          <w:kern w:val="2"/>
          <w:sz w:val="21"/>
          <w:szCs w:val="21"/>
          <w:highlight w:val="none"/>
          <w:lang w:val="en-US" w:bidi="ar-SA"/>
        </w:rPr>
        <w:t>的规定，强化对深基坑、高切坡、高大模板、人工挖孔桩、起重吊装、临时活动板房等重大危险源的专项施工方案的编制、论证、审批、实施、检测的风险管理。</w:t>
      </w:r>
    </w:p>
    <w:p w14:paraId="503E3C77">
      <w:pPr>
        <w:autoSpaceDE/>
        <w:autoSpaceDN/>
        <w:spacing w:line="500" w:lineRule="exact"/>
        <w:rPr>
          <w:rFonts w:ascii="仿宋" w:hAnsi="仿宋" w:eastAsia="仿宋" w:cs="Times New Roman"/>
          <w:color w:val="auto"/>
          <w:kern w:val="2"/>
          <w:sz w:val="21"/>
          <w:szCs w:val="21"/>
          <w:highlight w:val="none"/>
          <w:lang w:val="en-US" w:bidi="ar-SA"/>
        </w:rPr>
      </w:pPr>
    </w:p>
    <w:p w14:paraId="142DC1A4">
      <w:pPr>
        <w:autoSpaceDE/>
        <w:autoSpaceDN/>
        <w:spacing w:line="500" w:lineRule="exact"/>
        <w:rPr>
          <w:rFonts w:ascii="仿宋" w:hAnsi="仿宋" w:eastAsia="仿宋" w:cs="Times New Roman"/>
          <w:color w:val="auto"/>
          <w:kern w:val="2"/>
          <w:sz w:val="21"/>
          <w:szCs w:val="21"/>
          <w:highlight w:val="none"/>
          <w:lang w:val="en-US" w:bidi="ar-SA"/>
        </w:rPr>
      </w:pPr>
    </w:p>
    <w:p w14:paraId="11EC2559">
      <w:pPr>
        <w:autoSpaceDE/>
        <w:autoSpaceDN/>
        <w:spacing w:line="500" w:lineRule="exact"/>
        <w:rPr>
          <w:rFonts w:ascii="仿宋" w:hAnsi="仿宋" w:eastAsia="仿宋" w:cs="Times New Roman"/>
          <w:color w:val="auto"/>
          <w:kern w:val="2"/>
          <w:sz w:val="21"/>
          <w:szCs w:val="21"/>
          <w:highlight w:val="none"/>
          <w:lang w:val="en-US" w:bidi="ar-SA"/>
        </w:rPr>
      </w:pPr>
    </w:p>
    <w:p w14:paraId="30078ACE">
      <w:pPr>
        <w:autoSpaceDE/>
        <w:autoSpaceDN/>
        <w:spacing w:line="480" w:lineRule="auto"/>
        <w:ind w:firstLine="4410" w:firstLineChars="2100"/>
        <w:jc w:val="right"/>
        <w:rPr>
          <w:rFonts w:ascii="仿宋" w:hAnsi="仿宋" w:eastAsia="仿宋"/>
          <w:color w:val="auto"/>
          <w:kern w:val="2"/>
          <w:sz w:val="21"/>
          <w:szCs w:val="21"/>
          <w:highlight w:val="none"/>
          <w:u w:val="single"/>
          <w:lang w:val="en-US" w:bidi="ar-SA"/>
        </w:rPr>
      </w:pPr>
      <w:r>
        <w:rPr>
          <w:rFonts w:hint="eastAsia" w:ascii="仿宋" w:hAnsi="仿宋" w:eastAsia="仿宋"/>
          <w:color w:val="auto"/>
          <w:kern w:val="2"/>
          <w:sz w:val="21"/>
          <w:szCs w:val="21"/>
          <w:highlight w:val="none"/>
          <w:lang w:val="en-US" w:bidi="ar-SA"/>
        </w:rPr>
        <w:t>供应商名称：</w:t>
      </w:r>
      <w:r>
        <w:rPr>
          <w:rFonts w:ascii="仿宋" w:hAnsi="仿宋" w:eastAsia="仿宋" w:cs="Times New Roman"/>
          <w:color w:val="auto"/>
          <w:kern w:val="2"/>
          <w:sz w:val="21"/>
          <w:szCs w:val="21"/>
          <w:highlight w:val="none"/>
          <w:u w:val="single"/>
          <w:lang w:val="en-US" w:bidi="ar-SA"/>
        </w:rPr>
        <w:t xml:space="preserve">                </w:t>
      </w:r>
      <w:r>
        <w:rPr>
          <w:rFonts w:hint="eastAsia" w:ascii="仿宋" w:hAnsi="仿宋" w:eastAsia="仿宋"/>
          <w:color w:val="auto"/>
          <w:kern w:val="2"/>
          <w:sz w:val="21"/>
          <w:szCs w:val="21"/>
          <w:highlight w:val="none"/>
          <w:u w:val="single"/>
          <w:lang w:val="en-US" w:bidi="ar-SA"/>
        </w:rPr>
        <w:t>（盖单位章）</w:t>
      </w:r>
    </w:p>
    <w:p w14:paraId="40A3DDB5">
      <w:pPr>
        <w:autoSpaceDE/>
        <w:autoSpaceDN/>
        <w:spacing w:line="480" w:lineRule="auto"/>
        <w:ind w:firstLine="3465" w:firstLineChars="1650"/>
        <w:jc w:val="right"/>
        <w:rPr>
          <w:rFonts w:ascii="仿宋" w:hAnsi="仿宋" w:eastAsia="仿宋" w:cs="Times New Roman"/>
          <w:color w:val="auto"/>
          <w:kern w:val="2"/>
          <w:sz w:val="21"/>
          <w:szCs w:val="21"/>
          <w:highlight w:val="none"/>
          <w:u w:val="single"/>
          <w:lang w:val="en-US" w:bidi="ar-SA"/>
        </w:rPr>
      </w:pPr>
      <w:r>
        <w:rPr>
          <w:rFonts w:hint="eastAsia" w:ascii="仿宋" w:hAnsi="仿宋" w:eastAsia="仿宋"/>
          <w:color w:val="auto"/>
          <w:kern w:val="2"/>
          <w:sz w:val="21"/>
          <w:szCs w:val="21"/>
          <w:highlight w:val="none"/>
          <w:lang w:val="en-US" w:bidi="ar-SA"/>
        </w:rPr>
        <w:t>法定代表人或授权代理人：</w:t>
      </w:r>
      <w:r>
        <w:rPr>
          <w:rFonts w:ascii="仿宋" w:hAnsi="仿宋" w:eastAsia="仿宋" w:cs="Times New Roman"/>
          <w:color w:val="auto"/>
          <w:kern w:val="2"/>
          <w:sz w:val="21"/>
          <w:szCs w:val="21"/>
          <w:highlight w:val="none"/>
          <w:u w:val="single"/>
          <w:lang w:val="en-US" w:bidi="ar-SA"/>
        </w:rPr>
        <w:t xml:space="preserve">           </w:t>
      </w:r>
      <w:r>
        <w:rPr>
          <w:rFonts w:hint="eastAsia" w:ascii="仿宋" w:hAnsi="仿宋" w:eastAsia="仿宋"/>
          <w:color w:val="auto"/>
          <w:kern w:val="2"/>
          <w:sz w:val="21"/>
          <w:szCs w:val="21"/>
          <w:highlight w:val="none"/>
          <w:u w:val="single"/>
          <w:lang w:val="en-US" w:bidi="ar-SA"/>
        </w:rPr>
        <w:t>（签字或盖章）</w:t>
      </w:r>
    </w:p>
    <w:p w14:paraId="55DEDA2D">
      <w:pPr>
        <w:pStyle w:val="10"/>
        <w:spacing w:line="480" w:lineRule="auto"/>
        <w:jc w:val="right"/>
        <w:rPr>
          <w:rFonts w:ascii="仿宋" w:hAnsi="仿宋" w:eastAsia="仿宋"/>
          <w:color w:val="auto"/>
          <w:highlight w:val="none"/>
        </w:rPr>
      </w:pPr>
      <w:r>
        <w:rPr>
          <w:rFonts w:hint="eastAsia" w:ascii="仿宋" w:hAnsi="仿宋" w:eastAsia="仿宋"/>
          <w:color w:val="auto"/>
          <w:kern w:val="2"/>
          <w:highlight w:val="none"/>
          <w:lang w:val="en-US" w:bidi="ar-SA"/>
        </w:rPr>
        <w:t>日期：</w:t>
      </w:r>
      <w:r>
        <w:rPr>
          <w:rFonts w:ascii="仿宋" w:hAnsi="仿宋" w:eastAsia="仿宋" w:cs="Times New Roman"/>
          <w:color w:val="auto"/>
          <w:kern w:val="2"/>
          <w:highlight w:val="none"/>
          <w:u w:val="single"/>
          <w:lang w:val="en-US" w:bidi="ar-SA"/>
        </w:rPr>
        <w:t xml:space="preserve">      </w:t>
      </w:r>
      <w:r>
        <w:rPr>
          <w:rFonts w:hint="eastAsia" w:ascii="仿宋" w:hAnsi="仿宋" w:eastAsia="仿宋"/>
          <w:color w:val="auto"/>
          <w:kern w:val="2"/>
          <w:highlight w:val="none"/>
          <w:lang w:val="en-US" w:bidi="ar-SA"/>
        </w:rPr>
        <w:t>年</w:t>
      </w:r>
      <w:r>
        <w:rPr>
          <w:rFonts w:ascii="仿宋" w:hAnsi="仿宋" w:eastAsia="仿宋" w:cs="Times New Roman"/>
          <w:color w:val="auto"/>
          <w:kern w:val="2"/>
          <w:highlight w:val="none"/>
          <w:u w:val="single"/>
          <w:lang w:val="en-US" w:bidi="ar-SA"/>
        </w:rPr>
        <w:t xml:space="preserve">     </w:t>
      </w:r>
      <w:r>
        <w:rPr>
          <w:rFonts w:hint="eastAsia" w:ascii="仿宋" w:hAnsi="仿宋" w:eastAsia="仿宋"/>
          <w:color w:val="auto"/>
          <w:kern w:val="2"/>
          <w:highlight w:val="none"/>
          <w:lang w:val="en-US" w:bidi="ar-SA"/>
        </w:rPr>
        <w:t>月</w:t>
      </w:r>
      <w:r>
        <w:rPr>
          <w:rFonts w:ascii="仿宋" w:hAnsi="仿宋" w:eastAsia="仿宋" w:cs="Times New Roman"/>
          <w:color w:val="auto"/>
          <w:kern w:val="2"/>
          <w:highlight w:val="none"/>
          <w:u w:val="single"/>
          <w:lang w:val="en-US" w:bidi="ar-SA"/>
        </w:rPr>
        <w:t xml:space="preserve">    </w:t>
      </w:r>
      <w:r>
        <w:rPr>
          <w:rFonts w:hint="eastAsia" w:ascii="仿宋" w:hAnsi="仿宋" w:eastAsia="仿宋"/>
          <w:color w:val="auto"/>
          <w:kern w:val="2"/>
          <w:highlight w:val="none"/>
          <w:lang w:val="en-US" w:bidi="ar-SA"/>
        </w:rPr>
        <w:t>日</w:t>
      </w:r>
    </w:p>
    <w:p w14:paraId="7B6D0045">
      <w:pPr>
        <w:autoSpaceDE w:val="0"/>
        <w:autoSpaceDN w:val="0"/>
        <w:spacing w:line="360" w:lineRule="auto"/>
        <w:ind w:firstLine="6505" w:firstLineChars="2700"/>
        <w:rPr>
          <w:rFonts w:hint="eastAsia" w:ascii="宋体" w:hAnsi="宋体" w:cs="宋体"/>
          <w:b/>
          <w:bCs/>
          <w:color w:val="auto"/>
          <w:sz w:val="24"/>
          <w:highlight w:val="none"/>
        </w:rPr>
      </w:pPr>
    </w:p>
    <w:p w14:paraId="6C38A2DB">
      <w:pPr>
        <w:autoSpaceDE w:val="0"/>
        <w:autoSpaceDN w:val="0"/>
        <w:spacing w:line="360" w:lineRule="auto"/>
        <w:ind w:firstLine="6505" w:firstLineChars="2700"/>
        <w:rPr>
          <w:rFonts w:hint="eastAsia" w:ascii="宋体" w:hAnsi="宋体" w:cs="宋体"/>
          <w:b/>
          <w:bCs/>
          <w:color w:val="auto"/>
          <w:sz w:val="24"/>
          <w:highlight w:val="none"/>
        </w:rPr>
      </w:pPr>
    </w:p>
    <w:p w14:paraId="72327FE6">
      <w:pPr>
        <w:rPr>
          <w:rFonts w:hint="eastAsia" w:ascii="宋体" w:hAnsi="宋体" w:cs="宋体"/>
          <w:b/>
          <w:bCs/>
          <w:color w:val="auto"/>
          <w:sz w:val="24"/>
          <w:highlight w:val="none"/>
        </w:rPr>
      </w:pPr>
    </w:p>
    <w:p w14:paraId="41A37E2F">
      <w:pPr>
        <w:snapToGrid w:val="0"/>
        <w:spacing w:line="360" w:lineRule="auto"/>
        <w:rPr>
          <w:rFonts w:hint="eastAsia" w:ascii="宋体" w:hAnsi="宋体" w:cs="宋体"/>
          <w:b/>
          <w:color w:val="auto"/>
          <w:sz w:val="30"/>
          <w:szCs w:val="30"/>
          <w:highlight w:val="none"/>
        </w:rPr>
      </w:pPr>
      <w:r>
        <w:rPr>
          <w:rFonts w:hint="eastAsia" w:ascii="宋体" w:hAnsi="宋体" w:cs="宋体"/>
          <w:b/>
          <w:color w:val="auto"/>
          <w:sz w:val="30"/>
          <w:szCs w:val="30"/>
          <w:highlight w:val="none"/>
        </w:rPr>
        <w:t>十</w:t>
      </w:r>
      <w:r>
        <w:rPr>
          <w:rFonts w:hint="eastAsia" w:ascii="宋体" w:hAnsi="宋体" w:cs="宋体"/>
          <w:b/>
          <w:color w:val="auto"/>
          <w:sz w:val="30"/>
          <w:szCs w:val="30"/>
          <w:highlight w:val="none"/>
          <w:lang w:val="en-US" w:eastAsia="zh-CN"/>
        </w:rPr>
        <w:t>一</w:t>
      </w:r>
      <w:r>
        <w:rPr>
          <w:rFonts w:hint="eastAsia" w:ascii="宋体" w:hAnsi="宋体" w:cs="宋体"/>
          <w:b/>
          <w:color w:val="auto"/>
          <w:sz w:val="30"/>
          <w:szCs w:val="30"/>
          <w:highlight w:val="none"/>
        </w:rPr>
        <w:t>、供应商认为需要提供的其他有关资料</w:t>
      </w:r>
    </w:p>
    <w:p w14:paraId="2A251695">
      <w:pPr>
        <w:autoSpaceDE w:val="0"/>
        <w:autoSpaceDN w:val="0"/>
        <w:spacing w:line="360" w:lineRule="auto"/>
        <w:ind w:left="4335" w:leftChars="1950" w:hanging="240" w:hangingChars="100"/>
        <w:rPr>
          <w:rFonts w:hint="eastAsia" w:ascii="宋体" w:hAnsi="宋体" w:cs="宋体"/>
          <w:color w:val="auto"/>
          <w:kern w:val="0"/>
          <w:sz w:val="24"/>
          <w:highlight w:val="none"/>
        </w:rPr>
      </w:pPr>
    </w:p>
    <w:p w14:paraId="51F8FD58">
      <w:pPr>
        <w:autoSpaceDE w:val="0"/>
        <w:autoSpaceDN w:val="0"/>
        <w:spacing w:line="360" w:lineRule="auto"/>
        <w:ind w:left="4335" w:leftChars="1950" w:hanging="240" w:hangingChars="100"/>
        <w:rPr>
          <w:rFonts w:hint="eastAsia"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72DABDC4">
      <w:pPr>
        <w:jc w:val="right"/>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日期：  年  月   日</w:t>
      </w:r>
    </w:p>
    <w:p w14:paraId="7567F89D">
      <w:pPr>
        <w:pStyle w:val="3"/>
        <w:jc w:val="center"/>
        <w:rPr>
          <w:rFonts w:hint="eastAsia" w:ascii="宋体" w:hAnsi="宋体" w:cs="宋体"/>
          <w:color w:val="auto"/>
          <w:highlight w:val="none"/>
        </w:rPr>
      </w:pPr>
      <w:r>
        <w:rPr>
          <w:rFonts w:hint="eastAsia" w:ascii="宋体" w:hAnsi="宋体" w:cs="宋体"/>
          <w:color w:val="auto"/>
          <w:kern w:val="0"/>
          <w:sz w:val="24"/>
          <w:highlight w:val="none"/>
          <w:lang w:val="zh-CN"/>
        </w:rPr>
        <w:br w:type="page"/>
      </w:r>
      <w:bookmarkStart w:id="188" w:name="_Toc24981"/>
      <w:bookmarkStart w:id="189" w:name="_Toc11642"/>
      <w:bookmarkStart w:id="190" w:name="_Toc9885"/>
      <w:r>
        <w:rPr>
          <w:rFonts w:hint="eastAsia" w:ascii="宋体" w:hAnsi="宋体" w:cs="宋体"/>
          <w:b w:val="0"/>
          <w:bCs w:val="0"/>
          <w:color w:val="auto"/>
          <w:highlight w:val="none"/>
        </w:rPr>
        <w:t>第四节 报价文件格式</w:t>
      </w:r>
      <w:bookmarkEnd w:id="188"/>
      <w:bookmarkEnd w:id="189"/>
      <w:bookmarkEnd w:id="190"/>
    </w:p>
    <w:p w14:paraId="26AC2713">
      <w:pPr>
        <w:snapToGrid w:val="0"/>
        <w:spacing w:before="165" w:beforeLines="50" w:after="50"/>
        <w:rPr>
          <w:rFonts w:hint="eastAsia" w:ascii="宋体" w:hAnsi="宋体" w:cs="宋体"/>
          <w:bCs/>
          <w:color w:val="auto"/>
          <w:sz w:val="32"/>
          <w:szCs w:val="20"/>
          <w:highlight w:val="none"/>
        </w:rPr>
      </w:pPr>
      <w:r>
        <w:rPr>
          <w:rFonts w:hint="eastAsia" w:ascii="宋体" w:hAnsi="宋体" w:cs="宋体"/>
          <w:color w:val="auto"/>
          <w:sz w:val="24"/>
          <w:highlight w:val="none"/>
        </w:rPr>
        <w:t xml:space="preserve">                                                    </w:t>
      </w:r>
      <w:r>
        <w:rPr>
          <w:rFonts w:hint="eastAsia" w:ascii="宋体" w:hAnsi="宋体" w:cs="宋体"/>
          <w:bCs/>
          <w:color w:val="auto"/>
          <w:highlight w:val="none"/>
        </w:rPr>
        <w:t>全流程电子文件</w:t>
      </w:r>
    </w:p>
    <w:p w14:paraId="71872370">
      <w:pPr>
        <w:snapToGrid w:val="0"/>
        <w:spacing w:before="165" w:beforeLines="50" w:after="50"/>
        <w:rPr>
          <w:rFonts w:hint="eastAsia" w:ascii="宋体" w:hAnsi="宋体" w:cs="宋体"/>
          <w:color w:val="auto"/>
          <w:sz w:val="24"/>
          <w:szCs w:val="20"/>
          <w:highlight w:val="none"/>
        </w:rPr>
      </w:pPr>
    </w:p>
    <w:p w14:paraId="49BB9EA6">
      <w:pPr>
        <w:snapToGrid w:val="0"/>
        <w:spacing w:before="165" w:beforeLines="50" w:after="50"/>
        <w:rPr>
          <w:rFonts w:hint="eastAsia" w:ascii="宋体" w:hAnsi="宋体" w:cs="宋体"/>
          <w:color w:val="auto"/>
          <w:sz w:val="24"/>
          <w:szCs w:val="20"/>
          <w:highlight w:val="none"/>
        </w:rPr>
      </w:pPr>
    </w:p>
    <w:p w14:paraId="111B7737">
      <w:pPr>
        <w:snapToGrid w:val="0"/>
        <w:spacing w:before="165" w:beforeLines="50" w:after="50"/>
        <w:rPr>
          <w:rFonts w:hint="eastAsia" w:ascii="宋体" w:hAnsi="宋体" w:cs="宋体"/>
          <w:color w:val="auto"/>
          <w:sz w:val="24"/>
          <w:szCs w:val="20"/>
          <w:highlight w:val="none"/>
        </w:rPr>
      </w:pPr>
    </w:p>
    <w:p w14:paraId="6ED9BFC9">
      <w:pPr>
        <w:snapToGrid w:val="0"/>
        <w:spacing w:before="165" w:beforeLines="50" w:after="50"/>
        <w:jc w:val="center"/>
        <w:rPr>
          <w:rFonts w:hint="eastAsia" w:ascii="宋体" w:hAnsi="宋体" w:cs="宋体"/>
          <w:b/>
          <w:color w:val="auto"/>
          <w:sz w:val="52"/>
          <w:szCs w:val="52"/>
          <w:highlight w:val="none"/>
        </w:rPr>
      </w:pPr>
      <w:r>
        <w:rPr>
          <w:rFonts w:hint="eastAsia" w:ascii="宋体" w:hAnsi="宋体" w:cs="宋体"/>
          <w:b/>
          <w:color w:val="auto"/>
          <w:sz w:val="52"/>
          <w:szCs w:val="52"/>
          <w:highlight w:val="none"/>
        </w:rPr>
        <w:t>报价文件（封面）</w:t>
      </w:r>
    </w:p>
    <w:p w14:paraId="352D7BF1">
      <w:pPr>
        <w:snapToGrid w:val="0"/>
        <w:spacing w:before="165" w:beforeLines="50" w:after="50"/>
        <w:rPr>
          <w:rFonts w:hint="eastAsia" w:ascii="宋体" w:hAnsi="宋体" w:cs="宋体"/>
          <w:bCs/>
          <w:color w:val="auto"/>
          <w:sz w:val="24"/>
          <w:szCs w:val="20"/>
          <w:highlight w:val="none"/>
        </w:rPr>
      </w:pPr>
    </w:p>
    <w:p w14:paraId="3433346E">
      <w:pPr>
        <w:snapToGrid w:val="0"/>
        <w:spacing w:before="165" w:beforeLines="50" w:after="50"/>
        <w:rPr>
          <w:rFonts w:hint="eastAsia" w:ascii="宋体" w:hAnsi="宋体" w:cs="宋体"/>
          <w:bCs/>
          <w:color w:val="auto"/>
          <w:sz w:val="24"/>
          <w:szCs w:val="20"/>
          <w:highlight w:val="none"/>
        </w:rPr>
      </w:pPr>
    </w:p>
    <w:p w14:paraId="21EFF609">
      <w:pPr>
        <w:snapToGrid w:val="0"/>
        <w:spacing w:before="165" w:beforeLines="50" w:after="50"/>
        <w:rPr>
          <w:rFonts w:hint="eastAsia" w:ascii="宋体" w:hAnsi="宋体" w:cs="宋体"/>
          <w:bCs/>
          <w:color w:val="auto"/>
          <w:sz w:val="24"/>
          <w:szCs w:val="20"/>
          <w:highlight w:val="none"/>
        </w:rPr>
      </w:pPr>
    </w:p>
    <w:p w14:paraId="710FDAC4">
      <w:pPr>
        <w:snapToGrid w:val="0"/>
        <w:spacing w:before="165" w:beforeLines="50" w:after="50"/>
        <w:rPr>
          <w:rFonts w:hint="eastAsia" w:ascii="宋体" w:hAnsi="宋体" w:cs="宋体"/>
          <w:bCs/>
          <w:color w:val="auto"/>
          <w:sz w:val="24"/>
          <w:szCs w:val="20"/>
          <w:highlight w:val="none"/>
        </w:rPr>
      </w:pPr>
    </w:p>
    <w:p w14:paraId="267B6581">
      <w:pPr>
        <w:snapToGrid w:val="0"/>
        <w:spacing w:before="165" w:beforeLines="50" w:after="50"/>
        <w:rPr>
          <w:rFonts w:hint="eastAsia" w:ascii="宋体" w:hAnsi="宋体" w:cs="宋体"/>
          <w:bCs/>
          <w:color w:val="auto"/>
          <w:sz w:val="24"/>
          <w:szCs w:val="20"/>
          <w:highlight w:val="none"/>
        </w:rPr>
      </w:pPr>
    </w:p>
    <w:p w14:paraId="353E44A5">
      <w:pPr>
        <w:snapToGrid w:val="0"/>
        <w:spacing w:before="165" w:beforeLines="50" w:after="50"/>
        <w:ind w:firstLine="640" w:firstLineChars="200"/>
        <w:rPr>
          <w:rFonts w:hint="eastAsia" w:ascii="宋体" w:hAnsi="宋体" w:cs="宋体"/>
          <w:bCs/>
          <w:color w:val="auto"/>
          <w:sz w:val="32"/>
          <w:szCs w:val="32"/>
          <w:highlight w:val="none"/>
        </w:rPr>
      </w:pPr>
      <w:r>
        <w:rPr>
          <w:rFonts w:hint="eastAsia" w:ascii="宋体" w:hAnsi="宋体" w:cs="宋体"/>
          <w:bCs/>
          <w:color w:val="auto"/>
          <w:sz w:val="32"/>
          <w:szCs w:val="32"/>
          <w:highlight w:val="none"/>
        </w:rPr>
        <w:t>项目名称：</w:t>
      </w:r>
    </w:p>
    <w:p w14:paraId="13E62216">
      <w:pPr>
        <w:snapToGrid w:val="0"/>
        <w:spacing w:before="165" w:beforeLines="50" w:after="50"/>
        <w:ind w:firstLine="720" w:firstLineChars="225"/>
        <w:rPr>
          <w:rFonts w:hint="eastAsia" w:ascii="宋体" w:hAnsi="宋体" w:cs="宋体"/>
          <w:bCs/>
          <w:color w:val="auto"/>
          <w:sz w:val="32"/>
          <w:szCs w:val="32"/>
          <w:highlight w:val="none"/>
        </w:rPr>
      </w:pPr>
    </w:p>
    <w:p w14:paraId="368545CF">
      <w:pPr>
        <w:snapToGrid w:val="0"/>
        <w:spacing w:before="165" w:beforeLines="50" w:after="50"/>
        <w:ind w:firstLine="640" w:firstLineChars="200"/>
        <w:rPr>
          <w:rFonts w:hint="eastAsia" w:ascii="宋体" w:hAnsi="宋体" w:cs="宋体"/>
          <w:bCs/>
          <w:color w:val="auto"/>
          <w:sz w:val="32"/>
          <w:szCs w:val="32"/>
          <w:highlight w:val="none"/>
        </w:rPr>
      </w:pPr>
      <w:r>
        <w:rPr>
          <w:rFonts w:hint="eastAsia" w:ascii="宋体" w:hAnsi="宋体" w:cs="宋体"/>
          <w:bCs/>
          <w:color w:val="auto"/>
          <w:sz w:val="32"/>
          <w:szCs w:val="32"/>
          <w:highlight w:val="none"/>
        </w:rPr>
        <w:t>项目编号：</w:t>
      </w:r>
    </w:p>
    <w:p w14:paraId="7C9A2795">
      <w:pPr>
        <w:snapToGrid w:val="0"/>
        <w:spacing w:before="165" w:beforeLines="50" w:after="50"/>
        <w:ind w:firstLine="720" w:firstLineChars="225"/>
        <w:rPr>
          <w:rFonts w:hint="eastAsia" w:ascii="宋体" w:hAnsi="宋体" w:cs="宋体"/>
          <w:bCs/>
          <w:color w:val="auto"/>
          <w:sz w:val="32"/>
          <w:szCs w:val="32"/>
          <w:highlight w:val="none"/>
        </w:rPr>
      </w:pPr>
      <w:r>
        <w:rPr>
          <w:rFonts w:hint="eastAsia" w:ascii="宋体" w:hAnsi="宋体" w:cs="宋体"/>
          <w:bCs/>
          <w:color w:val="auto"/>
          <w:sz w:val="32"/>
          <w:szCs w:val="32"/>
          <w:highlight w:val="none"/>
        </w:rPr>
        <w:t xml:space="preserve"> </w:t>
      </w:r>
    </w:p>
    <w:p w14:paraId="4E0577F5">
      <w:pPr>
        <w:snapToGrid w:val="0"/>
        <w:spacing w:before="165" w:beforeLines="50" w:after="50"/>
        <w:ind w:firstLine="640" w:firstLineChars="200"/>
        <w:rPr>
          <w:rFonts w:hint="eastAsia" w:ascii="宋体" w:hAnsi="宋体" w:cs="宋体"/>
          <w:bCs/>
          <w:color w:val="auto"/>
          <w:sz w:val="32"/>
          <w:szCs w:val="32"/>
          <w:highlight w:val="none"/>
        </w:rPr>
      </w:pPr>
      <w:r>
        <w:rPr>
          <w:rFonts w:hint="eastAsia" w:ascii="宋体" w:hAnsi="宋体" w:cs="宋体"/>
          <w:bCs/>
          <w:color w:val="auto"/>
          <w:sz w:val="32"/>
          <w:szCs w:val="32"/>
          <w:highlight w:val="none"/>
        </w:rPr>
        <w:t>所竞分标（如有则填写，无分标时填写“无”或者留空）：</w:t>
      </w:r>
    </w:p>
    <w:p w14:paraId="71833D0A">
      <w:pPr>
        <w:snapToGrid w:val="0"/>
        <w:spacing w:before="165" w:beforeLines="50" w:after="50"/>
        <w:ind w:firstLine="720" w:firstLineChars="225"/>
        <w:rPr>
          <w:rFonts w:hint="eastAsia" w:ascii="宋体" w:hAnsi="宋体" w:cs="宋体"/>
          <w:bCs/>
          <w:color w:val="auto"/>
          <w:sz w:val="32"/>
          <w:szCs w:val="32"/>
          <w:highlight w:val="none"/>
        </w:rPr>
      </w:pPr>
    </w:p>
    <w:p w14:paraId="3DF87263">
      <w:pPr>
        <w:pStyle w:val="7"/>
        <w:snapToGrid w:val="0"/>
        <w:spacing w:before="50" w:after="50"/>
        <w:ind w:firstLine="640" w:firstLineChars="200"/>
        <w:rPr>
          <w:rFonts w:hint="eastAsia" w:ascii="宋体" w:hAnsi="宋体" w:cs="宋体"/>
          <w:bCs/>
          <w:color w:val="auto"/>
          <w:sz w:val="32"/>
          <w:szCs w:val="32"/>
          <w:highlight w:val="none"/>
        </w:rPr>
      </w:pPr>
      <w:r>
        <w:rPr>
          <w:rFonts w:hint="eastAsia" w:ascii="宋体" w:hAnsi="宋体" w:cs="宋体"/>
          <w:bCs/>
          <w:color w:val="auto"/>
          <w:sz w:val="32"/>
          <w:szCs w:val="32"/>
          <w:highlight w:val="none"/>
        </w:rPr>
        <w:t>供应商名称：</w:t>
      </w:r>
    </w:p>
    <w:p w14:paraId="1479C33E">
      <w:pPr>
        <w:pStyle w:val="7"/>
        <w:snapToGrid w:val="0"/>
        <w:spacing w:before="50" w:after="50"/>
        <w:ind w:firstLine="720" w:firstLineChars="225"/>
        <w:rPr>
          <w:rFonts w:hint="eastAsia" w:ascii="宋体" w:hAnsi="宋体" w:cs="宋体"/>
          <w:bCs/>
          <w:color w:val="auto"/>
          <w:sz w:val="32"/>
          <w:szCs w:val="32"/>
          <w:highlight w:val="none"/>
        </w:rPr>
      </w:pPr>
    </w:p>
    <w:p w14:paraId="12EBBE86">
      <w:pPr>
        <w:pStyle w:val="7"/>
        <w:snapToGrid w:val="0"/>
        <w:spacing w:before="50" w:after="50"/>
        <w:ind w:firstLine="720" w:firstLineChars="225"/>
        <w:rPr>
          <w:rFonts w:hint="eastAsia" w:ascii="宋体" w:hAnsi="宋体" w:cs="宋体"/>
          <w:bCs/>
          <w:color w:val="auto"/>
          <w:sz w:val="32"/>
          <w:szCs w:val="32"/>
          <w:highlight w:val="none"/>
        </w:rPr>
      </w:pPr>
    </w:p>
    <w:p w14:paraId="16C8BAD8">
      <w:pPr>
        <w:pStyle w:val="7"/>
        <w:snapToGrid w:val="0"/>
        <w:spacing w:before="50" w:after="50"/>
        <w:ind w:firstLine="1280" w:firstLineChars="400"/>
        <w:rPr>
          <w:rFonts w:hint="eastAsia" w:ascii="宋体" w:hAnsi="宋体" w:cs="宋体"/>
          <w:bCs/>
          <w:color w:val="auto"/>
          <w:sz w:val="32"/>
          <w:szCs w:val="32"/>
          <w:highlight w:val="none"/>
        </w:rPr>
      </w:pPr>
    </w:p>
    <w:p w14:paraId="3A6FC559">
      <w:pPr>
        <w:snapToGrid w:val="0"/>
        <w:spacing w:before="165" w:beforeLines="50" w:after="50"/>
        <w:jc w:val="center"/>
        <w:rPr>
          <w:rFonts w:hint="eastAsia" w:ascii="宋体" w:hAnsi="宋体" w:cs="宋体"/>
          <w:color w:val="auto"/>
          <w:sz w:val="32"/>
          <w:szCs w:val="32"/>
          <w:highlight w:val="none"/>
        </w:rPr>
      </w:pPr>
      <w:r>
        <w:rPr>
          <w:rFonts w:hint="eastAsia" w:ascii="宋体" w:hAnsi="宋体" w:cs="宋体"/>
          <w:color w:val="auto"/>
          <w:sz w:val="32"/>
          <w:szCs w:val="32"/>
          <w:highlight w:val="none"/>
        </w:rPr>
        <w:t>年    月    日</w:t>
      </w:r>
    </w:p>
    <w:p w14:paraId="20DA3D60">
      <w:pPr>
        <w:jc w:val="right"/>
        <w:rPr>
          <w:rFonts w:hint="eastAsia" w:ascii="宋体" w:hAnsi="宋体" w:cs="宋体"/>
          <w:color w:val="auto"/>
          <w:kern w:val="0"/>
          <w:sz w:val="24"/>
          <w:highlight w:val="none"/>
          <w:lang w:val="zh-CN"/>
        </w:rPr>
        <w:sectPr>
          <w:pgSz w:w="11905" w:h="16838"/>
          <w:pgMar w:top="1134" w:right="1587" w:bottom="1134" w:left="1587" w:header="720" w:footer="720" w:gutter="0"/>
          <w:pgBorders>
            <w:top w:val="none" w:sz="0" w:space="0"/>
            <w:left w:val="none" w:sz="0" w:space="0"/>
            <w:bottom w:val="none" w:sz="0" w:space="0"/>
            <w:right w:val="none" w:sz="0" w:space="0"/>
          </w:pgBorders>
          <w:cols w:space="720" w:num="1"/>
          <w:docGrid w:type="lines" w:linePitch="331" w:charSpace="0"/>
        </w:sectPr>
      </w:pPr>
    </w:p>
    <w:p w14:paraId="6B218604">
      <w:pPr>
        <w:snapToGrid w:val="0"/>
        <w:spacing w:before="165" w:beforeLines="50" w:after="50" w:line="400" w:lineRule="exact"/>
        <w:jc w:val="center"/>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报价文件目录</w:t>
      </w:r>
    </w:p>
    <w:p w14:paraId="1AD86D63">
      <w:pPr>
        <w:rPr>
          <w:rFonts w:hint="eastAsia" w:ascii="宋体" w:hAnsi="宋体" w:cs="宋体"/>
          <w:color w:val="auto"/>
          <w:highlight w:val="none"/>
        </w:rPr>
      </w:pPr>
    </w:p>
    <w:p w14:paraId="14B5E5EE">
      <w:pPr>
        <w:spacing w:line="360" w:lineRule="auto"/>
        <w:rPr>
          <w:rFonts w:hint="eastAsia" w:ascii="宋体" w:hAnsi="宋体" w:cs="宋体"/>
          <w:color w:val="auto"/>
          <w:kern w:val="0"/>
          <w:sz w:val="24"/>
          <w:highlight w:val="none"/>
        </w:rPr>
      </w:pPr>
      <w:r>
        <w:rPr>
          <w:rFonts w:hint="eastAsia" w:ascii="宋体" w:hAnsi="宋体" w:cs="宋体"/>
          <w:color w:val="auto"/>
          <w:kern w:val="0"/>
          <w:sz w:val="24"/>
          <w:highlight w:val="none"/>
        </w:rPr>
        <w:t>一、响应函……………………………………………………………………（页码）</w:t>
      </w:r>
    </w:p>
    <w:p w14:paraId="18E84B6D">
      <w:pPr>
        <w:spacing w:line="360" w:lineRule="auto"/>
        <w:rPr>
          <w:rFonts w:hint="eastAsia" w:ascii="宋体" w:hAnsi="宋体" w:cs="宋体"/>
          <w:color w:val="auto"/>
          <w:kern w:val="0"/>
          <w:sz w:val="24"/>
          <w:highlight w:val="none"/>
        </w:rPr>
      </w:pPr>
      <w:r>
        <w:rPr>
          <w:rFonts w:hint="eastAsia" w:ascii="宋体" w:hAnsi="宋体" w:cs="宋体"/>
          <w:color w:val="auto"/>
          <w:kern w:val="0"/>
          <w:sz w:val="24"/>
          <w:highlight w:val="none"/>
        </w:rPr>
        <w:t>二、响应报价表………………………………………………………………（页码）</w:t>
      </w:r>
    </w:p>
    <w:p w14:paraId="7094017B">
      <w:pPr>
        <w:spacing w:line="360" w:lineRule="auto"/>
        <w:rPr>
          <w:rFonts w:hint="eastAsia" w:ascii="宋体" w:hAnsi="宋体" w:cs="宋体"/>
          <w:color w:val="auto"/>
          <w:kern w:val="0"/>
          <w:sz w:val="24"/>
          <w:highlight w:val="none"/>
        </w:rPr>
      </w:pPr>
      <w:r>
        <w:rPr>
          <w:rFonts w:hint="eastAsia" w:ascii="宋体" w:hAnsi="宋体" w:cs="宋体"/>
          <w:color w:val="auto"/>
          <w:kern w:val="0"/>
          <w:sz w:val="24"/>
          <w:highlight w:val="none"/>
        </w:rPr>
        <w:t>三、已标价工程量清单………………………………………………………（页码）</w:t>
      </w:r>
    </w:p>
    <w:p w14:paraId="4BA592C2">
      <w:pPr>
        <w:snapToGrid w:val="0"/>
        <w:spacing w:before="165" w:beforeLines="50" w:after="50" w:line="360" w:lineRule="auto"/>
        <w:ind w:left="142" w:firstLine="643" w:firstLineChars="200"/>
        <w:jc w:val="left"/>
        <w:rPr>
          <w:rFonts w:hint="eastAsia" w:ascii="宋体" w:hAnsi="宋体" w:cs="宋体"/>
          <w:color w:val="auto"/>
          <w:sz w:val="24"/>
          <w:highlight w:val="none"/>
        </w:rPr>
      </w:pPr>
      <w:r>
        <w:rPr>
          <w:rFonts w:hint="eastAsia" w:ascii="宋体" w:hAnsi="宋体" w:cs="宋体"/>
          <w:b/>
          <w:bCs/>
          <w:color w:val="auto"/>
          <w:sz w:val="32"/>
          <w:szCs w:val="32"/>
          <w:highlight w:val="none"/>
        </w:rPr>
        <w:br w:type="page"/>
      </w:r>
      <w:r>
        <w:rPr>
          <w:rFonts w:hint="eastAsia" w:ascii="宋体" w:hAnsi="宋体" w:cs="宋体"/>
          <w:b/>
          <w:bCs/>
          <w:color w:val="auto"/>
          <w:sz w:val="32"/>
          <w:szCs w:val="32"/>
          <w:highlight w:val="none"/>
        </w:rPr>
        <w:t>一、响应函</w:t>
      </w:r>
    </w:p>
    <w:p w14:paraId="1AFA7985">
      <w:pPr>
        <w:pStyle w:val="15"/>
        <w:spacing w:after="165" w:afterLines="50" w:line="500" w:lineRule="exact"/>
        <w:jc w:val="center"/>
        <w:rPr>
          <w:rFonts w:hint="eastAsia" w:hAnsi="宋体" w:cs="宋体"/>
          <w:b/>
          <w:bCs/>
          <w:color w:val="auto"/>
          <w:sz w:val="30"/>
          <w:szCs w:val="30"/>
          <w:highlight w:val="none"/>
        </w:rPr>
      </w:pPr>
      <w:r>
        <w:rPr>
          <w:rFonts w:hint="eastAsia" w:hAnsi="宋体" w:cs="宋体"/>
          <w:b/>
          <w:bCs/>
          <w:color w:val="auto"/>
          <w:sz w:val="30"/>
          <w:szCs w:val="30"/>
          <w:highlight w:val="none"/>
        </w:rPr>
        <w:t>响应函</w:t>
      </w:r>
    </w:p>
    <w:p w14:paraId="2A1705A4">
      <w:pPr>
        <w:pStyle w:val="15"/>
        <w:spacing w:line="360" w:lineRule="auto"/>
        <w:rPr>
          <w:rFonts w:hint="eastAsia" w:hAnsi="宋体" w:eastAsia="宋体" w:cs="宋体"/>
          <w:color w:val="auto"/>
          <w:sz w:val="24"/>
          <w:szCs w:val="24"/>
          <w:highlight w:val="none"/>
          <w:lang w:eastAsia="zh-CN"/>
        </w:rPr>
      </w:pPr>
      <w:r>
        <w:rPr>
          <w:rFonts w:hint="eastAsia" w:hAnsi="宋体" w:cs="宋体"/>
          <w:color w:val="auto"/>
          <w:sz w:val="24"/>
          <w:szCs w:val="24"/>
          <w:highlight w:val="none"/>
        </w:rPr>
        <w:t>致：</w:t>
      </w:r>
      <w:r>
        <w:rPr>
          <w:rFonts w:hint="eastAsia" w:hAnsi="宋体" w:cs="宋体"/>
          <w:color w:val="auto"/>
          <w:sz w:val="24"/>
          <w:szCs w:val="24"/>
          <w:highlight w:val="none"/>
          <w:u w:val="single"/>
        </w:rPr>
        <w:t xml:space="preserve"> </w:t>
      </w:r>
      <w:r>
        <w:rPr>
          <w:rFonts w:hint="eastAsia" w:hAnsi="宋体" w:cs="宋体"/>
          <w:color w:val="auto"/>
          <w:sz w:val="24"/>
          <w:szCs w:val="24"/>
          <w:highlight w:val="none"/>
          <w:u w:val="single"/>
          <w:lang w:eastAsia="zh-CN"/>
        </w:rPr>
        <w:t>广西同泽工程项目管理股份有限公司</w:t>
      </w:r>
    </w:p>
    <w:p w14:paraId="5F6F4299">
      <w:pPr>
        <w:pStyle w:val="15"/>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我方已仔细阅读了贵方组织的</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项目（项目编号：</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 xml:space="preserve">）的竞争性磋商文件的全部内容，现正式递交下述文件参加贵方组织的本次政府采购活动： </w:t>
      </w:r>
    </w:p>
    <w:p w14:paraId="11A16162">
      <w:pPr>
        <w:pStyle w:val="15"/>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一、首次报价文件电子版</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份（包含按“第三章 供应商须知”提交的全部文件）；</w:t>
      </w:r>
    </w:p>
    <w:p w14:paraId="32FE5DD9">
      <w:pPr>
        <w:pStyle w:val="15"/>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二、商务技术文件电子版</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份（包含按“第三章 供应商须知”提交的全部文件）；（商务技术文件已合并装订成册）</w:t>
      </w:r>
    </w:p>
    <w:p w14:paraId="703E13AF">
      <w:pPr>
        <w:pStyle w:val="15"/>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三、资格证明文件电子版</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份（包含按“第三章供应商须知”提交的全部文件）；</w:t>
      </w:r>
    </w:p>
    <w:p w14:paraId="2E2BB266">
      <w:pPr>
        <w:pStyle w:val="15"/>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据此函，签字人兹宣布：</w:t>
      </w:r>
    </w:p>
    <w:p w14:paraId="15C87F62">
      <w:pPr>
        <w:pStyle w:val="15"/>
        <w:spacing w:line="360" w:lineRule="auto"/>
        <w:ind w:firstLine="482"/>
        <w:rPr>
          <w:rFonts w:hint="eastAsia" w:hAnsi="宋体" w:cs="宋体"/>
          <w:color w:val="auto"/>
          <w:sz w:val="24"/>
          <w:szCs w:val="24"/>
          <w:highlight w:val="none"/>
        </w:rPr>
      </w:pPr>
      <w:r>
        <w:rPr>
          <w:rFonts w:hint="eastAsia" w:hAnsi="宋体" w:cs="宋体"/>
          <w:color w:val="auto"/>
          <w:sz w:val="24"/>
          <w:szCs w:val="24"/>
          <w:highlight w:val="none"/>
        </w:rPr>
        <w:t>1.我方愿意以（大写）人民币</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元)的竞标总报价，合同履行期限：</w:t>
      </w:r>
      <w:r>
        <w:rPr>
          <w:rFonts w:hint="eastAsia" w:hAnsi="宋体" w:cs="宋体"/>
          <w:color w:val="auto"/>
          <w:sz w:val="24"/>
          <w:szCs w:val="24"/>
          <w:highlight w:val="none"/>
          <w:u w:val="single"/>
        </w:rPr>
        <w:t xml:space="preserve"> </w:t>
      </w:r>
      <w:r>
        <w:rPr>
          <w:rFonts w:hint="eastAsia" w:hAnsi="宋体" w:cs="宋体"/>
          <w:color w:val="auto"/>
          <w:sz w:val="24"/>
          <w:szCs w:val="24"/>
          <w:highlight w:val="none"/>
          <w:u w:val="single"/>
          <w:lang w:eastAsia="zh-CN"/>
        </w:rPr>
        <w:t>工期：</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，提供本项目竞争性磋商文件第二章“采购需求”中相应的采购内容。</w:t>
      </w:r>
    </w:p>
    <w:p w14:paraId="220DA73B">
      <w:pPr>
        <w:pStyle w:val="15"/>
        <w:spacing w:line="360" w:lineRule="auto"/>
        <w:ind w:firstLine="482"/>
        <w:rPr>
          <w:rFonts w:hint="eastAsia" w:hAnsi="宋体" w:cs="宋体"/>
          <w:color w:val="auto"/>
          <w:sz w:val="24"/>
          <w:szCs w:val="24"/>
          <w:highlight w:val="none"/>
        </w:rPr>
      </w:pPr>
      <w:r>
        <w:rPr>
          <w:rFonts w:hint="eastAsia" w:hAnsi="宋体" w:cs="宋体"/>
          <w:color w:val="auto"/>
          <w:sz w:val="24"/>
          <w:szCs w:val="24"/>
          <w:highlight w:val="none"/>
        </w:rPr>
        <w:t>2.我方同意自本项目竞争性磋商文件采购公告规定的递交响应文件截止时间起遵循本响应函，并承诺在“第三章 供应商须知”规定的竞标有效期内不修改、撤销响应文件。</w:t>
      </w:r>
    </w:p>
    <w:p w14:paraId="7E5114D7">
      <w:pPr>
        <w:pStyle w:val="15"/>
        <w:spacing w:line="360" w:lineRule="auto"/>
        <w:ind w:firstLine="482"/>
        <w:rPr>
          <w:rFonts w:hint="eastAsia" w:hAnsi="宋体" w:cs="宋体"/>
          <w:color w:val="auto"/>
          <w:sz w:val="24"/>
          <w:szCs w:val="24"/>
          <w:highlight w:val="none"/>
        </w:rPr>
      </w:pPr>
      <w:r>
        <w:rPr>
          <w:rFonts w:hint="eastAsia" w:hAnsi="宋体" w:cs="宋体"/>
          <w:color w:val="auto"/>
          <w:sz w:val="24"/>
          <w:szCs w:val="24"/>
          <w:highlight w:val="none"/>
        </w:rPr>
        <w:t>3.我方在此声明，所递交的响应文件及有关资料内容完整、真实和准确。</w:t>
      </w:r>
    </w:p>
    <w:p w14:paraId="7D71E19D">
      <w:pPr>
        <w:pStyle w:val="15"/>
        <w:spacing w:line="360" w:lineRule="auto"/>
        <w:ind w:firstLine="482"/>
        <w:rPr>
          <w:rFonts w:hint="eastAsia" w:hAnsi="宋体" w:cs="宋体"/>
          <w:color w:val="auto"/>
          <w:sz w:val="24"/>
          <w:szCs w:val="24"/>
          <w:highlight w:val="none"/>
        </w:rPr>
      </w:pPr>
      <w:r>
        <w:rPr>
          <w:rFonts w:hint="eastAsia" w:hAnsi="宋体" w:cs="宋体"/>
          <w:color w:val="auto"/>
          <w:sz w:val="24"/>
          <w:szCs w:val="24"/>
          <w:highlight w:val="none"/>
        </w:rPr>
        <w:t>4.如本项目采购内容涉及须符合国家强制规定的，我方承诺我方本次竞标均符合国家有关强制规定。</w:t>
      </w:r>
    </w:p>
    <w:p w14:paraId="69E3000A">
      <w:pPr>
        <w:pStyle w:val="15"/>
        <w:spacing w:line="360" w:lineRule="auto"/>
        <w:ind w:firstLine="482"/>
        <w:rPr>
          <w:rFonts w:hint="eastAsia" w:hAnsi="宋体" w:cs="宋体"/>
          <w:color w:val="auto"/>
          <w:sz w:val="24"/>
          <w:szCs w:val="24"/>
          <w:highlight w:val="none"/>
        </w:rPr>
      </w:pPr>
      <w:r>
        <w:rPr>
          <w:rFonts w:hint="eastAsia" w:hAnsi="宋体" w:cs="宋体"/>
          <w:color w:val="auto"/>
          <w:sz w:val="24"/>
          <w:szCs w:val="24"/>
          <w:highlight w:val="none"/>
        </w:rPr>
        <w:t>5.如我方成交，我方承诺在收到成交通知书后，在成交通知书规定的期限内，根据竞争性磋商文件、我方的响应文件及有关澄清承诺书的要求按第六章“合同文本”与采购人订立书面合同，并按照合同约定承担完成合同的责任和义务。</w:t>
      </w:r>
    </w:p>
    <w:p w14:paraId="5C73D81A">
      <w:pPr>
        <w:pStyle w:val="15"/>
        <w:spacing w:line="360" w:lineRule="auto"/>
        <w:ind w:firstLine="482"/>
        <w:rPr>
          <w:rFonts w:hint="eastAsia" w:hAnsi="宋体" w:cs="宋体"/>
          <w:color w:val="auto"/>
          <w:sz w:val="24"/>
          <w:szCs w:val="24"/>
          <w:highlight w:val="none"/>
        </w:rPr>
      </w:pPr>
      <w:r>
        <w:rPr>
          <w:rFonts w:hint="eastAsia" w:hAnsi="宋体" w:cs="宋体"/>
          <w:color w:val="auto"/>
          <w:sz w:val="24"/>
          <w:szCs w:val="24"/>
          <w:highlight w:val="none"/>
        </w:rPr>
        <w:t>6.我方已详细审核竞争性磋商文件，我方知道必须放弃提出含糊不清或误解问题的权利。</w:t>
      </w:r>
    </w:p>
    <w:p w14:paraId="08C53ABC">
      <w:pPr>
        <w:pStyle w:val="15"/>
        <w:spacing w:line="360" w:lineRule="auto"/>
        <w:ind w:firstLine="482"/>
        <w:rPr>
          <w:rFonts w:hint="eastAsia" w:hAnsi="宋体" w:cs="宋体"/>
          <w:color w:val="auto"/>
          <w:sz w:val="24"/>
          <w:szCs w:val="24"/>
          <w:highlight w:val="none"/>
        </w:rPr>
      </w:pPr>
      <w:r>
        <w:rPr>
          <w:rFonts w:hint="eastAsia" w:hAnsi="宋体" w:cs="宋体"/>
          <w:color w:val="auto"/>
          <w:sz w:val="24"/>
          <w:szCs w:val="24"/>
          <w:highlight w:val="none"/>
        </w:rPr>
        <w:t>7.我方承诺满足竞争性磋商文件第六章“合同文本”的条款，承担完成合同的责任和义务。</w:t>
      </w:r>
    </w:p>
    <w:p w14:paraId="5E057D50">
      <w:pPr>
        <w:pStyle w:val="15"/>
        <w:spacing w:line="360" w:lineRule="auto"/>
        <w:ind w:firstLine="482"/>
        <w:rPr>
          <w:rFonts w:hint="eastAsia" w:hAnsi="宋体" w:cs="宋体"/>
          <w:color w:val="auto"/>
          <w:sz w:val="24"/>
          <w:szCs w:val="24"/>
          <w:highlight w:val="none"/>
        </w:rPr>
      </w:pPr>
      <w:r>
        <w:rPr>
          <w:rFonts w:hint="eastAsia" w:hAnsi="宋体" w:cs="宋体"/>
          <w:color w:val="auto"/>
          <w:sz w:val="24"/>
          <w:szCs w:val="24"/>
          <w:highlight w:val="none"/>
        </w:rPr>
        <w:t>8.我方同意应贵方要求提供与本竞标有关的任何数据或资料。若贵方需要，我方愿意提供我方作出的一切承诺的证明材料。</w:t>
      </w:r>
    </w:p>
    <w:p w14:paraId="451B4DC8">
      <w:pPr>
        <w:pStyle w:val="15"/>
        <w:spacing w:line="360" w:lineRule="auto"/>
        <w:ind w:firstLine="482"/>
        <w:rPr>
          <w:rFonts w:hint="eastAsia" w:hAnsi="宋体" w:cs="宋体"/>
          <w:color w:val="auto"/>
          <w:sz w:val="24"/>
          <w:szCs w:val="24"/>
          <w:highlight w:val="none"/>
        </w:rPr>
      </w:pPr>
      <w:r>
        <w:rPr>
          <w:rFonts w:hint="eastAsia" w:hAnsi="宋体" w:cs="宋体"/>
          <w:color w:val="auto"/>
          <w:sz w:val="24"/>
          <w:szCs w:val="24"/>
          <w:highlight w:val="none"/>
        </w:rPr>
        <w:t>9.我方完全理解贵方不一定接受响应报价最低的竞标人为成交供应商的行为。</w:t>
      </w:r>
    </w:p>
    <w:p w14:paraId="39AA4955">
      <w:pPr>
        <w:pStyle w:val="15"/>
        <w:spacing w:line="360" w:lineRule="auto"/>
        <w:ind w:firstLine="482"/>
        <w:rPr>
          <w:rFonts w:hint="eastAsia" w:hAnsi="宋体" w:cs="宋体"/>
          <w:color w:val="auto"/>
          <w:sz w:val="24"/>
          <w:szCs w:val="24"/>
          <w:highlight w:val="none"/>
        </w:rPr>
      </w:pPr>
      <w:r>
        <w:rPr>
          <w:rFonts w:hint="eastAsia" w:hAnsi="宋体" w:cs="宋体"/>
          <w:color w:val="auto"/>
          <w:sz w:val="24"/>
          <w:szCs w:val="24"/>
          <w:highlight w:val="none"/>
        </w:rPr>
        <w:t>10.我方将严格遵守《中华人民共和国政府采购法》第七十七条的规定，即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08383886">
      <w:pPr>
        <w:pStyle w:val="15"/>
        <w:numPr>
          <w:ilvl w:val="0"/>
          <w:numId w:val="3"/>
        </w:numPr>
        <w:tabs>
          <w:tab w:val="left" w:pos="945"/>
        </w:tabs>
        <w:spacing w:line="360" w:lineRule="auto"/>
        <w:rPr>
          <w:rFonts w:hint="eastAsia" w:hAnsi="宋体" w:cs="宋体"/>
          <w:color w:val="auto"/>
          <w:sz w:val="24"/>
          <w:szCs w:val="24"/>
          <w:highlight w:val="none"/>
        </w:rPr>
      </w:pPr>
      <w:r>
        <w:rPr>
          <w:rFonts w:hint="eastAsia" w:hAnsi="宋体" w:cs="宋体"/>
          <w:color w:val="auto"/>
          <w:sz w:val="24"/>
          <w:szCs w:val="24"/>
          <w:highlight w:val="none"/>
        </w:rPr>
        <w:t>提供虚假材料谋取中标、成交的；</w:t>
      </w:r>
    </w:p>
    <w:p w14:paraId="68BE255E">
      <w:pPr>
        <w:pStyle w:val="15"/>
        <w:numPr>
          <w:ilvl w:val="0"/>
          <w:numId w:val="3"/>
        </w:numPr>
        <w:tabs>
          <w:tab w:val="left" w:pos="945"/>
        </w:tabs>
        <w:spacing w:line="360" w:lineRule="auto"/>
        <w:rPr>
          <w:rFonts w:hint="eastAsia" w:hAnsi="宋体" w:cs="宋体"/>
          <w:color w:val="auto"/>
          <w:sz w:val="24"/>
          <w:szCs w:val="24"/>
          <w:highlight w:val="none"/>
        </w:rPr>
      </w:pPr>
      <w:r>
        <w:rPr>
          <w:rFonts w:hint="eastAsia" w:hAnsi="宋体" w:cs="宋体"/>
          <w:color w:val="auto"/>
          <w:sz w:val="24"/>
          <w:szCs w:val="24"/>
          <w:highlight w:val="none"/>
        </w:rPr>
        <w:t>采取不正当手段诋毁、排挤其他供应商的；</w:t>
      </w:r>
    </w:p>
    <w:p w14:paraId="663764A2">
      <w:pPr>
        <w:pStyle w:val="15"/>
        <w:numPr>
          <w:ilvl w:val="0"/>
          <w:numId w:val="3"/>
        </w:numPr>
        <w:tabs>
          <w:tab w:val="left" w:pos="945"/>
        </w:tabs>
        <w:spacing w:line="360" w:lineRule="auto"/>
        <w:rPr>
          <w:rFonts w:hint="eastAsia" w:hAnsi="宋体" w:cs="宋体"/>
          <w:color w:val="auto"/>
          <w:sz w:val="24"/>
          <w:szCs w:val="24"/>
          <w:highlight w:val="none"/>
        </w:rPr>
      </w:pPr>
      <w:r>
        <w:rPr>
          <w:rFonts w:hint="eastAsia" w:hAnsi="宋体" w:cs="宋体"/>
          <w:color w:val="auto"/>
          <w:sz w:val="24"/>
          <w:szCs w:val="24"/>
          <w:highlight w:val="none"/>
        </w:rPr>
        <w:t>与采购人、其他供应商或者采购代理机构恶意串通的；</w:t>
      </w:r>
    </w:p>
    <w:p w14:paraId="4A3660E9">
      <w:pPr>
        <w:pStyle w:val="15"/>
        <w:numPr>
          <w:ilvl w:val="0"/>
          <w:numId w:val="3"/>
        </w:numPr>
        <w:tabs>
          <w:tab w:val="left" w:pos="945"/>
        </w:tabs>
        <w:spacing w:line="360" w:lineRule="auto"/>
        <w:rPr>
          <w:rFonts w:hint="eastAsia" w:hAnsi="宋体" w:cs="宋体"/>
          <w:color w:val="auto"/>
          <w:sz w:val="24"/>
          <w:szCs w:val="24"/>
          <w:highlight w:val="none"/>
        </w:rPr>
      </w:pPr>
      <w:r>
        <w:rPr>
          <w:rFonts w:hint="eastAsia" w:hAnsi="宋体" w:cs="宋体"/>
          <w:color w:val="auto"/>
          <w:sz w:val="24"/>
          <w:szCs w:val="24"/>
          <w:highlight w:val="none"/>
        </w:rPr>
        <w:t>向采购人、采购代理机构行贿或者提供其他不正当利益的；</w:t>
      </w:r>
    </w:p>
    <w:p w14:paraId="2751BBAF">
      <w:pPr>
        <w:pStyle w:val="15"/>
        <w:numPr>
          <w:ilvl w:val="0"/>
          <w:numId w:val="3"/>
        </w:numPr>
        <w:tabs>
          <w:tab w:val="left" w:pos="945"/>
        </w:tabs>
        <w:spacing w:line="360" w:lineRule="auto"/>
        <w:rPr>
          <w:rFonts w:hint="eastAsia" w:hAnsi="宋体" w:cs="宋体"/>
          <w:color w:val="auto"/>
          <w:sz w:val="24"/>
          <w:szCs w:val="24"/>
          <w:highlight w:val="none"/>
        </w:rPr>
      </w:pPr>
      <w:r>
        <w:rPr>
          <w:rFonts w:hint="eastAsia" w:hAnsi="宋体" w:cs="宋体"/>
          <w:color w:val="auto"/>
          <w:sz w:val="24"/>
          <w:szCs w:val="24"/>
          <w:highlight w:val="none"/>
        </w:rPr>
        <w:t>在采购过程中与采购人进行协商谈判的；</w:t>
      </w:r>
    </w:p>
    <w:p w14:paraId="78C38EDF">
      <w:pPr>
        <w:pStyle w:val="15"/>
        <w:numPr>
          <w:ilvl w:val="0"/>
          <w:numId w:val="3"/>
        </w:numPr>
        <w:tabs>
          <w:tab w:val="left" w:pos="945"/>
        </w:tabs>
        <w:spacing w:line="360" w:lineRule="auto"/>
        <w:rPr>
          <w:rFonts w:hint="eastAsia" w:hAnsi="宋体" w:cs="宋体"/>
          <w:color w:val="auto"/>
          <w:sz w:val="24"/>
          <w:szCs w:val="24"/>
          <w:highlight w:val="none"/>
        </w:rPr>
      </w:pPr>
      <w:r>
        <w:rPr>
          <w:rFonts w:hint="eastAsia" w:hAnsi="宋体" w:cs="宋体"/>
          <w:color w:val="auto"/>
          <w:sz w:val="24"/>
          <w:szCs w:val="24"/>
          <w:highlight w:val="none"/>
        </w:rPr>
        <w:t>拒绝有关部门监督检查或提供虚假情况的。</w:t>
      </w:r>
    </w:p>
    <w:p w14:paraId="0CD59B98">
      <w:pPr>
        <w:pStyle w:val="15"/>
        <w:spacing w:line="360" w:lineRule="auto"/>
        <w:ind w:firstLine="420"/>
        <w:rPr>
          <w:rFonts w:hint="eastAsia" w:hAnsi="宋体" w:cs="宋体"/>
          <w:color w:val="auto"/>
          <w:sz w:val="24"/>
          <w:szCs w:val="24"/>
          <w:highlight w:val="none"/>
        </w:rPr>
      </w:pPr>
      <w:r>
        <w:rPr>
          <w:rFonts w:hint="eastAsia" w:hAnsi="宋体" w:cs="宋体"/>
          <w:color w:val="auto"/>
          <w:sz w:val="24"/>
          <w:szCs w:val="24"/>
          <w:highlight w:val="none"/>
        </w:rPr>
        <w:t>11.与本磋商有关的一切正式往来信函请寄：</w:t>
      </w:r>
      <w:r>
        <w:rPr>
          <w:rFonts w:hint="eastAsia" w:hAnsi="宋体" w:cs="宋体"/>
          <w:color w:val="auto"/>
          <w:sz w:val="24"/>
          <w:szCs w:val="24"/>
          <w:highlight w:val="none"/>
          <w:u w:val="single"/>
        </w:rPr>
        <w:t xml:space="preserve">                </w:t>
      </w:r>
    </w:p>
    <w:p w14:paraId="16D93BE1">
      <w:pPr>
        <w:pStyle w:val="15"/>
        <w:spacing w:line="360" w:lineRule="auto"/>
        <w:ind w:firstLine="420"/>
        <w:rPr>
          <w:rFonts w:hint="eastAsia" w:hAnsi="宋体" w:cs="宋体"/>
          <w:color w:val="auto"/>
          <w:sz w:val="24"/>
          <w:szCs w:val="24"/>
          <w:highlight w:val="none"/>
        </w:rPr>
      </w:pPr>
      <w:r>
        <w:rPr>
          <w:rFonts w:hint="eastAsia" w:hAnsi="宋体" w:cs="宋体"/>
          <w:color w:val="auto"/>
          <w:sz w:val="24"/>
          <w:szCs w:val="24"/>
          <w:highlight w:val="none"/>
        </w:rPr>
        <w:t>地址：</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 xml:space="preserve"> </w:t>
      </w:r>
    </w:p>
    <w:p w14:paraId="454C99D3">
      <w:pPr>
        <w:pStyle w:val="15"/>
        <w:spacing w:line="360" w:lineRule="auto"/>
        <w:ind w:firstLine="420"/>
        <w:rPr>
          <w:rFonts w:hint="eastAsia" w:hAnsi="宋体" w:cs="宋体"/>
          <w:color w:val="auto"/>
          <w:sz w:val="24"/>
          <w:szCs w:val="24"/>
          <w:highlight w:val="none"/>
          <w:u w:val="single"/>
        </w:rPr>
      </w:pPr>
      <w:r>
        <w:rPr>
          <w:rFonts w:hint="eastAsia" w:hAnsi="宋体" w:cs="宋体"/>
          <w:color w:val="auto"/>
          <w:sz w:val="24"/>
          <w:szCs w:val="24"/>
          <w:highlight w:val="none"/>
        </w:rPr>
        <w:t>电话：</w:t>
      </w:r>
      <w:r>
        <w:rPr>
          <w:rFonts w:hint="eastAsia" w:hAnsi="宋体" w:cs="宋体"/>
          <w:color w:val="auto"/>
          <w:sz w:val="24"/>
          <w:szCs w:val="24"/>
          <w:highlight w:val="none"/>
          <w:u w:val="single"/>
        </w:rPr>
        <w:t xml:space="preserve">                                      　　　　　　　　　</w:t>
      </w:r>
    </w:p>
    <w:p w14:paraId="059897A0">
      <w:pPr>
        <w:pStyle w:val="15"/>
        <w:spacing w:line="360" w:lineRule="auto"/>
        <w:ind w:firstLine="420"/>
        <w:rPr>
          <w:rFonts w:hint="eastAsia" w:hAnsi="宋体" w:cs="宋体"/>
          <w:color w:val="auto"/>
          <w:sz w:val="24"/>
          <w:szCs w:val="24"/>
          <w:highlight w:val="none"/>
        </w:rPr>
      </w:pPr>
      <w:r>
        <w:rPr>
          <w:rFonts w:hint="eastAsia" w:hAnsi="宋体" w:cs="宋体"/>
          <w:color w:val="auto"/>
          <w:sz w:val="24"/>
          <w:szCs w:val="24"/>
          <w:highlight w:val="none"/>
        </w:rPr>
        <w:t>传真：</w:t>
      </w:r>
      <w:r>
        <w:rPr>
          <w:rFonts w:hint="eastAsia" w:hAnsi="宋体" w:cs="宋体"/>
          <w:color w:val="auto"/>
          <w:sz w:val="24"/>
          <w:szCs w:val="24"/>
          <w:highlight w:val="none"/>
          <w:u w:val="single"/>
        </w:rPr>
        <w:t>　　　　　　　　　　　　　　　　　　　　　　　　　　　　</w:t>
      </w:r>
    </w:p>
    <w:p w14:paraId="5F146D36">
      <w:pPr>
        <w:pStyle w:val="15"/>
        <w:spacing w:line="360" w:lineRule="auto"/>
        <w:ind w:firstLine="420"/>
        <w:rPr>
          <w:rFonts w:hint="eastAsia" w:hAnsi="宋体" w:cs="宋体"/>
          <w:color w:val="auto"/>
          <w:sz w:val="24"/>
          <w:szCs w:val="24"/>
          <w:highlight w:val="none"/>
          <w:u w:val="single"/>
        </w:rPr>
      </w:pPr>
      <w:r>
        <w:rPr>
          <w:rFonts w:hint="eastAsia" w:hAnsi="宋体" w:cs="宋体"/>
          <w:color w:val="auto"/>
          <w:sz w:val="24"/>
          <w:szCs w:val="24"/>
          <w:highlight w:val="none"/>
        </w:rPr>
        <w:t>邮政编码：</w:t>
      </w:r>
      <w:r>
        <w:rPr>
          <w:rFonts w:hint="eastAsia" w:hAnsi="宋体" w:cs="宋体"/>
          <w:color w:val="auto"/>
          <w:sz w:val="24"/>
          <w:szCs w:val="24"/>
          <w:highlight w:val="none"/>
          <w:u w:val="single"/>
        </w:rPr>
        <w:t xml:space="preserve">                                                    </w:t>
      </w:r>
    </w:p>
    <w:p w14:paraId="04DA5A32">
      <w:pPr>
        <w:pStyle w:val="15"/>
        <w:spacing w:line="360" w:lineRule="auto"/>
        <w:ind w:firstLine="420"/>
        <w:rPr>
          <w:rFonts w:hint="eastAsia" w:hAnsi="宋体" w:cs="宋体"/>
          <w:color w:val="auto"/>
          <w:sz w:val="24"/>
          <w:szCs w:val="24"/>
          <w:highlight w:val="none"/>
          <w:u w:val="single"/>
        </w:rPr>
      </w:pPr>
      <w:r>
        <w:rPr>
          <w:rFonts w:hint="eastAsia" w:hAnsi="宋体" w:cs="宋体"/>
          <w:color w:val="auto"/>
          <w:sz w:val="24"/>
          <w:szCs w:val="24"/>
          <w:highlight w:val="none"/>
        </w:rPr>
        <w:t>开户名称：</w:t>
      </w:r>
      <w:r>
        <w:rPr>
          <w:rFonts w:hint="eastAsia" w:hAnsi="宋体" w:cs="宋体"/>
          <w:color w:val="auto"/>
          <w:sz w:val="24"/>
          <w:szCs w:val="24"/>
          <w:highlight w:val="none"/>
          <w:u w:val="single"/>
        </w:rPr>
        <w:t xml:space="preserve">                                                    </w:t>
      </w:r>
    </w:p>
    <w:p w14:paraId="519B3CEE">
      <w:pPr>
        <w:pStyle w:val="15"/>
        <w:spacing w:line="360" w:lineRule="auto"/>
        <w:ind w:firstLine="420"/>
        <w:rPr>
          <w:rFonts w:hint="eastAsia" w:hAnsi="宋体" w:cs="宋体"/>
          <w:color w:val="auto"/>
          <w:sz w:val="24"/>
          <w:szCs w:val="24"/>
          <w:highlight w:val="none"/>
          <w:u w:val="single"/>
        </w:rPr>
      </w:pPr>
      <w:r>
        <w:rPr>
          <w:rFonts w:hint="eastAsia" w:hAnsi="宋体" w:cs="宋体"/>
          <w:color w:val="auto"/>
          <w:sz w:val="24"/>
          <w:szCs w:val="24"/>
          <w:highlight w:val="none"/>
        </w:rPr>
        <w:t>开户银行：</w:t>
      </w:r>
      <w:r>
        <w:rPr>
          <w:rFonts w:hint="eastAsia" w:hAnsi="宋体" w:cs="宋体"/>
          <w:color w:val="auto"/>
          <w:sz w:val="24"/>
          <w:szCs w:val="24"/>
          <w:highlight w:val="none"/>
          <w:u w:val="single"/>
        </w:rPr>
        <w:t xml:space="preserve">                                                    </w:t>
      </w:r>
    </w:p>
    <w:p w14:paraId="072739E4">
      <w:pPr>
        <w:pStyle w:val="15"/>
        <w:spacing w:line="360" w:lineRule="auto"/>
        <w:ind w:firstLine="420"/>
        <w:rPr>
          <w:rFonts w:hint="eastAsia" w:hAnsi="宋体" w:cs="宋体"/>
          <w:color w:val="auto"/>
          <w:sz w:val="24"/>
          <w:szCs w:val="24"/>
          <w:highlight w:val="none"/>
          <w:u w:val="single"/>
        </w:rPr>
      </w:pPr>
      <w:r>
        <w:rPr>
          <w:rFonts w:hint="eastAsia" w:hAnsi="宋体" w:cs="宋体"/>
          <w:color w:val="auto"/>
          <w:sz w:val="24"/>
          <w:szCs w:val="24"/>
          <w:highlight w:val="none"/>
        </w:rPr>
        <w:t>银行账号：</w:t>
      </w:r>
      <w:r>
        <w:rPr>
          <w:rFonts w:hint="eastAsia" w:hAnsi="宋体" w:cs="宋体"/>
          <w:color w:val="auto"/>
          <w:sz w:val="24"/>
          <w:szCs w:val="24"/>
          <w:highlight w:val="none"/>
          <w:u w:val="single"/>
        </w:rPr>
        <w:t xml:space="preserve">                                                    </w:t>
      </w:r>
    </w:p>
    <w:p w14:paraId="370C2C7B">
      <w:pPr>
        <w:pStyle w:val="13"/>
        <w:tabs>
          <w:tab w:val="left" w:pos="939"/>
        </w:tabs>
        <w:spacing w:line="360" w:lineRule="auto"/>
        <w:ind w:left="900" w:hanging="480"/>
        <w:rPr>
          <w:rFonts w:hint="eastAsia" w:ascii="宋体" w:hAnsi="宋体" w:cs="宋体"/>
          <w:color w:val="auto"/>
          <w:sz w:val="24"/>
          <w:highlight w:val="none"/>
        </w:rPr>
      </w:pPr>
      <w:r>
        <w:rPr>
          <w:rFonts w:hint="eastAsia" w:ascii="宋体" w:hAnsi="宋体" w:cs="宋体"/>
          <w:color w:val="auto"/>
          <w:sz w:val="24"/>
          <w:highlight w:val="none"/>
        </w:rPr>
        <w:t>特此承诺。</w:t>
      </w:r>
    </w:p>
    <w:p w14:paraId="48A2946D">
      <w:pPr>
        <w:spacing w:line="360" w:lineRule="auto"/>
        <w:contextualSpacing/>
        <w:jc w:val="left"/>
        <w:rPr>
          <w:rFonts w:hint="eastAsia" w:ascii="宋体" w:hAnsi="宋体" w:cs="宋体"/>
          <w:color w:val="auto"/>
          <w:sz w:val="24"/>
          <w:highlight w:val="none"/>
        </w:rPr>
      </w:pPr>
    </w:p>
    <w:p w14:paraId="56A61B14">
      <w:pPr>
        <w:autoSpaceDE w:val="0"/>
        <w:autoSpaceDN w:val="0"/>
        <w:spacing w:line="360" w:lineRule="auto"/>
        <w:ind w:left="4335" w:leftChars="1950" w:hanging="240" w:hangingChars="100"/>
        <w:rPr>
          <w:rFonts w:hint="eastAsia"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27A23D16">
      <w:pPr>
        <w:autoSpaceDE w:val="0"/>
        <w:autoSpaceDN w:val="0"/>
        <w:spacing w:line="360" w:lineRule="auto"/>
        <w:ind w:firstLine="6336" w:firstLineChars="2640"/>
        <w:rPr>
          <w:rFonts w:hint="eastAsia" w:ascii="宋体" w:hAnsi="宋体" w:cs="宋体"/>
          <w:color w:val="auto"/>
          <w:sz w:val="36"/>
          <w:szCs w:val="36"/>
          <w:highlight w:val="none"/>
        </w:rPr>
        <w:sectPr>
          <w:pgSz w:w="11905" w:h="16838"/>
          <w:pgMar w:top="1134" w:right="1587" w:bottom="1134" w:left="1587" w:header="720" w:footer="720" w:gutter="0"/>
          <w:pgBorders>
            <w:top w:val="none" w:sz="0" w:space="0"/>
            <w:left w:val="none" w:sz="0" w:space="0"/>
            <w:bottom w:val="none" w:sz="0" w:space="0"/>
            <w:right w:val="none" w:sz="0" w:space="0"/>
          </w:pgBorders>
          <w:cols w:space="720" w:num="1"/>
          <w:docGrid w:type="lines" w:linePitch="331" w:charSpace="0"/>
        </w:sectPr>
      </w:pPr>
      <w:r>
        <w:rPr>
          <w:rFonts w:hint="eastAsia" w:ascii="宋体" w:hAnsi="宋体" w:cs="宋体"/>
          <w:color w:val="auto"/>
          <w:kern w:val="0"/>
          <w:sz w:val="24"/>
          <w:highlight w:val="none"/>
          <w:lang w:val="zh-CN"/>
        </w:rPr>
        <w:t xml:space="preserve">日期：  年  </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月   日</w:t>
      </w:r>
    </w:p>
    <w:p w14:paraId="4CD0ADAA">
      <w:pPr>
        <w:spacing w:line="520" w:lineRule="exact"/>
        <w:ind w:firstLine="720" w:firstLineChars="200"/>
        <w:rPr>
          <w:rFonts w:hint="eastAsia" w:ascii="宋体" w:hAnsi="宋体" w:cs="宋体"/>
          <w:b/>
          <w:bCs/>
          <w:color w:val="auto"/>
          <w:sz w:val="32"/>
          <w:szCs w:val="32"/>
          <w:highlight w:val="none"/>
        </w:rPr>
      </w:pPr>
      <w:r>
        <w:rPr>
          <w:rFonts w:hint="eastAsia" w:ascii="宋体" w:hAnsi="宋体" w:cs="宋体"/>
          <w:color w:val="auto"/>
          <w:sz w:val="36"/>
          <w:szCs w:val="36"/>
          <w:highlight w:val="none"/>
        </w:rPr>
        <w:t>三</w:t>
      </w:r>
      <w:r>
        <w:rPr>
          <w:rFonts w:hint="eastAsia" w:ascii="宋体" w:hAnsi="宋体" w:cs="宋体"/>
          <w:b/>
          <w:bCs/>
          <w:color w:val="auto"/>
          <w:sz w:val="36"/>
          <w:szCs w:val="36"/>
          <w:highlight w:val="none"/>
        </w:rPr>
        <w:t>、</w:t>
      </w:r>
      <w:r>
        <w:rPr>
          <w:rFonts w:hint="eastAsia" w:ascii="宋体" w:hAnsi="宋体" w:cs="宋体"/>
          <w:b/>
          <w:bCs/>
          <w:color w:val="auto"/>
          <w:sz w:val="32"/>
          <w:szCs w:val="32"/>
          <w:highlight w:val="none"/>
        </w:rPr>
        <w:t>响应报价表</w:t>
      </w:r>
    </w:p>
    <w:p w14:paraId="300937E4">
      <w:pPr>
        <w:snapToGrid w:val="0"/>
        <w:spacing w:before="50" w:after="50" w:line="360" w:lineRule="auto"/>
        <w:jc w:val="center"/>
        <w:rPr>
          <w:rFonts w:hint="eastAsia" w:ascii="宋体" w:hAnsi="宋体" w:cs="宋体"/>
          <w:color w:val="auto"/>
          <w:sz w:val="30"/>
          <w:szCs w:val="30"/>
          <w:highlight w:val="none"/>
        </w:rPr>
      </w:pPr>
      <w:r>
        <w:rPr>
          <w:rFonts w:hint="eastAsia" w:ascii="宋体" w:hAnsi="宋体" w:cs="宋体"/>
          <w:b/>
          <w:bCs/>
          <w:color w:val="auto"/>
          <w:sz w:val="30"/>
          <w:szCs w:val="30"/>
          <w:highlight w:val="none"/>
        </w:rPr>
        <w:t>响应报价表</w:t>
      </w:r>
    </w:p>
    <w:p w14:paraId="20253664">
      <w:pPr>
        <w:snapToGrid w:val="0"/>
        <w:spacing w:before="50" w:after="50" w:line="360" w:lineRule="auto"/>
        <w:rPr>
          <w:rFonts w:hint="eastAsia" w:ascii="宋体" w:hAnsi="宋体" w:cs="宋体"/>
          <w:color w:val="auto"/>
          <w:sz w:val="24"/>
          <w:highlight w:val="none"/>
          <w:u w:val="single"/>
        </w:rPr>
      </w:pPr>
      <w:r>
        <w:rPr>
          <w:rFonts w:hint="eastAsia" w:ascii="宋体" w:hAnsi="宋体" w:cs="宋体"/>
          <w:color w:val="auto"/>
          <w:sz w:val="24"/>
          <w:highlight w:val="none"/>
        </w:rPr>
        <w:t>项目名称：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项目编号：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分标：</w:t>
      </w:r>
      <w:r>
        <w:rPr>
          <w:rFonts w:hint="eastAsia" w:ascii="宋体" w:hAnsi="宋体" w:cs="宋体"/>
          <w:color w:val="auto"/>
          <w:sz w:val="24"/>
          <w:highlight w:val="none"/>
          <w:u w:val="single"/>
        </w:rPr>
        <w:t xml:space="preserve">           </w:t>
      </w:r>
    </w:p>
    <w:p w14:paraId="25EB0417">
      <w:pPr>
        <w:snapToGrid w:val="0"/>
        <w:spacing w:before="50" w:after="50" w:line="360" w:lineRule="auto"/>
        <w:rPr>
          <w:rFonts w:hint="eastAsia" w:ascii="宋体" w:hAnsi="宋体" w:cs="宋体"/>
          <w:color w:val="auto"/>
          <w:sz w:val="24"/>
          <w:highlight w:val="none"/>
          <w:u w:val="single"/>
        </w:rPr>
      </w:pPr>
      <w:r>
        <w:rPr>
          <w:rFonts w:hint="eastAsia" w:ascii="宋体" w:hAnsi="宋体" w:cs="宋体"/>
          <w:color w:val="auto"/>
          <w:sz w:val="24"/>
          <w:highlight w:val="none"/>
        </w:rPr>
        <w:t>供应商名称：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tbl>
      <w:tblPr>
        <w:tblStyle w:val="23"/>
        <w:tblW w:w="863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3023"/>
        <w:gridCol w:w="1080"/>
        <w:gridCol w:w="2595"/>
        <w:gridCol w:w="1215"/>
      </w:tblGrid>
      <w:tr w14:paraId="0F991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765684EF">
            <w:pPr>
              <w:jc w:val="center"/>
              <w:rPr>
                <w:rFonts w:hint="eastAsia" w:ascii="宋体" w:hAnsi="宋体" w:cs="宋体"/>
                <w:color w:val="auto"/>
                <w:sz w:val="24"/>
                <w:highlight w:val="none"/>
              </w:rPr>
            </w:pPr>
            <w:r>
              <w:rPr>
                <w:rFonts w:hint="eastAsia" w:ascii="宋体" w:hAnsi="宋体" w:cs="宋体"/>
                <w:color w:val="auto"/>
                <w:sz w:val="24"/>
                <w:highlight w:val="none"/>
              </w:rPr>
              <w:t>序号</w:t>
            </w:r>
          </w:p>
        </w:tc>
        <w:tc>
          <w:tcPr>
            <w:tcW w:w="3023" w:type="dxa"/>
            <w:tcBorders>
              <w:top w:val="single" w:color="auto" w:sz="4" w:space="0"/>
              <w:left w:val="single" w:color="auto" w:sz="4" w:space="0"/>
              <w:bottom w:val="single" w:color="auto" w:sz="4" w:space="0"/>
              <w:right w:val="single" w:color="auto" w:sz="4" w:space="0"/>
            </w:tcBorders>
            <w:noWrap w:val="0"/>
            <w:vAlign w:val="center"/>
          </w:tcPr>
          <w:p w14:paraId="03D7B79B">
            <w:pPr>
              <w:jc w:val="center"/>
              <w:rPr>
                <w:rFonts w:hint="eastAsia" w:ascii="宋体" w:hAnsi="宋体" w:cs="宋体"/>
                <w:color w:val="auto"/>
                <w:sz w:val="24"/>
                <w:highlight w:val="none"/>
              </w:rPr>
            </w:pPr>
            <w:r>
              <w:rPr>
                <w:rFonts w:hint="eastAsia" w:ascii="宋体" w:hAnsi="宋体" w:cs="宋体"/>
                <w:color w:val="auto"/>
                <w:sz w:val="24"/>
                <w:highlight w:val="none"/>
                <w:lang w:eastAsia="zh-CN"/>
              </w:rPr>
              <w:t>标的的</w:t>
            </w:r>
            <w:r>
              <w:rPr>
                <w:rFonts w:hint="eastAsia" w:ascii="宋体" w:hAnsi="宋体" w:cs="宋体"/>
                <w:color w:val="auto"/>
                <w:sz w:val="24"/>
                <w:highlight w:val="none"/>
              </w:rPr>
              <w:t>名称</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63504D3B">
            <w:pPr>
              <w:jc w:val="center"/>
              <w:rPr>
                <w:rFonts w:hint="eastAsia" w:ascii="宋体" w:hAnsi="宋体" w:cs="宋体"/>
                <w:color w:val="auto"/>
                <w:sz w:val="24"/>
                <w:highlight w:val="none"/>
              </w:rPr>
            </w:pPr>
            <w:r>
              <w:rPr>
                <w:rFonts w:hint="eastAsia" w:ascii="宋体" w:hAnsi="宋体" w:cs="宋体"/>
                <w:color w:val="auto"/>
                <w:sz w:val="24"/>
                <w:highlight w:val="none"/>
              </w:rPr>
              <w:t>数量及单位</w:t>
            </w:r>
          </w:p>
        </w:tc>
        <w:tc>
          <w:tcPr>
            <w:tcW w:w="2595" w:type="dxa"/>
            <w:tcBorders>
              <w:top w:val="single" w:color="auto" w:sz="4" w:space="0"/>
              <w:left w:val="single" w:color="auto" w:sz="4" w:space="0"/>
              <w:bottom w:val="single" w:color="auto" w:sz="4" w:space="0"/>
              <w:right w:val="single" w:color="auto" w:sz="4" w:space="0"/>
            </w:tcBorders>
            <w:noWrap w:val="0"/>
            <w:vAlign w:val="center"/>
          </w:tcPr>
          <w:p w14:paraId="5A5F791A">
            <w:pPr>
              <w:jc w:val="center"/>
              <w:rPr>
                <w:rFonts w:hint="eastAsia" w:ascii="宋体" w:hAnsi="宋体" w:cs="宋体"/>
                <w:color w:val="auto"/>
                <w:sz w:val="24"/>
                <w:highlight w:val="none"/>
              </w:rPr>
            </w:pPr>
            <w:r>
              <w:rPr>
                <w:rFonts w:hint="eastAsia" w:ascii="宋体" w:hAnsi="宋体" w:cs="宋体"/>
                <w:color w:val="auto"/>
                <w:sz w:val="24"/>
                <w:highlight w:val="none"/>
              </w:rPr>
              <w:t>总价（元）</w:t>
            </w:r>
          </w:p>
        </w:tc>
        <w:tc>
          <w:tcPr>
            <w:tcW w:w="1215" w:type="dxa"/>
            <w:tcBorders>
              <w:top w:val="single" w:color="auto" w:sz="4" w:space="0"/>
              <w:left w:val="single" w:color="auto" w:sz="4" w:space="0"/>
              <w:bottom w:val="single" w:color="auto" w:sz="4" w:space="0"/>
              <w:right w:val="single" w:color="auto" w:sz="4" w:space="0"/>
            </w:tcBorders>
            <w:noWrap w:val="0"/>
            <w:vAlign w:val="center"/>
          </w:tcPr>
          <w:p w14:paraId="0F8B0DA7">
            <w:pPr>
              <w:jc w:val="center"/>
              <w:rPr>
                <w:rFonts w:hint="eastAsia" w:ascii="宋体" w:hAnsi="宋体" w:cs="宋体"/>
                <w:color w:val="auto"/>
                <w:sz w:val="24"/>
                <w:highlight w:val="none"/>
              </w:rPr>
            </w:pPr>
            <w:r>
              <w:rPr>
                <w:rFonts w:hint="eastAsia" w:ascii="宋体" w:hAnsi="宋体" w:cs="宋体"/>
                <w:color w:val="auto"/>
                <w:sz w:val="24"/>
                <w:highlight w:val="none"/>
              </w:rPr>
              <w:t>备注</w:t>
            </w:r>
          </w:p>
        </w:tc>
      </w:tr>
      <w:tr w14:paraId="47D10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0"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12A5D6F8">
            <w:pPr>
              <w:jc w:val="center"/>
              <w:rPr>
                <w:rFonts w:hint="eastAsia" w:ascii="宋体" w:hAnsi="宋体" w:cs="宋体"/>
                <w:color w:val="auto"/>
                <w:sz w:val="24"/>
                <w:highlight w:val="none"/>
              </w:rPr>
            </w:pPr>
            <w:r>
              <w:rPr>
                <w:rFonts w:hint="eastAsia" w:ascii="宋体" w:hAnsi="宋体" w:cs="宋体"/>
                <w:color w:val="auto"/>
                <w:sz w:val="24"/>
                <w:highlight w:val="none"/>
              </w:rPr>
              <w:t>1</w:t>
            </w:r>
          </w:p>
        </w:tc>
        <w:tc>
          <w:tcPr>
            <w:tcW w:w="3023" w:type="dxa"/>
            <w:tcBorders>
              <w:top w:val="single" w:color="auto" w:sz="4" w:space="0"/>
              <w:left w:val="single" w:color="auto" w:sz="4" w:space="0"/>
              <w:bottom w:val="single" w:color="auto" w:sz="4" w:space="0"/>
              <w:right w:val="single" w:color="auto" w:sz="4" w:space="0"/>
            </w:tcBorders>
            <w:noWrap w:val="0"/>
            <w:vAlign w:val="center"/>
          </w:tcPr>
          <w:p w14:paraId="6E507880">
            <w:pPr>
              <w:jc w:val="center"/>
              <w:rPr>
                <w:rFonts w:hint="eastAsia" w:ascii="宋体" w:hAnsi="宋体" w:cs="宋体"/>
                <w:color w:val="auto"/>
                <w:sz w:val="24"/>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4DE0DE0C">
            <w:pPr>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1项</w:t>
            </w:r>
          </w:p>
        </w:tc>
        <w:tc>
          <w:tcPr>
            <w:tcW w:w="2595" w:type="dxa"/>
            <w:tcBorders>
              <w:top w:val="single" w:color="auto" w:sz="4" w:space="0"/>
              <w:left w:val="single" w:color="auto" w:sz="4" w:space="0"/>
              <w:bottom w:val="single" w:color="auto" w:sz="4" w:space="0"/>
              <w:right w:val="single" w:color="auto" w:sz="4" w:space="0"/>
            </w:tcBorders>
            <w:noWrap w:val="0"/>
            <w:vAlign w:val="center"/>
          </w:tcPr>
          <w:p w14:paraId="651B58F3">
            <w:pPr>
              <w:jc w:val="center"/>
              <w:rPr>
                <w:rFonts w:hint="eastAsia" w:ascii="宋体" w:hAnsi="宋体" w:cs="宋体"/>
                <w:color w:val="auto"/>
                <w:sz w:val="24"/>
                <w:highlight w:val="none"/>
              </w:rPr>
            </w:pPr>
          </w:p>
        </w:tc>
        <w:tc>
          <w:tcPr>
            <w:tcW w:w="1215" w:type="dxa"/>
            <w:tcBorders>
              <w:top w:val="single" w:color="auto" w:sz="4" w:space="0"/>
              <w:left w:val="single" w:color="auto" w:sz="4" w:space="0"/>
              <w:bottom w:val="single" w:color="auto" w:sz="4" w:space="0"/>
              <w:right w:val="single" w:color="auto" w:sz="4" w:space="0"/>
            </w:tcBorders>
            <w:noWrap w:val="0"/>
            <w:vAlign w:val="center"/>
          </w:tcPr>
          <w:p w14:paraId="15A23622">
            <w:pPr>
              <w:jc w:val="center"/>
              <w:rPr>
                <w:rFonts w:hint="eastAsia" w:ascii="宋体" w:hAnsi="宋体" w:cs="宋体"/>
                <w:color w:val="auto"/>
                <w:sz w:val="24"/>
                <w:highlight w:val="none"/>
              </w:rPr>
            </w:pPr>
          </w:p>
        </w:tc>
      </w:tr>
      <w:tr w14:paraId="7162F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8632" w:type="dxa"/>
            <w:gridSpan w:val="5"/>
            <w:tcBorders>
              <w:top w:val="single" w:color="auto" w:sz="4" w:space="0"/>
              <w:left w:val="single" w:color="auto" w:sz="4" w:space="0"/>
              <w:bottom w:val="single" w:color="auto" w:sz="4" w:space="0"/>
              <w:right w:val="single" w:color="auto" w:sz="4" w:space="0"/>
            </w:tcBorders>
            <w:noWrap w:val="0"/>
            <w:vAlign w:val="center"/>
          </w:tcPr>
          <w:p w14:paraId="2CBBA5AA">
            <w:pPr>
              <w:rPr>
                <w:rFonts w:hint="eastAsia" w:ascii="宋体" w:hAnsi="宋体" w:cs="宋体"/>
                <w:color w:val="auto"/>
                <w:sz w:val="24"/>
                <w:highlight w:val="none"/>
              </w:rPr>
            </w:pPr>
            <w:r>
              <w:rPr>
                <w:rFonts w:hint="eastAsia" w:ascii="宋体" w:hAnsi="宋体" w:cs="宋体"/>
                <w:color w:val="auto"/>
                <w:sz w:val="24"/>
                <w:highlight w:val="none"/>
              </w:rPr>
              <w:t>报价合计（包含税费等所有费用）：（大写）人民币             （¥        元）</w:t>
            </w:r>
          </w:p>
        </w:tc>
      </w:tr>
      <w:tr w14:paraId="05B41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8632" w:type="dxa"/>
            <w:gridSpan w:val="5"/>
            <w:tcBorders>
              <w:top w:val="single" w:color="auto" w:sz="4" w:space="0"/>
              <w:left w:val="single" w:color="auto" w:sz="4" w:space="0"/>
              <w:bottom w:val="single" w:color="auto" w:sz="4" w:space="0"/>
              <w:right w:val="single" w:color="auto" w:sz="4" w:space="0"/>
            </w:tcBorders>
            <w:noWrap w:val="0"/>
            <w:vAlign w:val="center"/>
          </w:tcPr>
          <w:p w14:paraId="483AD46D">
            <w:pPr>
              <w:rPr>
                <w:rFonts w:hint="default" w:ascii="宋体" w:hAnsi="宋体" w:cs="宋体"/>
                <w:color w:val="auto"/>
                <w:sz w:val="24"/>
                <w:highlight w:val="none"/>
                <w:lang w:val="en-US"/>
              </w:rPr>
            </w:pPr>
            <w:r>
              <w:rPr>
                <w:rFonts w:hint="eastAsia" w:ascii="宋体" w:hAnsi="宋体" w:eastAsia="宋体" w:cs="宋体"/>
                <w:color w:val="auto"/>
                <w:sz w:val="24"/>
                <w:highlight w:val="none"/>
                <w:lang w:val="en-US" w:eastAsia="zh-CN"/>
              </w:rPr>
              <w:t>承诺质量：</w:t>
            </w:r>
          </w:p>
        </w:tc>
      </w:tr>
      <w:tr w14:paraId="1623B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8632" w:type="dxa"/>
            <w:gridSpan w:val="5"/>
            <w:tcBorders>
              <w:top w:val="single" w:color="auto" w:sz="4" w:space="0"/>
              <w:left w:val="single" w:color="auto" w:sz="4" w:space="0"/>
              <w:bottom w:val="single" w:color="auto" w:sz="4" w:space="0"/>
              <w:right w:val="single" w:color="auto" w:sz="4" w:space="0"/>
            </w:tcBorders>
            <w:noWrap w:val="0"/>
            <w:vAlign w:val="center"/>
          </w:tcPr>
          <w:p w14:paraId="58226EFC">
            <w:pPr>
              <w:rPr>
                <w:rFonts w:hint="eastAsia" w:ascii="宋体" w:hAnsi="宋体" w:cs="宋体"/>
                <w:color w:val="auto"/>
                <w:sz w:val="24"/>
                <w:highlight w:val="none"/>
              </w:rPr>
            </w:pPr>
            <w:r>
              <w:rPr>
                <w:rFonts w:hint="eastAsia" w:ascii="宋体" w:hAnsi="宋体" w:cs="宋体"/>
                <w:color w:val="auto"/>
                <w:sz w:val="24"/>
                <w:highlight w:val="none"/>
                <w:lang w:val="en-US" w:eastAsia="zh-CN"/>
              </w:rPr>
              <w:t>承诺</w:t>
            </w:r>
            <w:r>
              <w:rPr>
                <w:rFonts w:hint="eastAsia" w:ascii="宋体" w:hAnsi="宋体" w:cs="宋体"/>
                <w:color w:val="auto"/>
                <w:sz w:val="24"/>
                <w:highlight w:val="none"/>
                <w:lang w:eastAsia="zh-CN"/>
              </w:rPr>
              <w:t>工期</w:t>
            </w:r>
            <w:r>
              <w:rPr>
                <w:rFonts w:hint="eastAsia" w:ascii="宋体" w:hAnsi="宋体" w:cs="宋体"/>
                <w:color w:val="auto"/>
                <w:sz w:val="24"/>
                <w:highlight w:val="none"/>
              </w:rPr>
              <w:t>：</w:t>
            </w:r>
          </w:p>
        </w:tc>
      </w:tr>
      <w:tr w14:paraId="436F4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8632" w:type="dxa"/>
            <w:gridSpan w:val="5"/>
            <w:tcBorders>
              <w:top w:val="single" w:color="auto" w:sz="4" w:space="0"/>
              <w:left w:val="single" w:color="auto" w:sz="4" w:space="0"/>
              <w:bottom w:val="single" w:color="auto" w:sz="4" w:space="0"/>
              <w:right w:val="single" w:color="auto" w:sz="4" w:space="0"/>
            </w:tcBorders>
            <w:noWrap w:val="0"/>
            <w:vAlign w:val="center"/>
          </w:tcPr>
          <w:p w14:paraId="0454D70E">
            <w:pPr>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项目经理姓名：</w:t>
            </w:r>
          </w:p>
        </w:tc>
      </w:tr>
      <w:tr w14:paraId="303F6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8632" w:type="dxa"/>
            <w:gridSpan w:val="5"/>
            <w:tcBorders>
              <w:top w:val="single" w:color="auto" w:sz="4" w:space="0"/>
              <w:left w:val="single" w:color="auto" w:sz="4" w:space="0"/>
              <w:bottom w:val="single" w:color="auto" w:sz="4" w:space="0"/>
              <w:right w:val="single" w:color="auto" w:sz="4" w:space="0"/>
            </w:tcBorders>
            <w:noWrap w:val="0"/>
            <w:vAlign w:val="center"/>
          </w:tcPr>
          <w:p w14:paraId="195B9B11">
            <w:pPr>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项目经理的执业注册建造师证编号：</w:t>
            </w:r>
          </w:p>
        </w:tc>
      </w:tr>
    </w:tbl>
    <w:p w14:paraId="170D3340">
      <w:pPr>
        <w:snapToGrid w:val="0"/>
        <w:spacing w:before="50" w:after="50" w:line="360" w:lineRule="auto"/>
        <w:ind w:firstLine="480" w:firstLineChars="200"/>
        <w:jc w:val="left"/>
        <w:rPr>
          <w:rFonts w:hint="eastAsia" w:ascii="宋体" w:hAnsi="宋体" w:cs="宋体"/>
          <w:color w:val="auto"/>
          <w:kern w:val="0"/>
          <w:sz w:val="24"/>
          <w:highlight w:val="none"/>
          <w:lang w:val="zh-CN"/>
        </w:rPr>
      </w:pPr>
    </w:p>
    <w:p w14:paraId="46C8B0F6">
      <w:pPr>
        <w:snapToGrid w:val="0"/>
        <w:spacing w:before="50" w:after="50" w:line="360" w:lineRule="auto"/>
        <w:ind w:firstLine="480" w:firstLineChars="200"/>
        <w:jc w:val="left"/>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注： </w:t>
      </w:r>
    </w:p>
    <w:p w14:paraId="306D1477">
      <w:pPr>
        <w:snapToGrid w:val="0"/>
        <w:spacing w:before="50" w:after="50" w:line="360" w:lineRule="auto"/>
        <w:ind w:firstLine="480" w:firstLineChars="200"/>
        <w:jc w:val="left"/>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1</w:t>
      </w:r>
      <w:r>
        <w:rPr>
          <w:rFonts w:hint="eastAsia" w:ascii="宋体" w:hAnsi="宋体" w:cs="宋体"/>
          <w:color w:val="auto"/>
          <w:kern w:val="0"/>
          <w:sz w:val="24"/>
          <w:highlight w:val="none"/>
        </w:rPr>
        <w:t>.</w:t>
      </w:r>
      <w:r>
        <w:rPr>
          <w:rFonts w:hint="eastAsia" w:ascii="宋体" w:hAnsi="宋体" w:cs="宋体"/>
          <w:color w:val="auto"/>
          <w:kern w:val="0"/>
          <w:sz w:val="24"/>
          <w:highlight w:val="none"/>
          <w:lang w:val="zh-CN"/>
        </w:rPr>
        <w:t>供应商需按本表格式填写，不得自行更改，也不得留空, 如有多分标，按分标分别提供响应报价表</w:t>
      </w:r>
      <w:r>
        <w:rPr>
          <w:rFonts w:hint="eastAsia" w:ascii="宋体" w:hAnsi="宋体" w:cs="宋体"/>
          <w:b/>
          <w:color w:val="auto"/>
          <w:kern w:val="0"/>
          <w:sz w:val="24"/>
          <w:highlight w:val="none"/>
          <w:lang w:val="zh-CN"/>
        </w:rPr>
        <w:t>。</w:t>
      </w:r>
    </w:p>
    <w:p w14:paraId="0E6964AA">
      <w:pPr>
        <w:snapToGrid w:val="0"/>
        <w:spacing w:before="50" w:after="50" w:line="360" w:lineRule="auto"/>
        <w:ind w:firstLine="480" w:firstLineChars="200"/>
        <w:jc w:val="left"/>
        <w:rPr>
          <w:rFonts w:hint="eastAsia" w:ascii="宋体" w:hAnsi="宋体" w:cs="宋体"/>
          <w:b/>
          <w:color w:val="auto"/>
          <w:kern w:val="0"/>
          <w:sz w:val="24"/>
          <w:highlight w:val="none"/>
          <w:lang w:val="zh-CN"/>
        </w:rPr>
      </w:pPr>
      <w:r>
        <w:rPr>
          <w:rFonts w:hint="eastAsia" w:ascii="宋体" w:hAnsi="宋体" w:cs="宋体"/>
          <w:color w:val="auto"/>
          <w:kern w:val="0"/>
          <w:sz w:val="24"/>
          <w:highlight w:val="none"/>
          <w:lang w:val="zh-CN"/>
        </w:rPr>
        <w:t>2</w:t>
      </w:r>
      <w:r>
        <w:rPr>
          <w:rFonts w:hint="eastAsia" w:ascii="宋体" w:hAnsi="宋体" w:cs="宋体"/>
          <w:color w:val="auto"/>
          <w:kern w:val="0"/>
          <w:sz w:val="24"/>
          <w:highlight w:val="none"/>
        </w:rPr>
        <w:t>.</w:t>
      </w:r>
      <w:r>
        <w:rPr>
          <w:rFonts w:hint="eastAsia" w:ascii="宋体" w:hAnsi="宋体" w:cs="宋体"/>
          <w:color w:val="auto"/>
          <w:kern w:val="0"/>
          <w:sz w:val="24"/>
          <w:highlight w:val="none"/>
          <w:lang w:val="zh-CN"/>
        </w:rPr>
        <w:t>如为联合体响应的，“供应商名称”处必须列明联合体各方名称，并标注联合体牵头人名称，且盖章处须加盖联合体各方公章，</w:t>
      </w:r>
      <w:r>
        <w:rPr>
          <w:rFonts w:hint="eastAsia" w:ascii="宋体" w:hAnsi="宋体" w:cs="宋体"/>
          <w:b/>
          <w:color w:val="auto"/>
          <w:kern w:val="0"/>
          <w:sz w:val="24"/>
          <w:highlight w:val="none"/>
          <w:lang w:val="zh-CN"/>
        </w:rPr>
        <w:t>否则其响应作无效响应处理。</w:t>
      </w:r>
    </w:p>
    <w:p w14:paraId="1BD7D792">
      <w:pPr>
        <w:snapToGrid w:val="0"/>
        <w:spacing w:line="360" w:lineRule="auto"/>
        <w:ind w:firstLine="480" w:firstLineChars="200"/>
        <w:jc w:val="left"/>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3</w:t>
      </w:r>
      <w:r>
        <w:rPr>
          <w:rFonts w:hint="eastAsia" w:ascii="宋体" w:hAnsi="宋体" w:cs="宋体"/>
          <w:color w:val="auto"/>
          <w:kern w:val="0"/>
          <w:sz w:val="24"/>
          <w:highlight w:val="none"/>
        </w:rPr>
        <w:t>.</w:t>
      </w:r>
      <w:r>
        <w:rPr>
          <w:rFonts w:hint="eastAsia" w:ascii="宋体" w:hAnsi="宋体" w:cs="宋体"/>
          <w:color w:val="auto"/>
          <w:kern w:val="0"/>
          <w:sz w:val="24"/>
          <w:highlight w:val="none"/>
          <w:lang w:val="zh-CN"/>
        </w:rPr>
        <w:t>特别提示：采购机构将对项目名称和项目编号，成交供应商名称、地址和成交金额，主要成交标的的名称、施工范围、施工工期、项目经理、执业证书信息等予以公示。</w:t>
      </w:r>
    </w:p>
    <w:p w14:paraId="2790091A">
      <w:pPr>
        <w:snapToGrid w:val="0"/>
        <w:spacing w:line="360" w:lineRule="auto"/>
        <w:ind w:firstLine="480" w:firstLineChars="200"/>
        <w:jc w:val="left"/>
        <w:rPr>
          <w:rFonts w:hint="eastAsia" w:ascii="宋体" w:hAnsi="宋体" w:cs="宋体"/>
          <w:color w:val="auto"/>
          <w:kern w:val="0"/>
          <w:sz w:val="24"/>
          <w:highlight w:val="none"/>
          <w:lang w:val="zh-CN"/>
        </w:rPr>
      </w:pPr>
      <w:r>
        <w:rPr>
          <w:rFonts w:hint="eastAsia" w:ascii="宋体" w:hAnsi="宋体" w:cs="宋体"/>
          <w:color w:val="auto"/>
          <w:kern w:val="0"/>
          <w:sz w:val="24"/>
          <w:szCs w:val="22"/>
          <w:highlight w:val="none"/>
        </w:rPr>
        <w:t>4.</w:t>
      </w:r>
      <w:r>
        <w:rPr>
          <w:rFonts w:hint="eastAsia" w:ascii="宋体" w:hAnsi="宋体" w:cs="宋体"/>
          <w:color w:val="auto"/>
          <w:kern w:val="0"/>
          <w:sz w:val="24"/>
          <w:highlight w:val="none"/>
          <w:lang w:val="zh-CN"/>
        </w:rPr>
        <w:t>符合采购文件中列明的可享受中小企业扶持政策的供应商，请填写中小企业声明函。注：供应商提供的中小企业声明函内容不实的，属于提供虚假材料谋取中标、成交，依照《中华人民共和国政府采购法》等国家有关规定追究相应责任。</w:t>
      </w:r>
    </w:p>
    <w:p w14:paraId="037EB4D3">
      <w:pPr>
        <w:autoSpaceDE w:val="0"/>
        <w:autoSpaceDN w:val="0"/>
        <w:spacing w:line="360" w:lineRule="auto"/>
        <w:ind w:left="4335" w:leftChars="1950" w:hanging="240" w:hangingChars="100"/>
        <w:rPr>
          <w:rFonts w:hint="eastAsia" w:ascii="宋体" w:hAnsi="宋体" w:cs="宋体"/>
          <w:color w:val="auto"/>
          <w:kern w:val="0"/>
          <w:sz w:val="24"/>
          <w:highlight w:val="none"/>
        </w:rPr>
      </w:pPr>
    </w:p>
    <w:p w14:paraId="0823454F">
      <w:pPr>
        <w:autoSpaceDE w:val="0"/>
        <w:autoSpaceDN w:val="0"/>
        <w:spacing w:line="360" w:lineRule="auto"/>
        <w:ind w:left="4335" w:leftChars="1950" w:hanging="240" w:hangingChars="100"/>
        <w:rPr>
          <w:rFonts w:hint="eastAsia"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5F840840">
      <w:pPr>
        <w:pStyle w:val="15"/>
        <w:spacing w:line="500" w:lineRule="exact"/>
        <w:ind w:firstLine="6300" w:firstLineChars="2625"/>
        <w:rPr>
          <w:rFonts w:hint="eastAsia" w:hAnsi="宋体" w:cs="宋体"/>
          <w:color w:val="auto"/>
          <w:sz w:val="24"/>
          <w:highlight w:val="none"/>
          <w:lang w:val="zh-CN"/>
        </w:rPr>
      </w:pPr>
      <w:r>
        <w:rPr>
          <w:rFonts w:hint="eastAsia" w:hAnsi="宋体" w:cs="宋体"/>
          <w:color w:val="auto"/>
          <w:sz w:val="24"/>
          <w:highlight w:val="none"/>
          <w:lang w:val="zh-CN"/>
        </w:rPr>
        <w:t xml:space="preserve">日期：  年  </w:t>
      </w:r>
      <w:r>
        <w:rPr>
          <w:rFonts w:hint="eastAsia" w:hAnsi="宋体" w:cs="宋体"/>
          <w:color w:val="auto"/>
          <w:sz w:val="24"/>
          <w:highlight w:val="none"/>
        </w:rPr>
        <w:t xml:space="preserve"> </w:t>
      </w:r>
      <w:r>
        <w:rPr>
          <w:rFonts w:hint="eastAsia" w:hAnsi="宋体" w:cs="宋体"/>
          <w:color w:val="auto"/>
          <w:sz w:val="24"/>
          <w:highlight w:val="none"/>
          <w:lang w:val="zh-CN"/>
        </w:rPr>
        <w:t>月   日</w:t>
      </w:r>
    </w:p>
    <w:p w14:paraId="4D6E033E">
      <w:pPr>
        <w:pStyle w:val="15"/>
        <w:numPr>
          <w:ilvl w:val="0"/>
          <w:numId w:val="4"/>
        </w:numPr>
        <w:spacing w:line="500" w:lineRule="exact"/>
        <w:jc w:val="center"/>
        <w:rPr>
          <w:rFonts w:hint="eastAsia" w:ascii="宋体" w:hAnsi="宋体" w:eastAsia="宋体" w:cs="宋体"/>
          <w:color w:val="auto"/>
          <w:kern w:val="2"/>
          <w:sz w:val="36"/>
          <w:szCs w:val="36"/>
          <w:highlight w:val="none"/>
          <w:lang w:val="en-US" w:eastAsia="zh-CN" w:bidi="ar-SA"/>
        </w:rPr>
      </w:pPr>
      <w:r>
        <w:rPr>
          <w:rFonts w:hint="eastAsia" w:hAnsi="宋体" w:cs="宋体"/>
          <w:color w:val="auto"/>
          <w:sz w:val="24"/>
          <w:highlight w:val="none"/>
          <w:lang w:val="zh-CN"/>
        </w:rPr>
        <w:br w:type="page"/>
      </w:r>
      <w:r>
        <w:rPr>
          <w:rFonts w:hint="eastAsia" w:ascii="宋体" w:hAnsi="宋体" w:eastAsia="宋体" w:cs="宋体"/>
          <w:b/>
          <w:bCs/>
          <w:color w:val="auto"/>
          <w:kern w:val="2"/>
          <w:sz w:val="36"/>
          <w:szCs w:val="36"/>
          <w:highlight w:val="none"/>
          <w:lang w:val="en-US" w:eastAsia="zh-CN" w:bidi="ar-SA"/>
        </w:rPr>
        <w:t>已标价的工程量清单报价文件</w:t>
      </w:r>
    </w:p>
    <w:p w14:paraId="56CBF545">
      <w:pPr>
        <w:pStyle w:val="5"/>
        <w:keepNext/>
        <w:keepLines/>
        <w:widowControl w:val="0"/>
        <w:numPr>
          <w:ilvl w:val="0"/>
          <w:numId w:val="0"/>
        </w:numPr>
        <w:spacing w:beforeLines="0" w:afterLines="0" w:line="360" w:lineRule="auto"/>
        <w:jc w:val="center"/>
        <w:outlineLvl w:val="3"/>
        <w:rPr>
          <w:rFonts w:hint="default"/>
          <w:color w:val="auto"/>
          <w:highlight w:val="none"/>
          <w:lang w:val="en-US" w:eastAsia="zh-CN"/>
        </w:rPr>
      </w:pPr>
    </w:p>
    <w:p w14:paraId="2F04AE25">
      <w:pPr>
        <w:jc w:val="center"/>
        <w:rPr>
          <w:rFonts w:hint="default"/>
          <w:color w:val="auto"/>
          <w:highlight w:val="none"/>
          <w:lang w:val="en-US" w:eastAsia="zh-CN"/>
        </w:rPr>
      </w:pPr>
    </w:p>
    <w:p w14:paraId="59532487">
      <w:pPr>
        <w:jc w:val="center"/>
        <w:rPr>
          <w:rFonts w:hint="default"/>
          <w:color w:val="auto"/>
          <w:highlight w:val="none"/>
          <w:lang w:val="en-US" w:eastAsia="zh-CN"/>
        </w:rPr>
        <w:sectPr>
          <w:pgSz w:w="11905" w:h="16838"/>
          <w:pgMar w:top="1134" w:right="1587" w:bottom="1134" w:left="1587" w:header="720" w:footer="720" w:gutter="0"/>
          <w:pgBorders>
            <w:top w:val="none" w:sz="0" w:space="0"/>
            <w:left w:val="none" w:sz="0" w:space="0"/>
            <w:bottom w:val="none" w:sz="0" w:space="0"/>
            <w:right w:val="none" w:sz="0" w:space="0"/>
          </w:pgBorders>
          <w:cols w:space="720" w:num="1"/>
          <w:docGrid w:type="lines" w:linePitch="331" w:charSpace="0"/>
        </w:sectPr>
      </w:pPr>
      <w:r>
        <w:rPr>
          <w:rFonts w:ascii="仿宋" w:hAnsi="仿宋" w:eastAsia="仿宋"/>
          <w:color w:val="auto"/>
          <w:highlight w:val="none"/>
        </w:rPr>
        <w:t>按 “</w:t>
      </w:r>
      <w:r>
        <w:rPr>
          <w:rFonts w:hint="eastAsia" w:ascii="仿宋" w:hAnsi="仿宋" w:eastAsia="仿宋"/>
          <w:color w:val="auto"/>
          <w:highlight w:val="none"/>
          <w:lang w:val="en-US" w:eastAsia="zh-CN"/>
        </w:rPr>
        <w:t>招标控制价文件</w:t>
      </w:r>
      <w:r>
        <w:rPr>
          <w:rFonts w:ascii="仿宋" w:hAnsi="仿宋" w:eastAsia="仿宋"/>
          <w:color w:val="auto"/>
          <w:highlight w:val="none"/>
        </w:rPr>
        <w:t>”中的相关表格及投标报价说明填写</w:t>
      </w:r>
    </w:p>
    <w:p w14:paraId="1DD491A5">
      <w:pPr>
        <w:pStyle w:val="3"/>
        <w:jc w:val="center"/>
        <w:rPr>
          <w:rFonts w:hint="eastAsia" w:ascii="宋体" w:hAnsi="宋体" w:cs="宋体"/>
          <w:b w:val="0"/>
          <w:bCs w:val="0"/>
          <w:color w:val="auto"/>
          <w:highlight w:val="none"/>
        </w:rPr>
      </w:pPr>
      <w:bookmarkStart w:id="191" w:name="_Toc26480"/>
      <w:bookmarkStart w:id="192" w:name="_Toc80205942"/>
      <w:bookmarkStart w:id="193" w:name="_Toc25986"/>
      <w:bookmarkStart w:id="194" w:name="_Toc11279"/>
      <w:r>
        <w:rPr>
          <w:rFonts w:hint="eastAsia" w:ascii="宋体" w:hAnsi="宋体" w:cs="宋体"/>
          <w:b w:val="0"/>
          <w:bCs w:val="0"/>
          <w:color w:val="auto"/>
          <w:highlight w:val="none"/>
        </w:rPr>
        <w:t>第五节 其他文书、文件格式</w:t>
      </w:r>
      <w:bookmarkEnd w:id="191"/>
      <w:bookmarkEnd w:id="192"/>
      <w:bookmarkEnd w:id="193"/>
      <w:bookmarkEnd w:id="194"/>
    </w:p>
    <w:p w14:paraId="6EADD09A">
      <w:pPr>
        <w:spacing w:after="165" w:afterLines="50" w:line="360" w:lineRule="auto"/>
        <w:jc w:val="center"/>
        <w:rPr>
          <w:rFonts w:hint="eastAsia" w:ascii="宋体" w:hAnsi="宋体" w:cs="宋体"/>
          <w:b/>
          <w:bCs/>
          <w:color w:val="auto"/>
          <w:sz w:val="32"/>
          <w:szCs w:val="32"/>
          <w:highlight w:val="none"/>
          <w:lang w:val="en"/>
        </w:rPr>
      </w:pPr>
      <w:r>
        <w:rPr>
          <w:rFonts w:hint="eastAsia" w:ascii="宋体" w:hAnsi="宋体" w:cs="宋体"/>
          <w:b/>
          <w:bCs/>
          <w:color w:val="auto"/>
          <w:sz w:val="32"/>
          <w:szCs w:val="32"/>
          <w:highlight w:val="none"/>
          <w:lang w:val="en"/>
        </w:rPr>
        <w:t>知识产权合规性声明</w:t>
      </w:r>
    </w:p>
    <w:p w14:paraId="18A7752F">
      <w:pPr>
        <w:spacing w:line="360" w:lineRule="auto"/>
        <w:ind w:firstLine="560" w:firstLineChars="200"/>
        <w:rPr>
          <w:rFonts w:hint="eastAsia" w:ascii="宋体" w:hAnsi="宋体" w:cs="宋体"/>
          <w:color w:val="auto"/>
          <w:sz w:val="28"/>
          <w:szCs w:val="28"/>
          <w:highlight w:val="none"/>
          <w:lang w:val="en"/>
        </w:rPr>
      </w:pPr>
      <w:r>
        <w:rPr>
          <w:rFonts w:hint="eastAsia" w:ascii="宋体" w:hAnsi="宋体" w:cs="宋体"/>
          <w:color w:val="auto"/>
          <w:sz w:val="28"/>
          <w:szCs w:val="28"/>
          <w:highlight w:val="none"/>
        </w:rPr>
        <w:t>本</w:t>
      </w:r>
      <w:r>
        <w:rPr>
          <w:rFonts w:hint="eastAsia" w:ascii="宋体" w:hAnsi="宋体" w:cs="宋体"/>
          <w:color w:val="auto"/>
          <w:sz w:val="28"/>
          <w:szCs w:val="28"/>
          <w:highlight w:val="none"/>
          <w:lang w:val="en"/>
        </w:rPr>
        <w:t>企业（单位）自愿参与政府投资政府采购的</w:t>
      </w:r>
      <w:r>
        <w:rPr>
          <w:rFonts w:hint="eastAsia" w:ascii="宋体" w:hAnsi="宋体" w:cs="宋体"/>
          <w:color w:val="auto"/>
          <w:sz w:val="28"/>
          <w:szCs w:val="28"/>
          <w:highlight w:val="none"/>
          <w:u w:val="single"/>
        </w:rPr>
        <w:t xml:space="preserve">     （项目名称）</w:t>
      </w:r>
      <w:r>
        <w:rPr>
          <w:rFonts w:hint="eastAsia" w:ascii="宋体" w:hAnsi="宋体" w:cs="宋体"/>
          <w:color w:val="auto"/>
          <w:sz w:val="28"/>
          <w:szCs w:val="28"/>
          <w:highlight w:val="none"/>
          <w:lang w:val="en"/>
        </w:rPr>
        <w:t>项目，</w:t>
      </w:r>
      <w:r>
        <w:rPr>
          <w:rFonts w:hint="eastAsia" w:ascii="宋体" w:hAnsi="宋体" w:cs="宋体"/>
          <w:b/>
          <w:bCs/>
          <w:color w:val="auto"/>
          <w:sz w:val="28"/>
          <w:szCs w:val="28"/>
          <w:highlight w:val="none"/>
          <w:lang w:val="en"/>
        </w:rPr>
        <w:t>在此郑重承诺：</w:t>
      </w:r>
      <w:r>
        <w:rPr>
          <w:rFonts w:hint="eastAsia" w:ascii="宋体" w:hAnsi="宋体" w:cs="宋体"/>
          <w:color w:val="auto"/>
          <w:sz w:val="28"/>
          <w:szCs w:val="28"/>
          <w:highlight w:val="none"/>
          <w:lang w:val="en"/>
        </w:rPr>
        <w:t>遵守中国知识产权法律、法规、规章、规范性文件及在中国适用的与知识产权有关的国际公约，所参与项目的知识产权明晰无争议，归属或技术来源正当合法。近三年在知识产权领域不存在违反法律、法规、规章及其他规范性文件的失信行为。所参与的项目不对其他单位及个人的知识产权构成侵权。如经核查确有违反上述承诺应遵守的行为，本企业（单位）将承担由此产生的全部责任。</w:t>
      </w:r>
    </w:p>
    <w:p w14:paraId="7C8D0897">
      <w:pPr>
        <w:snapToGrid w:val="0"/>
        <w:spacing w:line="360" w:lineRule="auto"/>
        <w:ind w:left="5965" w:leftChars="1736" w:hanging="2319" w:hangingChars="825"/>
        <w:rPr>
          <w:rFonts w:hint="eastAsia" w:ascii="宋体" w:hAnsi="宋体" w:cs="宋体"/>
          <w:b/>
          <w:color w:val="auto"/>
          <w:sz w:val="28"/>
          <w:szCs w:val="28"/>
          <w:highlight w:val="none"/>
        </w:rPr>
      </w:pPr>
      <w:r>
        <w:rPr>
          <w:rFonts w:hint="eastAsia" w:ascii="宋体" w:hAnsi="宋体" w:cs="宋体"/>
          <w:b/>
          <w:color w:val="auto"/>
          <w:sz w:val="28"/>
          <w:szCs w:val="28"/>
          <w:highlight w:val="none"/>
        </w:rPr>
        <w:t xml:space="preserve">           </w:t>
      </w:r>
    </w:p>
    <w:p w14:paraId="080BB43F">
      <w:pPr>
        <w:snapToGrid w:val="0"/>
        <w:spacing w:line="360" w:lineRule="auto"/>
        <w:ind w:left="5965" w:leftChars="1736" w:hanging="2319" w:hangingChars="825"/>
        <w:rPr>
          <w:rFonts w:hint="eastAsia" w:ascii="宋体" w:hAnsi="宋体" w:cs="宋体"/>
          <w:b/>
          <w:color w:val="auto"/>
          <w:sz w:val="28"/>
          <w:szCs w:val="28"/>
          <w:highlight w:val="none"/>
        </w:rPr>
      </w:pPr>
    </w:p>
    <w:p w14:paraId="3ECB6658">
      <w:pPr>
        <w:snapToGrid w:val="0"/>
        <w:spacing w:line="360" w:lineRule="auto"/>
        <w:ind w:left="5965" w:leftChars="1736" w:hanging="2319" w:hangingChars="825"/>
        <w:rPr>
          <w:rFonts w:hint="eastAsia" w:ascii="宋体" w:hAnsi="宋体" w:cs="宋体"/>
          <w:b/>
          <w:color w:val="auto"/>
          <w:sz w:val="28"/>
          <w:szCs w:val="28"/>
          <w:highlight w:val="none"/>
        </w:rPr>
      </w:pPr>
    </w:p>
    <w:p w14:paraId="3250AD0A">
      <w:pPr>
        <w:snapToGrid w:val="0"/>
        <w:spacing w:line="360" w:lineRule="auto"/>
        <w:ind w:left="5965" w:leftChars="1736" w:hanging="2319" w:hangingChars="825"/>
        <w:rPr>
          <w:rFonts w:hint="eastAsia" w:ascii="宋体" w:hAnsi="宋体" w:cs="宋体"/>
          <w:b/>
          <w:color w:val="auto"/>
          <w:sz w:val="28"/>
          <w:szCs w:val="28"/>
          <w:highlight w:val="none"/>
        </w:rPr>
      </w:pPr>
    </w:p>
    <w:p w14:paraId="46F018C1">
      <w:pPr>
        <w:autoSpaceDE w:val="0"/>
        <w:autoSpaceDN w:val="0"/>
        <w:spacing w:line="360" w:lineRule="auto"/>
        <w:ind w:left="4370" w:leftChars="1304" w:hanging="1632" w:hangingChars="583"/>
        <w:rPr>
          <w:rFonts w:hint="eastAsia" w:ascii="宋体" w:hAnsi="宋体" w:cs="宋体"/>
          <w:color w:val="auto"/>
          <w:kern w:val="0"/>
          <w:sz w:val="28"/>
          <w:szCs w:val="28"/>
          <w:highlight w:val="none"/>
        </w:rPr>
      </w:pPr>
      <w:r>
        <w:rPr>
          <w:rFonts w:hint="eastAsia" w:ascii="宋体" w:hAnsi="宋体" w:cs="宋体"/>
          <w:color w:val="auto"/>
          <w:kern w:val="0"/>
          <w:sz w:val="28"/>
          <w:szCs w:val="28"/>
          <w:highlight w:val="none"/>
        </w:rPr>
        <w:t>供应商名称（电子签章）：</w:t>
      </w:r>
    </w:p>
    <w:p w14:paraId="032171DA">
      <w:pPr>
        <w:pStyle w:val="15"/>
        <w:spacing w:line="500" w:lineRule="exact"/>
        <w:ind w:firstLine="5258" w:firstLineChars="1878"/>
        <w:rPr>
          <w:rFonts w:hint="eastAsia" w:hAnsi="宋体" w:cs="宋体"/>
          <w:color w:val="auto"/>
          <w:sz w:val="28"/>
          <w:szCs w:val="28"/>
          <w:highlight w:val="none"/>
        </w:rPr>
      </w:pPr>
      <w:r>
        <w:rPr>
          <w:rFonts w:hint="eastAsia" w:hAnsi="宋体" w:cs="宋体"/>
          <w:color w:val="auto"/>
          <w:sz w:val="28"/>
          <w:szCs w:val="28"/>
          <w:highlight w:val="none"/>
          <w:lang w:val="zh-CN"/>
        </w:rPr>
        <w:t>日期</w:t>
      </w:r>
      <w:r>
        <w:rPr>
          <w:rFonts w:hint="eastAsia" w:hAnsi="宋体" w:cs="宋体"/>
          <w:color w:val="auto"/>
          <w:sz w:val="28"/>
          <w:szCs w:val="28"/>
          <w:highlight w:val="none"/>
        </w:rPr>
        <w:t xml:space="preserve">：  </w:t>
      </w:r>
      <w:r>
        <w:rPr>
          <w:rFonts w:hint="eastAsia" w:hAnsi="宋体" w:cs="宋体"/>
          <w:color w:val="auto"/>
          <w:sz w:val="28"/>
          <w:szCs w:val="28"/>
          <w:highlight w:val="none"/>
          <w:lang w:val="zh-CN"/>
        </w:rPr>
        <w:t>年</w:t>
      </w:r>
      <w:r>
        <w:rPr>
          <w:rFonts w:hint="eastAsia" w:hAnsi="宋体" w:cs="宋体"/>
          <w:color w:val="auto"/>
          <w:sz w:val="28"/>
          <w:szCs w:val="28"/>
          <w:highlight w:val="none"/>
        </w:rPr>
        <w:t xml:space="preserve">  </w:t>
      </w:r>
      <w:r>
        <w:rPr>
          <w:rFonts w:hint="eastAsia" w:hAnsi="宋体" w:cs="宋体"/>
          <w:color w:val="auto"/>
          <w:sz w:val="28"/>
          <w:szCs w:val="28"/>
          <w:highlight w:val="none"/>
          <w:lang w:val="zh-CN"/>
        </w:rPr>
        <w:t>月</w:t>
      </w:r>
      <w:r>
        <w:rPr>
          <w:rFonts w:hint="eastAsia" w:hAnsi="宋体" w:cs="宋体"/>
          <w:color w:val="auto"/>
          <w:sz w:val="28"/>
          <w:szCs w:val="28"/>
          <w:highlight w:val="none"/>
        </w:rPr>
        <w:t xml:space="preserve">   </w:t>
      </w:r>
      <w:r>
        <w:rPr>
          <w:rFonts w:hint="eastAsia" w:hAnsi="宋体" w:cs="宋体"/>
          <w:color w:val="auto"/>
          <w:sz w:val="28"/>
          <w:szCs w:val="28"/>
          <w:highlight w:val="none"/>
          <w:lang w:val="zh-CN"/>
        </w:rPr>
        <w:t>日</w:t>
      </w:r>
    </w:p>
    <w:p w14:paraId="34D5F01C">
      <w:pPr>
        <w:spacing w:after="165" w:afterLines="50" w:line="360" w:lineRule="auto"/>
        <w:jc w:val="center"/>
        <w:rPr>
          <w:rFonts w:hint="eastAsia" w:ascii="宋体" w:hAnsi="宋体" w:cs="宋体"/>
          <w:b/>
          <w:bCs/>
          <w:color w:val="auto"/>
          <w:sz w:val="30"/>
          <w:szCs w:val="30"/>
          <w:highlight w:val="none"/>
        </w:rPr>
      </w:pPr>
      <w:r>
        <w:rPr>
          <w:rFonts w:hint="eastAsia" w:ascii="宋体" w:hAnsi="宋体" w:cs="宋体"/>
          <w:color w:val="auto"/>
          <w:sz w:val="24"/>
          <w:highlight w:val="none"/>
        </w:rPr>
        <w:br w:type="page"/>
      </w:r>
      <w:r>
        <w:rPr>
          <w:rFonts w:hint="eastAsia" w:ascii="宋体" w:hAnsi="宋体" w:cs="宋体"/>
          <w:b/>
          <w:bCs/>
          <w:color w:val="auto"/>
          <w:sz w:val="30"/>
          <w:szCs w:val="30"/>
          <w:highlight w:val="none"/>
        </w:rPr>
        <w:t>中小企业声明函（工程类）</w:t>
      </w:r>
    </w:p>
    <w:p w14:paraId="2B8A69EE">
      <w:pPr>
        <w:pStyle w:val="10"/>
        <w:spacing w:after="0" w:line="360" w:lineRule="auto"/>
        <w:ind w:left="-426" w:right="142" w:firstLine="640"/>
        <w:contextualSpacing/>
        <w:rPr>
          <w:rFonts w:hint="eastAsia" w:ascii="宋体" w:hAnsi="宋体" w:cs="宋体"/>
          <w:color w:val="auto"/>
          <w:sz w:val="24"/>
          <w:highlight w:val="none"/>
        </w:rPr>
      </w:pPr>
      <w:r>
        <w:rPr>
          <w:rFonts w:hint="eastAsia" w:ascii="宋体" w:hAnsi="宋体" w:cs="宋体"/>
          <w:color w:val="auto"/>
          <w:sz w:val="24"/>
          <w:highlight w:val="none"/>
        </w:rPr>
        <w:t>本公司郑重声明，根据《政府采购促进中小企业发展管理办法》（财库﹝2020﹞46号）的规定，本公司参加</w:t>
      </w:r>
      <w:r>
        <w:rPr>
          <w:rFonts w:hint="eastAsia" w:ascii="宋体" w:hAnsi="宋体" w:eastAsia="宋体" w:cs="宋体"/>
          <w:color w:val="auto"/>
          <w:sz w:val="24"/>
          <w:highlight w:val="none"/>
          <w:u w:val="single"/>
          <w:lang w:eastAsia="zh-CN"/>
        </w:rPr>
        <w:t>横州市马岭镇人民政府</w:t>
      </w:r>
      <w:r>
        <w:rPr>
          <w:rFonts w:hint="eastAsia" w:ascii="宋体" w:hAnsi="宋体" w:cs="宋体"/>
          <w:color w:val="auto"/>
          <w:sz w:val="24"/>
          <w:highlight w:val="none"/>
        </w:rPr>
        <w:t>的</w:t>
      </w:r>
      <w:r>
        <w:rPr>
          <w:rFonts w:hint="eastAsia" w:ascii="宋体" w:hAnsi="宋体" w:cs="宋体"/>
          <w:color w:val="auto"/>
          <w:sz w:val="24"/>
          <w:highlight w:val="none"/>
          <w:u w:val="single"/>
          <w:lang w:val="en-US" w:eastAsia="zh-CN"/>
        </w:rPr>
        <w:t>马岭镇良和村委留塘路口至校椅镇壬水村路口路段太阳能公共照明项目（一期）</w:t>
      </w:r>
      <w:r>
        <w:rPr>
          <w:rFonts w:hint="eastAsia" w:ascii="宋体" w:hAnsi="宋体" w:cs="宋体"/>
          <w:color w:val="auto"/>
          <w:sz w:val="24"/>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082DED1A">
      <w:pPr>
        <w:tabs>
          <w:tab w:val="left" w:pos="1384"/>
          <w:tab w:val="left" w:pos="4562"/>
          <w:tab w:val="left" w:pos="6803"/>
        </w:tabs>
        <w:spacing w:line="360" w:lineRule="auto"/>
        <w:ind w:left="-426" w:right="-58" w:firstLine="655"/>
        <w:contextualSpacing/>
        <w:rPr>
          <w:rFonts w:hint="eastAsia"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u w:val="single"/>
        </w:rPr>
        <w:t>（标的名称）</w:t>
      </w:r>
      <w:r>
        <w:rPr>
          <w:rFonts w:hint="eastAsia" w:ascii="宋体" w:hAnsi="宋体" w:cs="宋体"/>
          <w:color w:val="auto"/>
          <w:sz w:val="24"/>
          <w:highlight w:val="none"/>
        </w:rPr>
        <w:t>，属于</w:t>
      </w:r>
      <w:r>
        <w:rPr>
          <w:rFonts w:hint="eastAsia" w:ascii="宋体" w:hAnsi="宋体" w:cs="宋体"/>
          <w:color w:val="auto"/>
          <w:sz w:val="24"/>
          <w:highlight w:val="none"/>
          <w:u w:val="single"/>
        </w:rPr>
        <w:t>（采购文件中明确的所属行业）</w:t>
      </w:r>
      <w:r>
        <w:rPr>
          <w:rFonts w:hint="eastAsia" w:ascii="宋体" w:hAnsi="宋体" w:cs="宋体"/>
          <w:color w:val="auto"/>
          <w:sz w:val="24"/>
          <w:highlight w:val="none"/>
        </w:rPr>
        <w:t>行业；承建（承接）企业为</w:t>
      </w:r>
      <w:r>
        <w:rPr>
          <w:rFonts w:hint="eastAsia" w:ascii="宋体" w:hAnsi="宋体" w:cs="宋体"/>
          <w:color w:val="auto"/>
          <w:sz w:val="24"/>
          <w:highlight w:val="none"/>
          <w:u w:val="single"/>
        </w:rPr>
        <w:t>（企业名称）</w:t>
      </w:r>
      <w:r>
        <w:rPr>
          <w:rFonts w:hint="eastAsia" w:ascii="宋体" w:hAnsi="宋体" w:cs="宋体"/>
          <w:color w:val="auto"/>
          <w:sz w:val="24"/>
          <w:highlight w:val="none"/>
        </w:rPr>
        <w:t>，从业人员</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人，营业收入为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万元，资产总额为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万元，属于</w:t>
      </w:r>
      <w:r>
        <w:rPr>
          <w:rFonts w:hint="eastAsia" w:ascii="宋体" w:hAnsi="宋体" w:cs="宋体"/>
          <w:color w:val="auto"/>
          <w:sz w:val="24"/>
          <w:highlight w:val="none"/>
          <w:u w:val="single"/>
        </w:rPr>
        <w:t>（中型企业、小型企业、微型企业）</w:t>
      </w:r>
      <w:r>
        <w:rPr>
          <w:rFonts w:hint="eastAsia" w:ascii="宋体" w:hAnsi="宋体" w:cs="宋体"/>
          <w:color w:val="auto"/>
          <w:sz w:val="24"/>
          <w:highlight w:val="none"/>
        </w:rPr>
        <w:t>；</w:t>
      </w:r>
    </w:p>
    <w:p w14:paraId="333CD59C">
      <w:pPr>
        <w:tabs>
          <w:tab w:val="left" w:pos="1065"/>
          <w:tab w:val="left" w:pos="6477"/>
        </w:tabs>
        <w:spacing w:line="360" w:lineRule="auto"/>
        <w:ind w:left="-426" w:right="-58" w:firstLine="655"/>
        <w:contextualSpacing/>
        <w:rPr>
          <w:rFonts w:hint="eastAsia"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u w:val="single"/>
        </w:rPr>
        <w:t>（标的名称）</w:t>
      </w:r>
      <w:r>
        <w:rPr>
          <w:rFonts w:hint="eastAsia" w:ascii="宋体" w:hAnsi="宋体" w:cs="宋体"/>
          <w:color w:val="auto"/>
          <w:sz w:val="24"/>
          <w:highlight w:val="none"/>
        </w:rPr>
        <w:t>，属于</w:t>
      </w:r>
      <w:r>
        <w:rPr>
          <w:rFonts w:hint="eastAsia" w:ascii="宋体" w:hAnsi="宋体" w:cs="宋体"/>
          <w:color w:val="auto"/>
          <w:sz w:val="24"/>
          <w:highlight w:val="none"/>
          <w:u w:val="single"/>
        </w:rPr>
        <w:t>（采购文件中明确的所属行业）</w:t>
      </w:r>
      <w:r>
        <w:rPr>
          <w:rFonts w:hint="eastAsia" w:ascii="宋体" w:hAnsi="宋体" w:cs="宋体"/>
          <w:color w:val="auto"/>
          <w:sz w:val="24"/>
          <w:highlight w:val="none"/>
        </w:rPr>
        <w:t>行业；承建（承接）企业为</w:t>
      </w:r>
      <w:r>
        <w:rPr>
          <w:rFonts w:hint="eastAsia" w:ascii="宋体" w:hAnsi="宋体" w:cs="宋体"/>
          <w:color w:val="auto"/>
          <w:sz w:val="24"/>
          <w:highlight w:val="none"/>
          <w:u w:val="single"/>
        </w:rPr>
        <w:t>（企业名称）</w:t>
      </w:r>
      <w:r>
        <w:rPr>
          <w:rFonts w:hint="eastAsia" w:ascii="宋体" w:hAnsi="宋体" w:cs="宋体"/>
          <w:color w:val="auto"/>
          <w:sz w:val="24"/>
          <w:highlight w:val="none"/>
        </w:rPr>
        <w:t>，从业人员</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人，营业收入为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万元，资产总额为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万元，属于</w:t>
      </w:r>
      <w:r>
        <w:rPr>
          <w:rFonts w:hint="eastAsia" w:ascii="宋体" w:hAnsi="宋体" w:cs="宋体"/>
          <w:color w:val="auto"/>
          <w:sz w:val="24"/>
          <w:highlight w:val="none"/>
          <w:u w:val="single"/>
        </w:rPr>
        <w:t>（中型企业、小型企业、微型企业）</w:t>
      </w:r>
      <w:r>
        <w:rPr>
          <w:rFonts w:hint="eastAsia" w:ascii="宋体" w:hAnsi="宋体" w:cs="宋体"/>
          <w:color w:val="auto"/>
          <w:sz w:val="24"/>
          <w:highlight w:val="none"/>
        </w:rPr>
        <w:t>；</w:t>
      </w:r>
    </w:p>
    <w:p w14:paraId="5E830E50">
      <w:pPr>
        <w:pStyle w:val="10"/>
        <w:spacing w:after="0" w:line="360" w:lineRule="auto"/>
        <w:ind w:left="142" w:right="142"/>
        <w:contextualSpacing/>
        <w:rPr>
          <w:rFonts w:hint="eastAsia" w:ascii="宋体" w:hAnsi="宋体" w:cs="宋体"/>
          <w:color w:val="auto"/>
          <w:sz w:val="24"/>
          <w:highlight w:val="none"/>
        </w:rPr>
      </w:pPr>
      <w:r>
        <w:rPr>
          <w:rFonts w:hint="eastAsia" w:ascii="宋体" w:hAnsi="宋体" w:cs="宋体"/>
          <w:color w:val="auto"/>
          <w:sz w:val="24"/>
          <w:highlight w:val="none"/>
        </w:rPr>
        <w:t xml:space="preserve">…… </w:t>
      </w:r>
    </w:p>
    <w:p w14:paraId="52C96E43">
      <w:pPr>
        <w:pStyle w:val="10"/>
        <w:spacing w:after="0" w:line="360" w:lineRule="auto"/>
        <w:ind w:left="-405" w:leftChars="-193" w:right="142" w:firstLine="453" w:firstLineChars="189"/>
        <w:contextualSpacing/>
        <w:rPr>
          <w:rFonts w:hint="eastAsia" w:ascii="宋体" w:hAnsi="宋体" w:cs="宋体"/>
          <w:color w:val="auto"/>
          <w:sz w:val="24"/>
          <w:highlight w:val="none"/>
        </w:rPr>
      </w:pPr>
      <w:r>
        <w:rPr>
          <w:rFonts w:hint="eastAsia" w:ascii="宋体" w:hAnsi="宋体" w:cs="宋体"/>
          <w:color w:val="auto"/>
          <w:sz w:val="24"/>
          <w:highlight w:val="none"/>
        </w:rPr>
        <w:t>以上企业，不属于大企业的分支机构，不存在控股股东为大企业的情形，也不存在与大企业的负责人为同一人的情形。</w:t>
      </w:r>
    </w:p>
    <w:p w14:paraId="779005F1">
      <w:pPr>
        <w:pStyle w:val="10"/>
        <w:spacing w:after="0" w:line="360" w:lineRule="auto"/>
        <w:ind w:left="-426" w:right="142" w:firstLine="567"/>
        <w:contextualSpacing/>
        <w:rPr>
          <w:rFonts w:hint="eastAsia" w:ascii="宋体" w:hAnsi="宋体" w:cs="宋体"/>
          <w:color w:val="auto"/>
          <w:sz w:val="24"/>
          <w:highlight w:val="none"/>
        </w:rPr>
      </w:pPr>
      <w:r>
        <w:rPr>
          <w:rFonts w:hint="eastAsia" w:ascii="宋体" w:hAnsi="宋体" w:cs="宋体"/>
          <w:color w:val="auto"/>
          <w:sz w:val="24"/>
          <w:highlight w:val="none"/>
        </w:rPr>
        <w:t>本企业对上述声明内容的真实性负责。如有虚假，将依法承担相应责任。</w:t>
      </w:r>
    </w:p>
    <w:p w14:paraId="32DF4820">
      <w:pPr>
        <w:pStyle w:val="10"/>
        <w:spacing w:after="0" w:line="360" w:lineRule="auto"/>
        <w:ind w:left="3960" w:right="1808"/>
        <w:contextualSpacing/>
        <w:rPr>
          <w:rFonts w:hint="eastAsia" w:ascii="宋体" w:hAnsi="宋体" w:cs="宋体"/>
          <w:color w:val="auto"/>
          <w:sz w:val="24"/>
          <w:highlight w:val="none"/>
        </w:rPr>
      </w:pPr>
    </w:p>
    <w:p w14:paraId="0AAB82E0">
      <w:pPr>
        <w:autoSpaceDE w:val="0"/>
        <w:autoSpaceDN w:val="0"/>
        <w:spacing w:line="360" w:lineRule="auto"/>
        <w:ind w:left="4335" w:leftChars="1950" w:hanging="240" w:hangingChars="100"/>
        <w:rPr>
          <w:rFonts w:hint="eastAsia"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13AA2C42">
      <w:pPr>
        <w:autoSpaceDE w:val="0"/>
        <w:autoSpaceDN w:val="0"/>
        <w:spacing w:line="360" w:lineRule="auto"/>
        <w:ind w:firstLine="6480" w:firstLineChars="2700"/>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日期：  年  月   日</w:t>
      </w:r>
    </w:p>
    <w:p w14:paraId="1F668736">
      <w:pPr>
        <w:pStyle w:val="10"/>
        <w:spacing w:after="0" w:line="360" w:lineRule="auto"/>
        <w:ind w:left="3960" w:right="1808"/>
        <w:contextualSpacing/>
        <w:rPr>
          <w:rFonts w:hint="eastAsia" w:ascii="宋体" w:hAnsi="宋体" w:cs="宋体"/>
          <w:color w:val="auto"/>
          <w:highlight w:val="none"/>
        </w:rPr>
      </w:pPr>
    </w:p>
    <w:p w14:paraId="40E74F10">
      <w:pPr>
        <w:spacing w:line="360" w:lineRule="auto"/>
        <w:jc w:val="left"/>
        <w:rPr>
          <w:rFonts w:hint="eastAsia" w:ascii="宋体" w:hAnsi="宋体" w:cs="宋体"/>
          <w:b/>
          <w:color w:val="auto"/>
          <w:sz w:val="32"/>
          <w:szCs w:val="32"/>
          <w:highlight w:val="none"/>
        </w:rPr>
      </w:pPr>
      <w:r>
        <w:rPr>
          <w:rFonts w:hint="eastAsia" w:ascii="宋体" w:hAnsi="宋体" w:cs="宋体"/>
          <w:color w:val="auto"/>
          <w:sz w:val="24"/>
          <w:highlight w:val="none"/>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p>
    <w:p w14:paraId="42CDA06E">
      <w:pPr>
        <w:autoSpaceDE w:val="0"/>
        <w:autoSpaceDN w:val="0"/>
        <w:spacing w:line="360" w:lineRule="auto"/>
        <w:ind w:left="4335" w:leftChars="1950" w:hanging="240" w:hangingChars="100"/>
        <w:rPr>
          <w:rFonts w:hint="eastAsia" w:ascii="宋体" w:hAnsi="宋体" w:cs="宋体"/>
          <w:color w:val="auto"/>
          <w:kern w:val="0"/>
          <w:sz w:val="24"/>
          <w:highlight w:val="none"/>
        </w:rPr>
      </w:pPr>
    </w:p>
    <w:p w14:paraId="72158EEC">
      <w:pPr>
        <w:spacing w:line="520" w:lineRule="exact"/>
        <w:jc w:val="center"/>
        <w:rPr>
          <w:rFonts w:hint="eastAsia" w:ascii="宋体" w:hAnsi="宋体" w:eastAsia="宋体" w:cs="宋体"/>
          <w:color w:val="auto"/>
          <w:sz w:val="32"/>
          <w:szCs w:val="32"/>
          <w:highlight w:val="none"/>
          <w:lang w:eastAsia="zh-CN"/>
        </w:rPr>
      </w:pPr>
      <w:r>
        <w:rPr>
          <w:rFonts w:hint="eastAsia" w:ascii="宋体" w:hAnsi="宋体" w:cs="宋体"/>
          <w:color w:val="auto"/>
          <w:sz w:val="44"/>
          <w:szCs w:val="44"/>
          <w:highlight w:val="none"/>
        </w:rPr>
        <w:br w:type="page"/>
      </w:r>
      <w:r>
        <w:rPr>
          <w:rFonts w:hint="eastAsia" w:ascii="宋体" w:hAnsi="宋体" w:cs="宋体"/>
          <w:b/>
          <w:bCs/>
          <w:color w:val="auto"/>
          <w:sz w:val="30"/>
          <w:szCs w:val="30"/>
          <w:highlight w:val="none"/>
        </w:rPr>
        <w:t>残疾人福利性单位声明函</w:t>
      </w:r>
      <w:r>
        <w:rPr>
          <w:rFonts w:hint="eastAsia" w:ascii="宋体" w:hAnsi="宋体" w:cs="宋体"/>
          <w:b/>
          <w:bCs/>
          <w:color w:val="auto"/>
          <w:sz w:val="30"/>
          <w:szCs w:val="30"/>
          <w:highlight w:val="none"/>
          <w:lang w:eastAsia="zh-CN"/>
        </w:rPr>
        <w:t>（格式）</w:t>
      </w:r>
    </w:p>
    <w:p w14:paraId="61953191">
      <w:pPr>
        <w:spacing w:line="520" w:lineRule="exact"/>
        <w:rPr>
          <w:rFonts w:hint="eastAsia" w:ascii="宋体" w:hAnsi="宋体" w:cs="宋体"/>
          <w:color w:val="auto"/>
          <w:sz w:val="32"/>
          <w:szCs w:val="32"/>
          <w:highlight w:val="none"/>
        </w:rPr>
      </w:pPr>
    </w:p>
    <w:p w14:paraId="676A6AC9">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color w:val="auto"/>
          <w:sz w:val="24"/>
          <w:highlight w:val="none"/>
          <w:u w:val="single"/>
          <w:lang w:eastAsia="zh-CN"/>
        </w:rPr>
        <w:t>横州市马岭镇人民政府</w:t>
      </w:r>
      <w:r>
        <w:rPr>
          <w:rFonts w:hint="eastAsia" w:ascii="宋体" w:hAnsi="宋体" w:cs="宋体"/>
          <w:color w:val="auto"/>
          <w:sz w:val="24"/>
          <w:highlight w:val="none"/>
        </w:rPr>
        <w:t>单位的</w:t>
      </w:r>
      <w:r>
        <w:rPr>
          <w:rFonts w:hint="eastAsia" w:ascii="宋体" w:hAnsi="宋体" w:cs="宋体"/>
          <w:color w:val="auto"/>
          <w:sz w:val="24"/>
          <w:highlight w:val="none"/>
          <w:u w:val="single"/>
          <w:lang w:val="en-US" w:eastAsia="zh-CN"/>
        </w:rPr>
        <w:t>马岭镇良和村委留塘路口至校椅镇壬水村路口路段太阳能公共照明项目（一期）</w:t>
      </w:r>
      <w:r>
        <w:rPr>
          <w:rFonts w:hint="eastAsia" w:ascii="宋体" w:hAnsi="宋体" w:cs="宋体"/>
          <w:color w:val="auto"/>
          <w:sz w:val="24"/>
          <w:highlight w:val="none"/>
        </w:rPr>
        <w:t>采购活动由本单位提供服务。</w:t>
      </w:r>
    </w:p>
    <w:p w14:paraId="5E12B19E">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本单位对上述声明的真实性负责。如有虚假，将依法承担相应责任。</w:t>
      </w:r>
    </w:p>
    <w:p w14:paraId="18BA04FB">
      <w:pPr>
        <w:spacing w:line="360" w:lineRule="auto"/>
        <w:rPr>
          <w:rFonts w:hint="eastAsia" w:ascii="宋体" w:hAnsi="宋体" w:cs="宋体"/>
          <w:color w:val="auto"/>
          <w:sz w:val="24"/>
          <w:highlight w:val="none"/>
        </w:rPr>
      </w:pPr>
    </w:p>
    <w:p w14:paraId="4A878188">
      <w:pPr>
        <w:spacing w:line="360" w:lineRule="auto"/>
        <w:rPr>
          <w:rFonts w:hint="eastAsia" w:ascii="宋体" w:hAnsi="宋体" w:cs="宋体"/>
          <w:color w:val="auto"/>
          <w:sz w:val="24"/>
          <w:highlight w:val="none"/>
        </w:rPr>
      </w:pPr>
    </w:p>
    <w:p w14:paraId="375C4C64">
      <w:pPr>
        <w:spacing w:line="360" w:lineRule="auto"/>
        <w:rPr>
          <w:rFonts w:hint="eastAsia" w:ascii="宋体" w:hAnsi="宋体" w:cs="宋体"/>
          <w:color w:val="auto"/>
          <w:sz w:val="24"/>
          <w:highlight w:val="none"/>
        </w:rPr>
      </w:pPr>
    </w:p>
    <w:p w14:paraId="4FF8CDB2">
      <w:pPr>
        <w:spacing w:line="360" w:lineRule="auto"/>
        <w:ind w:firstLine="2400" w:firstLineChars="1000"/>
        <w:rPr>
          <w:rFonts w:hint="eastAsia" w:ascii="宋体" w:hAnsi="宋体" w:cs="宋体"/>
          <w:color w:val="auto"/>
          <w:sz w:val="24"/>
          <w:highlight w:val="none"/>
        </w:rPr>
      </w:pPr>
      <w:r>
        <w:rPr>
          <w:rFonts w:hint="eastAsia" w:ascii="宋体" w:hAnsi="宋体" w:cs="宋体"/>
          <w:color w:val="auto"/>
          <w:sz w:val="24"/>
          <w:highlight w:val="none"/>
        </w:rPr>
        <w:t>供应商名称（电子签章）：</w:t>
      </w:r>
    </w:p>
    <w:p w14:paraId="5BEF0FFD">
      <w:pPr>
        <w:spacing w:line="360" w:lineRule="auto"/>
        <w:ind w:firstLine="4320" w:firstLineChars="1800"/>
        <w:rPr>
          <w:rFonts w:hint="eastAsia" w:ascii="宋体" w:hAnsi="宋体" w:cs="宋体"/>
          <w:color w:val="auto"/>
          <w:sz w:val="24"/>
          <w:highlight w:val="none"/>
        </w:rPr>
      </w:pPr>
      <w:r>
        <w:rPr>
          <w:rFonts w:hint="eastAsia" w:ascii="宋体" w:hAnsi="宋体" w:cs="宋体"/>
          <w:color w:val="auto"/>
          <w:sz w:val="24"/>
          <w:highlight w:val="none"/>
        </w:rPr>
        <w:t>日  期：   年   月   日</w:t>
      </w:r>
    </w:p>
    <w:p w14:paraId="0E5915CE">
      <w:pPr>
        <w:spacing w:line="360" w:lineRule="auto"/>
        <w:rPr>
          <w:rFonts w:hint="eastAsia" w:ascii="宋体" w:hAnsi="宋体" w:cs="宋体"/>
          <w:color w:val="auto"/>
          <w:sz w:val="24"/>
          <w:highlight w:val="none"/>
        </w:rPr>
      </w:pPr>
    </w:p>
    <w:p w14:paraId="1E838EAC">
      <w:pPr>
        <w:spacing w:line="360" w:lineRule="auto"/>
        <w:rPr>
          <w:rFonts w:hint="eastAsia" w:ascii="宋体" w:hAnsi="宋体" w:cs="宋体"/>
          <w:color w:val="auto"/>
          <w:sz w:val="24"/>
          <w:highlight w:val="none"/>
        </w:rPr>
      </w:pPr>
    </w:p>
    <w:p w14:paraId="4D752DBB">
      <w:pPr>
        <w:spacing w:line="360" w:lineRule="auto"/>
        <w:rPr>
          <w:rFonts w:hint="eastAsia" w:ascii="宋体" w:hAnsi="宋体" w:cs="宋体"/>
          <w:color w:val="auto"/>
          <w:sz w:val="24"/>
          <w:highlight w:val="none"/>
        </w:rPr>
      </w:pPr>
    </w:p>
    <w:p w14:paraId="61026BC5">
      <w:pPr>
        <w:spacing w:line="360" w:lineRule="auto"/>
        <w:rPr>
          <w:rFonts w:hint="eastAsia" w:ascii="宋体" w:hAnsi="宋体" w:cs="宋体"/>
          <w:color w:val="auto"/>
          <w:sz w:val="24"/>
          <w:highlight w:val="none"/>
        </w:rPr>
      </w:pPr>
      <w:r>
        <w:rPr>
          <w:rFonts w:hint="eastAsia" w:ascii="宋体" w:hAnsi="宋体" w:cs="宋体"/>
          <w:color w:val="auto"/>
          <w:sz w:val="24"/>
          <w:highlight w:val="none"/>
        </w:rPr>
        <w:t>注：请根据自己的真实情况出具《残疾人福利性单位声明函》。依法享受中小企业优惠政策的，采购人或者采购代理机构在公告</w:t>
      </w:r>
      <w:r>
        <w:rPr>
          <w:rFonts w:hint="eastAsia" w:ascii="宋体" w:hAnsi="宋体" w:cs="宋体"/>
          <w:color w:val="auto"/>
          <w:sz w:val="24"/>
          <w:highlight w:val="none"/>
          <w:lang w:val="en-US" w:eastAsia="zh-CN"/>
        </w:rPr>
        <w:t>成交</w:t>
      </w:r>
      <w:r>
        <w:rPr>
          <w:rFonts w:hint="eastAsia" w:ascii="宋体" w:hAnsi="宋体" w:cs="宋体"/>
          <w:color w:val="auto"/>
          <w:sz w:val="24"/>
          <w:highlight w:val="none"/>
        </w:rPr>
        <w:t>结果时，同时公告其《残疾人福利性单位声明函》，接受社会监督。</w:t>
      </w:r>
    </w:p>
    <w:p w14:paraId="19DAEE8D">
      <w:pPr>
        <w:spacing w:line="520" w:lineRule="exact"/>
        <w:jc w:val="center"/>
        <w:rPr>
          <w:rFonts w:hint="eastAsia" w:ascii="宋体" w:hAnsi="宋体" w:cs="宋体"/>
          <w:color w:val="auto"/>
          <w:sz w:val="24"/>
          <w:highlight w:val="none"/>
        </w:rPr>
      </w:pPr>
    </w:p>
    <w:p w14:paraId="438FA525">
      <w:pPr>
        <w:spacing w:line="520" w:lineRule="exact"/>
        <w:rPr>
          <w:rFonts w:hint="eastAsia" w:ascii="宋体" w:hAnsi="宋体" w:cs="宋体"/>
          <w:color w:val="auto"/>
          <w:sz w:val="24"/>
          <w:highlight w:val="none"/>
        </w:rPr>
        <w:sectPr>
          <w:pgSz w:w="11905" w:h="16838"/>
          <w:pgMar w:top="1134" w:right="1587" w:bottom="1134" w:left="1587" w:header="720" w:footer="720" w:gutter="0"/>
          <w:pgBorders>
            <w:top w:val="none" w:sz="0" w:space="0"/>
            <w:left w:val="none" w:sz="0" w:space="0"/>
            <w:bottom w:val="none" w:sz="0" w:space="0"/>
            <w:right w:val="none" w:sz="0" w:space="0"/>
          </w:pgBorders>
          <w:cols w:space="720" w:num="1"/>
          <w:docGrid w:type="lines" w:linePitch="331" w:charSpace="0"/>
        </w:sectPr>
      </w:pPr>
    </w:p>
    <w:p w14:paraId="03C8F787">
      <w:pPr>
        <w:spacing w:line="360" w:lineRule="auto"/>
        <w:ind w:right="-89"/>
        <w:jc w:val="center"/>
        <w:outlineLvl w:val="0"/>
        <w:rPr>
          <w:rFonts w:hint="eastAsia" w:ascii="宋体" w:hAnsi="宋体" w:cs="宋体"/>
          <w:b/>
          <w:bCs/>
          <w:color w:val="auto"/>
          <w:kern w:val="44"/>
          <w:sz w:val="44"/>
          <w:szCs w:val="44"/>
          <w:highlight w:val="none"/>
        </w:rPr>
      </w:pPr>
      <w:bookmarkStart w:id="195" w:name="_Toc18320"/>
      <w:bookmarkStart w:id="196" w:name="_Toc1171"/>
      <w:bookmarkStart w:id="197" w:name="_Toc13614"/>
      <w:r>
        <w:rPr>
          <w:rFonts w:hint="eastAsia" w:ascii="宋体" w:hAnsi="宋体" w:cs="宋体"/>
          <w:b/>
          <w:bCs/>
          <w:color w:val="auto"/>
          <w:kern w:val="44"/>
          <w:sz w:val="44"/>
          <w:szCs w:val="44"/>
          <w:highlight w:val="none"/>
        </w:rPr>
        <w:t>第六章 合同文本</w:t>
      </w:r>
      <w:bookmarkEnd w:id="195"/>
      <w:bookmarkEnd w:id="196"/>
      <w:bookmarkEnd w:id="197"/>
    </w:p>
    <w:p w14:paraId="4C68B8DA">
      <w:pPr>
        <w:spacing w:line="360" w:lineRule="auto"/>
        <w:rPr>
          <w:rFonts w:hint="eastAsia" w:ascii="宋体" w:hAnsi="宋体" w:cs="宋体"/>
          <w:b/>
          <w:bCs/>
          <w:color w:val="auto"/>
          <w:highlight w:val="none"/>
        </w:rPr>
      </w:pPr>
      <w:r>
        <w:rPr>
          <w:rFonts w:hint="eastAsia" w:ascii="宋体" w:hAnsi="宋体" w:cs="宋体"/>
          <w:color w:val="auto"/>
          <w:sz w:val="24"/>
          <w:highlight w:val="none"/>
        </w:rPr>
        <w:t>“广西政府采购云平台”平台合同编号：</w:t>
      </w:r>
    </w:p>
    <w:p w14:paraId="2D07741B">
      <w:pPr>
        <w:spacing w:line="360" w:lineRule="auto"/>
        <w:jc w:val="both"/>
        <w:rPr>
          <w:rFonts w:hint="eastAsia" w:ascii="宋体"/>
          <w:b/>
          <w:bCs/>
          <w:color w:val="auto"/>
          <w:sz w:val="44"/>
          <w:szCs w:val="21"/>
          <w:highlight w:val="none"/>
        </w:rPr>
      </w:pPr>
    </w:p>
    <w:p w14:paraId="4A94DE8A">
      <w:pPr>
        <w:spacing w:line="360" w:lineRule="auto"/>
        <w:jc w:val="center"/>
        <w:rPr>
          <w:rFonts w:ascii="宋体" w:hAnsi="宋体" w:cs="宋体"/>
          <w:b/>
          <w:bCs/>
          <w:color w:val="auto"/>
          <w:sz w:val="52"/>
          <w:highlight w:val="none"/>
        </w:rPr>
      </w:pPr>
      <w:bookmarkStart w:id="198" w:name="_Toc19519"/>
      <w:r>
        <w:rPr>
          <w:rFonts w:hint="eastAsia" w:ascii="宋体" w:hAnsi="宋体" w:cs="宋体"/>
          <w:b/>
          <w:bCs/>
          <w:color w:val="auto"/>
          <w:sz w:val="52"/>
          <w:highlight w:val="none"/>
        </w:rPr>
        <w:t>南 宁 市 政 府 采 购</w:t>
      </w:r>
    </w:p>
    <w:p w14:paraId="3682E511">
      <w:pPr>
        <w:spacing w:line="360" w:lineRule="auto"/>
        <w:ind w:firstLine="420" w:firstLineChars="200"/>
        <w:rPr>
          <w:rFonts w:ascii="宋体" w:hAnsi="宋体" w:cs="宋体"/>
          <w:color w:val="auto"/>
          <w:highlight w:val="none"/>
        </w:rPr>
      </w:pPr>
    </w:p>
    <w:p w14:paraId="28754358">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 xml:space="preserve">                                                 </w:t>
      </w:r>
    </w:p>
    <w:p w14:paraId="1FF48E6A">
      <w:pPr>
        <w:spacing w:line="360" w:lineRule="auto"/>
        <w:jc w:val="center"/>
        <w:rPr>
          <w:rFonts w:hint="eastAsia" w:ascii="宋体" w:hAnsi="宋体" w:eastAsia="宋体" w:cs="宋体"/>
          <w:b/>
          <w:bCs/>
          <w:color w:val="auto"/>
          <w:sz w:val="48"/>
          <w:szCs w:val="48"/>
          <w:highlight w:val="none"/>
          <w:u w:val="single"/>
          <w:lang w:val="en-US" w:eastAsia="zh-CN"/>
        </w:rPr>
      </w:pPr>
      <w:r>
        <w:rPr>
          <w:rFonts w:hint="eastAsia" w:ascii="宋体" w:hAnsi="宋体" w:eastAsia="宋体" w:cs="宋体"/>
          <w:b/>
          <w:bCs/>
          <w:color w:val="auto"/>
          <w:sz w:val="48"/>
          <w:szCs w:val="48"/>
          <w:highlight w:val="none"/>
          <w:u w:val="single"/>
          <w:lang w:val="en-US" w:eastAsia="zh-CN"/>
        </w:rPr>
        <w:t>马岭镇良和村委留塘路口至校椅镇壬水村路口路段太阳能公共照明项目（一期）</w:t>
      </w:r>
    </w:p>
    <w:p w14:paraId="396341FD">
      <w:pPr>
        <w:spacing w:line="360" w:lineRule="auto"/>
        <w:jc w:val="center"/>
        <w:rPr>
          <w:rFonts w:ascii="宋体" w:hAnsi="宋体" w:cs="宋体"/>
          <w:b/>
          <w:bCs/>
          <w:color w:val="auto"/>
          <w:sz w:val="48"/>
          <w:szCs w:val="48"/>
          <w:highlight w:val="none"/>
        </w:rPr>
      </w:pPr>
      <w:r>
        <w:rPr>
          <w:rFonts w:hint="eastAsia" w:ascii="宋体" w:hAnsi="宋体" w:cs="宋体"/>
          <w:b w:val="0"/>
          <w:bCs w:val="0"/>
          <w:color w:val="auto"/>
          <w:sz w:val="48"/>
          <w:szCs w:val="48"/>
          <w:highlight w:val="none"/>
          <w:u w:val="none"/>
          <w:lang w:val="en-US" w:eastAsia="zh-CN"/>
        </w:rPr>
        <w:t>工程施工</w:t>
      </w:r>
      <w:r>
        <w:rPr>
          <w:rFonts w:hint="eastAsia" w:ascii="宋体" w:hAnsi="宋体" w:cs="宋体"/>
          <w:b w:val="0"/>
          <w:bCs w:val="0"/>
          <w:color w:val="auto"/>
          <w:sz w:val="48"/>
          <w:szCs w:val="48"/>
          <w:highlight w:val="none"/>
          <w:u w:val="none"/>
        </w:rPr>
        <w:t>合同</w:t>
      </w:r>
    </w:p>
    <w:p w14:paraId="2517C979">
      <w:pPr>
        <w:spacing w:line="360" w:lineRule="auto"/>
        <w:jc w:val="center"/>
        <w:rPr>
          <w:rFonts w:ascii="宋体" w:hAnsi="宋体" w:cs="宋体"/>
          <w:b/>
          <w:bCs/>
          <w:color w:val="auto"/>
          <w:sz w:val="44"/>
          <w:highlight w:val="none"/>
        </w:rPr>
      </w:pPr>
    </w:p>
    <w:p w14:paraId="09FBD28F">
      <w:pPr>
        <w:spacing w:line="360" w:lineRule="auto"/>
        <w:ind w:firstLine="3507" w:firstLineChars="794"/>
        <w:rPr>
          <w:rFonts w:ascii="宋体" w:hAnsi="宋体" w:cs="宋体"/>
          <w:b/>
          <w:bCs/>
          <w:color w:val="auto"/>
          <w:sz w:val="44"/>
          <w:highlight w:val="none"/>
        </w:rPr>
      </w:pPr>
    </w:p>
    <w:p w14:paraId="6898FAC0">
      <w:pPr>
        <w:spacing w:line="360" w:lineRule="auto"/>
        <w:ind w:firstLine="1995" w:firstLineChars="552"/>
        <w:rPr>
          <w:rFonts w:ascii="宋体" w:hAnsi="宋体" w:cs="宋体"/>
          <w:b/>
          <w:color w:val="auto"/>
          <w:sz w:val="36"/>
          <w:szCs w:val="36"/>
          <w:highlight w:val="none"/>
        </w:rPr>
      </w:pPr>
      <w:r>
        <w:rPr>
          <w:rFonts w:hint="eastAsia" w:ascii="宋体" w:hAnsi="宋体" w:cs="宋体"/>
          <w:b/>
          <w:color w:val="auto"/>
          <w:sz w:val="36"/>
          <w:szCs w:val="36"/>
          <w:highlight w:val="none"/>
        </w:rPr>
        <w:t>采购项目编号：</w:t>
      </w:r>
    </w:p>
    <w:p w14:paraId="58FBCA07">
      <w:pPr>
        <w:spacing w:line="360" w:lineRule="auto"/>
        <w:ind w:firstLine="1995" w:firstLineChars="552"/>
        <w:rPr>
          <w:rFonts w:ascii="宋体" w:hAnsi="宋体" w:cs="宋体"/>
          <w:b/>
          <w:color w:val="auto"/>
          <w:sz w:val="36"/>
          <w:szCs w:val="36"/>
          <w:highlight w:val="none"/>
        </w:rPr>
      </w:pPr>
      <w:r>
        <w:rPr>
          <w:rFonts w:hint="eastAsia" w:ascii="宋体" w:hAnsi="宋体" w:cs="宋体"/>
          <w:b/>
          <w:color w:val="auto"/>
          <w:sz w:val="36"/>
          <w:szCs w:val="36"/>
          <w:highlight w:val="none"/>
        </w:rPr>
        <w:t>采购计划编号：</w:t>
      </w:r>
    </w:p>
    <w:p w14:paraId="54CCF528">
      <w:pPr>
        <w:ind w:firstLine="1308" w:firstLineChars="545"/>
        <w:rPr>
          <w:rFonts w:ascii="宋体" w:hAnsi="宋体" w:cs="宋体"/>
          <w:color w:val="auto"/>
          <w:sz w:val="24"/>
          <w:highlight w:val="none"/>
        </w:rPr>
      </w:pPr>
    </w:p>
    <w:p w14:paraId="3B5BDD60">
      <w:pPr>
        <w:ind w:firstLine="1995" w:firstLineChars="552"/>
        <w:rPr>
          <w:rFonts w:ascii="宋体" w:hAnsi="宋体" w:cs="宋体"/>
          <w:b/>
          <w:color w:val="auto"/>
          <w:sz w:val="36"/>
          <w:szCs w:val="36"/>
          <w:highlight w:val="none"/>
          <w:u w:val="single"/>
        </w:rPr>
      </w:pPr>
    </w:p>
    <w:p w14:paraId="380F6304">
      <w:pPr>
        <w:ind w:firstLine="1995" w:firstLineChars="552"/>
        <w:rPr>
          <w:rFonts w:ascii="宋体" w:hAnsi="宋体" w:cs="宋体"/>
          <w:b/>
          <w:color w:val="auto"/>
          <w:sz w:val="36"/>
          <w:szCs w:val="36"/>
          <w:highlight w:val="none"/>
          <w:u w:val="single"/>
        </w:rPr>
      </w:pPr>
    </w:p>
    <w:p w14:paraId="4D55DA48">
      <w:pPr>
        <w:tabs>
          <w:tab w:val="left" w:pos="7200"/>
        </w:tabs>
        <w:spacing w:line="360" w:lineRule="auto"/>
        <w:ind w:firstLine="1995" w:firstLineChars="552"/>
        <w:rPr>
          <w:rFonts w:ascii="宋体" w:hAnsi="宋体" w:cs="宋体"/>
          <w:b/>
          <w:color w:val="auto"/>
          <w:sz w:val="36"/>
          <w:szCs w:val="36"/>
          <w:highlight w:val="none"/>
          <w:u w:val="single"/>
        </w:rPr>
      </w:pPr>
      <w:r>
        <w:rPr>
          <w:rFonts w:hint="eastAsia" w:ascii="宋体" w:hAnsi="宋体" w:cs="宋体"/>
          <w:b/>
          <w:color w:val="auto"/>
          <w:sz w:val="36"/>
          <w:szCs w:val="36"/>
          <w:highlight w:val="none"/>
        </w:rPr>
        <w:t>发包人：</w:t>
      </w:r>
    </w:p>
    <w:p w14:paraId="2AC121F3">
      <w:pPr>
        <w:tabs>
          <w:tab w:val="left" w:pos="7380"/>
        </w:tabs>
        <w:spacing w:line="360" w:lineRule="auto"/>
        <w:ind w:firstLine="1995" w:firstLineChars="552"/>
        <w:rPr>
          <w:rFonts w:ascii="宋体" w:hAnsi="宋体" w:cs="宋体"/>
          <w:b/>
          <w:bCs/>
          <w:color w:val="auto"/>
          <w:sz w:val="44"/>
          <w:highlight w:val="none"/>
        </w:rPr>
      </w:pPr>
      <w:r>
        <w:rPr>
          <w:rFonts w:hint="eastAsia" w:ascii="宋体" w:hAnsi="宋体" w:cs="宋体"/>
          <w:b/>
          <w:color w:val="auto"/>
          <w:sz w:val="36"/>
          <w:szCs w:val="36"/>
          <w:highlight w:val="none"/>
        </w:rPr>
        <w:t>承包人：</w:t>
      </w:r>
    </w:p>
    <w:p w14:paraId="658FCC1E">
      <w:pPr>
        <w:tabs>
          <w:tab w:val="left" w:pos="7380"/>
        </w:tabs>
        <w:spacing w:line="360" w:lineRule="auto"/>
        <w:rPr>
          <w:rFonts w:ascii="宋体" w:hAnsi="宋体" w:cs="宋体"/>
          <w:b/>
          <w:bCs/>
          <w:color w:val="auto"/>
          <w:sz w:val="44"/>
          <w:highlight w:val="none"/>
        </w:rPr>
      </w:pPr>
    </w:p>
    <w:p w14:paraId="30D7B845">
      <w:pPr>
        <w:tabs>
          <w:tab w:val="left" w:pos="7380"/>
        </w:tabs>
        <w:spacing w:line="360" w:lineRule="auto"/>
        <w:ind w:firstLine="2160" w:firstLineChars="600"/>
        <w:rPr>
          <w:rFonts w:ascii="宋体" w:hAnsi="宋体" w:cs="宋体"/>
          <w:color w:val="auto"/>
          <w:kern w:val="44"/>
          <w:sz w:val="44"/>
          <w:szCs w:val="44"/>
          <w:highlight w:val="none"/>
        </w:rPr>
      </w:pPr>
      <w:r>
        <w:rPr>
          <w:rFonts w:hint="eastAsia" w:ascii="宋体" w:hAnsi="宋体" w:cs="宋体"/>
          <w:color w:val="auto"/>
          <w:sz w:val="36"/>
          <w:szCs w:val="36"/>
          <w:highlight w:val="none"/>
          <w:lang w:val="zh-CN"/>
        </w:rPr>
        <w:t>签订时间：</w:t>
      </w:r>
      <w:r>
        <w:rPr>
          <w:rFonts w:hint="eastAsia" w:ascii="宋体" w:hAnsi="宋体" w:cs="宋体"/>
          <w:color w:val="auto"/>
          <w:sz w:val="36"/>
          <w:szCs w:val="36"/>
          <w:highlight w:val="none"/>
          <w:lang w:val="en-US" w:eastAsia="zh-CN"/>
        </w:rPr>
        <w:t xml:space="preserve"> </w:t>
      </w:r>
      <w:r>
        <w:rPr>
          <w:rFonts w:hint="eastAsia" w:ascii="宋体" w:hAnsi="宋体" w:cs="宋体"/>
          <w:color w:val="auto"/>
          <w:sz w:val="36"/>
          <w:szCs w:val="36"/>
          <w:highlight w:val="none"/>
          <w:lang w:val="zh-CN"/>
        </w:rPr>
        <w:t>年</w:t>
      </w:r>
      <w:r>
        <w:rPr>
          <w:rFonts w:hint="eastAsia" w:ascii="宋体" w:hAnsi="宋体" w:cs="宋体"/>
          <w:color w:val="auto"/>
          <w:sz w:val="36"/>
          <w:szCs w:val="36"/>
          <w:highlight w:val="none"/>
          <w:lang w:val="en-US" w:eastAsia="zh-CN"/>
        </w:rPr>
        <w:t xml:space="preserve"> </w:t>
      </w:r>
      <w:r>
        <w:rPr>
          <w:rFonts w:hint="eastAsia" w:ascii="宋体" w:hAnsi="宋体" w:cs="宋体"/>
          <w:color w:val="auto"/>
          <w:sz w:val="36"/>
          <w:szCs w:val="36"/>
          <w:highlight w:val="none"/>
          <w:lang w:val="zh-CN"/>
        </w:rPr>
        <w:t>月</w:t>
      </w:r>
      <w:r>
        <w:rPr>
          <w:rFonts w:hint="eastAsia" w:ascii="宋体" w:hAnsi="宋体" w:cs="宋体"/>
          <w:color w:val="auto"/>
          <w:sz w:val="36"/>
          <w:szCs w:val="36"/>
          <w:highlight w:val="none"/>
          <w:lang w:val="en-US" w:eastAsia="zh-CN"/>
        </w:rPr>
        <w:t xml:space="preserve">  </w:t>
      </w:r>
      <w:r>
        <w:rPr>
          <w:rFonts w:hint="eastAsia" w:ascii="宋体" w:hAnsi="宋体" w:cs="宋体"/>
          <w:color w:val="auto"/>
          <w:sz w:val="36"/>
          <w:szCs w:val="36"/>
          <w:highlight w:val="none"/>
          <w:lang w:val="zh-CN"/>
        </w:rPr>
        <w:t>日</w:t>
      </w:r>
    </w:p>
    <w:p w14:paraId="25B16404">
      <w:pPr>
        <w:pStyle w:val="39"/>
        <w:spacing w:after="0"/>
        <w:ind w:firstLine="643"/>
        <w:jc w:val="center"/>
        <w:outlineLvl w:val="1"/>
        <w:rPr>
          <w:rFonts w:ascii="宋体" w:hAnsi="宋体" w:cs="宋体"/>
          <w:b/>
          <w:color w:val="auto"/>
          <w:sz w:val="32"/>
          <w:szCs w:val="32"/>
          <w:highlight w:val="none"/>
        </w:rPr>
      </w:pPr>
      <w:bookmarkStart w:id="199" w:name="_Toc1063"/>
      <w:bookmarkStart w:id="200" w:name="_Toc80205944"/>
      <w:r>
        <w:rPr>
          <w:rFonts w:hint="eastAsia" w:ascii="宋体" w:hAnsi="宋体" w:cs="宋体"/>
          <w:b/>
          <w:color w:val="auto"/>
          <w:sz w:val="32"/>
          <w:szCs w:val="32"/>
          <w:highlight w:val="none"/>
        </w:rPr>
        <w:t>第一部分 合同书</w:t>
      </w:r>
      <w:bookmarkEnd w:id="199"/>
      <w:bookmarkEnd w:id="200"/>
    </w:p>
    <w:p w14:paraId="34421EE1">
      <w:pPr>
        <w:jc w:val="center"/>
        <w:rPr>
          <w:rFonts w:ascii="宋体" w:hAnsi="宋体" w:cs="宋体"/>
          <w:b/>
          <w:color w:val="auto"/>
          <w:sz w:val="28"/>
          <w:szCs w:val="28"/>
          <w:highlight w:val="none"/>
        </w:rPr>
      </w:pPr>
    </w:p>
    <w:p w14:paraId="6D03776B">
      <w:pPr>
        <w:spacing w:line="360" w:lineRule="auto"/>
        <w:rPr>
          <w:rFonts w:ascii="宋体" w:hAnsi="宋体" w:cs="宋体"/>
          <w:color w:val="auto"/>
          <w:sz w:val="24"/>
          <w:highlight w:val="none"/>
          <w:u w:val="single"/>
        </w:rPr>
      </w:pPr>
      <w:r>
        <w:rPr>
          <w:rFonts w:hint="eastAsia" w:ascii="宋体" w:hAnsi="宋体" w:cs="宋体"/>
          <w:color w:val="auto"/>
          <w:sz w:val="24"/>
          <w:highlight w:val="none"/>
        </w:rPr>
        <w:t>发包人（全称）：</w:t>
      </w:r>
      <w:r>
        <w:rPr>
          <w:rFonts w:hint="eastAsia" w:ascii="宋体" w:hAnsi="宋体" w:cs="宋体"/>
          <w:color w:val="auto"/>
          <w:sz w:val="24"/>
          <w:highlight w:val="none"/>
          <w:u w:val="single"/>
          <w:lang w:eastAsia="zh-CN"/>
        </w:rPr>
        <w:t>横州市马岭镇人民政府</w:t>
      </w:r>
      <w:r>
        <w:rPr>
          <w:rFonts w:hint="eastAsia" w:ascii="宋体" w:hAnsi="宋体" w:cs="宋体"/>
          <w:color w:val="auto"/>
          <w:sz w:val="24"/>
          <w:highlight w:val="none"/>
        </w:rPr>
        <w:t xml:space="preserve"> </w:t>
      </w:r>
    </w:p>
    <w:p w14:paraId="2CD8D55C">
      <w:pPr>
        <w:spacing w:line="360" w:lineRule="auto"/>
        <w:rPr>
          <w:rFonts w:hint="default" w:ascii="宋体" w:hAnsi="宋体" w:eastAsia="宋体" w:cs="宋体"/>
          <w:color w:val="auto"/>
          <w:sz w:val="24"/>
          <w:highlight w:val="none"/>
          <w:u w:val="single"/>
          <w:lang w:val="en-US" w:eastAsia="zh-CN"/>
        </w:rPr>
      </w:pPr>
      <w:r>
        <w:rPr>
          <w:rFonts w:hint="eastAsia" w:ascii="宋体" w:hAnsi="宋体" w:cs="宋体"/>
          <w:color w:val="auto"/>
          <w:sz w:val="24"/>
          <w:highlight w:val="none"/>
        </w:rPr>
        <w:t>承包人（全称）：</w:t>
      </w:r>
      <w:r>
        <w:rPr>
          <w:rFonts w:hint="eastAsia" w:ascii="宋体" w:hAnsi="宋体" w:cs="宋体"/>
          <w:color w:val="auto"/>
          <w:sz w:val="24"/>
          <w:highlight w:val="none"/>
          <w:u w:val="single"/>
          <w:lang w:val="en-US" w:eastAsia="zh-CN"/>
        </w:rPr>
        <w:t xml:space="preserve">                          </w:t>
      </w:r>
    </w:p>
    <w:p w14:paraId="11EBF473">
      <w:pPr>
        <w:spacing w:line="460" w:lineRule="atLeast"/>
        <w:ind w:firstLine="480" w:firstLineChars="200"/>
        <w:rPr>
          <w:rFonts w:ascii="宋体" w:hAnsi="宋体" w:cs="宋体"/>
          <w:color w:val="auto"/>
          <w:sz w:val="24"/>
          <w:highlight w:val="none"/>
        </w:rPr>
      </w:pPr>
      <w:r>
        <w:rPr>
          <w:rFonts w:hint="eastAsia" w:ascii="宋体" w:hAnsi="宋体" w:cs="宋体"/>
          <w:color w:val="auto"/>
          <w:sz w:val="24"/>
          <w:highlight w:val="none"/>
        </w:rPr>
        <w:t>根据《中华人民共和国民法典》、《中华人民共和国建筑法》及有关法律规定，遵循平等、自愿、公平和诚实信用的原则，双方就</w:t>
      </w:r>
      <w:r>
        <w:rPr>
          <w:rFonts w:hint="eastAsia" w:ascii="宋体" w:hAnsi="宋体" w:cs="宋体"/>
          <w:color w:val="auto"/>
          <w:sz w:val="24"/>
          <w:highlight w:val="none"/>
          <w:u w:val="single"/>
          <w:lang w:eastAsia="zh-CN"/>
        </w:rPr>
        <w:t>马岭镇良和村委留塘路口至校椅镇壬水村路口路段太阳能公共照明项目（一期）</w:t>
      </w:r>
      <w:r>
        <w:rPr>
          <w:rFonts w:hint="eastAsia" w:ascii="宋体" w:hAnsi="宋体" w:cs="宋体"/>
          <w:color w:val="auto"/>
          <w:sz w:val="24"/>
          <w:highlight w:val="none"/>
        </w:rPr>
        <w:t>工程施工及有关事项协商一致，共同达成如下协议：</w:t>
      </w:r>
    </w:p>
    <w:p w14:paraId="01BEAC29">
      <w:pPr>
        <w:spacing w:line="460" w:lineRule="atLeast"/>
        <w:rPr>
          <w:rFonts w:ascii="宋体" w:hAnsi="宋体" w:cs="宋体"/>
          <w:b/>
          <w:bCs/>
          <w:color w:val="auto"/>
          <w:sz w:val="24"/>
          <w:highlight w:val="none"/>
        </w:rPr>
      </w:pPr>
      <w:bookmarkStart w:id="201" w:name="_Toc31727"/>
      <w:r>
        <w:rPr>
          <w:rFonts w:hint="eastAsia" w:ascii="宋体" w:hAnsi="宋体" w:cs="宋体"/>
          <w:b/>
          <w:bCs/>
          <w:color w:val="auto"/>
          <w:sz w:val="24"/>
          <w:highlight w:val="none"/>
        </w:rPr>
        <w:t>一、工程概况</w:t>
      </w:r>
      <w:bookmarkEnd w:id="201"/>
    </w:p>
    <w:p w14:paraId="3F09216E">
      <w:pPr>
        <w:spacing w:line="460" w:lineRule="atLeast"/>
        <w:ind w:firstLine="470" w:firstLineChars="196"/>
        <w:rPr>
          <w:rFonts w:ascii="宋体" w:hAnsi="宋体" w:cs="宋体"/>
          <w:color w:val="auto"/>
          <w:sz w:val="24"/>
          <w:highlight w:val="none"/>
          <w:u w:val="single"/>
        </w:rPr>
      </w:pPr>
      <w:r>
        <w:rPr>
          <w:rFonts w:hint="eastAsia" w:ascii="宋体" w:hAnsi="宋体" w:cs="宋体"/>
          <w:color w:val="auto"/>
          <w:sz w:val="24"/>
          <w:highlight w:val="none"/>
        </w:rPr>
        <w:t>1. 工程名称：</w:t>
      </w:r>
      <w:r>
        <w:rPr>
          <w:rFonts w:hint="eastAsia" w:ascii="宋体" w:hAnsi="宋体" w:cs="宋体"/>
          <w:color w:val="auto"/>
          <w:sz w:val="24"/>
          <w:highlight w:val="none"/>
          <w:u w:val="single"/>
          <w:lang w:eastAsia="zh-CN"/>
        </w:rPr>
        <w:t>马岭镇良和村委留塘路口至校椅镇壬水村路口路段太阳能公共照明项目（一期）</w:t>
      </w:r>
      <w:r>
        <w:rPr>
          <w:rFonts w:hint="eastAsia" w:ascii="宋体" w:hAnsi="宋体" w:cs="宋体"/>
          <w:color w:val="auto"/>
          <w:sz w:val="24"/>
          <w:highlight w:val="none"/>
        </w:rPr>
        <w:t>。</w:t>
      </w:r>
    </w:p>
    <w:p w14:paraId="6E650F9C">
      <w:pPr>
        <w:spacing w:line="460" w:lineRule="atLeast"/>
        <w:ind w:firstLine="470" w:firstLineChars="196"/>
        <w:rPr>
          <w:rFonts w:ascii="宋体" w:hAnsi="宋体" w:cs="宋体"/>
          <w:color w:val="auto"/>
          <w:sz w:val="24"/>
          <w:highlight w:val="none"/>
        </w:rPr>
      </w:pPr>
      <w:r>
        <w:rPr>
          <w:rFonts w:hint="eastAsia" w:ascii="宋体" w:hAnsi="宋体" w:cs="宋体"/>
          <w:color w:val="auto"/>
          <w:sz w:val="24"/>
          <w:highlight w:val="none"/>
        </w:rPr>
        <w:t>2. 工程地点：</w:t>
      </w:r>
      <w:r>
        <w:rPr>
          <w:rFonts w:hint="eastAsia" w:ascii="宋体" w:hAnsi="宋体" w:cs="宋体"/>
          <w:color w:val="auto"/>
          <w:sz w:val="24"/>
          <w:highlight w:val="none"/>
          <w:u w:val="single"/>
          <w:lang w:val="en-US" w:eastAsia="zh-CN"/>
        </w:rPr>
        <w:t>横州市马岭镇</w:t>
      </w:r>
      <w:r>
        <w:rPr>
          <w:rFonts w:hint="eastAsia" w:ascii="宋体" w:hAnsi="宋体" w:cs="宋体"/>
          <w:color w:val="auto"/>
          <w:sz w:val="24"/>
          <w:highlight w:val="none"/>
        </w:rPr>
        <w:t>。</w:t>
      </w:r>
    </w:p>
    <w:p w14:paraId="3626B3E1">
      <w:pPr>
        <w:spacing w:line="460" w:lineRule="atLeast"/>
        <w:ind w:firstLine="470" w:firstLineChars="196"/>
        <w:rPr>
          <w:rFonts w:ascii="宋体" w:hAnsi="宋体" w:cs="宋体"/>
          <w:color w:val="auto"/>
          <w:sz w:val="24"/>
          <w:highlight w:val="none"/>
        </w:rPr>
      </w:pPr>
      <w:r>
        <w:rPr>
          <w:rFonts w:hint="eastAsia" w:ascii="宋体" w:hAnsi="宋体" w:cs="宋体"/>
          <w:color w:val="auto"/>
          <w:sz w:val="24"/>
          <w:highlight w:val="none"/>
        </w:rPr>
        <w:t>3. 工程立项批准文号：</w:t>
      </w:r>
      <w:r>
        <w:rPr>
          <w:rFonts w:hint="eastAsia" w:ascii="宋体" w:hAnsi="宋体" w:cs="宋体"/>
          <w:color w:val="auto"/>
          <w:sz w:val="24"/>
          <w:highlight w:val="none"/>
          <w:u w:val="single"/>
        </w:rPr>
        <w:t xml:space="preserve">     /   </w:t>
      </w:r>
      <w:r>
        <w:rPr>
          <w:rFonts w:hint="eastAsia" w:ascii="宋体" w:hAnsi="宋体" w:cs="宋体"/>
          <w:color w:val="auto"/>
          <w:sz w:val="24"/>
          <w:highlight w:val="none"/>
        </w:rPr>
        <w:t>。</w:t>
      </w:r>
    </w:p>
    <w:p w14:paraId="5C17D8BA">
      <w:pPr>
        <w:spacing w:line="460" w:lineRule="atLeast"/>
        <w:ind w:firstLine="470" w:firstLineChars="196"/>
        <w:rPr>
          <w:rFonts w:ascii="宋体" w:hAnsi="宋体" w:cs="宋体"/>
          <w:color w:val="auto"/>
          <w:sz w:val="24"/>
          <w:highlight w:val="none"/>
        </w:rPr>
      </w:pPr>
      <w:r>
        <w:rPr>
          <w:rFonts w:hint="eastAsia" w:ascii="宋体" w:hAnsi="宋体" w:cs="宋体"/>
          <w:color w:val="auto"/>
          <w:sz w:val="24"/>
          <w:highlight w:val="none"/>
        </w:rPr>
        <w:t>4. 资金来源：</w:t>
      </w:r>
      <w:r>
        <w:rPr>
          <w:rFonts w:hint="eastAsia" w:ascii="宋体" w:hAnsi="宋体" w:cs="宋体"/>
          <w:color w:val="auto"/>
          <w:sz w:val="24"/>
          <w:highlight w:val="none"/>
          <w:u w:val="single"/>
        </w:rPr>
        <w:t xml:space="preserve">       /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197E5766">
      <w:pPr>
        <w:spacing w:line="460" w:lineRule="atLeast"/>
        <w:ind w:firstLine="470" w:firstLineChars="196"/>
        <w:rPr>
          <w:rFonts w:ascii="宋体" w:hAnsi="宋体" w:cs="宋体"/>
          <w:color w:val="auto"/>
          <w:sz w:val="24"/>
          <w:highlight w:val="none"/>
        </w:rPr>
      </w:pPr>
      <w:r>
        <w:rPr>
          <w:rFonts w:hint="eastAsia" w:ascii="宋体" w:hAnsi="宋体" w:cs="宋体"/>
          <w:color w:val="auto"/>
          <w:sz w:val="24"/>
          <w:highlight w:val="none"/>
        </w:rPr>
        <w:t>5. 工程内容：</w:t>
      </w:r>
      <w:r>
        <w:rPr>
          <w:rFonts w:hint="eastAsia" w:ascii="宋体" w:hAnsi="宋体" w:cs="宋体"/>
          <w:color w:val="auto"/>
          <w:sz w:val="24"/>
          <w:highlight w:val="none"/>
          <w:u w:val="single"/>
        </w:rPr>
        <w:t>项目所在地分别位于</w:t>
      </w:r>
      <w:r>
        <w:rPr>
          <w:rFonts w:hint="eastAsia" w:ascii="宋体" w:hAnsi="宋体" w:cs="宋体"/>
          <w:color w:val="auto"/>
          <w:sz w:val="24"/>
          <w:highlight w:val="none"/>
          <w:lang w:val="en-US" w:eastAsia="zh-CN"/>
        </w:rPr>
        <w:t>横州市马岭镇</w:t>
      </w:r>
      <w:r>
        <w:rPr>
          <w:rFonts w:hint="eastAsia" w:ascii="宋体" w:hAnsi="宋体" w:cs="宋体"/>
          <w:color w:val="auto"/>
          <w:sz w:val="24"/>
          <w:highlight w:val="none"/>
          <w:u w:val="single"/>
        </w:rPr>
        <w:t>。主要建设内容:</w:t>
      </w:r>
      <w:r>
        <w:rPr>
          <w:rFonts w:hint="eastAsia" w:ascii="宋体" w:hAnsi="宋体" w:cs="宋体"/>
          <w:color w:val="auto"/>
          <w:sz w:val="24"/>
          <w:highlight w:val="none"/>
          <w:u w:val="single"/>
          <w:lang w:val="en-US" w:eastAsia="zh-CN"/>
        </w:rPr>
        <w:t>马岭镇辖区内可分为2个路段：从马岭镇良和村委留塘村路口（接209国道处）至社区中国石化加油站为第一路段，设计长度2620.877米，设计范围K7+620~K10+240.877;从飞马村委一组路况至龙坪村松木岭路口（马岭镇与校椅镇辖区分界处）为第二路段，设计长度6100米，设计范围K0+000~K6+120</w:t>
      </w:r>
      <w:r>
        <w:rPr>
          <w:rFonts w:hint="eastAsia" w:ascii="宋体" w:hAnsi="宋体" w:cs="宋体"/>
          <w:color w:val="auto"/>
          <w:sz w:val="24"/>
          <w:highlight w:val="none"/>
          <w:u w:val="none"/>
        </w:rPr>
        <w:t>。</w:t>
      </w:r>
    </w:p>
    <w:p w14:paraId="21A1EAAC">
      <w:pPr>
        <w:spacing w:line="460" w:lineRule="atLeast"/>
        <w:ind w:firstLine="470" w:firstLineChars="196"/>
        <w:rPr>
          <w:rFonts w:ascii="宋体" w:hAnsi="宋体" w:cs="宋体"/>
          <w:color w:val="auto"/>
          <w:sz w:val="24"/>
          <w:highlight w:val="none"/>
        </w:rPr>
      </w:pPr>
      <w:r>
        <w:rPr>
          <w:rFonts w:hint="eastAsia" w:ascii="宋体" w:hAnsi="宋体" w:cs="宋体"/>
          <w:color w:val="auto"/>
          <w:sz w:val="24"/>
          <w:highlight w:val="none"/>
        </w:rPr>
        <w:t>6. 工程承包范围：</w:t>
      </w:r>
    </w:p>
    <w:p w14:paraId="72CCB4E2">
      <w:pPr>
        <w:spacing w:line="460" w:lineRule="atLeast"/>
        <w:ind w:firstLine="463" w:firstLineChars="193"/>
        <w:rPr>
          <w:rFonts w:ascii="宋体" w:hAnsi="宋体" w:cs="宋体"/>
          <w:color w:val="auto"/>
          <w:sz w:val="24"/>
          <w:highlight w:val="none"/>
        </w:rPr>
      </w:pPr>
      <w:r>
        <w:rPr>
          <w:rFonts w:hint="eastAsia" w:ascii="宋体" w:hAnsi="宋体" w:cs="宋体"/>
          <w:color w:val="auto"/>
          <w:sz w:val="24"/>
          <w:highlight w:val="none"/>
          <w:u w:val="single"/>
          <w:lang w:eastAsia="zh-CN"/>
        </w:rPr>
        <w:t>马岭镇良和村委留塘路口至校椅镇壬水村路口路段太阳能公共照明项目（一期）工程</w:t>
      </w:r>
      <w:r>
        <w:rPr>
          <w:rFonts w:hint="eastAsia" w:ascii="宋体" w:hAnsi="宋体" w:cs="宋体"/>
          <w:color w:val="auto"/>
          <w:sz w:val="24"/>
          <w:highlight w:val="none"/>
          <w:u w:val="single"/>
        </w:rPr>
        <w:t>施工图纸及</w:t>
      </w:r>
      <w:r>
        <w:rPr>
          <w:rFonts w:hint="eastAsia" w:ascii="宋体" w:hAnsi="宋体" w:cs="宋体"/>
          <w:color w:val="auto"/>
          <w:sz w:val="24"/>
          <w:highlight w:val="none"/>
          <w:u w:val="single"/>
          <w:lang w:val="en-US" w:eastAsia="zh-CN"/>
        </w:rPr>
        <w:t>招标控制价文件</w:t>
      </w:r>
      <w:r>
        <w:rPr>
          <w:rFonts w:hint="eastAsia" w:ascii="宋体" w:hAnsi="宋体" w:cs="宋体"/>
          <w:color w:val="auto"/>
          <w:sz w:val="24"/>
          <w:highlight w:val="none"/>
          <w:u w:val="single"/>
        </w:rPr>
        <w:t>包含的所有内容</w:t>
      </w:r>
      <w:r>
        <w:rPr>
          <w:rFonts w:hint="eastAsia" w:ascii="宋体" w:hAnsi="宋体" w:cs="宋体"/>
          <w:color w:val="auto"/>
          <w:sz w:val="24"/>
          <w:highlight w:val="none"/>
        </w:rPr>
        <w:t>。</w:t>
      </w:r>
    </w:p>
    <w:p w14:paraId="7B613AA9">
      <w:pPr>
        <w:spacing w:line="460" w:lineRule="atLeast"/>
        <w:rPr>
          <w:rFonts w:ascii="宋体" w:hAnsi="宋体" w:cs="宋体"/>
          <w:b/>
          <w:bCs/>
          <w:color w:val="auto"/>
          <w:sz w:val="24"/>
          <w:highlight w:val="none"/>
        </w:rPr>
      </w:pPr>
      <w:bookmarkStart w:id="202" w:name="_Toc15479"/>
      <w:r>
        <w:rPr>
          <w:rFonts w:hint="eastAsia" w:ascii="宋体" w:hAnsi="宋体" w:cs="宋体"/>
          <w:b/>
          <w:bCs/>
          <w:color w:val="auto"/>
          <w:sz w:val="24"/>
          <w:highlight w:val="none"/>
        </w:rPr>
        <w:t>二、合同工期</w:t>
      </w:r>
      <w:bookmarkEnd w:id="202"/>
    </w:p>
    <w:p w14:paraId="54709D71">
      <w:pPr>
        <w:spacing w:line="460" w:lineRule="atLeast"/>
        <w:ind w:firstLine="459"/>
        <w:rPr>
          <w:rFonts w:ascii="宋体" w:hAnsi="宋体" w:cs="宋体"/>
          <w:color w:val="auto"/>
          <w:sz w:val="24"/>
          <w:highlight w:val="none"/>
        </w:rPr>
      </w:pPr>
      <w:r>
        <w:rPr>
          <w:rFonts w:hint="eastAsia" w:ascii="宋体" w:hAnsi="宋体" w:cs="宋体"/>
          <w:color w:val="auto"/>
          <w:sz w:val="24"/>
          <w:highlight w:val="none"/>
        </w:rPr>
        <w:t>计划开工日期：</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日。（具体以发包人书面通知为准）</w:t>
      </w:r>
    </w:p>
    <w:p w14:paraId="4B679FE7">
      <w:pPr>
        <w:spacing w:line="460" w:lineRule="atLeast"/>
        <w:ind w:firstLine="459"/>
        <w:rPr>
          <w:rFonts w:ascii="宋体" w:hAnsi="宋体" w:cs="宋体"/>
          <w:color w:val="auto"/>
          <w:sz w:val="24"/>
          <w:highlight w:val="none"/>
        </w:rPr>
      </w:pPr>
      <w:r>
        <w:rPr>
          <w:rFonts w:hint="eastAsia" w:ascii="宋体" w:hAnsi="宋体" w:cs="宋体"/>
          <w:color w:val="auto"/>
          <w:sz w:val="24"/>
          <w:highlight w:val="none"/>
        </w:rPr>
        <w:t>计划竣工日期：</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日。</w:t>
      </w:r>
    </w:p>
    <w:p w14:paraId="14FE3FF1">
      <w:pPr>
        <w:spacing w:line="460" w:lineRule="atLeast"/>
        <w:ind w:firstLine="459"/>
        <w:rPr>
          <w:rFonts w:ascii="宋体" w:hAnsi="宋体" w:cs="宋体"/>
          <w:color w:val="auto"/>
          <w:sz w:val="24"/>
          <w:highlight w:val="none"/>
        </w:rPr>
      </w:pPr>
      <w:r>
        <w:rPr>
          <w:rFonts w:hint="eastAsia" w:ascii="宋体" w:hAnsi="宋体" w:cs="宋体"/>
          <w:color w:val="auto"/>
          <w:sz w:val="24"/>
          <w:highlight w:val="none"/>
        </w:rPr>
        <w:t>工期总日历天数：</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天。工期总日历天数与根据前述计划开竣工日期计算的工期天数不一致的，以工期总日历天数为准。</w:t>
      </w:r>
    </w:p>
    <w:p w14:paraId="2DF57B7B">
      <w:pPr>
        <w:spacing w:line="460" w:lineRule="atLeast"/>
        <w:rPr>
          <w:rFonts w:ascii="宋体" w:hAnsi="宋体" w:cs="宋体"/>
          <w:b/>
          <w:bCs/>
          <w:color w:val="auto"/>
          <w:sz w:val="24"/>
          <w:highlight w:val="none"/>
        </w:rPr>
      </w:pPr>
      <w:bookmarkStart w:id="203" w:name="_Toc31430"/>
      <w:r>
        <w:rPr>
          <w:rFonts w:hint="eastAsia" w:ascii="宋体" w:hAnsi="宋体" w:cs="宋体"/>
          <w:b/>
          <w:bCs/>
          <w:color w:val="auto"/>
          <w:sz w:val="24"/>
          <w:highlight w:val="none"/>
        </w:rPr>
        <w:t>三、质量标准</w:t>
      </w:r>
      <w:bookmarkEnd w:id="203"/>
    </w:p>
    <w:p w14:paraId="3BDB31BD">
      <w:pPr>
        <w:spacing w:line="460" w:lineRule="atLeast"/>
        <w:ind w:firstLine="459"/>
        <w:rPr>
          <w:rFonts w:ascii="宋体" w:hAnsi="宋体" w:cs="宋体"/>
          <w:color w:val="auto"/>
          <w:sz w:val="24"/>
          <w:highlight w:val="none"/>
        </w:rPr>
      </w:pPr>
      <w:r>
        <w:rPr>
          <w:rFonts w:hint="eastAsia" w:ascii="宋体" w:hAnsi="宋体" w:cs="宋体"/>
          <w:color w:val="auto"/>
          <w:sz w:val="24"/>
          <w:highlight w:val="none"/>
        </w:rPr>
        <w:t>工程质量符合</w:t>
      </w:r>
      <w:r>
        <w:rPr>
          <w:rFonts w:hint="eastAsia" w:ascii="宋体" w:hAnsi="宋体" w:cs="宋体"/>
          <w:color w:val="auto"/>
          <w:sz w:val="24"/>
          <w:highlight w:val="none"/>
          <w:u w:val="single"/>
        </w:rPr>
        <w:t>国家施工验收规范合格</w:t>
      </w:r>
      <w:r>
        <w:rPr>
          <w:rFonts w:hint="eastAsia" w:ascii="宋体" w:hAnsi="宋体" w:cs="宋体"/>
          <w:color w:val="auto"/>
          <w:sz w:val="24"/>
          <w:highlight w:val="none"/>
        </w:rPr>
        <w:t>标准。</w:t>
      </w:r>
    </w:p>
    <w:p w14:paraId="3CA41E58">
      <w:pPr>
        <w:spacing w:line="460" w:lineRule="atLeast"/>
        <w:rPr>
          <w:rFonts w:ascii="宋体" w:hAnsi="宋体" w:cs="宋体"/>
          <w:b/>
          <w:bCs/>
          <w:color w:val="auto"/>
          <w:sz w:val="24"/>
          <w:highlight w:val="none"/>
        </w:rPr>
      </w:pPr>
      <w:bookmarkStart w:id="204" w:name="_Toc25239"/>
      <w:r>
        <w:rPr>
          <w:rFonts w:hint="eastAsia" w:ascii="宋体" w:hAnsi="宋体" w:cs="宋体"/>
          <w:b/>
          <w:bCs/>
          <w:color w:val="auto"/>
          <w:sz w:val="24"/>
          <w:highlight w:val="none"/>
        </w:rPr>
        <w:t>四、签约合同价与合同价格形式</w:t>
      </w:r>
      <w:bookmarkEnd w:id="204"/>
    </w:p>
    <w:p w14:paraId="5789D6F8">
      <w:pPr>
        <w:spacing w:line="460" w:lineRule="atLeast"/>
        <w:ind w:firstLine="459"/>
        <w:rPr>
          <w:rFonts w:ascii="宋体" w:hAnsi="宋体" w:cs="宋体"/>
          <w:color w:val="auto"/>
          <w:sz w:val="24"/>
          <w:highlight w:val="none"/>
        </w:rPr>
      </w:pPr>
      <w:r>
        <w:rPr>
          <w:rFonts w:hint="eastAsia" w:ascii="宋体" w:hAnsi="宋体" w:cs="宋体"/>
          <w:color w:val="auto"/>
          <w:sz w:val="24"/>
          <w:highlight w:val="none"/>
        </w:rPr>
        <w:t>1. 签约合同价为：</w:t>
      </w:r>
    </w:p>
    <w:p w14:paraId="5B9C5DE3">
      <w:pPr>
        <w:spacing w:line="460" w:lineRule="atLeast"/>
        <w:ind w:firstLine="600" w:firstLineChars="250"/>
        <w:rPr>
          <w:rFonts w:ascii="宋体" w:hAnsi="宋体" w:cs="宋体"/>
          <w:color w:val="auto"/>
          <w:sz w:val="24"/>
          <w:highlight w:val="none"/>
        </w:rPr>
      </w:pPr>
      <w:r>
        <w:rPr>
          <w:rFonts w:hint="eastAsia" w:ascii="宋体" w:hAnsi="宋体" w:cs="宋体"/>
          <w:color w:val="auto"/>
          <w:sz w:val="24"/>
          <w:highlight w:val="none"/>
        </w:rPr>
        <w:t>人民币（大写）</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元）；</w:t>
      </w:r>
    </w:p>
    <w:p w14:paraId="28EF924D">
      <w:pPr>
        <w:spacing w:line="460" w:lineRule="atLeast"/>
        <w:ind w:firstLine="600" w:firstLineChars="250"/>
        <w:rPr>
          <w:rFonts w:ascii="宋体" w:hAnsi="宋体" w:cs="宋体"/>
          <w:color w:val="auto"/>
          <w:sz w:val="24"/>
          <w:highlight w:val="none"/>
        </w:rPr>
      </w:pPr>
      <w:r>
        <w:rPr>
          <w:rFonts w:hint="eastAsia" w:ascii="宋体" w:hAnsi="宋体" w:cs="宋体"/>
          <w:color w:val="auto"/>
          <w:sz w:val="24"/>
          <w:highlight w:val="none"/>
        </w:rPr>
        <w:t>其中：</w:t>
      </w:r>
    </w:p>
    <w:p w14:paraId="68DE1C5B">
      <w:pPr>
        <w:spacing w:line="460" w:lineRule="atLeast"/>
        <w:ind w:firstLine="480" w:firstLineChars="200"/>
        <w:rPr>
          <w:rFonts w:ascii="宋体" w:hAnsi="宋体" w:cs="宋体"/>
          <w:color w:val="auto"/>
          <w:sz w:val="24"/>
          <w:highlight w:val="none"/>
        </w:rPr>
      </w:pPr>
      <w:r>
        <w:rPr>
          <w:rFonts w:hint="eastAsia" w:ascii="宋体" w:hAnsi="宋体" w:cs="宋体"/>
          <w:color w:val="auto"/>
          <w:sz w:val="24"/>
          <w:highlight w:val="none"/>
        </w:rPr>
        <w:t>（1）安全文明施工费：</w:t>
      </w:r>
    </w:p>
    <w:p w14:paraId="29507F4E">
      <w:pPr>
        <w:spacing w:line="460" w:lineRule="atLeast"/>
        <w:ind w:left="420" w:leftChars="200" w:firstLine="600" w:firstLineChars="250"/>
        <w:rPr>
          <w:rFonts w:ascii="宋体" w:hAnsi="宋体" w:cs="宋体"/>
          <w:color w:val="auto"/>
          <w:sz w:val="24"/>
          <w:highlight w:val="none"/>
        </w:rPr>
      </w:pPr>
      <w:r>
        <w:rPr>
          <w:rFonts w:hint="eastAsia" w:ascii="宋体" w:hAnsi="宋体" w:cs="宋体"/>
          <w:color w:val="auto"/>
          <w:sz w:val="24"/>
          <w:highlight w:val="none"/>
        </w:rPr>
        <w:t>人民币（大写）</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元）；</w:t>
      </w:r>
    </w:p>
    <w:p w14:paraId="76E707CC">
      <w:pPr>
        <w:spacing w:line="460" w:lineRule="atLeast"/>
        <w:ind w:firstLine="480" w:firstLineChars="200"/>
        <w:rPr>
          <w:rFonts w:ascii="宋体" w:hAnsi="宋体" w:cs="宋体"/>
          <w:color w:val="auto"/>
          <w:sz w:val="24"/>
          <w:highlight w:val="none"/>
        </w:rPr>
      </w:pPr>
      <w:r>
        <w:rPr>
          <w:rFonts w:hint="eastAsia" w:ascii="宋体" w:hAnsi="宋体" w:cs="宋体"/>
          <w:color w:val="auto"/>
          <w:sz w:val="24"/>
          <w:highlight w:val="none"/>
        </w:rPr>
        <w:t>（2）材料和工程设备暂估价金额：</w:t>
      </w:r>
    </w:p>
    <w:p w14:paraId="11ED6D49">
      <w:pPr>
        <w:spacing w:line="460" w:lineRule="atLeast"/>
        <w:ind w:firstLine="1080" w:firstLineChars="450"/>
        <w:rPr>
          <w:rFonts w:ascii="宋体" w:hAnsi="宋体" w:cs="宋体"/>
          <w:color w:val="auto"/>
          <w:sz w:val="24"/>
          <w:highlight w:val="none"/>
        </w:rPr>
      </w:pPr>
      <w:r>
        <w:rPr>
          <w:rFonts w:hint="eastAsia" w:ascii="宋体" w:hAnsi="宋体" w:cs="宋体"/>
          <w:color w:val="auto"/>
          <w:sz w:val="24"/>
          <w:highlight w:val="none"/>
        </w:rPr>
        <w:t>人民币（大写）</w:t>
      </w:r>
      <w:r>
        <w:rPr>
          <w:rFonts w:hint="eastAsia" w:ascii="宋体" w:hAnsi="宋体" w:cs="宋体"/>
          <w:color w:val="auto"/>
          <w:sz w:val="24"/>
          <w:highlight w:val="none"/>
          <w:u w:val="single"/>
        </w:rPr>
        <w:t xml:space="preserve">       /       </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       </w:t>
      </w:r>
      <w:r>
        <w:rPr>
          <w:rFonts w:hint="eastAsia" w:ascii="宋体" w:hAnsi="宋体" w:cs="宋体"/>
          <w:color w:val="auto"/>
          <w:sz w:val="24"/>
          <w:highlight w:val="none"/>
        </w:rPr>
        <w:t>元）；</w:t>
      </w:r>
    </w:p>
    <w:p w14:paraId="0B8E8FD0">
      <w:pPr>
        <w:spacing w:line="460" w:lineRule="atLeast"/>
        <w:ind w:firstLine="480" w:firstLineChars="200"/>
        <w:rPr>
          <w:rFonts w:ascii="宋体" w:hAnsi="宋体" w:cs="宋体"/>
          <w:color w:val="auto"/>
          <w:sz w:val="24"/>
          <w:highlight w:val="none"/>
        </w:rPr>
      </w:pPr>
      <w:r>
        <w:rPr>
          <w:rFonts w:hint="eastAsia" w:ascii="宋体" w:hAnsi="宋体" w:cs="宋体"/>
          <w:color w:val="auto"/>
          <w:sz w:val="24"/>
          <w:highlight w:val="none"/>
        </w:rPr>
        <w:t>（3）专业工程暂估价金额：</w:t>
      </w:r>
    </w:p>
    <w:p w14:paraId="5CC6A489">
      <w:pPr>
        <w:spacing w:line="460" w:lineRule="atLeast"/>
        <w:ind w:firstLine="1080" w:firstLineChars="450"/>
        <w:rPr>
          <w:rFonts w:ascii="宋体" w:hAnsi="宋体" w:cs="宋体"/>
          <w:color w:val="auto"/>
          <w:sz w:val="24"/>
          <w:highlight w:val="none"/>
        </w:rPr>
      </w:pPr>
      <w:r>
        <w:rPr>
          <w:rFonts w:hint="eastAsia" w:ascii="宋体" w:hAnsi="宋体" w:cs="宋体"/>
          <w:color w:val="auto"/>
          <w:sz w:val="24"/>
          <w:highlight w:val="none"/>
        </w:rPr>
        <w:t>人民币（大写）</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元）；</w:t>
      </w:r>
    </w:p>
    <w:p w14:paraId="63CD326E">
      <w:pPr>
        <w:spacing w:line="460" w:lineRule="atLeast"/>
        <w:ind w:firstLine="480" w:firstLineChars="200"/>
        <w:rPr>
          <w:rFonts w:ascii="宋体" w:hAnsi="宋体" w:cs="宋体"/>
          <w:color w:val="auto"/>
          <w:sz w:val="24"/>
          <w:highlight w:val="none"/>
        </w:rPr>
      </w:pPr>
      <w:r>
        <w:rPr>
          <w:rFonts w:hint="eastAsia" w:ascii="宋体" w:hAnsi="宋体" w:cs="宋体"/>
          <w:color w:val="auto"/>
          <w:sz w:val="24"/>
          <w:highlight w:val="none"/>
        </w:rPr>
        <w:t>（4）暂列金额：</w:t>
      </w:r>
    </w:p>
    <w:p w14:paraId="038CBBA7">
      <w:pPr>
        <w:spacing w:line="460" w:lineRule="atLeast"/>
        <w:ind w:firstLine="1080" w:firstLineChars="450"/>
        <w:rPr>
          <w:rFonts w:ascii="宋体" w:hAnsi="宋体" w:cs="宋体"/>
          <w:color w:val="auto"/>
          <w:sz w:val="24"/>
          <w:highlight w:val="none"/>
        </w:rPr>
      </w:pPr>
      <w:r>
        <w:rPr>
          <w:rFonts w:hint="eastAsia" w:ascii="宋体" w:hAnsi="宋体" w:cs="宋体"/>
          <w:color w:val="auto"/>
          <w:sz w:val="24"/>
          <w:highlight w:val="none"/>
        </w:rPr>
        <w:t>人民币（大写）</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元）。</w:t>
      </w:r>
    </w:p>
    <w:p w14:paraId="0934E55A">
      <w:pPr>
        <w:spacing w:line="460" w:lineRule="atLeast"/>
        <w:ind w:firstLine="480" w:firstLineChars="200"/>
        <w:rPr>
          <w:rFonts w:ascii="宋体" w:hAnsi="宋体" w:cs="宋体"/>
          <w:color w:val="auto"/>
          <w:sz w:val="24"/>
          <w:highlight w:val="none"/>
        </w:rPr>
      </w:pPr>
      <w:r>
        <w:rPr>
          <w:rFonts w:hint="eastAsia" w:ascii="宋体" w:hAnsi="宋体" w:cs="宋体"/>
          <w:color w:val="auto"/>
          <w:sz w:val="24"/>
          <w:highlight w:val="none"/>
        </w:rPr>
        <w:t>2. 合同价格形式：</w:t>
      </w:r>
      <w:r>
        <w:rPr>
          <w:rFonts w:hint="eastAsia" w:ascii="宋体" w:hAnsi="宋体" w:eastAsia="宋体" w:cs="宋体"/>
          <w:color w:val="auto"/>
          <w:sz w:val="24"/>
          <w:highlight w:val="none"/>
          <w:u w:val="single"/>
          <w:lang w:val="en-US" w:eastAsia="zh-CN"/>
        </w:rPr>
        <w:t>固定综合</w:t>
      </w:r>
      <w:r>
        <w:rPr>
          <w:rFonts w:hint="eastAsia" w:ascii="宋体" w:hAnsi="宋体" w:eastAsia="宋体" w:cs="宋体"/>
          <w:color w:val="auto"/>
          <w:sz w:val="24"/>
          <w:highlight w:val="none"/>
          <w:u w:val="single"/>
        </w:rPr>
        <w:t>单价合同</w:t>
      </w:r>
      <w:r>
        <w:rPr>
          <w:rFonts w:hint="eastAsia" w:ascii="宋体" w:hAnsi="宋体" w:cs="宋体"/>
          <w:color w:val="auto"/>
          <w:sz w:val="24"/>
          <w:highlight w:val="none"/>
        </w:rPr>
        <w:t>。</w:t>
      </w:r>
    </w:p>
    <w:p w14:paraId="70D9498B">
      <w:pPr>
        <w:spacing w:line="460" w:lineRule="atLeast"/>
        <w:rPr>
          <w:rFonts w:ascii="宋体" w:hAnsi="宋体" w:cs="宋体"/>
          <w:b/>
          <w:bCs/>
          <w:color w:val="auto"/>
          <w:sz w:val="24"/>
          <w:highlight w:val="none"/>
        </w:rPr>
      </w:pPr>
      <w:bookmarkStart w:id="205" w:name="_Toc7063"/>
      <w:r>
        <w:rPr>
          <w:rFonts w:hint="eastAsia" w:ascii="宋体" w:hAnsi="宋体" w:cs="宋体"/>
          <w:b/>
          <w:bCs/>
          <w:color w:val="auto"/>
          <w:sz w:val="24"/>
          <w:highlight w:val="none"/>
        </w:rPr>
        <w:t>五、项目经理</w:t>
      </w:r>
      <w:bookmarkEnd w:id="205"/>
    </w:p>
    <w:p w14:paraId="78D5BA26">
      <w:pPr>
        <w:spacing w:line="460" w:lineRule="atLeast"/>
        <w:ind w:firstLine="480" w:firstLineChars="200"/>
        <w:rPr>
          <w:rFonts w:ascii="宋体" w:hAnsi="宋体" w:cs="宋体"/>
          <w:color w:val="auto"/>
          <w:sz w:val="24"/>
          <w:highlight w:val="none"/>
        </w:rPr>
      </w:pPr>
      <w:r>
        <w:rPr>
          <w:rFonts w:hint="eastAsia" w:ascii="宋体" w:hAnsi="宋体" w:cs="宋体"/>
          <w:color w:val="auto"/>
          <w:sz w:val="24"/>
          <w:highlight w:val="none"/>
        </w:rPr>
        <w:t>承包人项目经理：</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w:t>
      </w:r>
    </w:p>
    <w:p w14:paraId="0EA4929E">
      <w:pPr>
        <w:spacing w:line="460" w:lineRule="atLeast"/>
        <w:rPr>
          <w:rFonts w:ascii="宋体" w:hAnsi="宋体" w:cs="宋体"/>
          <w:b/>
          <w:bCs/>
          <w:color w:val="auto"/>
          <w:sz w:val="24"/>
          <w:highlight w:val="none"/>
        </w:rPr>
      </w:pPr>
      <w:bookmarkStart w:id="206" w:name="_Toc21802"/>
      <w:r>
        <w:rPr>
          <w:rFonts w:hint="eastAsia" w:ascii="宋体" w:hAnsi="宋体" w:cs="宋体"/>
          <w:b/>
          <w:bCs/>
          <w:color w:val="auto"/>
          <w:sz w:val="24"/>
          <w:highlight w:val="none"/>
        </w:rPr>
        <w:t>六、合同文件构成</w:t>
      </w:r>
      <w:bookmarkEnd w:id="206"/>
    </w:p>
    <w:p w14:paraId="5CA4E24E">
      <w:pPr>
        <w:spacing w:line="460" w:lineRule="atLeast"/>
        <w:ind w:firstLine="480" w:firstLineChars="200"/>
        <w:rPr>
          <w:rFonts w:ascii="宋体" w:hAnsi="宋体" w:cs="宋体"/>
          <w:color w:val="auto"/>
          <w:sz w:val="24"/>
          <w:highlight w:val="none"/>
        </w:rPr>
      </w:pPr>
      <w:r>
        <w:rPr>
          <w:rFonts w:hint="eastAsia" w:ascii="宋体" w:hAnsi="宋体" w:cs="宋体"/>
          <w:color w:val="auto"/>
          <w:sz w:val="24"/>
          <w:highlight w:val="none"/>
        </w:rPr>
        <w:t>本协议书与下列文件一起构成合同文件：</w:t>
      </w:r>
    </w:p>
    <w:p w14:paraId="39F0F6A3">
      <w:pPr>
        <w:autoSpaceDE w:val="0"/>
        <w:autoSpaceDN w:val="0"/>
        <w:adjustRightInd w:val="0"/>
        <w:spacing w:line="460" w:lineRule="atLeast"/>
        <w:ind w:firstLine="480" w:firstLineChars="200"/>
        <w:jc w:val="left"/>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成交</w:t>
      </w:r>
      <w:r>
        <w:rPr>
          <w:rFonts w:hint="eastAsia" w:ascii="宋体" w:hAnsi="宋体" w:cs="宋体"/>
          <w:color w:val="auto"/>
          <w:sz w:val="24"/>
          <w:highlight w:val="none"/>
        </w:rPr>
        <w:t>通知书；</w:t>
      </w:r>
    </w:p>
    <w:p w14:paraId="2881337F">
      <w:pPr>
        <w:autoSpaceDE w:val="0"/>
        <w:autoSpaceDN w:val="0"/>
        <w:adjustRightInd w:val="0"/>
        <w:spacing w:line="460" w:lineRule="atLeast"/>
        <w:ind w:firstLine="480" w:firstLineChars="200"/>
        <w:jc w:val="left"/>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lang w:val="en-US" w:eastAsia="zh-CN"/>
        </w:rPr>
        <w:t>响应</w:t>
      </w:r>
      <w:r>
        <w:rPr>
          <w:rFonts w:hint="eastAsia" w:ascii="宋体" w:hAnsi="宋体" w:cs="宋体"/>
          <w:color w:val="auto"/>
          <w:sz w:val="24"/>
          <w:highlight w:val="none"/>
        </w:rPr>
        <w:t>函</w:t>
      </w:r>
      <w:r>
        <w:rPr>
          <w:rFonts w:hint="eastAsia" w:ascii="宋体" w:hAnsi="宋体" w:eastAsia="宋体" w:cs="宋体"/>
          <w:color w:val="auto"/>
          <w:sz w:val="24"/>
          <w:highlight w:val="none"/>
          <w:lang w:val="en-US" w:eastAsia="zh-CN"/>
        </w:rPr>
        <w:t>及响应报价表</w:t>
      </w:r>
      <w:r>
        <w:rPr>
          <w:rFonts w:hint="eastAsia" w:ascii="宋体" w:hAnsi="宋体" w:cs="宋体"/>
          <w:color w:val="auto"/>
          <w:sz w:val="24"/>
          <w:highlight w:val="none"/>
        </w:rPr>
        <w:t xml:space="preserve">； </w:t>
      </w:r>
    </w:p>
    <w:p w14:paraId="08546FF8">
      <w:pPr>
        <w:autoSpaceDE w:val="0"/>
        <w:autoSpaceDN w:val="0"/>
        <w:adjustRightInd w:val="0"/>
        <w:spacing w:line="460" w:lineRule="atLeast"/>
        <w:ind w:firstLine="480" w:firstLineChars="200"/>
        <w:jc w:val="left"/>
        <w:rPr>
          <w:rFonts w:ascii="宋体" w:hAnsi="宋体" w:cs="宋体"/>
          <w:color w:val="auto"/>
          <w:sz w:val="24"/>
          <w:highlight w:val="none"/>
        </w:rPr>
      </w:pPr>
      <w:r>
        <w:rPr>
          <w:rFonts w:hint="eastAsia" w:ascii="宋体" w:hAnsi="宋体" w:cs="宋体"/>
          <w:color w:val="auto"/>
          <w:sz w:val="24"/>
          <w:highlight w:val="none"/>
        </w:rPr>
        <w:t>（3）专用合同条款及其附件；</w:t>
      </w:r>
    </w:p>
    <w:p w14:paraId="7F15723A">
      <w:pPr>
        <w:autoSpaceDE w:val="0"/>
        <w:autoSpaceDN w:val="0"/>
        <w:adjustRightInd w:val="0"/>
        <w:spacing w:line="460" w:lineRule="atLeast"/>
        <w:ind w:firstLine="480" w:firstLineChars="200"/>
        <w:jc w:val="left"/>
        <w:rPr>
          <w:rFonts w:ascii="宋体" w:hAnsi="宋体" w:cs="宋体"/>
          <w:color w:val="auto"/>
          <w:sz w:val="24"/>
          <w:highlight w:val="none"/>
        </w:rPr>
      </w:pPr>
      <w:r>
        <w:rPr>
          <w:rFonts w:hint="eastAsia" w:ascii="宋体" w:hAnsi="宋体" w:cs="宋体"/>
          <w:color w:val="auto"/>
          <w:sz w:val="24"/>
          <w:highlight w:val="none"/>
        </w:rPr>
        <w:t>（4）通用合同条款；</w:t>
      </w:r>
    </w:p>
    <w:p w14:paraId="7DAC3588">
      <w:pPr>
        <w:autoSpaceDE w:val="0"/>
        <w:autoSpaceDN w:val="0"/>
        <w:adjustRightInd w:val="0"/>
        <w:spacing w:line="460" w:lineRule="atLeast"/>
        <w:ind w:firstLine="480" w:firstLineChars="200"/>
        <w:jc w:val="left"/>
        <w:rPr>
          <w:rFonts w:ascii="宋体" w:hAnsi="宋体" w:cs="宋体"/>
          <w:color w:val="auto"/>
          <w:sz w:val="24"/>
          <w:highlight w:val="none"/>
        </w:rPr>
      </w:pPr>
      <w:r>
        <w:rPr>
          <w:rFonts w:hint="eastAsia" w:ascii="宋体" w:hAnsi="宋体" w:cs="宋体"/>
          <w:color w:val="auto"/>
          <w:sz w:val="24"/>
          <w:highlight w:val="none"/>
        </w:rPr>
        <w:t>（5）技术标准和要求；</w:t>
      </w:r>
    </w:p>
    <w:p w14:paraId="4A4B995D">
      <w:pPr>
        <w:autoSpaceDE w:val="0"/>
        <w:autoSpaceDN w:val="0"/>
        <w:adjustRightInd w:val="0"/>
        <w:spacing w:line="460" w:lineRule="atLeast"/>
        <w:ind w:firstLine="480" w:firstLineChars="200"/>
        <w:jc w:val="left"/>
        <w:rPr>
          <w:rFonts w:ascii="宋体" w:hAnsi="宋体" w:cs="宋体"/>
          <w:color w:val="auto"/>
          <w:sz w:val="24"/>
          <w:highlight w:val="none"/>
        </w:rPr>
      </w:pPr>
      <w:r>
        <w:rPr>
          <w:rFonts w:hint="eastAsia" w:ascii="宋体" w:hAnsi="宋体" w:cs="宋体"/>
          <w:color w:val="auto"/>
          <w:sz w:val="24"/>
          <w:highlight w:val="none"/>
        </w:rPr>
        <w:t xml:space="preserve">（6）已标价工程量清单或预算书； </w:t>
      </w:r>
    </w:p>
    <w:p w14:paraId="02B57EEA">
      <w:pPr>
        <w:autoSpaceDE w:val="0"/>
        <w:autoSpaceDN w:val="0"/>
        <w:adjustRightInd w:val="0"/>
        <w:spacing w:line="460" w:lineRule="atLeast"/>
        <w:ind w:firstLine="480" w:firstLineChars="200"/>
        <w:jc w:val="left"/>
        <w:rPr>
          <w:rFonts w:ascii="宋体" w:hAnsi="宋体" w:cs="宋体"/>
          <w:color w:val="auto"/>
          <w:sz w:val="24"/>
          <w:highlight w:val="none"/>
        </w:rPr>
      </w:pPr>
      <w:r>
        <w:rPr>
          <w:rFonts w:hint="eastAsia" w:ascii="宋体" w:hAnsi="宋体" w:cs="宋体"/>
          <w:color w:val="auto"/>
          <w:sz w:val="24"/>
          <w:highlight w:val="none"/>
        </w:rPr>
        <w:t>（7）图纸；</w:t>
      </w:r>
    </w:p>
    <w:p w14:paraId="2C60ED17">
      <w:pPr>
        <w:autoSpaceDE w:val="0"/>
        <w:autoSpaceDN w:val="0"/>
        <w:adjustRightInd w:val="0"/>
        <w:spacing w:line="460" w:lineRule="atLeast"/>
        <w:ind w:firstLine="480" w:firstLineChars="200"/>
        <w:jc w:val="left"/>
        <w:rPr>
          <w:rFonts w:ascii="宋体" w:hAnsi="宋体" w:cs="宋体"/>
          <w:color w:val="auto"/>
          <w:sz w:val="24"/>
          <w:highlight w:val="none"/>
        </w:rPr>
      </w:pPr>
      <w:r>
        <w:rPr>
          <w:rFonts w:hint="eastAsia" w:ascii="宋体" w:hAnsi="宋体" w:cs="宋体"/>
          <w:color w:val="auto"/>
          <w:sz w:val="24"/>
          <w:highlight w:val="none"/>
        </w:rPr>
        <w:t>（8）其他合同文件：</w:t>
      </w:r>
    </w:p>
    <w:p w14:paraId="1B3F1666">
      <w:pPr>
        <w:autoSpaceDE w:val="0"/>
        <w:autoSpaceDN w:val="0"/>
        <w:adjustRightInd w:val="0"/>
        <w:spacing w:line="460" w:lineRule="atLeast"/>
        <w:ind w:firstLine="480" w:firstLineChars="200"/>
        <w:jc w:val="left"/>
        <w:rPr>
          <w:rFonts w:ascii="宋体" w:hAnsi="宋体" w:cs="宋体"/>
          <w:color w:val="auto"/>
          <w:sz w:val="24"/>
          <w:highlight w:val="none"/>
        </w:rPr>
      </w:pPr>
      <w:r>
        <w:rPr>
          <w:rFonts w:hint="eastAsia" w:ascii="宋体" w:hAnsi="宋体" w:cs="宋体"/>
          <w:color w:val="auto"/>
          <w:sz w:val="24"/>
          <w:highlight w:val="none"/>
        </w:rPr>
        <w:t>招标文件及附件（含所有补充通知）；</w:t>
      </w:r>
    </w:p>
    <w:p w14:paraId="20957852">
      <w:pPr>
        <w:autoSpaceDE w:val="0"/>
        <w:autoSpaceDN w:val="0"/>
        <w:adjustRightInd w:val="0"/>
        <w:spacing w:line="460" w:lineRule="atLeast"/>
        <w:ind w:firstLine="480" w:firstLineChars="200"/>
        <w:jc w:val="left"/>
        <w:rPr>
          <w:rFonts w:ascii="宋体" w:hAnsi="宋体" w:cs="宋体"/>
          <w:color w:val="auto"/>
          <w:sz w:val="24"/>
          <w:highlight w:val="none"/>
        </w:rPr>
      </w:pPr>
      <w:r>
        <w:rPr>
          <w:rFonts w:hint="eastAsia" w:ascii="宋体" w:hAnsi="宋体" w:cs="宋体"/>
          <w:color w:val="auto"/>
          <w:sz w:val="24"/>
          <w:highlight w:val="none"/>
        </w:rPr>
        <w:t>在合同订立及履行过程中形成的与合同有关的文件均构成合同文件组成部分。</w:t>
      </w:r>
    </w:p>
    <w:p w14:paraId="4FCD432B">
      <w:pPr>
        <w:autoSpaceDE w:val="0"/>
        <w:autoSpaceDN w:val="0"/>
        <w:adjustRightInd w:val="0"/>
        <w:spacing w:line="460" w:lineRule="atLeast"/>
        <w:ind w:firstLine="480" w:firstLineChars="200"/>
        <w:jc w:val="left"/>
        <w:rPr>
          <w:rFonts w:ascii="宋体" w:hAnsi="宋体" w:cs="宋体"/>
          <w:color w:val="auto"/>
          <w:sz w:val="24"/>
          <w:highlight w:val="none"/>
        </w:rPr>
      </w:pPr>
      <w:r>
        <w:rPr>
          <w:rFonts w:hint="eastAsia" w:ascii="宋体" w:hAnsi="宋体" w:cs="宋体"/>
          <w:color w:val="auto"/>
          <w:sz w:val="24"/>
          <w:highlight w:val="none"/>
        </w:rPr>
        <w:t>上述各项合同文件包括合同当事人就该项合同文件所作出的补充和修改，属于同一类内容的文件，应以最新签署的为准。专用合同条款及其附件须经合同当事人签字或盖章。</w:t>
      </w:r>
    </w:p>
    <w:p w14:paraId="549FF22D">
      <w:pPr>
        <w:spacing w:line="460" w:lineRule="atLeast"/>
        <w:rPr>
          <w:rFonts w:ascii="宋体" w:hAnsi="宋体" w:cs="宋体"/>
          <w:b/>
          <w:bCs/>
          <w:color w:val="auto"/>
          <w:sz w:val="24"/>
          <w:highlight w:val="none"/>
        </w:rPr>
      </w:pPr>
      <w:bookmarkStart w:id="207" w:name="_Toc6379"/>
      <w:r>
        <w:rPr>
          <w:rFonts w:hint="eastAsia" w:ascii="宋体" w:hAnsi="宋体" w:cs="宋体"/>
          <w:b/>
          <w:bCs/>
          <w:color w:val="auto"/>
          <w:sz w:val="24"/>
          <w:highlight w:val="none"/>
        </w:rPr>
        <w:t>七、承诺</w:t>
      </w:r>
      <w:bookmarkEnd w:id="207"/>
    </w:p>
    <w:p w14:paraId="36805C66">
      <w:pPr>
        <w:spacing w:line="460" w:lineRule="atLeast"/>
        <w:ind w:firstLine="480" w:firstLineChars="200"/>
        <w:rPr>
          <w:rFonts w:ascii="宋体" w:hAnsi="宋体" w:cs="宋体"/>
          <w:color w:val="auto"/>
          <w:sz w:val="24"/>
          <w:highlight w:val="none"/>
        </w:rPr>
      </w:pPr>
      <w:r>
        <w:rPr>
          <w:rFonts w:hint="eastAsia" w:ascii="宋体" w:hAnsi="宋体" w:cs="宋体"/>
          <w:color w:val="auto"/>
          <w:sz w:val="24"/>
          <w:highlight w:val="none"/>
        </w:rPr>
        <w:t>1. 发包人承诺按照法律规定履行项目审批手续、筹集工程建设资金并按照合同约定的期限和方式支付合同价款。</w:t>
      </w:r>
    </w:p>
    <w:p w14:paraId="3797D3A5">
      <w:pPr>
        <w:spacing w:line="460" w:lineRule="atLeast"/>
        <w:ind w:firstLine="480" w:firstLineChars="200"/>
        <w:rPr>
          <w:rFonts w:ascii="宋体" w:hAnsi="宋体" w:cs="宋体"/>
          <w:color w:val="auto"/>
          <w:sz w:val="24"/>
          <w:highlight w:val="none"/>
        </w:rPr>
      </w:pPr>
      <w:r>
        <w:rPr>
          <w:rFonts w:hint="eastAsia" w:ascii="宋体" w:hAnsi="宋体" w:cs="宋体"/>
          <w:color w:val="auto"/>
          <w:sz w:val="24"/>
          <w:highlight w:val="none"/>
        </w:rPr>
        <w:t>2. 承包人承诺按照法律规定及合同约定组织完成工程施工，确保工程质量和安全，不进行转包及违法分包，并在缺陷责任期及保修期内承担相应的工程维修责任。</w:t>
      </w:r>
    </w:p>
    <w:p w14:paraId="38A8A749">
      <w:pPr>
        <w:spacing w:line="460" w:lineRule="atLeast"/>
        <w:ind w:firstLine="480" w:firstLineChars="200"/>
        <w:rPr>
          <w:rFonts w:ascii="宋体" w:hAnsi="宋体" w:cs="宋体"/>
          <w:color w:val="auto"/>
          <w:sz w:val="24"/>
          <w:highlight w:val="none"/>
        </w:rPr>
      </w:pPr>
      <w:r>
        <w:rPr>
          <w:rFonts w:hint="eastAsia" w:ascii="宋体" w:hAnsi="宋体" w:cs="宋体"/>
          <w:color w:val="auto"/>
          <w:sz w:val="24"/>
          <w:highlight w:val="none"/>
        </w:rPr>
        <w:t>3. 发包人和承包人通过招投标形式签订合同的，双方理解并承诺不再就同一工程另行签订与合同实质性内容相背离的协议。</w:t>
      </w:r>
    </w:p>
    <w:p w14:paraId="6D2B4A63">
      <w:pPr>
        <w:spacing w:line="460" w:lineRule="atLeast"/>
        <w:rPr>
          <w:rFonts w:ascii="宋体" w:hAnsi="宋体" w:cs="宋体"/>
          <w:b/>
          <w:bCs/>
          <w:color w:val="auto"/>
          <w:sz w:val="24"/>
          <w:highlight w:val="none"/>
        </w:rPr>
      </w:pPr>
      <w:bookmarkStart w:id="208" w:name="_Toc25001"/>
      <w:r>
        <w:rPr>
          <w:rFonts w:hint="eastAsia" w:ascii="宋体" w:hAnsi="宋体" w:cs="宋体"/>
          <w:b/>
          <w:bCs/>
          <w:color w:val="auto"/>
          <w:sz w:val="24"/>
          <w:highlight w:val="none"/>
        </w:rPr>
        <w:t>八、词语含义</w:t>
      </w:r>
      <w:bookmarkEnd w:id="208"/>
    </w:p>
    <w:p w14:paraId="78F6F5CC">
      <w:pPr>
        <w:spacing w:line="460" w:lineRule="atLeast"/>
        <w:ind w:firstLine="480" w:firstLineChars="200"/>
        <w:rPr>
          <w:rFonts w:ascii="宋体" w:hAnsi="宋体" w:cs="宋体"/>
          <w:color w:val="auto"/>
          <w:sz w:val="24"/>
          <w:highlight w:val="none"/>
        </w:rPr>
      </w:pPr>
      <w:r>
        <w:rPr>
          <w:rFonts w:hint="eastAsia" w:ascii="宋体" w:hAnsi="宋体" w:cs="宋体"/>
          <w:color w:val="auto"/>
          <w:sz w:val="24"/>
          <w:highlight w:val="none"/>
        </w:rPr>
        <w:t>本协议书中词语含义与第二部分通用合同条款中赋予的含义相同。</w:t>
      </w:r>
    </w:p>
    <w:p w14:paraId="0A87DCC3">
      <w:pPr>
        <w:spacing w:line="460" w:lineRule="atLeast"/>
        <w:rPr>
          <w:rFonts w:ascii="宋体" w:hAnsi="宋体" w:cs="宋体"/>
          <w:b/>
          <w:bCs/>
          <w:color w:val="auto"/>
          <w:sz w:val="24"/>
          <w:highlight w:val="none"/>
        </w:rPr>
      </w:pPr>
      <w:bookmarkStart w:id="209" w:name="_Toc23327"/>
      <w:r>
        <w:rPr>
          <w:rFonts w:hint="eastAsia" w:ascii="宋体" w:hAnsi="宋体" w:cs="宋体"/>
          <w:b/>
          <w:bCs/>
          <w:color w:val="auto"/>
          <w:sz w:val="24"/>
          <w:highlight w:val="none"/>
        </w:rPr>
        <w:t>九、签订时间</w:t>
      </w:r>
      <w:bookmarkEnd w:id="209"/>
    </w:p>
    <w:p w14:paraId="5C221B30">
      <w:pPr>
        <w:spacing w:line="460" w:lineRule="atLeast"/>
        <w:ind w:firstLine="480" w:firstLineChars="200"/>
        <w:rPr>
          <w:rFonts w:ascii="宋体" w:hAnsi="宋体" w:cs="宋体"/>
          <w:color w:val="auto"/>
          <w:sz w:val="24"/>
          <w:highlight w:val="none"/>
        </w:rPr>
      </w:pPr>
      <w:r>
        <w:rPr>
          <w:rFonts w:hint="eastAsia" w:ascii="宋体" w:hAnsi="宋体" w:cs="宋体"/>
          <w:color w:val="auto"/>
          <w:sz w:val="24"/>
          <w:highlight w:val="none"/>
        </w:rPr>
        <w:t>本合同于</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日签订。</w:t>
      </w:r>
    </w:p>
    <w:p w14:paraId="2F23AFF7">
      <w:pPr>
        <w:spacing w:line="460" w:lineRule="atLeast"/>
        <w:rPr>
          <w:rFonts w:ascii="宋体" w:hAnsi="宋体" w:cs="宋体"/>
          <w:b/>
          <w:bCs/>
          <w:color w:val="auto"/>
          <w:sz w:val="24"/>
          <w:highlight w:val="none"/>
        </w:rPr>
      </w:pPr>
      <w:r>
        <w:rPr>
          <w:rFonts w:hint="eastAsia" w:ascii="宋体" w:hAnsi="宋体" w:cs="宋体"/>
          <w:b/>
          <w:bCs/>
          <w:color w:val="auto"/>
          <w:sz w:val="24"/>
          <w:highlight w:val="none"/>
        </w:rPr>
        <w:t>十、签订地点</w:t>
      </w:r>
    </w:p>
    <w:p w14:paraId="03E170C5">
      <w:pPr>
        <w:spacing w:line="460" w:lineRule="atLeast"/>
        <w:ind w:firstLine="480" w:firstLineChars="200"/>
        <w:rPr>
          <w:rFonts w:ascii="宋体" w:hAnsi="宋体" w:cs="宋体"/>
          <w:color w:val="auto"/>
          <w:sz w:val="24"/>
          <w:highlight w:val="none"/>
        </w:rPr>
      </w:pPr>
      <w:r>
        <w:rPr>
          <w:rFonts w:hint="eastAsia" w:ascii="宋体" w:hAnsi="宋体" w:cs="宋体"/>
          <w:color w:val="auto"/>
          <w:sz w:val="24"/>
          <w:highlight w:val="none"/>
        </w:rPr>
        <w:t>本合同在</w:t>
      </w:r>
      <w:r>
        <w:rPr>
          <w:rFonts w:hint="eastAsia" w:ascii="宋体" w:hAnsi="宋体" w:cs="宋体"/>
          <w:color w:val="auto"/>
          <w:sz w:val="24"/>
          <w:highlight w:val="none"/>
          <w:u w:val="single"/>
          <w:lang w:eastAsia="zh-CN"/>
        </w:rPr>
        <w:t>横州市马岭镇人民政府</w:t>
      </w:r>
      <w:r>
        <w:rPr>
          <w:rFonts w:hint="eastAsia" w:ascii="宋体" w:hAnsi="宋体" w:cs="宋体"/>
          <w:color w:val="auto"/>
          <w:sz w:val="24"/>
          <w:highlight w:val="none"/>
        </w:rPr>
        <w:t>签订。</w:t>
      </w:r>
    </w:p>
    <w:p w14:paraId="5DB7D6F8">
      <w:pPr>
        <w:spacing w:line="460" w:lineRule="atLeast"/>
        <w:rPr>
          <w:rFonts w:ascii="宋体" w:hAnsi="宋体" w:cs="宋体"/>
          <w:b/>
          <w:bCs/>
          <w:color w:val="auto"/>
          <w:sz w:val="24"/>
          <w:highlight w:val="none"/>
        </w:rPr>
      </w:pPr>
      <w:bookmarkStart w:id="210" w:name="_Toc21420"/>
      <w:r>
        <w:rPr>
          <w:rFonts w:hint="eastAsia" w:ascii="宋体" w:hAnsi="宋体" w:cs="宋体"/>
          <w:b/>
          <w:bCs/>
          <w:color w:val="auto"/>
          <w:sz w:val="24"/>
          <w:highlight w:val="none"/>
        </w:rPr>
        <w:t>十一、补充协议</w:t>
      </w:r>
      <w:bookmarkEnd w:id="210"/>
    </w:p>
    <w:p w14:paraId="6707B3CC">
      <w:pPr>
        <w:spacing w:line="460" w:lineRule="atLeast"/>
        <w:ind w:firstLine="480" w:firstLineChars="200"/>
        <w:rPr>
          <w:rFonts w:ascii="宋体" w:hAnsi="宋体" w:cs="宋体"/>
          <w:color w:val="auto"/>
          <w:sz w:val="24"/>
          <w:highlight w:val="none"/>
        </w:rPr>
      </w:pPr>
      <w:r>
        <w:rPr>
          <w:rFonts w:hint="eastAsia" w:ascii="宋体" w:hAnsi="宋体" w:cs="宋体"/>
          <w:color w:val="auto"/>
          <w:sz w:val="24"/>
          <w:highlight w:val="none"/>
        </w:rPr>
        <w:t>合同未尽事宜，合同当事人另行签订补充协议，补充协议是合同的组成部分。</w:t>
      </w:r>
    </w:p>
    <w:p w14:paraId="514DF2A2">
      <w:pPr>
        <w:spacing w:line="460" w:lineRule="atLeast"/>
        <w:rPr>
          <w:rFonts w:ascii="宋体" w:hAnsi="宋体" w:cs="宋体"/>
          <w:b/>
          <w:bCs/>
          <w:color w:val="auto"/>
          <w:sz w:val="24"/>
          <w:highlight w:val="none"/>
        </w:rPr>
      </w:pPr>
      <w:bookmarkStart w:id="211" w:name="_Toc7249"/>
      <w:r>
        <w:rPr>
          <w:rFonts w:hint="eastAsia" w:ascii="宋体" w:hAnsi="宋体" w:cs="宋体"/>
          <w:b/>
          <w:bCs/>
          <w:color w:val="auto"/>
          <w:sz w:val="24"/>
          <w:highlight w:val="none"/>
        </w:rPr>
        <w:t>十二、合同生效</w:t>
      </w:r>
      <w:bookmarkEnd w:id="211"/>
    </w:p>
    <w:p w14:paraId="52654A26">
      <w:pPr>
        <w:spacing w:line="460" w:lineRule="atLeast"/>
        <w:ind w:firstLine="480" w:firstLineChars="200"/>
        <w:rPr>
          <w:rFonts w:ascii="宋体" w:hAnsi="宋体" w:cs="宋体"/>
          <w:color w:val="auto"/>
          <w:sz w:val="24"/>
          <w:highlight w:val="none"/>
        </w:rPr>
      </w:pPr>
      <w:r>
        <w:rPr>
          <w:rFonts w:hint="eastAsia" w:ascii="宋体" w:hAnsi="宋体" w:cs="宋体"/>
          <w:color w:val="auto"/>
          <w:sz w:val="24"/>
          <w:highlight w:val="none"/>
        </w:rPr>
        <w:t>本合同自</w:t>
      </w:r>
      <w:r>
        <w:rPr>
          <w:rFonts w:hint="eastAsia" w:ascii="宋体" w:hAnsi="宋体" w:cs="宋体"/>
          <w:color w:val="auto"/>
          <w:sz w:val="24"/>
          <w:highlight w:val="none"/>
          <w:u w:val="single"/>
        </w:rPr>
        <w:t xml:space="preserve">双方法定代表人或授权委托代理人签字盖章后 </w:t>
      </w:r>
      <w:r>
        <w:rPr>
          <w:rFonts w:hint="eastAsia" w:ascii="宋体" w:hAnsi="宋体" w:cs="宋体"/>
          <w:color w:val="auto"/>
          <w:sz w:val="24"/>
          <w:highlight w:val="none"/>
        </w:rPr>
        <w:t>生效。</w:t>
      </w:r>
    </w:p>
    <w:p w14:paraId="18FC0005">
      <w:pPr>
        <w:spacing w:line="460" w:lineRule="atLeast"/>
        <w:rPr>
          <w:rFonts w:ascii="宋体" w:hAnsi="宋体" w:cs="宋体"/>
          <w:b/>
          <w:bCs/>
          <w:color w:val="auto"/>
          <w:sz w:val="24"/>
          <w:highlight w:val="none"/>
        </w:rPr>
      </w:pPr>
      <w:bookmarkStart w:id="212" w:name="_Toc6054"/>
      <w:r>
        <w:rPr>
          <w:rFonts w:hint="eastAsia" w:ascii="宋体" w:hAnsi="宋体" w:cs="宋体"/>
          <w:b/>
          <w:bCs/>
          <w:color w:val="auto"/>
          <w:sz w:val="24"/>
          <w:highlight w:val="none"/>
        </w:rPr>
        <w:t>十三、合同份数</w:t>
      </w:r>
      <w:bookmarkEnd w:id="212"/>
    </w:p>
    <w:p w14:paraId="1444B255">
      <w:pPr>
        <w:spacing w:line="460" w:lineRule="atLeast"/>
        <w:ind w:firstLine="480" w:firstLineChars="200"/>
        <w:rPr>
          <w:rFonts w:ascii="宋体" w:hAnsi="宋体" w:cs="宋体"/>
          <w:color w:val="auto"/>
          <w:sz w:val="24"/>
          <w:highlight w:val="none"/>
        </w:rPr>
      </w:pPr>
      <w:r>
        <w:rPr>
          <w:rFonts w:hint="eastAsia" w:ascii="宋体" w:hAnsi="宋体" w:cs="宋体"/>
          <w:color w:val="auto"/>
          <w:sz w:val="24"/>
          <w:highlight w:val="none"/>
        </w:rPr>
        <w:t>本合同一式</w:t>
      </w:r>
      <w:r>
        <w:rPr>
          <w:rFonts w:hint="eastAsia" w:ascii="宋体" w:hAnsi="宋体" w:cs="宋体"/>
          <w:color w:val="auto"/>
          <w:sz w:val="24"/>
          <w:highlight w:val="none"/>
          <w:u w:val="single"/>
        </w:rPr>
        <w:t>陆</w:t>
      </w:r>
      <w:r>
        <w:rPr>
          <w:rFonts w:hint="eastAsia" w:ascii="宋体" w:hAnsi="宋体" w:cs="宋体"/>
          <w:color w:val="auto"/>
          <w:sz w:val="24"/>
          <w:highlight w:val="none"/>
        </w:rPr>
        <w:t>份，均具有同等法律效力，发包人执</w:t>
      </w:r>
      <w:r>
        <w:rPr>
          <w:rFonts w:hint="eastAsia" w:ascii="宋体" w:hAnsi="宋体" w:cs="宋体"/>
          <w:color w:val="auto"/>
          <w:sz w:val="24"/>
          <w:highlight w:val="none"/>
          <w:u w:val="single"/>
        </w:rPr>
        <w:t>肆</w:t>
      </w:r>
      <w:r>
        <w:rPr>
          <w:rFonts w:hint="eastAsia" w:ascii="宋体" w:hAnsi="宋体" w:cs="宋体"/>
          <w:color w:val="auto"/>
          <w:sz w:val="24"/>
          <w:highlight w:val="none"/>
        </w:rPr>
        <w:t>份，承包人执</w:t>
      </w:r>
      <w:r>
        <w:rPr>
          <w:rFonts w:hint="eastAsia" w:ascii="宋体" w:hAnsi="宋体" w:cs="宋体"/>
          <w:color w:val="auto"/>
          <w:sz w:val="24"/>
          <w:highlight w:val="none"/>
          <w:u w:val="single"/>
        </w:rPr>
        <w:t>贰</w:t>
      </w:r>
      <w:r>
        <w:rPr>
          <w:rFonts w:hint="eastAsia" w:ascii="宋体" w:hAnsi="宋体" w:cs="宋体"/>
          <w:color w:val="auto"/>
          <w:sz w:val="24"/>
          <w:highlight w:val="none"/>
        </w:rPr>
        <w:t>份。</w:t>
      </w:r>
    </w:p>
    <w:p w14:paraId="6F191BF8">
      <w:pPr>
        <w:spacing w:line="360" w:lineRule="auto"/>
        <w:rPr>
          <w:rFonts w:ascii="宋体" w:hAnsi="宋体" w:cs="宋体"/>
          <w:color w:val="auto"/>
          <w:sz w:val="24"/>
          <w:highlight w:val="none"/>
        </w:rPr>
      </w:pPr>
    </w:p>
    <w:p w14:paraId="48445AEC">
      <w:pPr>
        <w:spacing w:line="360" w:lineRule="auto"/>
        <w:rPr>
          <w:rFonts w:ascii="宋体" w:hAnsi="宋体" w:cs="宋体"/>
          <w:color w:val="auto"/>
          <w:sz w:val="24"/>
          <w:highlight w:val="none"/>
        </w:rPr>
      </w:pPr>
    </w:p>
    <w:p w14:paraId="42E9CDB5">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发包人： </w:t>
      </w:r>
      <w:r>
        <w:rPr>
          <w:rFonts w:hint="eastAsia" w:ascii="宋体" w:hAnsi="宋体" w:cs="宋体"/>
          <w:color w:val="auto"/>
          <w:sz w:val="24"/>
          <w:highlight w:val="none"/>
          <w:lang w:eastAsia="zh-CN"/>
        </w:rPr>
        <w:t>横州市马岭镇人民政府</w:t>
      </w:r>
      <w:r>
        <w:rPr>
          <w:rFonts w:hint="eastAsia" w:ascii="宋体" w:hAnsi="宋体" w:cs="宋体"/>
          <w:color w:val="auto"/>
          <w:sz w:val="24"/>
          <w:highlight w:val="none"/>
        </w:rPr>
        <w:t>（公章） 承包人：</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（公章）</w:t>
      </w:r>
    </w:p>
    <w:p w14:paraId="17854C44">
      <w:pPr>
        <w:spacing w:line="360" w:lineRule="auto"/>
        <w:rPr>
          <w:rFonts w:ascii="宋体" w:hAnsi="宋体" w:cs="宋体"/>
          <w:color w:val="auto"/>
          <w:sz w:val="24"/>
          <w:highlight w:val="none"/>
          <w:u w:val="single"/>
        </w:rPr>
      </w:pPr>
      <w:r>
        <w:rPr>
          <w:rFonts w:hint="eastAsia" w:ascii="宋体" w:hAnsi="宋体" w:cs="宋体"/>
          <w:color w:val="auto"/>
          <w:sz w:val="24"/>
          <w:highlight w:val="none"/>
        </w:rPr>
        <w:t xml:space="preserve">                                 </w:t>
      </w:r>
    </w:p>
    <w:p w14:paraId="1C9017F0">
      <w:pPr>
        <w:spacing w:line="360" w:lineRule="auto"/>
        <w:rPr>
          <w:rFonts w:ascii="宋体" w:hAnsi="宋体" w:cs="宋体"/>
          <w:color w:val="auto"/>
          <w:sz w:val="24"/>
          <w:highlight w:val="none"/>
        </w:rPr>
      </w:pPr>
      <w:r>
        <w:rPr>
          <w:rFonts w:hint="eastAsia" w:ascii="宋体" w:hAnsi="宋体" w:cs="宋体"/>
          <w:color w:val="auto"/>
          <w:sz w:val="24"/>
          <w:highlight w:val="none"/>
        </w:rPr>
        <w:t>法定代表人或其委托代理人：                 法定代表人或其委托代理人：</w:t>
      </w:r>
    </w:p>
    <w:p w14:paraId="1A727C30">
      <w:pPr>
        <w:spacing w:line="360" w:lineRule="auto"/>
        <w:rPr>
          <w:rFonts w:ascii="宋体" w:hAnsi="宋体" w:cs="宋体"/>
          <w:color w:val="auto"/>
          <w:sz w:val="24"/>
          <w:highlight w:val="none"/>
        </w:rPr>
      </w:pPr>
      <w:r>
        <w:rPr>
          <w:rFonts w:hint="eastAsia" w:ascii="宋体" w:hAnsi="宋体" w:cs="宋体"/>
          <w:color w:val="auto"/>
          <w:sz w:val="24"/>
          <w:highlight w:val="none"/>
        </w:rPr>
        <w:t>（签字）                                   （签字）</w:t>
      </w:r>
    </w:p>
    <w:p w14:paraId="63D41926">
      <w:pPr>
        <w:tabs>
          <w:tab w:val="left" w:pos="4410"/>
        </w:tabs>
        <w:spacing w:line="360" w:lineRule="auto"/>
        <w:rPr>
          <w:rFonts w:ascii="宋体" w:hAnsi="宋体" w:cs="宋体"/>
          <w:color w:val="auto"/>
          <w:sz w:val="24"/>
          <w:highlight w:val="none"/>
        </w:rPr>
      </w:pPr>
      <w:r>
        <w:rPr>
          <w:rFonts w:hint="eastAsia" w:ascii="宋体" w:hAnsi="宋体" w:cs="宋体"/>
          <w:color w:val="auto"/>
          <w:sz w:val="24"/>
          <w:highlight w:val="none"/>
        </w:rPr>
        <w:t>统一社会信用代码：</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统一社会信用代码：</w:t>
      </w:r>
      <w:r>
        <w:rPr>
          <w:rFonts w:hint="eastAsia" w:ascii="宋体" w:hAnsi="宋体" w:cs="宋体"/>
          <w:color w:val="auto"/>
          <w:sz w:val="24"/>
          <w:highlight w:val="none"/>
          <w:u w:val="single"/>
          <w:lang w:val="en-US" w:eastAsia="zh-CN"/>
        </w:rPr>
        <w:t xml:space="preserve">              </w:t>
      </w:r>
    </w:p>
    <w:p w14:paraId="677C5D14">
      <w:pPr>
        <w:spacing w:line="360" w:lineRule="auto"/>
        <w:rPr>
          <w:rFonts w:ascii="宋体" w:hAnsi="宋体" w:cs="宋体"/>
          <w:color w:val="auto"/>
          <w:sz w:val="24"/>
          <w:highlight w:val="none"/>
        </w:rPr>
      </w:pPr>
      <w:r>
        <w:rPr>
          <w:rFonts w:hint="eastAsia" w:ascii="宋体" w:hAnsi="宋体" w:cs="宋体"/>
          <w:color w:val="auto"/>
          <w:sz w:val="24"/>
          <w:highlight w:val="none"/>
        </w:rPr>
        <w:t>地  址：</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 xml:space="preserve"> </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地  址：</w:t>
      </w:r>
      <w:r>
        <w:rPr>
          <w:rFonts w:hint="eastAsia" w:ascii="宋体" w:hAnsi="宋体" w:cs="宋体"/>
          <w:color w:val="auto"/>
          <w:sz w:val="24"/>
          <w:highlight w:val="none"/>
          <w:u w:val="single"/>
          <w:lang w:val="en-US" w:eastAsia="zh-CN"/>
        </w:rPr>
        <w:t xml:space="preserve">                         </w:t>
      </w:r>
    </w:p>
    <w:p w14:paraId="54C0EC2E">
      <w:pPr>
        <w:spacing w:line="360" w:lineRule="auto"/>
        <w:rPr>
          <w:rFonts w:ascii="宋体" w:hAnsi="宋体" w:cs="宋体"/>
          <w:color w:val="auto"/>
          <w:sz w:val="24"/>
          <w:highlight w:val="none"/>
        </w:rPr>
      </w:pPr>
      <w:r>
        <w:rPr>
          <w:rFonts w:hint="eastAsia" w:ascii="宋体" w:hAnsi="宋体" w:cs="宋体"/>
          <w:color w:val="auto"/>
          <w:sz w:val="24"/>
          <w:highlight w:val="none"/>
        </w:rPr>
        <w:t>邮政编码：</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邮政编码：</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p>
    <w:p w14:paraId="15757312">
      <w:pPr>
        <w:spacing w:line="360" w:lineRule="auto"/>
        <w:rPr>
          <w:rFonts w:ascii="宋体" w:hAnsi="宋体" w:cs="宋体"/>
          <w:color w:val="auto"/>
          <w:sz w:val="24"/>
          <w:highlight w:val="none"/>
        </w:rPr>
      </w:pPr>
      <w:r>
        <w:rPr>
          <w:rFonts w:hint="eastAsia" w:ascii="宋体" w:hAnsi="宋体" w:cs="宋体"/>
          <w:color w:val="auto"/>
          <w:sz w:val="24"/>
          <w:highlight w:val="none"/>
        </w:rPr>
        <w:t>法定代表人：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法定代表人：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p>
    <w:p w14:paraId="6B0395CF">
      <w:pPr>
        <w:spacing w:line="360" w:lineRule="auto"/>
        <w:rPr>
          <w:rFonts w:ascii="宋体" w:hAnsi="宋体" w:cs="宋体"/>
          <w:color w:val="auto"/>
          <w:sz w:val="24"/>
          <w:highlight w:val="none"/>
        </w:rPr>
      </w:pPr>
      <w:r>
        <w:rPr>
          <w:rFonts w:hint="eastAsia" w:ascii="宋体" w:hAnsi="宋体" w:cs="宋体"/>
          <w:color w:val="auto"/>
          <w:sz w:val="24"/>
          <w:highlight w:val="none"/>
        </w:rPr>
        <w:t>委托代理人：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委托代理人：</w:t>
      </w:r>
      <w:r>
        <w:rPr>
          <w:rFonts w:hint="eastAsia" w:ascii="宋体" w:hAnsi="宋体" w:cs="宋体"/>
          <w:color w:val="auto"/>
          <w:sz w:val="24"/>
          <w:highlight w:val="none"/>
          <w:u w:val="single"/>
        </w:rPr>
        <w:t xml:space="preserve">                     </w:t>
      </w:r>
    </w:p>
    <w:p w14:paraId="7F406149">
      <w:pPr>
        <w:spacing w:line="360" w:lineRule="auto"/>
        <w:rPr>
          <w:rFonts w:ascii="宋体" w:hAnsi="宋体" w:cs="宋体"/>
          <w:color w:val="auto"/>
          <w:sz w:val="24"/>
          <w:highlight w:val="none"/>
        </w:rPr>
      </w:pPr>
      <w:r>
        <w:rPr>
          <w:rFonts w:hint="eastAsia" w:ascii="宋体" w:hAnsi="宋体" w:cs="宋体"/>
          <w:color w:val="auto"/>
          <w:sz w:val="24"/>
          <w:highlight w:val="none"/>
        </w:rPr>
        <w:t>电  话：</w:t>
      </w:r>
      <w:r>
        <w:rPr>
          <w:rFonts w:hint="eastAsia" w:ascii="宋体" w:hAnsi="宋体" w:cs="宋体"/>
          <w:color w:val="auto"/>
          <w:sz w:val="24"/>
          <w:highlight w:val="none"/>
          <w:u w:val="single"/>
        </w:rPr>
        <w:t xml:space="preserve"> </w:t>
      </w:r>
      <w:r>
        <w:rPr>
          <w:rFonts w:hint="eastAsia" w:ascii="宋体" w:hAnsi="宋体" w:eastAsia="宋体"/>
          <w:b w:val="0"/>
          <w:bCs w:val="0"/>
          <w:color w:val="auto"/>
          <w:kern w:val="0"/>
          <w:sz w:val="24"/>
          <w:highlight w:val="none"/>
          <w:u w:val="single"/>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电  话：</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p>
    <w:p w14:paraId="0E63DD60">
      <w:pPr>
        <w:spacing w:line="360" w:lineRule="auto"/>
        <w:ind w:left="6360" w:hanging="6360" w:hangingChars="2650"/>
        <w:rPr>
          <w:rFonts w:hint="default" w:ascii="宋体" w:hAnsi="宋体" w:eastAsia="宋体" w:cs="宋体"/>
          <w:color w:val="auto"/>
          <w:sz w:val="24"/>
          <w:highlight w:val="none"/>
          <w:u w:val="single"/>
          <w:lang w:val="en-US" w:eastAsia="zh-CN"/>
        </w:rPr>
      </w:pPr>
      <w:r>
        <w:rPr>
          <w:rFonts w:hint="eastAsia" w:ascii="宋体" w:hAnsi="宋体" w:cs="宋体"/>
          <w:color w:val="auto"/>
          <w:sz w:val="24"/>
          <w:highlight w:val="none"/>
        </w:rPr>
        <w:t>开户银行：</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开户银行：</w:t>
      </w:r>
      <w:r>
        <w:rPr>
          <w:rFonts w:hint="eastAsia" w:ascii="宋体" w:hAnsi="宋体" w:cs="宋体"/>
          <w:color w:val="auto"/>
          <w:sz w:val="24"/>
          <w:highlight w:val="none"/>
          <w:u w:val="single"/>
          <w:lang w:val="en-US" w:eastAsia="zh-CN"/>
        </w:rPr>
        <w:t xml:space="preserve">                        </w:t>
      </w:r>
    </w:p>
    <w:p w14:paraId="119FAD9B">
      <w:pPr>
        <w:spacing w:line="360" w:lineRule="auto"/>
        <w:rPr>
          <w:rFonts w:ascii="宋体" w:hAnsi="宋体" w:cs="宋体"/>
          <w:color w:val="auto"/>
          <w:sz w:val="24"/>
          <w:highlight w:val="none"/>
          <w:u w:val="single"/>
        </w:rPr>
      </w:pPr>
      <w:r>
        <w:rPr>
          <w:rFonts w:hint="eastAsia" w:ascii="宋体" w:hAnsi="宋体" w:cs="宋体"/>
          <w:color w:val="auto"/>
          <w:sz w:val="24"/>
          <w:highlight w:val="none"/>
        </w:rPr>
        <w:t>账  号：</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账  号：</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p>
    <w:p w14:paraId="1272F232">
      <w:pPr>
        <w:pStyle w:val="3"/>
        <w:widowControl/>
        <w:jc w:val="center"/>
        <w:rPr>
          <w:rFonts w:hint="eastAsia" w:ascii="宋体" w:hAnsi="宋体" w:cs="宋体"/>
          <w:color w:val="auto"/>
          <w:highlight w:val="none"/>
        </w:rPr>
      </w:pPr>
      <w:bookmarkStart w:id="213" w:name="_Toc407135192"/>
      <w:bookmarkStart w:id="214" w:name="_Toc9850520"/>
      <w:bookmarkStart w:id="215" w:name="_Toc453"/>
      <w:bookmarkStart w:id="216" w:name="_Toc23075"/>
      <w:bookmarkStart w:id="217" w:name="_Toc373227691"/>
      <w:bookmarkStart w:id="218" w:name="_Toc351203632"/>
      <w:bookmarkStart w:id="219" w:name="_Toc373478338"/>
    </w:p>
    <w:p w14:paraId="4954CB1D">
      <w:pPr>
        <w:pStyle w:val="3"/>
        <w:widowControl/>
        <w:jc w:val="center"/>
        <w:rPr>
          <w:rFonts w:ascii="宋体" w:hAnsi="宋体" w:cs="宋体"/>
          <w:color w:val="auto"/>
          <w:highlight w:val="none"/>
        </w:rPr>
      </w:pPr>
      <w:r>
        <w:rPr>
          <w:rFonts w:hint="eastAsia" w:ascii="宋体" w:hAnsi="宋体" w:cs="宋体"/>
          <w:color w:val="auto"/>
          <w:highlight w:val="none"/>
        </w:rPr>
        <w:t>第二部分 通用合同条款</w:t>
      </w:r>
      <w:bookmarkEnd w:id="213"/>
      <w:bookmarkEnd w:id="214"/>
      <w:bookmarkEnd w:id="215"/>
      <w:bookmarkEnd w:id="216"/>
    </w:p>
    <w:p w14:paraId="5B6D1A13">
      <w:pPr>
        <w:jc w:val="center"/>
        <w:rPr>
          <w:rFonts w:ascii="宋体" w:hAnsi="宋体" w:cs="宋体"/>
          <w:b/>
          <w:bCs/>
          <w:color w:val="auto"/>
          <w:sz w:val="24"/>
          <w:highlight w:val="none"/>
        </w:rPr>
      </w:pPr>
      <w:bookmarkStart w:id="220" w:name="_Toc23361"/>
      <w:r>
        <w:rPr>
          <w:rFonts w:hint="eastAsia" w:ascii="宋体" w:hAnsi="宋体" w:cs="宋体"/>
          <w:b/>
          <w:bCs/>
          <w:color w:val="auto"/>
          <w:sz w:val="24"/>
          <w:highlight w:val="none"/>
        </w:rPr>
        <w:t>采用《建设工程施工合同（示范文本）》（GF—2017—0201）。</w:t>
      </w:r>
      <w:bookmarkEnd w:id="220"/>
    </w:p>
    <w:p w14:paraId="090BB863">
      <w:pPr>
        <w:pStyle w:val="3"/>
        <w:keepNext w:val="0"/>
        <w:keepLines w:val="0"/>
        <w:jc w:val="center"/>
        <w:rPr>
          <w:rFonts w:ascii="宋体" w:hAnsi="宋体" w:cs="宋体"/>
          <w:color w:val="auto"/>
          <w:highlight w:val="none"/>
        </w:rPr>
      </w:pPr>
      <w:bookmarkStart w:id="221" w:name="_Toc17075"/>
      <w:bookmarkStart w:id="222" w:name="_Toc407135193"/>
      <w:bookmarkStart w:id="223" w:name="_Toc9850521"/>
    </w:p>
    <w:p w14:paraId="12D3CF8E">
      <w:pPr>
        <w:pStyle w:val="3"/>
        <w:keepNext w:val="0"/>
        <w:keepLines w:val="0"/>
        <w:jc w:val="center"/>
        <w:rPr>
          <w:rFonts w:ascii="宋体" w:hAnsi="宋体" w:cs="宋体"/>
          <w:color w:val="auto"/>
          <w:highlight w:val="none"/>
        </w:rPr>
      </w:pPr>
      <w:bookmarkStart w:id="224" w:name="_Toc3444"/>
      <w:r>
        <w:rPr>
          <w:rFonts w:hint="eastAsia" w:ascii="宋体" w:hAnsi="宋体" w:cs="宋体"/>
          <w:color w:val="auto"/>
          <w:highlight w:val="none"/>
        </w:rPr>
        <w:t>第三部分 专用合同条款</w:t>
      </w:r>
      <w:bookmarkEnd w:id="217"/>
      <w:bookmarkEnd w:id="218"/>
      <w:bookmarkEnd w:id="219"/>
      <w:bookmarkEnd w:id="221"/>
      <w:bookmarkEnd w:id="222"/>
      <w:bookmarkEnd w:id="223"/>
      <w:bookmarkEnd w:id="224"/>
    </w:p>
    <w:p w14:paraId="0E1BF218">
      <w:pPr>
        <w:rPr>
          <w:color w:val="auto"/>
          <w:highlight w:val="none"/>
        </w:rPr>
      </w:pPr>
    </w:p>
    <w:p w14:paraId="05F14FAC">
      <w:pPr>
        <w:spacing w:line="460" w:lineRule="exact"/>
        <w:jc w:val="center"/>
        <w:rPr>
          <w:rFonts w:ascii="宋体" w:hAnsi="宋体" w:cs="宋体"/>
          <w:b/>
          <w:color w:val="auto"/>
          <w:kern w:val="0"/>
          <w:sz w:val="24"/>
          <w:highlight w:val="none"/>
        </w:rPr>
      </w:pPr>
      <w:r>
        <w:rPr>
          <w:rFonts w:hint="eastAsia" w:ascii="宋体" w:hAnsi="宋体" w:cs="宋体"/>
          <w:b/>
          <w:color w:val="auto"/>
          <w:kern w:val="0"/>
          <w:sz w:val="24"/>
          <w:highlight w:val="none"/>
        </w:rPr>
        <w:t>（注：专用合同条款每一条均应填写完整！）</w:t>
      </w:r>
    </w:p>
    <w:p w14:paraId="5802DB79">
      <w:pPr>
        <w:pageBreakBefore w:val="0"/>
        <w:kinsoku/>
        <w:overflowPunct/>
        <w:topLinePunct w:val="0"/>
        <w:bidi w:val="0"/>
        <w:snapToGrid/>
        <w:spacing w:line="288" w:lineRule="auto"/>
        <w:textAlignment w:val="auto"/>
        <w:rPr>
          <w:rFonts w:hint="eastAsia" w:ascii="宋体" w:hAnsi="宋体" w:eastAsia="宋体" w:cs="宋体"/>
          <w:b/>
          <w:bCs/>
          <w:color w:val="auto"/>
          <w:sz w:val="24"/>
          <w:szCs w:val="24"/>
          <w:highlight w:val="none"/>
        </w:rPr>
      </w:pPr>
      <w:bookmarkStart w:id="225" w:name="_Toc9850522"/>
      <w:bookmarkStart w:id="226" w:name="_Toc407135194"/>
      <w:bookmarkStart w:id="227" w:name="_Toc15959"/>
      <w:r>
        <w:rPr>
          <w:rFonts w:hint="eastAsia" w:ascii="宋体" w:hAnsi="宋体" w:eastAsia="宋体" w:cs="宋体"/>
          <w:b/>
          <w:bCs/>
          <w:color w:val="auto"/>
          <w:sz w:val="24"/>
          <w:szCs w:val="24"/>
          <w:highlight w:val="none"/>
        </w:rPr>
        <w:t>1. 一般约定</w:t>
      </w:r>
      <w:bookmarkEnd w:id="225"/>
      <w:bookmarkEnd w:id="226"/>
      <w:bookmarkEnd w:id="227"/>
    </w:p>
    <w:p w14:paraId="553EBD10">
      <w:pPr>
        <w:pageBreakBefore w:val="0"/>
        <w:kinsoku/>
        <w:overflowPunct/>
        <w:topLinePunct w:val="0"/>
        <w:bidi w:val="0"/>
        <w:snapToGrid/>
        <w:spacing w:line="288" w:lineRule="auto"/>
        <w:textAlignment w:val="auto"/>
        <w:rPr>
          <w:rFonts w:hint="eastAsia" w:ascii="宋体" w:hAnsi="宋体" w:eastAsia="宋体" w:cs="宋体"/>
          <w:b/>
          <w:bCs/>
          <w:color w:val="auto"/>
          <w:sz w:val="24"/>
          <w:szCs w:val="24"/>
          <w:highlight w:val="none"/>
        </w:rPr>
      </w:pPr>
      <w:bookmarkStart w:id="228" w:name="_Toc407135195"/>
      <w:bookmarkStart w:id="229" w:name="_Toc9850523"/>
      <w:bookmarkStart w:id="230" w:name="_Toc19569"/>
      <w:r>
        <w:rPr>
          <w:rFonts w:hint="eastAsia" w:ascii="宋体" w:hAnsi="宋体" w:eastAsia="宋体" w:cs="宋体"/>
          <w:b/>
          <w:bCs/>
          <w:color w:val="auto"/>
          <w:sz w:val="24"/>
          <w:szCs w:val="24"/>
          <w:highlight w:val="none"/>
        </w:rPr>
        <w:t>1.1 词语定义</w:t>
      </w:r>
      <w:bookmarkEnd w:id="228"/>
      <w:bookmarkEnd w:id="229"/>
      <w:bookmarkEnd w:id="230"/>
    </w:p>
    <w:p w14:paraId="0F4CD45C">
      <w:pPr>
        <w:pageBreakBefore w:val="0"/>
        <w:kinsoku/>
        <w:overflowPunct/>
        <w:topLinePunct w:val="0"/>
        <w:bidi w:val="0"/>
        <w:snapToGrid/>
        <w:spacing w:line="288" w:lineRule="auto"/>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1.1.1 合同</w:t>
      </w:r>
    </w:p>
    <w:p w14:paraId="4E8D11FA">
      <w:pPr>
        <w:pageBreakBefore w:val="0"/>
        <w:kinsoku/>
        <w:overflowPunct/>
        <w:topLinePunct w:val="0"/>
        <w:bidi w:val="0"/>
        <w:snapToGrid/>
        <w:spacing w:line="288" w:lineRule="auto"/>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kern w:val="0"/>
          <w:sz w:val="24"/>
          <w:szCs w:val="24"/>
          <w:highlight w:val="none"/>
        </w:rPr>
        <w:t>1.1.1.10 其他合同文件包括：</w:t>
      </w:r>
      <w:r>
        <w:rPr>
          <w:rFonts w:hint="eastAsia" w:ascii="宋体" w:hAnsi="宋体" w:eastAsia="宋体" w:cs="宋体"/>
          <w:color w:val="auto"/>
          <w:kern w:val="0"/>
          <w:sz w:val="24"/>
          <w:szCs w:val="24"/>
          <w:highlight w:val="none"/>
          <w:u w:val="single"/>
        </w:rPr>
        <w:t>履行合同过程中双方法定代表人（或代理人）书面确认的对合同内容有实质性影响的会议纪要、签证、设计变更等资料</w:t>
      </w:r>
      <w:r>
        <w:rPr>
          <w:rFonts w:hint="eastAsia" w:ascii="宋体" w:hAnsi="宋体" w:eastAsia="宋体" w:cs="宋体"/>
          <w:color w:val="auto"/>
          <w:kern w:val="0"/>
          <w:sz w:val="24"/>
          <w:szCs w:val="24"/>
          <w:highlight w:val="none"/>
          <w:u w:val="none"/>
        </w:rPr>
        <w:t>。</w:t>
      </w:r>
    </w:p>
    <w:p w14:paraId="7207B0B6">
      <w:pPr>
        <w:pageBreakBefore w:val="0"/>
        <w:kinsoku/>
        <w:overflowPunct/>
        <w:topLinePunct w:val="0"/>
        <w:bidi w:val="0"/>
        <w:snapToGrid/>
        <w:spacing w:line="28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1.1.2 合同当事人及其他相关方</w:t>
      </w:r>
    </w:p>
    <w:p w14:paraId="7F3DDBC5">
      <w:pPr>
        <w:pageBreakBefore w:val="0"/>
        <w:kinsoku/>
        <w:overflowPunct/>
        <w:topLinePunct w:val="0"/>
        <w:bidi w:val="0"/>
        <w:snapToGrid/>
        <w:spacing w:line="288" w:lineRule="auto"/>
        <w:ind w:firstLine="480" w:firstLineChars="200"/>
        <w:textAlignment w:val="auto"/>
        <w:rPr>
          <w:rFonts w:hint="eastAsia" w:ascii="宋体" w:hAnsi="宋体" w:eastAsia="宋体" w:cs="宋体"/>
          <w:color w:val="auto"/>
          <w:sz w:val="24"/>
          <w:szCs w:val="24"/>
          <w:highlight w:val="none"/>
        </w:rPr>
      </w:pPr>
      <w:bookmarkStart w:id="231" w:name="_Toc6723"/>
      <w:r>
        <w:rPr>
          <w:rFonts w:hint="eastAsia" w:ascii="宋体" w:hAnsi="宋体" w:eastAsia="宋体" w:cs="宋体"/>
          <w:color w:val="auto"/>
          <w:sz w:val="24"/>
          <w:szCs w:val="24"/>
          <w:highlight w:val="none"/>
        </w:rPr>
        <w:t>1.1.2.4 监理人：</w:t>
      </w:r>
      <w:bookmarkEnd w:id="231"/>
    </w:p>
    <w:p w14:paraId="72A758F2">
      <w:pPr>
        <w:pageBreakBefore w:val="0"/>
        <w:kinsoku/>
        <w:overflowPunct/>
        <w:topLinePunct w:val="0"/>
        <w:bidi w:val="0"/>
        <w:snapToGrid/>
        <w:spacing w:line="288" w:lineRule="auto"/>
        <w:ind w:firstLine="480" w:firstLineChars="200"/>
        <w:textAlignment w:val="auto"/>
        <w:rPr>
          <w:rFonts w:hint="eastAsia" w:ascii="宋体" w:hAnsi="宋体" w:eastAsia="宋体" w:cs="宋体"/>
          <w:color w:val="auto"/>
          <w:sz w:val="24"/>
          <w:szCs w:val="24"/>
          <w:highlight w:val="none"/>
        </w:rPr>
      </w:pPr>
      <w:bookmarkStart w:id="232" w:name="_Toc5852"/>
      <w:r>
        <w:rPr>
          <w:rFonts w:hint="eastAsia" w:ascii="宋体" w:hAnsi="宋体" w:eastAsia="宋体" w:cs="宋体"/>
          <w:color w:val="auto"/>
          <w:sz w:val="24"/>
          <w:szCs w:val="24"/>
          <w:highlight w:val="none"/>
        </w:rPr>
        <w:t>名    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08AA59A5">
      <w:pPr>
        <w:pageBreakBefore w:val="0"/>
        <w:kinsoku/>
        <w:overflowPunct/>
        <w:topLinePunct w:val="0"/>
        <w:bidi w:val="0"/>
        <w:snapToGrid/>
        <w:spacing w:line="28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资质类别和等级：</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65C929D4">
      <w:pPr>
        <w:pageBreakBefore w:val="0"/>
        <w:kinsoku/>
        <w:overflowPunct/>
        <w:topLinePunct w:val="0"/>
        <w:bidi w:val="0"/>
        <w:snapToGrid/>
        <w:spacing w:line="28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28E81983">
      <w:pPr>
        <w:pageBreakBefore w:val="0"/>
        <w:kinsoku/>
        <w:overflowPunct/>
        <w:topLinePunct w:val="0"/>
        <w:bidi w:val="0"/>
        <w:snapToGrid/>
        <w:spacing w:line="28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电子信箱：</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3DC82141">
      <w:pPr>
        <w:pageBreakBefore w:val="0"/>
        <w:kinsoku/>
        <w:overflowPunct/>
        <w:topLinePunct w:val="0"/>
        <w:bidi w:val="0"/>
        <w:snapToGrid/>
        <w:spacing w:line="28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通信地址：</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2B4D5543">
      <w:pPr>
        <w:pageBreakBefore w:val="0"/>
        <w:kinsoku/>
        <w:overflowPunct/>
        <w:topLinePunct w:val="0"/>
        <w:bidi w:val="0"/>
        <w:snapToGrid/>
        <w:spacing w:line="28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1.1.2.5 设计人：</w:t>
      </w:r>
      <w:bookmarkEnd w:id="232"/>
    </w:p>
    <w:p w14:paraId="318C627D">
      <w:pPr>
        <w:pageBreakBefore w:val="0"/>
        <w:kinsoku/>
        <w:overflowPunct/>
        <w:topLinePunct w:val="0"/>
        <w:bidi w:val="0"/>
        <w:snapToGrid/>
        <w:spacing w:line="28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    称：</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p>
    <w:p w14:paraId="4B88EB4A">
      <w:pPr>
        <w:pageBreakBefore w:val="0"/>
        <w:kinsoku/>
        <w:overflowPunct/>
        <w:topLinePunct w:val="0"/>
        <w:bidi w:val="0"/>
        <w:snapToGrid/>
        <w:spacing w:line="28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资质类别和等级：</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p>
    <w:p w14:paraId="1944A498">
      <w:pPr>
        <w:pageBreakBefore w:val="0"/>
        <w:kinsoku/>
        <w:overflowPunct/>
        <w:topLinePunct w:val="0"/>
        <w:bidi w:val="0"/>
        <w:snapToGrid/>
        <w:spacing w:line="28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072460B6">
      <w:pPr>
        <w:pageBreakBefore w:val="0"/>
        <w:kinsoku/>
        <w:overflowPunct/>
        <w:topLinePunct w:val="0"/>
        <w:bidi w:val="0"/>
        <w:snapToGrid/>
        <w:spacing w:line="28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电子信箱：</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765AB127">
      <w:pPr>
        <w:pageBreakBefore w:val="0"/>
        <w:kinsoku/>
        <w:overflowPunct/>
        <w:topLinePunct w:val="0"/>
        <w:bidi w:val="0"/>
        <w:snapToGrid/>
        <w:spacing w:line="28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通信地址：</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p>
    <w:p w14:paraId="3203603B">
      <w:pPr>
        <w:pageBreakBefore w:val="0"/>
        <w:kinsoku/>
        <w:overflowPunct/>
        <w:topLinePunct w:val="0"/>
        <w:bidi w:val="0"/>
        <w:snapToGrid/>
        <w:spacing w:line="28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1.1.3 工程和设备</w:t>
      </w:r>
    </w:p>
    <w:p w14:paraId="0B948D4F">
      <w:pPr>
        <w:pageBreakBefore w:val="0"/>
        <w:kinsoku/>
        <w:overflowPunct/>
        <w:topLinePunct w:val="0"/>
        <w:bidi w:val="0"/>
        <w:snapToGrid/>
        <w:spacing w:line="288" w:lineRule="auto"/>
        <w:ind w:firstLine="480" w:firstLineChars="200"/>
        <w:textAlignment w:val="auto"/>
        <w:rPr>
          <w:rFonts w:hint="eastAsia" w:ascii="宋体" w:hAnsi="宋体" w:eastAsia="宋体" w:cs="宋体"/>
          <w:color w:val="auto"/>
          <w:sz w:val="24"/>
          <w:szCs w:val="24"/>
          <w:highlight w:val="none"/>
        </w:rPr>
      </w:pPr>
      <w:bookmarkStart w:id="233" w:name="_Toc17304"/>
      <w:r>
        <w:rPr>
          <w:rFonts w:hint="eastAsia" w:ascii="宋体" w:hAnsi="宋体" w:eastAsia="宋体" w:cs="宋体"/>
          <w:color w:val="auto"/>
          <w:sz w:val="24"/>
          <w:szCs w:val="24"/>
          <w:highlight w:val="none"/>
        </w:rPr>
        <w:t>1.1.3.7 作为施工现场组成部分的其他场所包括：</w:t>
      </w:r>
      <w:r>
        <w:rPr>
          <w:rFonts w:hint="eastAsia" w:ascii="宋体" w:hAnsi="宋体" w:eastAsia="宋体" w:cs="宋体"/>
          <w:color w:val="auto"/>
          <w:sz w:val="24"/>
          <w:szCs w:val="24"/>
          <w:highlight w:val="none"/>
          <w:u w:val="single"/>
        </w:rPr>
        <w:t>符合通用条款规定的发包方提供的施工场地</w:t>
      </w:r>
      <w:r>
        <w:rPr>
          <w:rFonts w:hint="eastAsia" w:ascii="宋体" w:hAnsi="宋体" w:eastAsia="宋体" w:cs="宋体"/>
          <w:color w:val="auto"/>
          <w:sz w:val="24"/>
          <w:szCs w:val="24"/>
          <w:highlight w:val="none"/>
        </w:rPr>
        <w:t>。</w:t>
      </w:r>
      <w:bookmarkEnd w:id="233"/>
    </w:p>
    <w:p w14:paraId="4A7238F1">
      <w:pPr>
        <w:pageBreakBefore w:val="0"/>
        <w:kinsoku/>
        <w:overflowPunct/>
        <w:topLinePunct w:val="0"/>
        <w:bidi w:val="0"/>
        <w:snapToGrid/>
        <w:spacing w:line="288"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1.1.3.9 永久占地包括：</w:t>
      </w:r>
      <w:r>
        <w:rPr>
          <w:rFonts w:hint="eastAsia" w:ascii="宋体" w:hAnsi="宋体" w:eastAsia="宋体" w:cs="宋体"/>
          <w:color w:val="auto"/>
          <w:sz w:val="24"/>
          <w:szCs w:val="24"/>
          <w:highlight w:val="none"/>
          <w:u w:val="single"/>
        </w:rPr>
        <w:t xml:space="preserve">  按施工图确定      </w:t>
      </w:r>
      <w:r>
        <w:rPr>
          <w:rFonts w:hint="eastAsia" w:ascii="宋体" w:hAnsi="宋体" w:eastAsia="宋体" w:cs="宋体"/>
          <w:color w:val="auto"/>
          <w:kern w:val="0"/>
          <w:sz w:val="24"/>
          <w:szCs w:val="24"/>
          <w:highlight w:val="none"/>
        </w:rPr>
        <w:t>。</w:t>
      </w:r>
    </w:p>
    <w:p w14:paraId="6251F062">
      <w:pPr>
        <w:pageBreakBefore w:val="0"/>
        <w:kinsoku/>
        <w:overflowPunct/>
        <w:topLinePunct w:val="0"/>
        <w:bidi w:val="0"/>
        <w:snapToGrid/>
        <w:spacing w:line="288"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1.1.3.10 临时占地包括：</w:t>
      </w:r>
      <w:r>
        <w:rPr>
          <w:rFonts w:hint="eastAsia" w:ascii="宋体" w:hAnsi="宋体" w:eastAsia="宋体" w:cs="宋体"/>
          <w:color w:val="auto"/>
          <w:sz w:val="24"/>
          <w:szCs w:val="24"/>
          <w:highlight w:val="none"/>
          <w:u w:val="single"/>
        </w:rPr>
        <w:t xml:space="preserve"> 按审批的施工组织设计   </w:t>
      </w:r>
      <w:r>
        <w:rPr>
          <w:rFonts w:hint="eastAsia" w:ascii="宋体" w:hAnsi="宋体" w:eastAsia="宋体" w:cs="宋体"/>
          <w:color w:val="auto"/>
          <w:kern w:val="0"/>
          <w:sz w:val="24"/>
          <w:szCs w:val="24"/>
          <w:highlight w:val="none"/>
        </w:rPr>
        <w:t>。</w:t>
      </w:r>
    </w:p>
    <w:p w14:paraId="603400B7">
      <w:pPr>
        <w:pageBreakBefore w:val="0"/>
        <w:kinsoku/>
        <w:overflowPunct/>
        <w:topLinePunct w:val="0"/>
        <w:bidi w:val="0"/>
        <w:snapToGrid/>
        <w:spacing w:line="288" w:lineRule="auto"/>
        <w:textAlignment w:val="auto"/>
        <w:rPr>
          <w:rFonts w:hint="eastAsia" w:ascii="宋体" w:hAnsi="宋体" w:eastAsia="宋体" w:cs="宋体"/>
          <w:b/>
          <w:bCs/>
          <w:color w:val="auto"/>
          <w:sz w:val="24"/>
          <w:szCs w:val="24"/>
          <w:highlight w:val="none"/>
        </w:rPr>
      </w:pPr>
      <w:bookmarkStart w:id="234" w:name="_Toc9850524"/>
      <w:bookmarkStart w:id="235" w:name="_Toc6076"/>
      <w:bookmarkStart w:id="236" w:name="_Toc407135196"/>
      <w:r>
        <w:rPr>
          <w:rFonts w:hint="eastAsia" w:ascii="宋体" w:hAnsi="宋体" w:eastAsia="宋体" w:cs="宋体"/>
          <w:b/>
          <w:bCs/>
          <w:color w:val="auto"/>
          <w:sz w:val="24"/>
          <w:szCs w:val="24"/>
          <w:highlight w:val="none"/>
        </w:rPr>
        <w:t>1.3 法律</w:t>
      </w:r>
      <w:bookmarkEnd w:id="234"/>
      <w:bookmarkEnd w:id="235"/>
      <w:bookmarkEnd w:id="236"/>
    </w:p>
    <w:p w14:paraId="3419124A">
      <w:pPr>
        <w:pageBreakBefore w:val="0"/>
        <w:kinsoku/>
        <w:overflowPunct/>
        <w:topLinePunct w:val="0"/>
        <w:autoSpaceDE w:val="0"/>
        <w:autoSpaceDN w:val="0"/>
        <w:bidi w:val="0"/>
        <w:adjustRightInd w:val="0"/>
        <w:snapToGrid/>
        <w:spacing w:line="288"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适用于合同的其他规范性文件：</w:t>
      </w:r>
      <w:r>
        <w:rPr>
          <w:rFonts w:hint="eastAsia" w:ascii="宋体" w:hAnsi="宋体" w:eastAsia="宋体" w:cs="宋体"/>
          <w:color w:val="auto"/>
          <w:sz w:val="24"/>
          <w:szCs w:val="24"/>
          <w:highlight w:val="none"/>
          <w:u w:val="single"/>
        </w:rPr>
        <w:t xml:space="preserve"> 《中华人民共国和民法典》、《中华人民共和国建筑法》、《中华人民共和国安全生产法》 、《建设工程质量管理条例》、以及其他有关法律、法规和工程所在地的政府及相关主管部门制定的规范性文件</w:t>
      </w:r>
      <w:r>
        <w:rPr>
          <w:rFonts w:hint="eastAsia" w:ascii="宋体" w:hAnsi="宋体" w:eastAsia="宋体" w:cs="宋体"/>
          <w:color w:val="auto"/>
          <w:sz w:val="24"/>
          <w:szCs w:val="24"/>
          <w:highlight w:val="none"/>
          <w:u w:val="single"/>
          <w:lang w:val="en-US" w:eastAsia="zh-CN"/>
        </w:rPr>
        <w:t>等</w:t>
      </w:r>
      <w:r>
        <w:rPr>
          <w:rFonts w:hint="eastAsia" w:ascii="宋体" w:hAnsi="宋体" w:eastAsia="宋体" w:cs="宋体"/>
          <w:color w:val="auto"/>
          <w:sz w:val="24"/>
          <w:szCs w:val="24"/>
          <w:highlight w:val="none"/>
        </w:rPr>
        <w:t>。</w:t>
      </w:r>
    </w:p>
    <w:p w14:paraId="529F3211">
      <w:pPr>
        <w:pageBreakBefore w:val="0"/>
        <w:kinsoku/>
        <w:overflowPunct/>
        <w:topLinePunct w:val="0"/>
        <w:bidi w:val="0"/>
        <w:snapToGrid/>
        <w:spacing w:line="288" w:lineRule="auto"/>
        <w:textAlignment w:val="auto"/>
        <w:rPr>
          <w:rFonts w:hint="eastAsia" w:ascii="宋体" w:hAnsi="宋体" w:eastAsia="宋体" w:cs="宋体"/>
          <w:b/>
          <w:bCs/>
          <w:color w:val="auto"/>
          <w:sz w:val="24"/>
          <w:szCs w:val="24"/>
          <w:highlight w:val="none"/>
        </w:rPr>
      </w:pPr>
      <w:bookmarkStart w:id="237" w:name="_Toc1654"/>
      <w:bookmarkStart w:id="238" w:name="_Toc9850525"/>
      <w:bookmarkStart w:id="239" w:name="_Toc407135197"/>
      <w:r>
        <w:rPr>
          <w:rFonts w:hint="eastAsia" w:ascii="宋体" w:hAnsi="宋体" w:eastAsia="宋体" w:cs="宋体"/>
          <w:b/>
          <w:bCs/>
          <w:color w:val="auto"/>
          <w:sz w:val="24"/>
          <w:szCs w:val="24"/>
          <w:highlight w:val="none"/>
        </w:rPr>
        <w:t>1.4 标准和规范</w:t>
      </w:r>
      <w:bookmarkEnd w:id="237"/>
      <w:bookmarkEnd w:id="238"/>
      <w:bookmarkEnd w:id="239"/>
    </w:p>
    <w:p w14:paraId="5CE9E1F7">
      <w:pPr>
        <w:pageBreakBefore w:val="0"/>
        <w:kinsoku/>
        <w:overflowPunct/>
        <w:topLinePunct w:val="0"/>
        <w:bidi w:val="0"/>
        <w:snapToGrid/>
        <w:spacing w:line="28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1.4.1 适用于工程的标准规范包括：</w:t>
      </w:r>
      <w:r>
        <w:rPr>
          <w:rFonts w:hint="eastAsia" w:ascii="宋体" w:hAnsi="宋体" w:eastAsia="宋体" w:cs="宋体"/>
          <w:color w:val="auto"/>
          <w:sz w:val="24"/>
          <w:szCs w:val="24"/>
          <w:highlight w:val="none"/>
          <w:u w:val="single"/>
        </w:rPr>
        <w:t xml:space="preserve"> 现行的国家标准、规范，现行的行业标准、规范，现行的地方标准、规范  </w:t>
      </w:r>
      <w:r>
        <w:rPr>
          <w:rFonts w:hint="eastAsia" w:ascii="宋体" w:hAnsi="宋体" w:eastAsia="宋体" w:cs="宋体"/>
          <w:color w:val="auto"/>
          <w:sz w:val="24"/>
          <w:szCs w:val="24"/>
          <w:highlight w:val="none"/>
        </w:rPr>
        <w:t>。</w:t>
      </w:r>
    </w:p>
    <w:p w14:paraId="7A1EBA62">
      <w:pPr>
        <w:pageBreakBefore w:val="0"/>
        <w:kinsoku/>
        <w:overflowPunct/>
        <w:topLinePunct w:val="0"/>
        <w:bidi w:val="0"/>
        <w:snapToGrid/>
        <w:spacing w:line="288" w:lineRule="auto"/>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1.4.2 发包人提供国外标准、规范的名称：</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7E0C0E89">
      <w:pPr>
        <w:pageBreakBefore w:val="0"/>
        <w:kinsoku/>
        <w:overflowPunct/>
        <w:topLinePunct w:val="0"/>
        <w:bidi w:val="0"/>
        <w:snapToGrid/>
        <w:spacing w:line="288" w:lineRule="auto"/>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发包人提供国外标准、规范的份数：</w:t>
      </w:r>
      <w:r>
        <w:rPr>
          <w:rFonts w:hint="eastAsia" w:ascii="宋体" w:hAnsi="宋体" w:eastAsia="宋体" w:cs="宋体"/>
          <w:color w:val="auto"/>
          <w:kern w:val="0"/>
          <w:sz w:val="24"/>
          <w:szCs w:val="24"/>
          <w:highlight w:val="none"/>
          <w:u w:val="single"/>
        </w:rPr>
        <w:t xml:space="preserve">       /               </w:t>
      </w:r>
      <w:r>
        <w:rPr>
          <w:rFonts w:hint="eastAsia" w:ascii="宋体" w:hAnsi="宋体" w:eastAsia="宋体" w:cs="宋体"/>
          <w:color w:val="auto"/>
          <w:kern w:val="0"/>
          <w:sz w:val="24"/>
          <w:szCs w:val="24"/>
          <w:highlight w:val="none"/>
        </w:rPr>
        <w:t>；</w:t>
      </w:r>
    </w:p>
    <w:p w14:paraId="74CE87DD">
      <w:pPr>
        <w:pageBreakBefore w:val="0"/>
        <w:kinsoku/>
        <w:overflowPunct/>
        <w:topLinePunct w:val="0"/>
        <w:bidi w:val="0"/>
        <w:snapToGrid/>
        <w:spacing w:line="28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发包人提供国外标准、规范的名称：</w:t>
      </w:r>
      <w:r>
        <w:rPr>
          <w:rFonts w:hint="eastAsia" w:ascii="宋体" w:hAnsi="宋体" w:eastAsia="宋体" w:cs="宋体"/>
          <w:color w:val="auto"/>
          <w:kern w:val="0"/>
          <w:sz w:val="24"/>
          <w:szCs w:val="24"/>
          <w:highlight w:val="none"/>
          <w:u w:val="single"/>
        </w:rPr>
        <w:t xml:space="preserve">       /               </w:t>
      </w:r>
      <w:r>
        <w:rPr>
          <w:rFonts w:hint="eastAsia" w:ascii="宋体" w:hAnsi="宋体" w:eastAsia="宋体" w:cs="宋体"/>
          <w:color w:val="auto"/>
          <w:kern w:val="0"/>
          <w:sz w:val="24"/>
          <w:szCs w:val="24"/>
          <w:highlight w:val="none"/>
        </w:rPr>
        <w:t>。</w:t>
      </w:r>
    </w:p>
    <w:p w14:paraId="6C434659">
      <w:pPr>
        <w:pageBreakBefore w:val="0"/>
        <w:kinsoku/>
        <w:overflowPunct/>
        <w:topLinePunct w:val="0"/>
        <w:bidi w:val="0"/>
        <w:snapToGrid/>
        <w:spacing w:line="28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1.4.3 发包人对工程的技术标准和功能要求的特殊要求：</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72F09DD4">
      <w:pPr>
        <w:pageBreakBefore w:val="0"/>
        <w:kinsoku/>
        <w:overflowPunct/>
        <w:topLinePunct w:val="0"/>
        <w:bidi w:val="0"/>
        <w:snapToGrid/>
        <w:spacing w:line="288" w:lineRule="auto"/>
        <w:textAlignment w:val="auto"/>
        <w:rPr>
          <w:rFonts w:hint="eastAsia" w:ascii="宋体" w:hAnsi="宋体" w:eastAsia="宋体" w:cs="宋体"/>
          <w:b/>
          <w:bCs/>
          <w:color w:val="auto"/>
          <w:sz w:val="24"/>
          <w:szCs w:val="24"/>
          <w:highlight w:val="none"/>
        </w:rPr>
      </w:pPr>
      <w:bookmarkStart w:id="240" w:name="_Toc407135198"/>
      <w:bookmarkStart w:id="241" w:name="_Toc19016"/>
      <w:bookmarkStart w:id="242" w:name="_Toc9850526"/>
      <w:r>
        <w:rPr>
          <w:rFonts w:hint="eastAsia" w:ascii="宋体" w:hAnsi="宋体" w:eastAsia="宋体" w:cs="宋体"/>
          <w:b/>
          <w:bCs/>
          <w:color w:val="auto"/>
          <w:sz w:val="24"/>
          <w:szCs w:val="24"/>
          <w:highlight w:val="none"/>
        </w:rPr>
        <w:t>1.5 合同文件的优先顺序</w:t>
      </w:r>
      <w:bookmarkEnd w:id="240"/>
      <w:bookmarkEnd w:id="241"/>
      <w:bookmarkEnd w:id="242"/>
    </w:p>
    <w:p w14:paraId="62D19241">
      <w:pPr>
        <w:pageBreakBefore w:val="0"/>
        <w:kinsoku/>
        <w:overflowPunct/>
        <w:topLinePunct w:val="0"/>
        <w:bidi w:val="0"/>
        <w:snapToGrid/>
        <w:spacing w:line="28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合同文件组成及优先顺序为：</w:t>
      </w:r>
    </w:p>
    <w:p w14:paraId="41EC9F72">
      <w:pPr>
        <w:pageBreakBefore w:val="0"/>
        <w:kinsoku/>
        <w:overflowPunct/>
        <w:topLinePunct w:val="0"/>
        <w:bidi w:val="0"/>
        <w:snapToGrid/>
        <w:spacing w:line="288" w:lineRule="auto"/>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（1）合同协议书；</w:t>
      </w:r>
    </w:p>
    <w:p w14:paraId="790BD24F">
      <w:pPr>
        <w:pageBreakBefore w:val="0"/>
        <w:kinsoku/>
        <w:overflowPunct/>
        <w:topLinePunct w:val="0"/>
        <w:bidi w:val="0"/>
        <w:snapToGrid/>
        <w:spacing w:line="288" w:lineRule="auto"/>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通知书；</w:t>
      </w:r>
    </w:p>
    <w:p w14:paraId="662B50B4">
      <w:pPr>
        <w:pageBreakBefore w:val="0"/>
        <w:kinsoku/>
        <w:overflowPunct/>
        <w:topLinePunct w:val="0"/>
        <w:bidi w:val="0"/>
        <w:snapToGrid/>
        <w:spacing w:line="288" w:lineRule="auto"/>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函</w:t>
      </w:r>
      <w:r>
        <w:rPr>
          <w:rFonts w:hint="eastAsia" w:ascii="宋体" w:hAnsi="宋体" w:eastAsia="宋体" w:cs="宋体"/>
          <w:color w:val="auto"/>
          <w:sz w:val="24"/>
          <w:szCs w:val="24"/>
          <w:highlight w:val="none"/>
          <w:lang w:val="en-US" w:eastAsia="zh-CN"/>
        </w:rPr>
        <w:t>及响应报价表</w:t>
      </w:r>
      <w:r>
        <w:rPr>
          <w:rFonts w:hint="eastAsia" w:ascii="宋体" w:hAnsi="宋体" w:eastAsia="宋体" w:cs="宋体"/>
          <w:color w:val="auto"/>
          <w:kern w:val="0"/>
          <w:sz w:val="24"/>
          <w:szCs w:val="24"/>
          <w:highlight w:val="none"/>
        </w:rPr>
        <w:t>；</w:t>
      </w:r>
    </w:p>
    <w:p w14:paraId="10A58039">
      <w:pPr>
        <w:pageBreakBefore w:val="0"/>
        <w:kinsoku/>
        <w:overflowPunct/>
        <w:topLinePunct w:val="0"/>
        <w:bidi w:val="0"/>
        <w:snapToGrid/>
        <w:spacing w:line="288" w:lineRule="auto"/>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（4）专用合同条款及其附件；</w:t>
      </w:r>
    </w:p>
    <w:p w14:paraId="0625B0E4">
      <w:pPr>
        <w:pageBreakBefore w:val="0"/>
        <w:kinsoku/>
        <w:overflowPunct/>
        <w:topLinePunct w:val="0"/>
        <w:bidi w:val="0"/>
        <w:snapToGrid/>
        <w:spacing w:line="288" w:lineRule="auto"/>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（5）通用合同条款；</w:t>
      </w:r>
    </w:p>
    <w:p w14:paraId="1ABFAA02">
      <w:pPr>
        <w:pageBreakBefore w:val="0"/>
        <w:kinsoku/>
        <w:overflowPunct/>
        <w:topLinePunct w:val="0"/>
        <w:bidi w:val="0"/>
        <w:snapToGrid/>
        <w:spacing w:line="288" w:lineRule="auto"/>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w:t>
      </w:r>
      <w:r>
        <w:rPr>
          <w:rFonts w:hint="eastAsia" w:ascii="宋体" w:hAnsi="宋体" w:eastAsia="宋体" w:cs="宋体"/>
          <w:color w:val="auto"/>
          <w:kern w:val="0"/>
          <w:sz w:val="24"/>
          <w:szCs w:val="24"/>
          <w:highlight w:val="none"/>
          <w:u w:val="single"/>
        </w:rPr>
        <w:t>已标价工程量清单或预算书</w:t>
      </w:r>
      <w:r>
        <w:rPr>
          <w:rFonts w:hint="eastAsia" w:ascii="宋体" w:hAnsi="宋体" w:eastAsia="宋体" w:cs="宋体"/>
          <w:color w:val="auto"/>
          <w:kern w:val="0"/>
          <w:sz w:val="24"/>
          <w:szCs w:val="24"/>
          <w:highlight w:val="none"/>
        </w:rPr>
        <w:t>；</w:t>
      </w:r>
    </w:p>
    <w:p w14:paraId="2DC4A04A">
      <w:pPr>
        <w:pageBreakBefore w:val="0"/>
        <w:kinsoku/>
        <w:overflowPunct/>
        <w:topLinePunct w:val="0"/>
        <w:bidi w:val="0"/>
        <w:snapToGrid/>
        <w:spacing w:line="288" w:lineRule="auto"/>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w:t>
      </w:r>
      <w:r>
        <w:rPr>
          <w:rFonts w:hint="eastAsia" w:ascii="宋体" w:hAnsi="宋体" w:eastAsia="宋体" w:cs="宋体"/>
          <w:color w:val="auto"/>
          <w:kern w:val="0"/>
          <w:sz w:val="24"/>
          <w:szCs w:val="24"/>
          <w:highlight w:val="none"/>
          <w:u w:val="single"/>
        </w:rPr>
        <w:t>技术标准和要求</w:t>
      </w:r>
      <w:r>
        <w:rPr>
          <w:rFonts w:hint="eastAsia" w:ascii="宋体" w:hAnsi="宋体" w:eastAsia="宋体" w:cs="宋体"/>
          <w:color w:val="auto"/>
          <w:kern w:val="0"/>
          <w:sz w:val="24"/>
          <w:szCs w:val="24"/>
          <w:highlight w:val="none"/>
        </w:rPr>
        <w:t>；</w:t>
      </w:r>
    </w:p>
    <w:p w14:paraId="2668C2BE">
      <w:pPr>
        <w:pageBreakBefore w:val="0"/>
        <w:kinsoku/>
        <w:overflowPunct/>
        <w:topLinePunct w:val="0"/>
        <w:bidi w:val="0"/>
        <w:snapToGrid/>
        <w:spacing w:line="288" w:lineRule="auto"/>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w:t>
      </w:r>
      <w:r>
        <w:rPr>
          <w:rFonts w:hint="eastAsia" w:ascii="宋体" w:hAnsi="宋体" w:eastAsia="宋体" w:cs="宋体"/>
          <w:color w:val="auto"/>
          <w:kern w:val="0"/>
          <w:sz w:val="24"/>
          <w:szCs w:val="24"/>
          <w:highlight w:val="none"/>
          <w:u w:val="single"/>
        </w:rPr>
        <w:t>图纸</w:t>
      </w:r>
      <w:r>
        <w:rPr>
          <w:rFonts w:hint="eastAsia" w:ascii="宋体" w:hAnsi="宋体" w:eastAsia="宋体" w:cs="宋体"/>
          <w:color w:val="auto"/>
          <w:kern w:val="0"/>
          <w:sz w:val="24"/>
          <w:szCs w:val="24"/>
          <w:highlight w:val="none"/>
        </w:rPr>
        <w:t>；</w:t>
      </w:r>
    </w:p>
    <w:p w14:paraId="1125597F">
      <w:pPr>
        <w:pageBreakBefore w:val="0"/>
        <w:kinsoku/>
        <w:overflowPunct/>
        <w:topLinePunct w:val="0"/>
        <w:bidi w:val="0"/>
        <w:snapToGrid/>
        <w:spacing w:line="288" w:lineRule="auto"/>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w:t>
      </w:r>
      <w:r>
        <w:rPr>
          <w:rFonts w:hint="eastAsia" w:ascii="宋体" w:hAnsi="宋体" w:eastAsia="宋体" w:cs="宋体"/>
          <w:color w:val="auto"/>
          <w:kern w:val="0"/>
          <w:sz w:val="24"/>
          <w:szCs w:val="24"/>
          <w:highlight w:val="none"/>
          <w:u w:val="single"/>
        </w:rPr>
        <w:t>其他合同文件</w:t>
      </w:r>
      <w:r>
        <w:rPr>
          <w:rFonts w:hint="eastAsia" w:ascii="宋体" w:hAnsi="宋体" w:eastAsia="宋体" w:cs="宋体"/>
          <w:color w:val="auto"/>
          <w:kern w:val="0"/>
          <w:sz w:val="24"/>
          <w:szCs w:val="24"/>
          <w:highlight w:val="none"/>
          <w:u w:val="single"/>
          <w:lang w:eastAsia="zh-CN"/>
        </w:rPr>
        <w:t>：</w:t>
      </w:r>
      <w:r>
        <w:rPr>
          <w:rFonts w:hint="eastAsia" w:ascii="宋体" w:hAnsi="宋体" w:eastAsia="宋体" w:cs="宋体"/>
          <w:color w:val="auto"/>
          <w:kern w:val="0"/>
          <w:sz w:val="24"/>
          <w:szCs w:val="24"/>
          <w:highlight w:val="none"/>
          <w:u w:val="single"/>
        </w:rPr>
        <w:t>采购文件及相关函件（含所有补充通知、答疑及相关函件）、发包人、承包人双方签署的补充合同、补充协议等</w:t>
      </w:r>
      <w:r>
        <w:rPr>
          <w:rFonts w:hint="eastAsia" w:ascii="宋体" w:hAnsi="宋体" w:eastAsia="宋体" w:cs="宋体"/>
          <w:color w:val="auto"/>
          <w:kern w:val="0"/>
          <w:sz w:val="24"/>
          <w:szCs w:val="24"/>
          <w:highlight w:val="none"/>
        </w:rPr>
        <w:t>。</w:t>
      </w:r>
    </w:p>
    <w:p w14:paraId="25C5D799">
      <w:pPr>
        <w:pageBreakBefore w:val="0"/>
        <w:kinsoku/>
        <w:overflowPunct/>
        <w:topLinePunct w:val="0"/>
        <w:bidi w:val="0"/>
        <w:snapToGrid/>
        <w:spacing w:line="288" w:lineRule="auto"/>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建设工程工程量清单计价规范（GB50500-2013）》及其广西实施细则及《关于建筑业实施营业税改征增值税后广西壮族自治区建设工程计价依据调整的通知》（桂建标〔2016〕17号）、《自治区住房城乡建设厅关于调整建设工程计价增值税税率的通知》（桂建标〔2018〕14号）、《建设工程工程量清单计算规范（GB50854~50862-2013）》及其广西实施细则（修订本）。</w:t>
      </w:r>
      <w:bookmarkStart w:id="243" w:name="_Toc407135199"/>
      <w:bookmarkStart w:id="244" w:name="_Toc9850527"/>
      <w:bookmarkStart w:id="245" w:name="_Toc6788"/>
    </w:p>
    <w:p w14:paraId="01D264BD">
      <w:pPr>
        <w:pageBreakBefore w:val="0"/>
        <w:kinsoku/>
        <w:overflowPunct/>
        <w:topLinePunct w:val="0"/>
        <w:bidi w:val="0"/>
        <w:snapToGrid/>
        <w:spacing w:line="28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 xml:space="preserve">上述各项合同文件包括合同当事人就该项合同文件所作出的补充和修改，属于同一类内容的文件，应以最新签署的为准（违反招标文件实质性内容的约定除外）。专用合同条款及其附件须经合同当事人签字或盖章。 </w:t>
      </w:r>
    </w:p>
    <w:p w14:paraId="0679BB2F">
      <w:pPr>
        <w:pageBreakBefore w:val="0"/>
        <w:kinsoku/>
        <w:overflowPunct/>
        <w:topLinePunct w:val="0"/>
        <w:bidi w:val="0"/>
        <w:snapToGrid/>
        <w:spacing w:line="288" w:lineRule="auto"/>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1.6 图纸和承包人文件</w:t>
      </w:r>
      <w:bookmarkEnd w:id="243"/>
      <w:bookmarkEnd w:id="244"/>
      <w:bookmarkEnd w:id="245"/>
      <w:r>
        <w:rPr>
          <w:rFonts w:hint="eastAsia" w:ascii="宋体" w:hAnsi="宋体" w:eastAsia="宋体" w:cs="宋体"/>
          <w:b/>
          <w:bCs/>
          <w:color w:val="auto"/>
          <w:sz w:val="24"/>
          <w:szCs w:val="24"/>
          <w:highlight w:val="none"/>
        </w:rPr>
        <w:tab/>
      </w:r>
    </w:p>
    <w:p w14:paraId="553000B9">
      <w:pPr>
        <w:pageBreakBefore w:val="0"/>
        <w:kinsoku/>
        <w:overflowPunct/>
        <w:topLinePunct w:val="0"/>
        <w:bidi w:val="0"/>
        <w:snapToGrid/>
        <w:spacing w:line="28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1.6.1 图纸的提供</w:t>
      </w:r>
    </w:p>
    <w:p w14:paraId="256F7306">
      <w:pPr>
        <w:pageBreakBefore w:val="0"/>
        <w:kinsoku/>
        <w:overflowPunct/>
        <w:topLinePunct w:val="0"/>
        <w:bidi w:val="0"/>
        <w:snapToGrid/>
        <w:spacing w:line="28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发包人向承包人提供图纸的期限：</w:t>
      </w:r>
      <w:r>
        <w:rPr>
          <w:rFonts w:hint="eastAsia" w:ascii="宋体" w:hAnsi="宋体" w:eastAsia="宋体" w:cs="宋体"/>
          <w:color w:val="auto"/>
          <w:sz w:val="24"/>
          <w:szCs w:val="24"/>
          <w:highlight w:val="none"/>
          <w:u w:val="single"/>
        </w:rPr>
        <w:t>合同生效后7天内</w:t>
      </w:r>
      <w:r>
        <w:rPr>
          <w:rFonts w:hint="eastAsia" w:ascii="宋体" w:hAnsi="宋体" w:eastAsia="宋体" w:cs="宋体"/>
          <w:color w:val="auto"/>
          <w:sz w:val="24"/>
          <w:szCs w:val="24"/>
          <w:highlight w:val="none"/>
        </w:rPr>
        <w:t>；</w:t>
      </w:r>
    </w:p>
    <w:p w14:paraId="61B821B2">
      <w:pPr>
        <w:pageBreakBefore w:val="0"/>
        <w:kinsoku/>
        <w:overflowPunct/>
        <w:topLinePunct w:val="0"/>
        <w:bidi w:val="0"/>
        <w:snapToGrid/>
        <w:spacing w:line="28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发包人向承包人提供图纸的数量：</w:t>
      </w:r>
      <w:r>
        <w:rPr>
          <w:rFonts w:hint="eastAsia" w:ascii="宋体" w:hAnsi="宋体" w:eastAsia="宋体" w:cs="宋体"/>
          <w:color w:val="auto"/>
          <w:sz w:val="24"/>
          <w:szCs w:val="24"/>
          <w:highlight w:val="none"/>
          <w:u w:val="single"/>
        </w:rPr>
        <w:t>壹套，承包人需要增加图纸套数的，发包人应代为复制，复制费用由承包人承担</w:t>
      </w:r>
      <w:r>
        <w:rPr>
          <w:rFonts w:hint="eastAsia" w:ascii="宋体" w:hAnsi="宋体" w:eastAsia="宋体" w:cs="宋体"/>
          <w:color w:val="auto"/>
          <w:sz w:val="24"/>
          <w:szCs w:val="24"/>
          <w:highlight w:val="none"/>
        </w:rPr>
        <w:t>；</w:t>
      </w:r>
    </w:p>
    <w:p w14:paraId="63E9D529">
      <w:pPr>
        <w:pageBreakBefore w:val="0"/>
        <w:kinsoku/>
        <w:overflowPunct/>
        <w:topLinePunct w:val="0"/>
        <w:bidi w:val="0"/>
        <w:snapToGrid/>
        <w:spacing w:line="28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发包人向承包人提供图纸的内容：本合同发包内容中的全部图纸（含设计变更）。</w:t>
      </w:r>
    </w:p>
    <w:p w14:paraId="14D4D5F9">
      <w:pPr>
        <w:pageBreakBefore w:val="0"/>
        <w:kinsoku/>
        <w:overflowPunct/>
        <w:topLinePunct w:val="0"/>
        <w:bidi w:val="0"/>
        <w:snapToGrid/>
        <w:spacing w:line="28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1.6.4 承包人文件</w:t>
      </w:r>
    </w:p>
    <w:p w14:paraId="51F89CD3">
      <w:pPr>
        <w:pageBreakBefore w:val="0"/>
        <w:kinsoku/>
        <w:overflowPunct/>
        <w:topLinePunct w:val="0"/>
        <w:bidi w:val="0"/>
        <w:snapToGrid/>
        <w:spacing w:line="288" w:lineRule="auto"/>
        <w:ind w:firstLine="480" w:firstLineChars="200"/>
        <w:jc w:val="lef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需要由承包人提供的文件，包括：</w:t>
      </w:r>
      <w:r>
        <w:rPr>
          <w:rFonts w:hint="eastAsia" w:ascii="宋体" w:hAnsi="宋体" w:eastAsia="宋体" w:cs="宋体"/>
          <w:color w:val="auto"/>
          <w:sz w:val="24"/>
          <w:szCs w:val="24"/>
          <w:highlight w:val="none"/>
          <w:u w:val="single"/>
        </w:rPr>
        <w:t>开工前3天应提供完善的施工组织设计和安全专项方案，及报建程序所需要的所有资料，其他需要由承包人提供的文件由双方另行确定</w:t>
      </w:r>
      <w:r>
        <w:rPr>
          <w:rFonts w:hint="eastAsia" w:ascii="宋体" w:hAnsi="宋体" w:eastAsia="宋体" w:cs="宋体"/>
          <w:color w:val="auto"/>
          <w:sz w:val="24"/>
          <w:szCs w:val="24"/>
          <w:highlight w:val="none"/>
        </w:rPr>
        <w:t>；</w:t>
      </w:r>
    </w:p>
    <w:p w14:paraId="02364220">
      <w:pPr>
        <w:pageBreakBefore w:val="0"/>
        <w:kinsoku/>
        <w:overflowPunct/>
        <w:topLinePunct w:val="0"/>
        <w:bidi w:val="0"/>
        <w:snapToGrid/>
        <w:spacing w:line="28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承包人提供的文件的期限为：开工前；</w:t>
      </w:r>
    </w:p>
    <w:p w14:paraId="4C909435">
      <w:pPr>
        <w:pageBreakBefore w:val="0"/>
        <w:kinsoku/>
        <w:overflowPunct/>
        <w:topLinePunct w:val="0"/>
        <w:bidi w:val="0"/>
        <w:snapToGrid/>
        <w:spacing w:line="28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承包人提供的文件的数量为：按实提供；</w:t>
      </w:r>
    </w:p>
    <w:p w14:paraId="0B1C94EE">
      <w:pPr>
        <w:pageBreakBefore w:val="0"/>
        <w:kinsoku/>
        <w:overflowPunct/>
        <w:topLinePunct w:val="0"/>
        <w:bidi w:val="0"/>
        <w:snapToGrid/>
        <w:spacing w:line="28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承包人提供的文件的形式为：纸质；</w:t>
      </w:r>
    </w:p>
    <w:p w14:paraId="714D6115">
      <w:pPr>
        <w:pageBreakBefore w:val="0"/>
        <w:kinsoku/>
        <w:overflowPunct/>
        <w:topLinePunct w:val="0"/>
        <w:bidi w:val="0"/>
        <w:snapToGrid/>
        <w:spacing w:line="28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发包人审批承包人文件的期限：收到承包人提供的文件后14天。</w:t>
      </w:r>
    </w:p>
    <w:p w14:paraId="3DC5027D">
      <w:pPr>
        <w:pageBreakBefore w:val="0"/>
        <w:kinsoku/>
        <w:overflowPunct/>
        <w:topLinePunct w:val="0"/>
        <w:bidi w:val="0"/>
        <w:snapToGrid/>
        <w:spacing w:line="28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1.6.5 现场图纸准备</w:t>
      </w:r>
    </w:p>
    <w:p w14:paraId="7D8E8157">
      <w:pPr>
        <w:pageBreakBefore w:val="0"/>
        <w:kinsoku/>
        <w:overflowPunct/>
        <w:topLinePunct w:val="0"/>
        <w:bidi w:val="0"/>
        <w:snapToGrid/>
        <w:spacing w:line="28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关于现场图纸准备的约定：</w:t>
      </w:r>
      <w:r>
        <w:rPr>
          <w:rFonts w:hint="eastAsia" w:ascii="宋体" w:hAnsi="宋体" w:eastAsia="宋体" w:cs="宋体"/>
          <w:color w:val="auto"/>
          <w:sz w:val="24"/>
          <w:szCs w:val="24"/>
          <w:highlight w:val="none"/>
          <w:u w:val="single"/>
        </w:rPr>
        <w:t>执行通用条款</w:t>
      </w:r>
      <w:r>
        <w:rPr>
          <w:rFonts w:hint="eastAsia" w:ascii="宋体" w:hAnsi="宋体" w:eastAsia="宋体" w:cs="宋体"/>
          <w:color w:val="auto"/>
          <w:sz w:val="24"/>
          <w:szCs w:val="24"/>
          <w:highlight w:val="none"/>
          <w:u w:val="none"/>
        </w:rPr>
        <w:t>。</w:t>
      </w:r>
    </w:p>
    <w:p w14:paraId="725EA802">
      <w:pPr>
        <w:pageBreakBefore w:val="0"/>
        <w:kinsoku/>
        <w:overflowPunct/>
        <w:topLinePunct w:val="0"/>
        <w:bidi w:val="0"/>
        <w:snapToGrid/>
        <w:spacing w:line="288" w:lineRule="auto"/>
        <w:textAlignment w:val="auto"/>
        <w:rPr>
          <w:rFonts w:hint="eastAsia" w:ascii="宋体" w:hAnsi="宋体" w:eastAsia="宋体" w:cs="宋体"/>
          <w:b/>
          <w:bCs/>
          <w:color w:val="auto"/>
          <w:sz w:val="24"/>
          <w:szCs w:val="24"/>
          <w:highlight w:val="none"/>
        </w:rPr>
      </w:pPr>
      <w:bookmarkStart w:id="246" w:name="_Toc9850528"/>
      <w:bookmarkStart w:id="247" w:name="_Toc407135200"/>
      <w:bookmarkStart w:id="248" w:name="_Toc13223"/>
      <w:r>
        <w:rPr>
          <w:rFonts w:hint="eastAsia" w:ascii="宋体" w:hAnsi="宋体" w:eastAsia="宋体" w:cs="宋体"/>
          <w:b/>
          <w:bCs/>
          <w:color w:val="auto"/>
          <w:sz w:val="24"/>
          <w:szCs w:val="24"/>
          <w:highlight w:val="none"/>
        </w:rPr>
        <w:t>1.7 联络</w:t>
      </w:r>
      <w:bookmarkEnd w:id="246"/>
      <w:bookmarkEnd w:id="247"/>
      <w:bookmarkEnd w:id="248"/>
    </w:p>
    <w:p w14:paraId="0E698EA4">
      <w:pPr>
        <w:pageBreakBefore w:val="0"/>
        <w:kinsoku/>
        <w:overflowPunct/>
        <w:topLinePunct w:val="0"/>
        <w:bidi w:val="0"/>
        <w:snapToGrid/>
        <w:spacing w:line="288" w:lineRule="auto"/>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1.7.1发包人和承包人应当在</w:t>
      </w:r>
      <w:r>
        <w:rPr>
          <w:rFonts w:hint="eastAsia" w:ascii="宋体" w:hAnsi="宋体" w:eastAsia="宋体" w:cs="宋体"/>
          <w:color w:val="auto"/>
          <w:sz w:val="24"/>
          <w:szCs w:val="24"/>
          <w:highlight w:val="none"/>
          <w:u w:val="single"/>
        </w:rPr>
        <w:t xml:space="preserve">  7  </w:t>
      </w:r>
      <w:r>
        <w:rPr>
          <w:rFonts w:hint="eastAsia" w:ascii="宋体" w:hAnsi="宋体" w:eastAsia="宋体" w:cs="宋体"/>
          <w:color w:val="auto"/>
          <w:kern w:val="0"/>
          <w:sz w:val="24"/>
          <w:szCs w:val="24"/>
          <w:highlight w:val="none"/>
        </w:rPr>
        <w:t>天内将与合同有关的通知、批准、证明、证书、指示、指令、要求、请求、同意、意见、确定和决定等书面函件送达对方当事人。</w:t>
      </w:r>
    </w:p>
    <w:p w14:paraId="1376F8EF">
      <w:pPr>
        <w:keepNext w:val="0"/>
        <w:keepLines w:val="0"/>
        <w:pageBreakBefore w:val="0"/>
        <w:widowControl w:val="0"/>
        <w:suppressLineNumbers w:val="0"/>
        <w:kinsoku/>
        <w:overflowPunct/>
        <w:topLinePunct w:val="0"/>
        <w:bidi w:val="0"/>
        <w:snapToGrid/>
        <w:spacing w:before="0" w:beforeAutospacing="0" w:after="0" w:afterAutospacing="0" w:line="288" w:lineRule="auto"/>
        <w:ind w:left="0" w:right="0" w:firstLine="480" w:firstLineChars="200"/>
        <w:jc w:val="both"/>
        <w:textAlignment w:val="auto"/>
        <w:outlineLvl w:val="2"/>
        <w:rPr>
          <w:rFonts w:hint="eastAsia" w:ascii="宋体" w:hAnsi="宋体" w:eastAsia="宋体" w:cs="宋体"/>
          <w:color w:val="auto"/>
          <w:kern w:val="0"/>
          <w:sz w:val="24"/>
          <w:szCs w:val="24"/>
          <w:highlight w:val="none"/>
          <w:u w:val="single"/>
          <w:lang w:val="en-US"/>
        </w:rPr>
      </w:pPr>
      <w:bookmarkStart w:id="249" w:name="_Toc3544"/>
      <w:r>
        <w:rPr>
          <w:rFonts w:hint="eastAsia" w:ascii="宋体" w:hAnsi="宋体" w:eastAsia="宋体" w:cs="宋体"/>
          <w:color w:val="auto"/>
          <w:kern w:val="0"/>
          <w:sz w:val="24"/>
          <w:szCs w:val="24"/>
          <w:highlight w:val="none"/>
          <w:lang w:val="en-US" w:eastAsia="zh-CN" w:bidi="ar"/>
        </w:rPr>
        <w:t>1.7.2 发包人接收文件的地点：</w:t>
      </w:r>
      <w:r>
        <w:rPr>
          <w:rFonts w:hint="eastAsia" w:ascii="宋体" w:hAnsi="宋体" w:eastAsia="宋体" w:cs="宋体"/>
          <w:color w:val="auto"/>
          <w:kern w:val="0"/>
          <w:sz w:val="24"/>
          <w:szCs w:val="24"/>
          <w:highlight w:val="none"/>
          <w:u w:val="single"/>
          <w:lang w:val="en-US" w:eastAsia="zh-CN" w:bidi="ar"/>
        </w:rPr>
        <w:t xml:space="preserve">  发包人办公室 ；</w:t>
      </w:r>
      <w:bookmarkEnd w:id="249"/>
    </w:p>
    <w:p w14:paraId="2DE433F8">
      <w:pPr>
        <w:keepNext w:val="0"/>
        <w:keepLines w:val="0"/>
        <w:pageBreakBefore w:val="0"/>
        <w:widowControl w:val="0"/>
        <w:suppressLineNumbers w:val="0"/>
        <w:kinsoku/>
        <w:overflowPunct/>
        <w:topLinePunct w:val="0"/>
        <w:bidi w:val="0"/>
        <w:snapToGrid/>
        <w:spacing w:before="0" w:beforeAutospacing="0" w:after="0" w:afterAutospacing="0" w:line="288" w:lineRule="auto"/>
        <w:ind w:left="0" w:right="0" w:firstLine="480" w:firstLineChars="200"/>
        <w:jc w:val="both"/>
        <w:textAlignment w:val="auto"/>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lang w:val="en-US" w:eastAsia="zh-CN" w:bidi="ar"/>
        </w:rPr>
        <w:t>发包人指定的接收人为：</w:t>
      </w:r>
      <w:r>
        <w:rPr>
          <w:rFonts w:hint="eastAsia" w:ascii="宋体" w:hAnsi="宋体" w:eastAsia="宋体" w:cs="宋体"/>
          <w:color w:val="auto"/>
          <w:kern w:val="2"/>
          <w:sz w:val="24"/>
          <w:szCs w:val="24"/>
          <w:highlight w:val="none"/>
          <w:u w:val="single"/>
          <w:lang w:val="en-US" w:eastAsia="zh-CN" w:bidi="ar"/>
        </w:rPr>
        <w:t xml:space="preserve">   发包人现场代表  </w:t>
      </w:r>
      <w:r>
        <w:rPr>
          <w:rFonts w:hint="eastAsia" w:ascii="宋体" w:hAnsi="宋体" w:eastAsia="宋体" w:cs="宋体"/>
          <w:color w:val="auto"/>
          <w:kern w:val="0"/>
          <w:sz w:val="24"/>
          <w:szCs w:val="24"/>
          <w:highlight w:val="none"/>
          <w:lang w:val="en-US" w:eastAsia="zh-CN" w:bidi="ar"/>
        </w:rPr>
        <w:t>。</w:t>
      </w:r>
    </w:p>
    <w:p w14:paraId="5B8AF0FD">
      <w:pPr>
        <w:keepNext w:val="0"/>
        <w:keepLines w:val="0"/>
        <w:pageBreakBefore w:val="0"/>
        <w:widowControl w:val="0"/>
        <w:suppressLineNumbers w:val="0"/>
        <w:kinsoku/>
        <w:overflowPunct/>
        <w:topLinePunct w:val="0"/>
        <w:bidi w:val="0"/>
        <w:snapToGrid/>
        <w:spacing w:before="0" w:beforeAutospacing="0" w:after="0" w:afterAutospacing="0" w:line="288" w:lineRule="auto"/>
        <w:ind w:left="0" w:right="0" w:firstLine="480" w:firstLineChars="200"/>
        <w:jc w:val="both"/>
        <w:textAlignment w:val="auto"/>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lang w:val="en-US" w:eastAsia="zh-CN" w:bidi="ar"/>
        </w:rPr>
        <w:t>承包人接收文件的地点：</w:t>
      </w:r>
      <w:r>
        <w:rPr>
          <w:rFonts w:hint="eastAsia" w:ascii="宋体" w:hAnsi="宋体" w:eastAsia="宋体" w:cs="宋体"/>
          <w:color w:val="auto"/>
          <w:kern w:val="2"/>
          <w:sz w:val="24"/>
          <w:szCs w:val="24"/>
          <w:highlight w:val="none"/>
          <w:u w:val="single"/>
          <w:lang w:val="en-US" w:eastAsia="zh-CN" w:bidi="ar"/>
        </w:rPr>
        <w:t xml:space="preserve">  项目所在地承包人项目部  </w:t>
      </w:r>
      <w:r>
        <w:rPr>
          <w:rFonts w:hint="eastAsia" w:ascii="宋体" w:hAnsi="宋体" w:eastAsia="宋体" w:cs="宋体"/>
          <w:color w:val="auto"/>
          <w:kern w:val="0"/>
          <w:sz w:val="24"/>
          <w:szCs w:val="24"/>
          <w:highlight w:val="none"/>
          <w:lang w:val="en-US" w:eastAsia="zh-CN" w:bidi="ar"/>
        </w:rPr>
        <w:t>；</w:t>
      </w:r>
    </w:p>
    <w:p w14:paraId="0D682CCA">
      <w:pPr>
        <w:keepNext w:val="0"/>
        <w:keepLines w:val="0"/>
        <w:pageBreakBefore w:val="0"/>
        <w:widowControl w:val="0"/>
        <w:suppressLineNumbers w:val="0"/>
        <w:kinsoku/>
        <w:overflowPunct/>
        <w:topLinePunct w:val="0"/>
        <w:bidi w:val="0"/>
        <w:snapToGrid/>
        <w:spacing w:before="0" w:beforeAutospacing="0" w:after="0" w:afterAutospacing="0" w:line="288" w:lineRule="auto"/>
        <w:ind w:left="0" w:right="0" w:firstLine="480" w:firstLineChars="200"/>
        <w:jc w:val="both"/>
        <w:textAlignment w:val="auto"/>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lang w:val="en-US" w:eastAsia="zh-CN" w:bidi="ar"/>
        </w:rPr>
        <w:t>承包人指定的接收人为：</w:t>
      </w:r>
      <w:r>
        <w:rPr>
          <w:rFonts w:hint="eastAsia" w:ascii="宋体" w:hAnsi="宋体" w:eastAsia="宋体" w:cs="宋体"/>
          <w:color w:val="auto"/>
          <w:kern w:val="0"/>
          <w:sz w:val="24"/>
          <w:szCs w:val="24"/>
          <w:highlight w:val="none"/>
          <w:u w:val="single"/>
          <w:lang w:val="en-US" w:eastAsia="zh-CN" w:bidi="ar"/>
        </w:rPr>
        <w:t>承办人项目经理</w:t>
      </w:r>
      <w:r>
        <w:rPr>
          <w:rFonts w:hint="eastAsia" w:ascii="宋体" w:hAnsi="宋体" w:eastAsia="宋体" w:cs="宋体"/>
          <w:color w:val="auto"/>
          <w:kern w:val="0"/>
          <w:sz w:val="24"/>
          <w:szCs w:val="24"/>
          <w:highlight w:val="none"/>
          <w:lang w:val="en-US" w:eastAsia="zh-CN" w:bidi="ar"/>
        </w:rPr>
        <w:t>。</w:t>
      </w:r>
    </w:p>
    <w:p w14:paraId="7A3C12B6">
      <w:pPr>
        <w:keepNext w:val="0"/>
        <w:keepLines w:val="0"/>
        <w:pageBreakBefore w:val="0"/>
        <w:widowControl w:val="0"/>
        <w:suppressLineNumbers w:val="0"/>
        <w:kinsoku/>
        <w:overflowPunct/>
        <w:topLinePunct w:val="0"/>
        <w:bidi w:val="0"/>
        <w:snapToGrid/>
        <w:spacing w:before="0" w:beforeAutospacing="0" w:after="0" w:afterAutospacing="0" w:line="288" w:lineRule="auto"/>
        <w:ind w:left="0" w:right="0" w:firstLine="480" w:firstLineChars="200"/>
        <w:jc w:val="both"/>
        <w:textAlignment w:val="auto"/>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lang w:val="en-US" w:eastAsia="zh-CN" w:bidi="ar"/>
        </w:rPr>
        <w:t>监理人接收文件的地点：</w:t>
      </w:r>
      <w:r>
        <w:rPr>
          <w:rFonts w:hint="eastAsia" w:ascii="宋体" w:hAnsi="宋体" w:eastAsia="宋体" w:cs="宋体"/>
          <w:color w:val="auto"/>
          <w:kern w:val="2"/>
          <w:sz w:val="24"/>
          <w:szCs w:val="24"/>
          <w:highlight w:val="none"/>
          <w:u w:val="single"/>
          <w:lang w:val="en-US" w:eastAsia="zh-CN" w:bidi="ar"/>
        </w:rPr>
        <w:t>项目所在地监理人办公室</w:t>
      </w:r>
      <w:r>
        <w:rPr>
          <w:rFonts w:hint="eastAsia" w:ascii="宋体" w:hAnsi="宋体" w:eastAsia="宋体" w:cs="宋体"/>
          <w:color w:val="auto"/>
          <w:kern w:val="0"/>
          <w:sz w:val="24"/>
          <w:szCs w:val="24"/>
          <w:highlight w:val="none"/>
          <w:lang w:val="en-US" w:eastAsia="zh-CN" w:bidi="ar"/>
        </w:rPr>
        <w:t>；</w:t>
      </w:r>
    </w:p>
    <w:p w14:paraId="398888EC">
      <w:pPr>
        <w:keepNext w:val="0"/>
        <w:keepLines w:val="0"/>
        <w:pageBreakBefore w:val="0"/>
        <w:widowControl w:val="0"/>
        <w:suppressLineNumbers w:val="0"/>
        <w:kinsoku/>
        <w:overflowPunct/>
        <w:topLinePunct w:val="0"/>
        <w:bidi w:val="0"/>
        <w:snapToGrid/>
        <w:spacing w:before="0" w:beforeAutospacing="0" w:after="0" w:afterAutospacing="0" w:line="288" w:lineRule="auto"/>
        <w:ind w:left="0" w:right="0" w:firstLine="480" w:firstLineChars="200"/>
        <w:jc w:val="both"/>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kern w:val="0"/>
          <w:sz w:val="24"/>
          <w:szCs w:val="24"/>
          <w:highlight w:val="none"/>
          <w:lang w:val="en-US" w:eastAsia="zh-CN" w:bidi="ar"/>
        </w:rPr>
        <w:t>监理人指定的接收人为：</w:t>
      </w:r>
      <w:r>
        <w:rPr>
          <w:rFonts w:hint="eastAsia" w:ascii="宋体" w:hAnsi="宋体" w:eastAsia="宋体" w:cs="宋体"/>
          <w:color w:val="auto"/>
          <w:kern w:val="2"/>
          <w:sz w:val="24"/>
          <w:szCs w:val="24"/>
          <w:highlight w:val="none"/>
          <w:u w:val="single"/>
          <w:lang w:val="en-US" w:eastAsia="zh-CN" w:bidi="ar"/>
        </w:rPr>
        <w:t xml:space="preserve">总监理工程师 </w:t>
      </w:r>
      <w:r>
        <w:rPr>
          <w:rFonts w:hint="eastAsia" w:ascii="宋体" w:hAnsi="宋体" w:eastAsia="宋体" w:cs="宋体"/>
          <w:color w:val="auto"/>
          <w:kern w:val="0"/>
          <w:sz w:val="24"/>
          <w:szCs w:val="24"/>
          <w:highlight w:val="none"/>
          <w:lang w:val="en-US" w:eastAsia="zh-CN" w:bidi="ar"/>
        </w:rPr>
        <w:t>。</w:t>
      </w:r>
    </w:p>
    <w:p w14:paraId="05591961">
      <w:pPr>
        <w:pageBreakBefore w:val="0"/>
        <w:kinsoku/>
        <w:overflowPunct/>
        <w:topLinePunct w:val="0"/>
        <w:bidi w:val="0"/>
        <w:snapToGrid/>
        <w:spacing w:line="288" w:lineRule="auto"/>
        <w:textAlignment w:val="auto"/>
        <w:rPr>
          <w:rFonts w:hint="eastAsia" w:ascii="宋体" w:hAnsi="宋体" w:eastAsia="宋体" w:cs="宋体"/>
          <w:b/>
          <w:bCs/>
          <w:color w:val="auto"/>
          <w:sz w:val="24"/>
          <w:szCs w:val="24"/>
          <w:highlight w:val="none"/>
        </w:rPr>
      </w:pPr>
      <w:bookmarkStart w:id="250" w:name="_Toc9850529"/>
      <w:bookmarkStart w:id="251" w:name="_Toc407135201"/>
      <w:bookmarkStart w:id="252" w:name="_Toc29670"/>
      <w:r>
        <w:rPr>
          <w:rFonts w:hint="eastAsia" w:ascii="宋体" w:hAnsi="宋体" w:eastAsia="宋体" w:cs="宋体"/>
          <w:b/>
          <w:bCs/>
          <w:color w:val="auto"/>
          <w:sz w:val="24"/>
          <w:szCs w:val="24"/>
          <w:highlight w:val="none"/>
        </w:rPr>
        <w:t>1.10 交通运输</w:t>
      </w:r>
      <w:bookmarkEnd w:id="250"/>
      <w:bookmarkEnd w:id="251"/>
      <w:bookmarkEnd w:id="252"/>
    </w:p>
    <w:p w14:paraId="4221D4EF">
      <w:pPr>
        <w:pageBreakBefore w:val="0"/>
        <w:kinsoku/>
        <w:overflowPunct/>
        <w:topLinePunct w:val="0"/>
        <w:bidi w:val="0"/>
        <w:snapToGrid/>
        <w:spacing w:line="28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1.10.1 出入现场的权利</w:t>
      </w:r>
    </w:p>
    <w:p w14:paraId="2A911473">
      <w:pPr>
        <w:pageBreakBefore w:val="0"/>
        <w:kinsoku/>
        <w:overflowPunct/>
        <w:topLinePunct w:val="0"/>
        <w:bidi w:val="0"/>
        <w:snapToGrid/>
        <w:spacing w:line="288" w:lineRule="auto"/>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关于出入现场的权利的约定：</w:t>
      </w:r>
      <w:r>
        <w:rPr>
          <w:rFonts w:hint="eastAsia" w:ascii="宋体" w:hAnsi="宋体" w:eastAsia="宋体" w:cs="宋体"/>
          <w:color w:val="auto"/>
          <w:sz w:val="24"/>
          <w:szCs w:val="24"/>
          <w:highlight w:val="none"/>
          <w:u w:val="single"/>
        </w:rPr>
        <w:t>承包人负责办理取得道路通行权、场外设施修建权，其相关费用由承包人承担；负责施工所需的场内临时道路和交通设施的修建、维护、养护和管理，相关费用由承包人承担。发包人有权无偿使用承包人修建的临时道路和交通设施，不需要缴纳任何费用</w:t>
      </w:r>
      <w:r>
        <w:rPr>
          <w:rFonts w:hint="eastAsia" w:ascii="宋体" w:hAnsi="宋体" w:eastAsia="宋体" w:cs="宋体"/>
          <w:color w:val="auto"/>
          <w:sz w:val="24"/>
          <w:szCs w:val="24"/>
          <w:highlight w:val="none"/>
        </w:rPr>
        <w:t>。</w:t>
      </w:r>
    </w:p>
    <w:p w14:paraId="18E207A4">
      <w:pPr>
        <w:pageBreakBefore w:val="0"/>
        <w:kinsoku/>
        <w:overflowPunct/>
        <w:topLinePunct w:val="0"/>
        <w:bidi w:val="0"/>
        <w:snapToGrid/>
        <w:spacing w:line="288"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1.10.3 场内交通</w:t>
      </w:r>
    </w:p>
    <w:p w14:paraId="03DF41E3">
      <w:pPr>
        <w:pageBreakBefore w:val="0"/>
        <w:kinsoku/>
        <w:overflowPunct/>
        <w:topLinePunct w:val="0"/>
        <w:bidi w:val="0"/>
        <w:snapToGrid/>
        <w:spacing w:line="288"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关于场外交通和场内交通的边界的约定：</w:t>
      </w:r>
      <w:r>
        <w:rPr>
          <w:rFonts w:hint="eastAsia" w:ascii="宋体" w:hAnsi="宋体" w:eastAsia="宋体" w:cs="宋体"/>
          <w:color w:val="auto"/>
          <w:sz w:val="24"/>
          <w:szCs w:val="24"/>
          <w:highlight w:val="none"/>
          <w:u w:val="single"/>
        </w:rPr>
        <w:t>红线范围外的为场外交通、红线范围内的为场内交通</w:t>
      </w:r>
      <w:r>
        <w:rPr>
          <w:rFonts w:hint="eastAsia" w:ascii="宋体" w:hAnsi="宋体" w:eastAsia="宋体" w:cs="宋体"/>
          <w:color w:val="auto"/>
          <w:sz w:val="24"/>
          <w:szCs w:val="24"/>
          <w:highlight w:val="none"/>
        </w:rPr>
        <w:t>。</w:t>
      </w:r>
    </w:p>
    <w:p w14:paraId="79896498">
      <w:pPr>
        <w:pageBreakBefore w:val="0"/>
        <w:kinsoku/>
        <w:overflowPunct/>
        <w:topLinePunct w:val="0"/>
        <w:bidi w:val="0"/>
        <w:snapToGrid/>
        <w:spacing w:line="288"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关于发包人向承包人免费提供满足工程施工需要的场内道路和交通设施的约定：</w:t>
      </w:r>
      <w:r>
        <w:rPr>
          <w:rFonts w:hint="eastAsia" w:ascii="宋体" w:hAnsi="宋体" w:eastAsia="宋体" w:cs="宋体"/>
          <w:color w:val="auto"/>
          <w:sz w:val="24"/>
          <w:szCs w:val="24"/>
          <w:highlight w:val="none"/>
          <w:u w:val="single"/>
        </w:rPr>
        <w:t>场地原有道路及硬化区域</w:t>
      </w:r>
      <w:r>
        <w:rPr>
          <w:rFonts w:hint="eastAsia" w:ascii="宋体" w:hAnsi="宋体" w:eastAsia="宋体" w:cs="宋体"/>
          <w:color w:val="auto"/>
          <w:sz w:val="24"/>
          <w:szCs w:val="24"/>
          <w:highlight w:val="none"/>
        </w:rPr>
        <w:t>。</w:t>
      </w:r>
    </w:p>
    <w:p w14:paraId="63B15CAB">
      <w:pPr>
        <w:pageBreakBefore w:val="0"/>
        <w:kinsoku/>
        <w:overflowPunct/>
        <w:topLinePunct w:val="0"/>
        <w:bidi w:val="0"/>
        <w:snapToGrid/>
        <w:spacing w:line="288"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1.10.4 超大件和超重件的运输</w:t>
      </w:r>
    </w:p>
    <w:p w14:paraId="5758D311">
      <w:pPr>
        <w:pageBreakBefore w:val="0"/>
        <w:kinsoku/>
        <w:overflowPunct/>
        <w:topLinePunct w:val="0"/>
        <w:bidi w:val="0"/>
        <w:snapToGrid/>
        <w:spacing w:line="288" w:lineRule="auto"/>
        <w:ind w:firstLine="480" w:firstLineChars="200"/>
        <w:jc w:val="lef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运输超大件或超重件所需的道路和桥梁临时加固改造费用和其他有关费用由</w:t>
      </w:r>
      <w:r>
        <w:rPr>
          <w:rFonts w:hint="eastAsia" w:ascii="宋体" w:hAnsi="宋体" w:eastAsia="宋体" w:cs="宋体"/>
          <w:color w:val="auto"/>
          <w:sz w:val="24"/>
          <w:szCs w:val="24"/>
          <w:highlight w:val="none"/>
          <w:u w:val="single"/>
        </w:rPr>
        <w:t>承包人</w:t>
      </w:r>
      <w:r>
        <w:rPr>
          <w:rFonts w:hint="eastAsia" w:ascii="宋体" w:hAnsi="宋体" w:eastAsia="宋体" w:cs="宋体"/>
          <w:color w:val="auto"/>
          <w:sz w:val="24"/>
          <w:szCs w:val="24"/>
          <w:highlight w:val="none"/>
        </w:rPr>
        <w:t>承担。</w:t>
      </w:r>
    </w:p>
    <w:p w14:paraId="37050DED">
      <w:pPr>
        <w:pageBreakBefore w:val="0"/>
        <w:kinsoku/>
        <w:overflowPunct/>
        <w:topLinePunct w:val="0"/>
        <w:bidi w:val="0"/>
        <w:snapToGrid/>
        <w:spacing w:line="288" w:lineRule="auto"/>
        <w:textAlignment w:val="auto"/>
        <w:rPr>
          <w:rFonts w:hint="eastAsia" w:ascii="宋体" w:hAnsi="宋体" w:eastAsia="宋体" w:cs="宋体"/>
          <w:b/>
          <w:bCs/>
          <w:color w:val="auto"/>
          <w:sz w:val="24"/>
          <w:szCs w:val="24"/>
          <w:highlight w:val="none"/>
        </w:rPr>
      </w:pPr>
      <w:bookmarkStart w:id="253" w:name="_Toc407135202"/>
      <w:bookmarkStart w:id="254" w:name="_Toc21671"/>
      <w:bookmarkStart w:id="255" w:name="_Toc9850530"/>
      <w:r>
        <w:rPr>
          <w:rFonts w:hint="eastAsia" w:ascii="宋体" w:hAnsi="宋体" w:eastAsia="宋体" w:cs="宋体"/>
          <w:b/>
          <w:bCs/>
          <w:color w:val="auto"/>
          <w:sz w:val="24"/>
          <w:szCs w:val="24"/>
          <w:highlight w:val="none"/>
        </w:rPr>
        <w:t>1.11 知识产权</w:t>
      </w:r>
      <w:bookmarkEnd w:id="253"/>
      <w:bookmarkEnd w:id="254"/>
      <w:bookmarkEnd w:id="255"/>
    </w:p>
    <w:p w14:paraId="209D6FBA">
      <w:pPr>
        <w:pageBreakBefore w:val="0"/>
        <w:kinsoku/>
        <w:overflowPunct/>
        <w:topLinePunct w:val="0"/>
        <w:bidi w:val="0"/>
        <w:snapToGrid/>
        <w:spacing w:line="28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1.11.1 关于发包人提供给承包人的图纸、发包人为实施工程自行编制或委托编制的技术规范以及反映发包人关于合同要求或其他类似性质的文件的著作权的归属：</w:t>
      </w:r>
      <w:r>
        <w:rPr>
          <w:rFonts w:hint="eastAsia" w:ascii="宋体" w:hAnsi="宋体" w:eastAsia="宋体" w:cs="宋体"/>
          <w:color w:val="auto"/>
          <w:kern w:val="2"/>
          <w:sz w:val="24"/>
          <w:szCs w:val="24"/>
          <w:highlight w:val="none"/>
          <w:u w:val="single"/>
          <w:lang w:val="en-US" w:eastAsia="zh-CN" w:bidi="ar"/>
        </w:rPr>
        <w:t>执行通用条款1.11条</w:t>
      </w:r>
      <w:r>
        <w:rPr>
          <w:rFonts w:hint="eastAsia" w:ascii="宋体" w:hAnsi="宋体" w:eastAsia="宋体" w:cs="宋体"/>
          <w:color w:val="auto"/>
          <w:sz w:val="24"/>
          <w:szCs w:val="24"/>
          <w:highlight w:val="none"/>
        </w:rPr>
        <w:t>。</w:t>
      </w:r>
    </w:p>
    <w:p w14:paraId="2B80479D">
      <w:pPr>
        <w:pageBreakBefore w:val="0"/>
        <w:kinsoku/>
        <w:overflowPunct/>
        <w:topLinePunct w:val="0"/>
        <w:bidi w:val="0"/>
        <w:snapToGrid/>
        <w:spacing w:line="28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关于发包人提供的上述文件的使用限制的要求：</w:t>
      </w:r>
      <w:r>
        <w:rPr>
          <w:rFonts w:hint="eastAsia" w:ascii="宋体" w:hAnsi="宋体" w:eastAsia="宋体" w:cs="宋体"/>
          <w:color w:val="auto"/>
          <w:kern w:val="2"/>
          <w:sz w:val="24"/>
          <w:szCs w:val="24"/>
          <w:highlight w:val="none"/>
          <w:u w:val="single"/>
          <w:lang w:val="en-US" w:eastAsia="zh-CN" w:bidi="ar"/>
        </w:rPr>
        <w:t>仅使用于本项目的建设</w:t>
      </w:r>
      <w:r>
        <w:rPr>
          <w:rFonts w:hint="eastAsia" w:ascii="宋体" w:hAnsi="宋体" w:eastAsia="宋体" w:cs="宋体"/>
          <w:color w:val="auto"/>
          <w:sz w:val="24"/>
          <w:szCs w:val="24"/>
          <w:highlight w:val="none"/>
          <w:u w:val="single"/>
        </w:rPr>
        <w:t>。</w:t>
      </w:r>
    </w:p>
    <w:p w14:paraId="1D017F53">
      <w:pPr>
        <w:pageBreakBefore w:val="0"/>
        <w:kinsoku/>
        <w:overflowPunct/>
        <w:topLinePunct w:val="0"/>
        <w:bidi w:val="0"/>
        <w:snapToGrid/>
        <w:spacing w:line="28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1.11.2 关于承包人为实施工程所编制文件的著作权的归属：</w:t>
      </w:r>
      <w:r>
        <w:rPr>
          <w:rFonts w:hint="eastAsia" w:ascii="宋体" w:hAnsi="宋体" w:eastAsia="宋体" w:cs="宋体"/>
          <w:color w:val="auto"/>
          <w:kern w:val="2"/>
          <w:sz w:val="24"/>
          <w:szCs w:val="24"/>
          <w:highlight w:val="none"/>
          <w:u w:val="single"/>
          <w:lang w:val="en-US" w:eastAsia="zh-CN" w:bidi="ar"/>
        </w:rPr>
        <w:t>执行通用条款1.12条</w:t>
      </w:r>
      <w:r>
        <w:rPr>
          <w:rFonts w:hint="eastAsia" w:ascii="宋体" w:hAnsi="宋体" w:eastAsia="宋体" w:cs="宋体"/>
          <w:color w:val="auto"/>
          <w:sz w:val="24"/>
          <w:szCs w:val="24"/>
          <w:highlight w:val="none"/>
        </w:rPr>
        <w:t>。</w:t>
      </w:r>
    </w:p>
    <w:p w14:paraId="75B785D2">
      <w:pPr>
        <w:pageBreakBefore w:val="0"/>
        <w:kinsoku/>
        <w:overflowPunct/>
        <w:topLinePunct w:val="0"/>
        <w:bidi w:val="0"/>
        <w:snapToGrid/>
        <w:spacing w:line="288" w:lineRule="auto"/>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关于承包人提供的上述文件的使用限制的要求：</w:t>
      </w:r>
      <w:r>
        <w:rPr>
          <w:rFonts w:hint="eastAsia" w:ascii="宋体" w:hAnsi="宋体" w:eastAsia="宋体" w:cs="宋体"/>
          <w:color w:val="auto"/>
          <w:kern w:val="2"/>
          <w:sz w:val="24"/>
          <w:szCs w:val="24"/>
          <w:highlight w:val="none"/>
          <w:u w:val="single"/>
          <w:lang w:val="en-US" w:eastAsia="zh-CN" w:bidi="ar"/>
        </w:rPr>
        <w:t>仅使用于本项目的建设</w:t>
      </w:r>
      <w:r>
        <w:rPr>
          <w:rFonts w:hint="eastAsia" w:ascii="宋体" w:hAnsi="宋体" w:eastAsia="宋体" w:cs="宋体"/>
          <w:color w:val="auto"/>
          <w:sz w:val="24"/>
          <w:szCs w:val="24"/>
          <w:highlight w:val="none"/>
        </w:rPr>
        <w:t>。</w:t>
      </w:r>
    </w:p>
    <w:p w14:paraId="5B63AE56">
      <w:pPr>
        <w:pageBreakBefore w:val="0"/>
        <w:kinsoku/>
        <w:overflowPunct/>
        <w:topLinePunct w:val="0"/>
        <w:bidi w:val="0"/>
        <w:snapToGrid/>
        <w:spacing w:line="288" w:lineRule="auto"/>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1.11.4 承包人在施工过程中所采用的专利、专有技术、技术秘密的使用费的承担方式：</w:t>
      </w:r>
      <w:r>
        <w:rPr>
          <w:rFonts w:hint="eastAsia" w:ascii="宋体" w:hAnsi="宋体" w:eastAsia="宋体" w:cs="宋体"/>
          <w:color w:val="auto"/>
          <w:kern w:val="2"/>
          <w:sz w:val="24"/>
          <w:szCs w:val="24"/>
          <w:highlight w:val="none"/>
          <w:u w:val="single"/>
          <w:lang w:val="en-US" w:eastAsia="zh-CN" w:bidi="ar"/>
        </w:rPr>
        <w:t>由承包人承担，已包含在签约合同价中，发包人不再另行支付</w:t>
      </w:r>
      <w:r>
        <w:rPr>
          <w:rFonts w:hint="eastAsia" w:ascii="宋体" w:hAnsi="宋体" w:eastAsia="宋体" w:cs="宋体"/>
          <w:color w:val="auto"/>
          <w:sz w:val="24"/>
          <w:szCs w:val="24"/>
          <w:highlight w:val="none"/>
          <w:u w:val="single"/>
        </w:rPr>
        <w:t>。</w:t>
      </w:r>
    </w:p>
    <w:p w14:paraId="792B6E17">
      <w:pPr>
        <w:pageBreakBefore w:val="0"/>
        <w:kinsoku/>
        <w:overflowPunct/>
        <w:topLinePunct w:val="0"/>
        <w:bidi w:val="0"/>
        <w:snapToGrid/>
        <w:spacing w:line="288" w:lineRule="auto"/>
        <w:textAlignment w:val="auto"/>
        <w:rPr>
          <w:rFonts w:hint="eastAsia" w:ascii="宋体" w:hAnsi="宋体" w:eastAsia="宋体" w:cs="宋体"/>
          <w:b/>
          <w:bCs/>
          <w:color w:val="auto"/>
          <w:sz w:val="24"/>
          <w:szCs w:val="24"/>
          <w:highlight w:val="none"/>
        </w:rPr>
      </w:pPr>
      <w:bookmarkStart w:id="256" w:name="_Toc9850531"/>
      <w:bookmarkStart w:id="257" w:name="_Toc407135203"/>
      <w:bookmarkStart w:id="258" w:name="_Toc16540"/>
      <w:r>
        <w:rPr>
          <w:rFonts w:hint="eastAsia" w:ascii="宋体" w:hAnsi="宋体" w:eastAsia="宋体" w:cs="宋体"/>
          <w:b/>
          <w:bCs/>
          <w:color w:val="auto"/>
          <w:sz w:val="24"/>
          <w:szCs w:val="24"/>
          <w:highlight w:val="none"/>
        </w:rPr>
        <w:t>1.13工程量清单错误的修正</w:t>
      </w:r>
      <w:bookmarkEnd w:id="256"/>
      <w:bookmarkEnd w:id="257"/>
      <w:bookmarkEnd w:id="258"/>
    </w:p>
    <w:p w14:paraId="61C58A18">
      <w:pPr>
        <w:pageBreakBefore w:val="0"/>
        <w:kinsoku/>
        <w:overflowPunct/>
        <w:topLinePunct w:val="0"/>
        <w:bidi w:val="0"/>
        <w:snapToGrid/>
        <w:spacing w:line="28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出现工程量清单工程量偏差时，是否调整合同价格：</w:t>
      </w:r>
      <w:r>
        <w:rPr>
          <w:rFonts w:hint="eastAsia" w:ascii="宋体" w:hAnsi="宋体" w:eastAsia="宋体" w:cs="宋体"/>
          <w:color w:val="auto"/>
          <w:sz w:val="24"/>
          <w:szCs w:val="24"/>
          <w:highlight w:val="none"/>
          <w:u w:val="single"/>
        </w:rPr>
        <w:sym w:font="Wingdings 2" w:char="0052"/>
      </w:r>
      <w:r>
        <w:rPr>
          <w:rFonts w:hint="eastAsia" w:ascii="宋体" w:hAnsi="宋体" w:eastAsia="宋体" w:cs="宋体"/>
          <w:color w:val="auto"/>
          <w:sz w:val="24"/>
          <w:szCs w:val="24"/>
          <w:highlight w:val="none"/>
          <w:u w:val="single"/>
        </w:rPr>
        <w:t xml:space="preserve">允许  □不允许      </w:t>
      </w:r>
      <w:r>
        <w:rPr>
          <w:rFonts w:hint="eastAsia" w:ascii="宋体" w:hAnsi="宋体" w:eastAsia="宋体" w:cs="宋体"/>
          <w:color w:val="auto"/>
          <w:kern w:val="0"/>
          <w:sz w:val="24"/>
          <w:szCs w:val="24"/>
          <w:highlight w:val="none"/>
        </w:rPr>
        <w:t>。</w:t>
      </w:r>
    </w:p>
    <w:p w14:paraId="592A6002">
      <w:pPr>
        <w:pageBreakBefore w:val="0"/>
        <w:kinsoku/>
        <w:overflowPunct/>
        <w:topLinePunct w:val="0"/>
        <w:bidi w:val="0"/>
        <w:snapToGrid/>
        <w:spacing w:line="28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允许调整合同价格的工程量偏差范围及其调整办法：</w:t>
      </w:r>
    </w:p>
    <w:p w14:paraId="322647F4">
      <w:pPr>
        <w:pageBreakBefore w:val="0"/>
        <w:kinsoku/>
        <w:overflowPunct/>
        <w:topLinePunct w:val="0"/>
        <w:bidi w:val="0"/>
        <w:snapToGrid/>
        <w:spacing w:line="288" w:lineRule="auto"/>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sym w:font="Wingdings 2" w:char="00A3"/>
      </w:r>
      <w:r>
        <w:rPr>
          <w:rFonts w:hint="eastAsia" w:ascii="宋体" w:hAnsi="宋体" w:eastAsia="宋体" w:cs="宋体"/>
          <w:color w:val="auto"/>
          <w:sz w:val="24"/>
          <w:szCs w:val="24"/>
          <w:highlight w:val="none"/>
          <w:u w:val="single"/>
        </w:rPr>
        <w:t xml:space="preserve"> 除严重不平衡报价外，无论分部分项工程量清单项目中的工程量变化多少均不调整 </w:t>
      </w:r>
      <w:r>
        <w:rPr>
          <w:rFonts w:hint="eastAsia" w:ascii="宋体" w:hAnsi="宋体" w:eastAsia="宋体" w:cs="宋体"/>
          <w:color w:val="auto"/>
          <w:kern w:val="0"/>
          <w:sz w:val="24"/>
          <w:szCs w:val="24"/>
          <w:highlight w:val="none"/>
        </w:rPr>
        <w:t>。</w:t>
      </w:r>
    </w:p>
    <w:p w14:paraId="7F54B968">
      <w:pPr>
        <w:pageBreakBefore w:val="0"/>
        <w:kinsoku/>
        <w:overflowPunct/>
        <w:topLinePunct w:val="0"/>
        <w:bidi w:val="0"/>
        <w:snapToGrid/>
        <w:spacing w:line="288" w:lineRule="auto"/>
        <w:ind w:firstLine="480" w:firstLineChars="200"/>
        <w:textAlignment w:val="auto"/>
        <w:rPr>
          <w:rFonts w:hint="eastAsia" w:ascii="宋体" w:hAnsi="宋体" w:eastAsia="宋体" w:cs="宋体"/>
          <w:b/>
          <w:bCs/>
          <w:color w:val="auto"/>
          <w:sz w:val="24"/>
          <w:szCs w:val="24"/>
          <w:highlight w:val="none"/>
          <w:u w:val="single"/>
        </w:rPr>
      </w:pPr>
      <w:r>
        <w:rPr>
          <w:rFonts w:hint="eastAsia" w:ascii="宋体" w:hAnsi="宋体" w:eastAsia="宋体" w:cs="宋体"/>
          <w:color w:val="auto"/>
          <w:sz w:val="24"/>
          <w:szCs w:val="24"/>
          <w:highlight w:val="none"/>
          <w:lang w:eastAsia="zh-CN"/>
        </w:rPr>
        <w:t>☑</w:t>
      </w:r>
      <w:r>
        <w:rPr>
          <w:rFonts w:hint="eastAsia" w:ascii="宋体" w:hAnsi="宋体" w:eastAsia="宋体" w:cs="宋体"/>
          <w:b/>
          <w:bCs/>
          <w:color w:val="auto"/>
          <w:sz w:val="24"/>
          <w:szCs w:val="24"/>
          <w:highlight w:val="none"/>
          <w:u w:val="single"/>
        </w:rPr>
        <w:t>因设计变更及工程量增减造成的：当应予计算的实际工程量与招标工程量清单出现偏差，清单工程量偏差15 %且该单项清单造价超过合同总价1%以内的，超过后增加部分工程量或减少后剩余部分工程量的综合单价按以下方法调整：出现工程量清单偏差时：（1）合同中已有相同子目的，按合同该子目价格进行计算；（2）合同中只有类似子目的，参照该类似子目价格进行计算；（3）合同中没有适用或类似子目的价格计算方法：有定额的套定额（土石方按市场报价），并乘以下浮系数（</w:t>
      </w:r>
      <w:r>
        <w:rPr>
          <w:rFonts w:hint="eastAsia" w:ascii="宋体" w:hAnsi="宋体" w:eastAsia="宋体" w:cs="宋体"/>
          <w:b/>
          <w:bCs/>
          <w:color w:val="auto"/>
          <w:sz w:val="24"/>
          <w:szCs w:val="24"/>
          <w:highlight w:val="none"/>
          <w:u w:val="single"/>
          <w:lang w:val="en-US" w:eastAsia="zh-CN"/>
        </w:rPr>
        <w:t>成交</w:t>
      </w:r>
      <w:r>
        <w:rPr>
          <w:rFonts w:hint="eastAsia" w:ascii="宋体" w:hAnsi="宋体" w:eastAsia="宋体" w:cs="宋体"/>
          <w:b/>
          <w:bCs/>
          <w:color w:val="auto"/>
          <w:sz w:val="24"/>
          <w:szCs w:val="24"/>
          <w:highlight w:val="none"/>
          <w:u w:val="single"/>
        </w:rPr>
        <w:t>价/经采购人公布的工程招标控制价）计算，其中材料价格按施工期间的《南宁建设工程造价信息》相应价格信息进行计算；《南宁建设工程造价信息》没有相应价格信息的按市场价计算；无定额可套的，根据市场价格协商确定综合价格；新增项目无定额可套的，由发包人、承包人根据市场价格协商确定；新增项目的单价必须经发包人、监理单位及发包人委托的第三方造价咨询机构审定。</w:t>
      </w:r>
    </w:p>
    <w:p w14:paraId="7370D1AB">
      <w:pPr>
        <w:pageBreakBefore w:val="0"/>
        <w:kinsoku/>
        <w:overflowPunct/>
        <w:topLinePunct w:val="0"/>
        <w:bidi w:val="0"/>
        <w:snapToGrid/>
        <w:spacing w:line="288" w:lineRule="auto"/>
        <w:ind w:firstLine="482" w:firstLineChars="200"/>
        <w:textAlignment w:val="auto"/>
        <w:rPr>
          <w:rFonts w:hint="eastAsia" w:ascii="宋体" w:hAnsi="宋体" w:eastAsia="宋体" w:cs="宋体"/>
          <w:b/>
          <w:bCs/>
          <w:color w:val="auto"/>
          <w:sz w:val="24"/>
          <w:szCs w:val="24"/>
          <w:highlight w:val="none"/>
          <w:u w:val="single"/>
        </w:rPr>
      </w:pPr>
      <w:r>
        <w:rPr>
          <w:rFonts w:hint="eastAsia" w:ascii="宋体" w:hAnsi="宋体" w:eastAsia="宋体" w:cs="宋体"/>
          <w:b/>
          <w:bCs/>
          <w:color w:val="auto"/>
          <w:kern w:val="44"/>
          <w:sz w:val="24"/>
          <w:szCs w:val="24"/>
          <w:highlight w:val="none"/>
          <w:u w:val="single"/>
        </w:rPr>
        <w:t>与招标工程量清单工程量偏差15%且该单项清单造价超过合同总价1%以上部分按以下方法调整：（1）工程量增加15%以上部分有定额的套定额（土石方按市场报价），并乘以下浮系数（</w:t>
      </w:r>
      <w:r>
        <w:rPr>
          <w:rFonts w:hint="eastAsia" w:ascii="宋体" w:hAnsi="宋体" w:eastAsia="宋体" w:cs="宋体"/>
          <w:b/>
          <w:bCs/>
          <w:color w:val="auto"/>
          <w:sz w:val="24"/>
          <w:szCs w:val="24"/>
          <w:highlight w:val="none"/>
          <w:u w:val="single"/>
          <w:lang w:val="en-US" w:eastAsia="zh-CN"/>
        </w:rPr>
        <w:t>成交</w:t>
      </w:r>
      <w:r>
        <w:rPr>
          <w:rFonts w:hint="eastAsia" w:ascii="宋体" w:hAnsi="宋体" w:eastAsia="宋体" w:cs="宋体"/>
          <w:b/>
          <w:bCs/>
          <w:color w:val="auto"/>
          <w:kern w:val="44"/>
          <w:sz w:val="24"/>
          <w:szCs w:val="24"/>
          <w:highlight w:val="none"/>
          <w:u w:val="single"/>
        </w:rPr>
        <w:t>价/经招标人公布的工程招标控制价）计算；（2）工程量减少15%后剩余工程量按</w:t>
      </w:r>
      <w:r>
        <w:rPr>
          <w:rFonts w:hint="eastAsia" w:ascii="宋体" w:hAnsi="宋体" w:eastAsia="宋体" w:cs="宋体"/>
          <w:b/>
          <w:bCs/>
          <w:color w:val="auto"/>
          <w:kern w:val="44"/>
          <w:sz w:val="24"/>
          <w:szCs w:val="24"/>
          <w:highlight w:val="none"/>
          <w:u w:val="single"/>
          <w:lang w:val="en-US" w:eastAsia="zh-CN"/>
        </w:rPr>
        <w:t>成交</w:t>
      </w:r>
      <w:r>
        <w:rPr>
          <w:rFonts w:hint="eastAsia" w:ascii="宋体" w:hAnsi="宋体" w:eastAsia="宋体" w:cs="宋体"/>
          <w:b/>
          <w:bCs/>
          <w:color w:val="auto"/>
          <w:kern w:val="44"/>
          <w:sz w:val="24"/>
          <w:szCs w:val="24"/>
          <w:highlight w:val="none"/>
          <w:u w:val="single"/>
        </w:rPr>
        <w:t>价计算；其中材料价格按施工期间的《南宁建设工程造价信息》相应价格信息进行计算；无定额可套的，根据市场价格双方协商确定综合价格，新增项目无定额可套的，由发包人、承包人、审计等部门根据市场价格协商确定；</w:t>
      </w:r>
      <w:r>
        <w:rPr>
          <w:rFonts w:hint="eastAsia" w:ascii="宋体" w:hAnsi="宋体" w:eastAsia="宋体" w:cs="宋体"/>
          <w:b/>
          <w:bCs/>
          <w:color w:val="auto"/>
          <w:sz w:val="24"/>
          <w:szCs w:val="24"/>
          <w:highlight w:val="none"/>
          <w:u w:val="single"/>
        </w:rPr>
        <w:t>新增项目的单价必须经发包人、监理单位及发包人委托的第三方造价咨询机构审定。</w:t>
      </w:r>
    </w:p>
    <w:p w14:paraId="2114DF58">
      <w:pPr>
        <w:pageBreakBefore w:val="0"/>
        <w:kinsoku/>
        <w:overflowPunct/>
        <w:topLinePunct w:val="0"/>
        <w:bidi w:val="0"/>
        <w:snapToGrid/>
        <w:spacing w:line="288" w:lineRule="auto"/>
        <w:ind w:firstLine="420"/>
        <w:textAlignment w:val="auto"/>
        <w:rPr>
          <w:rFonts w:hint="eastAsia" w:ascii="宋体" w:hAnsi="宋体" w:eastAsia="宋体" w:cs="宋体"/>
          <w:b/>
          <w:bCs/>
          <w:color w:val="auto"/>
          <w:sz w:val="24"/>
          <w:szCs w:val="24"/>
          <w:highlight w:val="none"/>
          <w:u w:val="single"/>
        </w:rPr>
      </w:pPr>
      <w:r>
        <w:rPr>
          <w:rFonts w:hint="eastAsia" w:ascii="宋体" w:hAnsi="宋体" w:eastAsia="宋体" w:cs="宋体"/>
          <w:b/>
          <w:bCs/>
          <w:color w:val="auto"/>
          <w:sz w:val="24"/>
          <w:szCs w:val="24"/>
          <w:highlight w:val="none"/>
          <w:u w:val="single"/>
        </w:rPr>
        <w:t>允许调整合同价格的工程量偏差范围：按现行建设工程工程量计算规范计算的实际工程量进行调整 。因</w:t>
      </w:r>
      <w:r>
        <w:rPr>
          <w:rFonts w:hint="eastAsia" w:ascii="宋体" w:hAnsi="宋体" w:eastAsia="宋体" w:cs="宋体"/>
          <w:b/>
          <w:bCs/>
          <w:color w:val="auto"/>
          <w:kern w:val="0"/>
          <w:sz w:val="24"/>
          <w:szCs w:val="24"/>
          <w:highlight w:val="none"/>
          <w:u w:val="single"/>
          <w:shd w:val="clear" w:color="auto" w:fill="FFFFFF"/>
        </w:rPr>
        <w:t>增减工程量和设计变更，</w:t>
      </w:r>
      <w:r>
        <w:rPr>
          <w:rFonts w:hint="eastAsia" w:ascii="宋体" w:hAnsi="宋体" w:eastAsia="宋体" w:cs="宋体"/>
          <w:color w:val="auto"/>
          <w:sz w:val="24"/>
          <w:szCs w:val="24"/>
          <w:highlight w:val="none"/>
          <w:u w:val="single"/>
        </w:rPr>
        <w:t>出现以下情形之一时，发包人应予以修正，并相应调整合同价格：</w:t>
      </w:r>
    </w:p>
    <w:p w14:paraId="50A6D441">
      <w:pPr>
        <w:pageBreakBefore w:val="0"/>
        <w:numPr>
          <w:ilvl w:val="0"/>
          <w:numId w:val="0"/>
        </w:numPr>
        <w:tabs>
          <w:tab w:val="left" w:pos="0"/>
        </w:tabs>
        <w:kinsoku/>
        <w:overflowPunct/>
        <w:topLinePunct w:val="0"/>
        <w:bidi w:val="0"/>
        <w:snapToGrid/>
        <w:spacing w:line="288" w:lineRule="auto"/>
        <w:ind w:left="0" w:leftChars="0" w:firstLine="420" w:firstLineChars="0"/>
        <w:jc w:val="left"/>
        <w:textAlignment w:val="auto"/>
        <w:rPr>
          <w:rFonts w:hint="eastAsia" w:ascii="宋体" w:hAnsi="宋体" w:eastAsia="宋体" w:cs="宋体"/>
          <w:b/>
          <w:bCs/>
          <w:color w:val="auto"/>
          <w:sz w:val="24"/>
          <w:szCs w:val="24"/>
          <w:highlight w:val="none"/>
          <w:u w:val="single"/>
        </w:rPr>
      </w:pPr>
      <w:r>
        <w:rPr>
          <w:rFonts w:hint="eastAsia" w:ascii="宋体" w:hAnsi="宋体" w:eastAsia="宋体" w:cs="宋体"/>
          <w:b/>
          <w:bCs/>
          <w:color w:val="auto"/>
          <w:w w:val="100"/>
          <w:kern w:val="2"/>
          <w:sz w:val="24"/>
          <w:szCs w:val="24"/>
          <w:highlight w:val="none"/>
          <w:u w:val="none"/>
          <w:lang w:val="en-US" w:eastAsia="zh-CN" w:bidi="ar-SA"/>
        </w:rPr>
        <w:t>（1）</w:t>
      </w:r>
      <w:r>
        <w:rPr>
          <w:rFonts w:hint="eastAsia" w:ascii="宋体" w:hAnsi="宋体" w:eastAsia="宋体" w:cs="宋体"/>
          <w:b/>
          <w:bCs/>
          <w:color w:val="auto"/>
          <w:sz w:val="24"/>
          <w:szCs w:val="24"/>
          <w:highlight w:val="none"/>
          <w:u w:val="single"/>
        </w:rPr>
        <w:t>工程量清单存在缺项、错项、漏项的；</w:t>
      </w:r>
    </w:p>
    <w:p w14:paraId="3ACE5EE3">
      <w:pPr>
        <w:pageBreakBefore w:val="0"/>
        <w:numPr>
          <w:ilvl w:val="0"/>
          <w:numId w:val="0"/>
        </w:numPr>
        <w:kinsoku/>
        <w:overflowPunct/>
        <w:topLinePunct w:val="0"/>
        <w:bidi w:val="0"/>
        <w:snapToGrid/>
        <w:spacing w:line="288" w:lineRule="auto"/>
        <w:ind w:left="0" w:leftChars="0" w:firstLine="420" w:firstLineChars="0"/>
        <w:jc w:val="left"/>
        <w:textAlignment w:val="auto"/>
        <w:rPr>
          <w:rFonts w:hint="eastAsia" w:ascii="宋体" w:hAnsi="宋体" w:eastAsia="宋体" w:cs="宋体"/>
          <w:b/>
          <w:bCs/>
          <w:color w:val="auto"/>
          <w:sz w:val="24"/>
          <w:szCs w:val="24"/>
          <w:highlight w:val="none"/>
          <w:u w:val="single"/>
        </w:rPr>
      </w:pPr>
      <w:r>
        <w:rPr>
          <w:rFonts w:hint="eastAsia" w:ascii="宋体" w:hAnsi="宋体" w:eastAsia="宋体" w:cs="宋体"/>
          <w:b/>
          <w:bCs/>
          <w:color w:val="auto"/>
          <w:w w:val="100"/>
          <w:kern w:val="2"/>
          <w:sz w:val="24"/>
          <w:szCs w:val="24"/>
          <w:highlight w:val="none"/>
          <w:u w:val="none"/>
          <w:lang w:val="en-US" w:eastAsia="zh-CN" w:bidi="ar-SA"/>
        </w:rPr>
        <w:t>（2）</w:t>
      </w:r>
      <w:r>
        <w:rPr>
          <w:rFonts w:hint="eastAsia" w:ascii="宋体" w:hAnsi="宋体" w:eastAsia="宋体" w:cs="宋体"/>
          <w:b/>
          <w:bCs/>
          <w:color w:val="auto"/>
          <w:sz w:val="24"/>
          <w:szCs w:val="24"/>
          <w:highlight w:val="none"/>
          <w:u w:val="single"/>
        </w:rPr>
        <w:t>工程量清单偏差超出专用合同条款约定的工程量偏差范围的；</w:t>
      </w:r>
    </w:p>
    <w:p w14:paraId="2B9503E5">
      <w:pPr>
        <w:pageBreakBefore w:val="0"/>
        <w:numPr>
          <w:ilvl w:val="0"/>
          <w:numId w:val="0"/>
        </w:numPr>
        <w:tabs>
          <w:tab w:val="left" w:pos="0"/>
        </w:tabs>
        <w:kinsoku/>
        <w:overflowPunct/>
        <w:topLinePunct w:val="0"/>
        <w:bidi w:val="0"/>
        <w:snapToGrid/>
        <w:spacing w:line="288" w:lineRule="auto"/>
        <w:ind w:left="0" w:leftChars="0" w:firstLine="420" w:firstLineChars="0"/>
        <w:jc w:val="left"/>
        <w:textAlignment w:val="auto"/>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w w:val="100"/>
          <w:kern w:val="2"/>
          <w:sz w:val="24"/>
          <w:szCs w:val="24"/>
          <w:highlight w:val="none"/>
          <w:u w:val="none"/>
          <w:lang w:val="en-US" w:eastAsia="zh-CN" w:bidi="ar-SA"/>
        </w:rPr>
        <w:t>（3）</w:t>
      </w:r>
      <w:r>
        <w:rPr>
          <w:rFonts w:hint="eastAsia" w:ascii="宋体" w:hAnsi="宋体" w:eastAsia="宋体" w:cs="宋体"/>
          <w:b/>
          <w:bCs/>
          <w:color w:val="auto"/>
          <w:sz w:val="24"/>
          <w:szCs w:val="24"/>
          <w:highlight w:val="none"/>
          <w:u w:val="single"/>
        </w:rPr>
        <w:t>合同价格调整须获发包人批复后方有效</w:t>
      </w:r>
      <w:r>
        <w:rPr>
          <w:rFonts w:hint="eastAsia" w:ascii="宋体" w:hAnsi="宋体" w:eastAsia="宋体" w:cs="宋体"/>
          <w:b/>
          <w:bCs/>
          <w:color w:val="auto"/>
          <w:sz w:val="24"/>
          <w:szCs w:val="24"/>
          <w:highlight w:val="none"/>
          <w:u w:val="single"/>
          <w:lang w:eastAsia="zh-CN"/>
        </w:rPr>
        <w:t>。</w:t>
      </w:r>
    </w:p>
    <w:p w14:paraId="17D37AF9">
      <w:pPr>
        <w:pageBreakBefore w:val="0"/>
        <w:kinsoku/>
        <w:overflowPunct/>
        <w:topLinePunct w:val="0"/>
        <w:bidi w:val="0"/>
        <w:snapToGrid/>
        <w:spacing w:line="288" w:lineRule="auto"/>
        <w:textAlignment w:val="auto"/>
        <w:rPr>
          <w:rFonts w:hint="eastAsia" w:ascii="宋体" w:hAnsi="宋体" w:eastAsia="宋体" w:cs="宋体"/>
          <w:b/>
          <w:bCs/>
          <w:color w:val="auto"/>
          <w:sz w:val="24"/>
          <w:szCs w:val="24"/>
          <w:highlight w:val="none"/>
        </w:rPr>
      </w:pPr>
      <w:bookmarkStart w:id="259" w:name="_Toc14849"/>
      <w:bookmarkStart w:id="260" w:name="_Toc407135204"/>
      <w:bookmarkStart w:id="261" w:name="_Toc9850532"/>
      <w:r>
        <w:rPr>
          <w:rFonts w:hint="eastAsia" w:ascii="宋体" w:hAnsi="宋体" w:eastAsia="宋体" w:cs="宋体"/>
          <w:b/>
          <w:bCs/>
          <w:color w:val="auto"/>
          <w:sz w:val="24"/>
          <w:szCs w:val="24"/>
          <w:highlight w:val="none"/>
        </w:rPr>
        <w:t>2. 发包人</w:t>
      </w:r>
      <w:bookmarkEnd w:id="259"/>
      <w:bookmarkEnd w:id="260"/>
      <w:bookmarkEnd w:id="261"/>
    </w:p>
    <w:p w14:paraId="08050345">
      <w:pPr>
        <w:pageBreakBefore w:val="0"/>
        <w:kinsoku/>
        <w:overflowPunct/>
        <w:topLinePunct w:val="0"/>
        <w:bidi w:val="0"/>
        <w:snapToGrid/>
        <w:spacing w:line="288" w:lineRule="auto"/>
        <w:textAlignment w:val="auto"/>
        <w:rPr>
          <w:rFonts w:hint="eastAsia" w:ascii="宋体" w:hAnsi="宋体" w:eastAsia="宋体" w:cs="宋体"/>
          <w:b/>
          <w:bCs/>
          <w:color w:val="auto"/>
          <w:sz w:val="24"/>
          <w:szCs w:val="24"/>
          <w:highlight w:val="none"/>
        </w:rPr>
      </w:pPr>
      <w:bookmarkStart w:id="262" w:name="_Toc407135205"/>
      <w:bookmarkStart w:id="263" w:name="_Toc9850533"/>
      <w:bookmarkStart w:id="264" w:name="_Toc7733"/>
      <w:r>
        <w:rPr>
          <w:rFonts w:hint="eastAsia" w:ascii="宋体" w:hAnsi="宋体" w:eastAsia="宋体" w:cs="宋体"/>
          <w:b/>
          <w:bCs/>
          <w:color w:val="auto"/>
          <w:sz w:val="24"/>
          <w:szCs w:val="24"/>
          <w:highlight w:val="none"/>
        </w:rPr>
        <w:t>2.2 发包人代表</w:t>
      </w:r>
      <w:bookmarkEnd w:id="262"/>
      <w:bookmarkEnd w:id="263"/>
      <w:bookmarkEnd w:id="264"/>
    </w:p>
    <w:p w14:paraId="74296B54">
      <w:pPr>
        <w:pageBreakBefore w:val="0"/>
        <w:kinsoku/>
        <w:overflowPunct/>
        <w:topLinePunct w:val="0"/>
        <w:bidi w:val="0"/>
        <w:snapToGrid/>
        <w:spacing w:line="28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发包人代表：</w:t>
      </w:r>
    </w:p>
    <w:p w14:paraId="14310B2C">
      <w:pPr>
        <w:pageBreakBefore w:val="0"/>
        <w:kinsoku/>
        <w:overflowPunct/>
        <w:topLinePunct w:val="0"/>
        <w:bidi w:val="0"/>
        <w:snapToGrid/>
        <w:spacing w:line="28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    名：</w:t>
      </w:r>
      <w:r>
        <w:rPr>
          <w:rFonts w:hint="eastAsia" w:ascii="宋体" w:hAnsi="宋体" w:eastAsia="宋体" w:cs="宋体"/>
          <w:color w:val="auto"/>
          <w:sz w:val="24"/>
          <w:szCs w:val="24"/>
          <w:highlight w:val="none"/>
          <w:u w:val="single"/>
        </w:rPr>
        <w:t>      </w:t>
      </w:r>
      <w:r>
        <w:rPr>
          <w:rFonts w:hint="eastAsia" w:ascii="宋体" w:hAnsi="宋体" w:eastAsia="宋体" w:cs="宋体"/>
          <w:color w:val="auto"/>
          <w:sz w:val="24"/>
          <w:szCs w:val="24"/>
          <w:highlight w:val="none"/>
        </w:rPr>
        <w:t>；</w:t>
      </w:r>
    </w:p>
    <w:p w14:paraId="3055B553">
      <w:pPr>
        <w:pageBreakBefore w:val="0"/>
        <w:kinsoku/>
        <w:overflowPunct/>
        <w:topLinePunct w:val="0"/>
        <w:bidi w:val="0"/>
        <w:snapToGrid/>
        <w:spacing w:line="28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身份证号：</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  </w:t>
      </w:r>
      <w:r>
        <w:rPr>
          <w:rFonts w:hint="eastAsia" w:ascii="宋体" w:hAnsi="宋体" w:eastAsia="宋体" w:cs="宋体"/>
          <w:color w:val="auto"/>
          <w:sz w:val="24"/>
          <w:szCs w:val="24"/>
          <w:highlight w:val="none"/>
        </w:rPr>
        <w:t>；</w:t>
      </w:r>
    </w:p>
    <w:p w14:paraId="6429B0D2">
      <w:pPr>
        <w:pageBreakBefore w:val="0"/>
        <w:kinsoku/>
        <w:overflowPunct/>
        <w:topLinePunct w:val="0"/>
        <w:bidi w:val="0"/>
        <w:snapToGrid/>
        <w:spacing w:line="28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    务：</w:t>
      </w:r>
      <w:r>
        <w:rPr>
          <w:rFonts w:hint="eastAsia" w:ascii="宋体" w:hAnsi="宋体" w:eastAsia="宋体" w:cs="宋体"/>
          <w:color w:val="auto"/>
          <w:sz w:val="24"/>
          <w:szCs w:val="24"/>
          <w:highlight w:val="none"/>
          <w:u w:val="single"/>
        </w:rPr>
        <w:t>      </w:t>
      </w:r>
      <w:r>
        <w:rPr>
          <w:rFonts w:hint="eastAsia" w:ascii="宋体" w:hAnsi="宋体" w:eastAsia="宋体" w:cs="宋体"/>
          <w:color w:val="auto"/>
          <w:sz w:val="24"/>
          <w:szCs w:val="24"/>
          <w:highlight w:val="none"/>
        </w:rPr>
        <w:t>；</w:t>
      </w:r>
    </w:p>
    <w:p w14:paraId="08D3D46B">
      <w:pPr>
        <w:pageBreakBefore w:val="0"/>
        <w:kinsoku/>
        <w:overflowPunct/>
        <w:topLinePunct w:val="0"/>
        <w:bidi w:val="0"/>
        <w:snapToGrid/>
        <w:spacing w:line="28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  </w:t>
      </w:r>
      <w:r>
        <w:rPr>
          <w:rFonts w:hint="eastAsia" w:ascii="宋体" w:hAnsi="宋体" w:eastAsia="宋体" w:cs="宋体"/>
          <w:color w:val="auto"/>
          <w:sz w:val="24"/>
          <w:szCs w:val="24"/>
          <w:highlight w:val="none"/>
        </w:rPr>
        <w:t>；</w:t>
      </w:r>
    </w:p>
    <w:p w14:paraId="7C8FE509">
      <w:pPr>
        <w:pageBreakBefore w:val="0"/>
        <w:kinsoku/>
        <w:overflowPunct/>
        <w:topLinePunct w:val="0"/>
        <w:bidi w:val="0"/>
        <w:snapToGrid/>
        <w:spacing w:line="28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电子信箱：</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   </w:t>
      </w:r>
      <w:r>
        <w:rPr>
          <w:rFonts w:hint="eastAsia" w:ascii="宋体" w:hAnsi="宋体" w:eastAsia="宋体" w:cs="宋体"/>
          <w:color w:val="auto"/>
          <w:sz w:val="24"/>
          <w:szCs w:val="24"/>
          <w:highlight w:val="none"/>
        </w:rPr>
        <w:t>；</w:t>
      </w:r>
    </w:p>
    <w:p w14:paraId="1CC2B02F">
      <w:pPr>
        <w:pageBreakBefore w:val="0"/>
        <w:kinsoku/>
        <w:overflowPunct/>
        <w:topLinePunct w:val="0"/>
        <w:bidi w:val="0"/>
        <w:snapToGrid/>
        <w:spacing w:line="28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通信地址：</w:t>
      </w:r>
      <w:r>
        <w:rPr>
          <w:rFonts w:hint="eastAsia" w:ascii="宋体" w:hAnsi="宋体" w:eastAsia="宋体" w:cs="宋体"/>
          <w:color w:val="auto"/>
          <w:sz w:val="24"/>
          <w:szCs w:val="24"/>
          <w:highlight w:val="none"/>
          <w:u w:val="single"/>
        </w:rPr>
        <w:t>     </w:t>
      </w:r>
      <w:r>
        <w:rPr>
          <w:rFonts w:hint="eastAsia" w:ascii="宋体" w:hAnsi="宋体" w:eastAsia="宋体" w:cs="宋体"/>
          <w:color w:val="auto"/>
          <w:sz w:val="24"/>
          <w:szCs w:val="24"/>
          <w:highlight w:val="none"/>
        </w:rPr>
        <w:t>。</w:t>
      </w:r>
    </w:p>
    <w:p w14:paraId="20A4B2EA">
      <w:pPr>
        <w:pageBreakBefore w:val="0"/>
        <w:kinsoku/>
        <w:overflowPunct/>
        <w:topLinePunct w:val="0"/>
        <w:bidi w:val="0"/>
        <w:snapToGrid/>
        <w:spacing w:line="288" w:lineRule="auto"/>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发包人对发包人代表的授权范围如下：</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3D53AC49">
      <w:pPr>
        <w:pageBreakBefore w:val="0"/>
        <w:kinsoku/>
        <w:overflowPunct/>
        <w:topLinePunct w:val="0"/>
        <w:bidi w:val="0"/>
        <w:snapToGrid/>
        <w:spacing w:line="288" w:lineRule="auto"/>
        <w:textAlignment w:val="auto"/>
        <w:rPr>
          <w:rFonts w:hint="eastAsia" w:ascii="宋体" w:hAnsi="宋体" w:eastAsia="宋体" w:cs="宋体"/>
          <w:b/>
          <w:bCs/>
          <w:color w:val="auto"/>
          <w:sz w:val="24"/>
          <w:szCs w:val="24"/>
          <w:highlight w:val="none"/>
        </w:rPr>
      </w:pPr>
      <w:bookmarkStart w:id="265" w:name="_Toc9850534"/>
      <w:bookmarkStart w:id="266" w:name="_Toc10208"/>
      <w:bookmarkStart w:id="267" w:name="_Toc407135206"/>
      <w:r>
        <w:rPr>
          <w:rFonts w:hint="eastAsia" w:ascii="宋体" w:hAnsi="宋体" w:eastAsia="宋体" w:cs="宋体"/>
          <w:b/>
          <w:bCs/>
          <w:color w:val="auto"/>
          <w:sz w:val="24"/>
          <w:szCs w:val="24"/>
          <w:highlight w:val="none"/>
        </w:rPr>
        <w:t>2.4 施工现场、施工条件和基础资料的提供</w:t>
      </w:r>
      <w:bookmarkEnd w:id="265"/>
      <w:bookmarkEnd w:id="266"/>
      <w:bookmarkEnd w:id="267"/>
    </w:p>
    <w:p w14:paraId="7A6F864D">
      <w:pPr>
        <w:pageBreakBefore w:val="0"/>
        <w:kinsoku/>
        <w:overflowPunct/>
        <w:topLinePunct w:val="0"/>
        <w:bidi w:val="0"/>
        <w:snapToGrid/>
        <w:spacing w:line="28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2.4.1 提供施工现场</w:t>
      </w:r>
    </w:p>
    <w:p w14:paraId="59AD054B">
      <w:pPr>
        <w:pageBreakBefore w:val="0"/>
        <w:kinsoku/>
        <w:overflowPunct/>
        <w:topLinePunct w:val="0"/>
        <w:bidi w:val="0"/>
        <w:snapToGrid/>
        <w:spacing w:line="288"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关于发包人移交施工现场的期限要求：</w:t>
      </w:r>
      <w:r>
        <w:rPr>
          <w:rFonts w:hint="eastAsia" w:ascii="宋体" w:hAnsi="宋体" w:eastAsia="宋体" w:cs="宋体"/>
          <w:color w:val="auto"/>
          <w:sz w:val="24"/>
          <w:szCs w:val="24"/>
          <w:highlight w:val="none"/>
          <w:u w:val="single"/>
        </w:rPr>
        <w:t xml:space="preserve"> 施工场地应当在发包人发出的开工通知中载明的开工日期前七天具备施工条件并移交给承包人，具体施工条件在施工合同中约定。发包人最迟应当在移交施工场地的同时向承包人提供施工场地内地下管线和地下设施等有关资料，并保证资料的真实、准确和完整 </w:t>
      </w:r>
      <w:r>
        <w:rPr>
          <w:rFonts w:hint="eastAsia" w:ascii="宋体" w:hAnsi="宋体" w:eastAsia="宋体" w:cs="宋体"/>
          <w:color w:val="auto"/>
          <w:sz w:val="24"/>
          <w:szCs w:val="24"/>
          <w:highlight w:val="none"/>
        </w:rPr>
        <w:t>。</w:t>
      </w:r>
    </w:p>
    <w:p w14:paraId="391DE1B0">
      <w:pPr>
        <w:pageBreakBefore w:val="0"/>
        <w:kinsoku/>
        <w:overflowPunct/>
        <w:topLinePunct w:val="0"/>
        <w:bidi w:val="0"/>
        <w:snapToGrid/>
        <w:spacing w:line="28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2.4.2 提供施工条件</w:t>
      </w:r>
    </w:p>
    <w:p w14:paraId="59722782">
      <w:pPr>
        <w:pageBreakBefore w:val="0"/>
        <w:kinsoku/>
        <w:overflowPunct/>
        <w:topLinePunct w:val="0"/>
        <w:bidi w:val="0"/>
        <w:snapToGrid/>
        <w:spacing w:line="288" w:lineRule="auto"/>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rPr>
        <w:t>关于发包人应负责提供施工所需要的条件，包括：</w:t>
      </w:r>
      <w:r>
        <w:rPr>
          <w:rFonts w:hint="eastAsia" w:ascii="宋体" w:hAnsi="宋体" w:eastAsia="宋体" w:cs="宋体"/>
          <w:color w:val="auto"/>
          <w:sz w:val="24"/>
          <w:szCs w:val="24"/>
          <w:highlight w:val="none"/>
          <w:u w:val="single"/>
        </w:rPr>
        <w:t>施工用水、用电及电讯线路由承包人自行解决，费用由承包人在各项综合单价中自行考虑</w:t>
      </w:r>
      <w:r>
        <w:rPr>
          <w:rFonts w:hint="eastAsia" w:ascii="宋体" w:hAnsi="宋体" w:eastAsia="宋体" w:cs="宋体"/>
          <w:color w:val="auto"/>
          <w:sz w:val="24"/>
          <w:szCs w:val="24"/>
          <w:highlight w:val="none"/>
          <w:u w:val="none"/>
        </w:rPr>
        <w:t>。</w:t>
      </w:r>
    </w:p>
    <w:p w14:paraId="1B480557">
      <w:pPr>
        <w:keepNext w:val="0"/>
        <w:keepLines w:val="0"/>
        <w:pageBreakBefore w:val="0"/>
        <w:widowControl/>
        <w:suppressLineNumbers w:val="0"/>
        <w:kinsoku/>
        <w:wordWrap w:val="0"/>
        <w:overflowPunct/>
        <w:topLinePunct w:val="0"/>
        <w:bidi w:val="0"/>
        <w:snapToGrid/>
        <w:spacing w:before="0" w:beforeAutospacing="0" w:after="0" w:afterAutospacing="0" w:line="288" w:lineRule="auto"/>
        <w:ind w:left="0" w:right="0" w:firstLine="554" w:firstLineChars="231"/>
        <w:jc w:val="both"/>
        <w:textAlignment w:val="auto"/>
        <w:rPr>
          <w:rFonts w:hint="eastAsia" w:ascii="宋体" w:hAnsi="宋体" w:eastAsia="宋体" w:cs="宋体"/>
          <w:color w:val="auto"/>
          <w:kern w:val="2"/>
          <w:sz w:val="24"/>
          <w:szCs w:val="24"/>
          <w:highlight w:val="none"/>
          <w:u w:val="single"/>
          <w:lang w:val="en-US" w:eastAsia="zh-CN" w:bidi="ar"/>
        </w:rPr>
      </w:pPr>
      <w:r>
        <w:rPr>
          <w:rFonts w:hint="eastAsia" w:ascii="宋体" w:hAnsi="宋体" w:eastAsia="宋体" w:cs="宋体"/>
          <w:color w:val="auto"/>
          <w:kern w:val="2"/>
          <w:sz w:val="24"/>
          <w:szCs w:val="24"/>
          <w:highlight w:val="none"/>
          <w:lang w:val="en-US" w:eastAsia="zh-CN" w:bidi="ar"/>
        </w:rPr>
        <w:t>施工场地与公共道路的通道开通时间和要求：</w:t>
      </w:r>
      <w:r>
        <w:rPr>
          <w:rFonts w:hint="eastAsia" w:ascii="宋体" w:hAnsi="宋体" w:eastAsia="宋体" w:cs="宋体"/>
          <w:color w:val="auto"/>
          <w:kern w:val="2"/>
          <w:sz w:val="24"/>
          <w:szCs w:val="24"/>
          <w:highlight w:val="none"/>
          <w:u w:val="single"/>
          <w:lang w:val="en-US" w:eastAsia="zh-CN" w:bidi="ar"/>
        </w:rPr>
        <w:t>已开通。</w:t>
      </w:r>
    </w:p>
    <w:p w14:paraId="664E8EFF">
      <w:pPr>
        <w:keepNext w:val="0"/>
        <w:keepLines w:val="0"/>
        <w:pageBreakBefore w:val="0"/>
        <w:widowControl/>
        <w:suppressLineNumbers w:val="0"/>
        <w:kinsoku/>
        <w:wordWrap w:val="0"/>
        <w:overflowPunct/>
        <w:topLinePunct w:val="0"/>
        <w:bidi w:val="0"/>
        <w:snapToGrid/>
        <w:spacing w:before="0" w:beforeAutospacing="0" w:after="0" w:afterAutospacing="0" w:line="288" w:lineRule="auto"/>
        <w:ind w:left="0" w:right="0" w:firstLine="557" w:firstLineChars="231"/>
        <w:jc w:val="both"/>
        <w:textAlignment w:val="auto"/>
        <w:rPr>
          <w:rFonts w:hint="eastAsia" w:ascii="宋体" w:hAnsi="宋体" w:eastAsia="宋体" w:cs="宋体"/>
          <w:b/>
          <w:bCs/>
          <w:color w:val="auto"/>
          <w:kern w:val="2"/>
          <w:sz w:val="24"/>
          <w:szCs w:val="24"/>
          <w:highlight w:val="none"/>
          <w:u w:val="single"/>
          <w:lang w:val="en-US" w:eastAsia="zh-CN" w:bidi="ar"/>
        </w:rPr>
      </w:pPr>
      <w:r>
        <w:rPr>
          <w:rFonts w:hint="eastAsia" w:ascii="宋体" w:hAnsi="宋体" w:eastAsia="宋体" w:cs="宋体"/>
          <w:b/>
          <w:bCs/>
          <w:color w:val="auto"/>
          <w:kern w:val="2"/>
          <w:sz w:val="24"/>
          <w:szCs w:val="24"/>
          <w:highlight w:val="none"/>
          <w:lang w:val="en-US" w:eastAsia="zh-CN" w:bidi="ar"/>
        </w:rPr>
        <w:t>*工程地质和地下管线资料的提供时间：</w:t>
      </w:r>
      <w:r>
        <w:rPr>
          <w:rFonts w:hint="eastAsia" w:ascii="宋体" w:hAnsi="宋体" w:eastAsia="宋体" w:cs="宋体"/>
          <w:b/>
          <w:bCs/>
          <w:color w:val="auto"/>
          <w:kern w:val="2"/>
          <w:sz w:val="24"/>
          <w:szCs w:val="24"/>
          <w:highlight w:val="none"/>
          <w:u w:val="single"/>
          <w:lang w:val="en-US" w:eastAsia="zh-CN" w:bidi="ar"/>
        </w:rPr>
        <w:t>招标时已提供，由承包人现场勘测，费用自理。</w:t>
      </w:r>
    </w:p>
    <w:p w14:paraId="390AA5D5">
      <w:pPr>
        <w:pageBreakBefore w:val="0"/>
        <w:kinsoku/>
        <w:overflowPunct/>
        <w:topLinePunct w:val="0"/>
        <w:bidi w:val="0"/>
        <w:snapToGrid/>
        <w:spacing w:line="288" w:lineRule="auto"/>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kern w:val="2"/>
          <w:sz w:val="24"/>
          <w:szCs w:val="24"/>
          <w:highlight w:val="none"/>
          <w:lang w:val="en-US" w:eastAsia="zh-CN" w:bidi="ar"/>
        </w:rPr>
        <w:t>水准点与座标控制点交验要求：</w:t>
      </w:r>
      <w:r>
        <w:rPr>
          <w:rFonts w:hint="eastAsia" w:ascii="宋体" w:hAnsi="宋体" w:eastAsia="宋体" w:cs="宋体"/>
          <w:color w:val="auto"/>
          <w:kern w:val="2"/>
          <w:sz w:val="24"/>
          <w:szCs w:val="24"/>
          <w:highlight w:val="none"/>
          <w:u w:val="single"/>
          <w:lang w:val="en-US" w:eastAsia="zh-CN" w:bidi="ar"/>
        </w:rPr>
        <w:t>于开工前3日内现场交验，双方做好签认工作。</w:t>
      </w:r>
    </w:p>
    <w:p w14:paraId="29C195EC">
      <w:pPr>
        <w:pageBreakBefore w:val="0"/>
        <w:kinsoku/>
        <w:overflowPunct/>
        <w:topLinePunct w:val="0"/>
        <w:bidi w:val="0"/>
        <w:snapToGrid/>
        <w:spacing w:line="288" w:lineRule="auto"/>
        <w:textAlignment w:val="auto"/>
        <w:rPr>
          <w:rFonts w:hint="eastAsia" w:ascii="宋体" w:hAnsi="宋体" w:eastAsia="宋体" w:cs="宋体"/>
          <w:b/>
          <w:bCs/>
          <w:color w:val="auto"/>
          <w:sz w:val="24"/>
          <w:szCs w:val="24"/>
          <w:highlight w:val="none"/>
        </w:rPr>
      </w:pPr>
      <w:bookmarkStart w:id="268" w:name="_Toc12729"/>
      <w:bookmarkStart w:id="269" w:name="_Toc407135207"/>
      <w:bookmarkStart w:id="270" w:name="_Toc9850535"/>
      <w:r>
        <w:rPr>
          <w:rFonts w:hint="eastAsia" w:ascii="宋体" w:hAnsi="宋体" w:eastAsia="宋体" w:cs="宋体"/>
          <w:b/>
          <w:bCs/>
          <w:color w:val="auto"/>
          <w:sz w:val="24"/>
          <w:szCs w:val="24"/>
          <w:highlight w:val="none"/>
        </w:rPr>
        <w:t>2.5 资金来源证明及支付担保</w:t>
      </w:r>
      <w:bookmarkEnd w:id="268"/>
      <w:bookmarkEnd w:id="269"/>
      <w:bookmarkEnd w:id="270"/>
    </w:p>
    <w:p w14:paraId="3214B5C6">
      <w:pPr>
        <w:pageBreakBefore w:val="0"/>
        <w:kinsoku/>
        <w:overflowPunct/>
        <w:topLinePunct w:val="0"/>
        <w:bidi w:val="0"/>
        <w:snapToGrid/>
        <w:spacing w:line="28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发包人提供资金来源证明的期限要求：</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72F191DF">
      <w:pPr>
        <w:pageBreakBefore w:val="0"/>
        <w:kinsoku/>
        <w:overflowPunct/>
        <w:topLinePunct w:val="0"/>
        <w:bidi w:val="0"/>
        <w:snapToGrid/>
        <w:spacing w:line="28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发包人是否提供支付担保：</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63F26E00">
      <w:pPr>
        <w:pageBreakBefore w:val="0"/>
        <w:kinsoku/>
        <w:overflowPunct/>
        <w:topLinePunct w:val="0"/>
        <w:bidi w:val="0"/>
        <w:snapToGrid/>
        <w:spacing w:line="28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发包人提供支付担保的形式：</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72A1C97D">
      <w:pPr>
        <w:pageBreakBefore w:val="0"/>
        <w:kinsoku/>
        <w:overflowPunct/>
        <w:topLinePunct w:val="0"/>
        <w:bidi w:val="0"/>
        <w:snapToGrid/>
        <w:spacing w:line="288" w:lineRule="auto"/>
        <w:textAlignment w:val="auto"/>
        <w:rPr>
          <w:rFonts w:hint="eastAsia" w:ascii="宋体" w:hAnsi="宋体" w:eastAsia="宋体" w:cs="宋体"/>
          <w:b/>
          <w:bCs/>
          <w:color w:val="auto"/>
          <w:sz w:val="24"/>
          <w:szCs w:val="24"/>
          <w:highlight w:val="none"/>
        </w:rPr>
      </w:pPr>
      <w:bookmarkStart w:id="271" w:name="_Toc651"/>
      <w:bookmarkStart w:id="272" w:name="_Toc407135208"/>
      <w:bookmarkStart w:id="273" w:name="_Toc9850536"/>
      <w:r>
        <w:rPr>
          <w:rFonts w:hint="eastAsia" w:ascii="宋体" w:hAnsi="宋体" w:eastAsia="宋体" w:cs="宋体"/>
          <w:b/>
          <w:bCs/>
          <w:color w:val="auto"/>
          <w:sz w:val="24"/>
          <w:szCs w:val="24"/>
          <w:highlight w:val="none"/>
        </w:rPr>
        <w:t>3. 承包人</w:t>
      </w:r>
      <w:bookmarkEnd w:id="271"/>
      <w:bookmarkEnd w:id="272"/>
      <w:bookmarkEnd w:id="273"/>
    </w:p>
    <w:p w14:paraId="63325295">
      <w:pPr>
        <w:pageBreakBefore w:val="0"/>
        <w:kinsoku/>
        <w:overflowPunct/>
        <w:topLinePunct w:val="0"/>
        <w:bidi w:val="0"/>
        <w:snapToGrid/>
        <w:spacing w:line="288" w:lineRule="auto"/>
        <w:textAlignment w:val="auto"/>
        <w:rPr>
          <w:rFonts w:hint="eastAsia" w:ascii="宋体" w:hAnsi="宋体" w:eastAsia="宋体" w:cs="宋体"/>
          <w:b/>
          <w:bCs/>
          <w:color w:val="auto"/>
          <w:sz w:val="24"/>
          <w:szCs w:val="24"/>
          <w:highlight w:val="none"/>
        </w:rPr>
      </w:pPr>
      <w:bookmarkStart w:id="274" w:name="_Toc23603"/>
      <w:bookmarkStart w:id="275" w:name="_Toc407135209"/>
      <w:bookmarkStart w:id="276" w:name="_Toc9850537"/>
      <w:r>
        <w:rPr>
          <w:rFonts w:hint="eastAsia" w:ascii="宋体" w:hAnsi="宋体" w:eastAsia="宋体" w:cs="宋体"/>
          <w:b/>
          <w:bCs/>
          <w:color w:val="auto"/>
          <w:sz w:val="24"/>
          <w:szCs w:val="24"/>
          <w:highlight w:val="none"/>
        </w:rPr>
        <w:t>3.1 承包人的一般义务</w:t>
      </w:r>
      <w:bookmarkEnd w:id="274"/>
      <w:bookmarkEnd w:id="275"/>
      <w:bookmarkEnd w:id="276"/>
    </w:p>
    <w:p w14:paraId="599B7FDC">
      <w:pPr>
        <w:keepNext w:val="0"/>
        <w:keepLines w:val="0"/>
        <w:pageBreakBefore w:val="0"/>
        <w:widowControl/>
        <w:suppressLineNumbers w:val="0"/>
        <w:kinsoku/>
        <w:wordWrap w:val="0"/>
        <w:overflowPunct/>
        <w:topLinePunct w:val="0"/>
        <w:bidi w:val="0"/>
        <w:snapToGrid/>
        <w:spacing w:before="0" w:beforeAutospacing="0" w:after="0" w:afterAutospacing="0" w:line="288" w:lineRule="auto"/>
        <w:ind w:left="0" w:right="0" w:firstLine="480" w:firstLineChars="200"/>
        <w:jc w:val="left"/>
        <w:textAlignment w:val="auto"/>
        <w:rPr>
          <w:rFonts w:hint="eastAsia" w:ascii="宋体" w:hAnsi="宋体" w:eastAsia="宋体" w:cs="宋体"/>
          <w:color w:val="auto"/>
          <w:kern w:val="2"/>
          <w:sz w:val="24"/>
          <w:szCs w:val="24"/>
          <w:highlight w:val="none"/>
          <w:u w:val="single"/>
          <w:lang w:val="en-US" w:eastAsia="zh-CN" w:bidi="ar"/>
        </w:rPr>
      </w:pPr>
      <w:r>
        <w:rPr>
          <w:rFonts w:hint="eastAsia" w:ascii="宋体" w:hAnsi="宋体" w:eastAsia="宋体" w:cs="宋体"/>
          <w:color w:val="auto"/>
          <w:kern w:val="2"/>
          <w:sz w:val="24"/>
          <w:szCs w:val="24"/>
          <w:highlight w:val="none"/>
          <w:u w:val="single"/>
          <w:lang w:val="en-US" w:eastAsia="zh-CN" w:bidi="ar"/>
        </w:rPr>
        <w:t>按照法律规定和合同约定编制的竣工资料，符合工程所在地建设行政主管部门和（或）城市建设档案管理机构及发包人有关施工资料的要求，并立卷及归档</w:t>
      </w:r>
      <w:r>
        <w:rPr>
          <w:rFonts w:hint="eastAsia" w:ascii="宋体" w:hAnsi="宋体" w:eastAsia="宋体" w:cs="宋体"/>
          <w:color w:val="auto"/>
          <w:kern w:val="2"/>
          <w:sz w:val="24"/>
          <w:szCs w:val="24"/>
          <w:highlight w:val="none"/>
          <w:lang w:val="en-US" w:eastAsia="zh-CN" w:bidi="ar"/>
        </w:rPr>
        <w:t>。</w:t>
      </w:r>
    </w:p>
    <w:p w14:paraId="78B53FC5">
      <w:pPr>
        <w:keepNext w:val="0"/>
        <w:keepLines w:val="0"/>
        <w:pageBreakBefore w:val="0"/>
        <w:widowControl w:val="0"/>
        <w:suppressLineNumbers w:val="0"/>
        <w:kinsoku/>
        <w:overflowPunct/>
        <w:topLinePunct w:val="0"/>
        <w:bidi w:val="0"/>
        <w:snapToGrid/>
        <w:spacing w:before="0" w:beforeAutospacing="0" w:after="0" w:afterAutospacing="0" w:line="288" w:lineRule="auto"/>
        <w:ind w:left="0" w:right="0" w:firstLine="480" w:firstLineChars="200"/>
        <w:jc w:val="left"/>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bidi="ar"/>
        </w:rPr>
        <w:t>承包人需要提交的竣工资料套数：</w:t>
      </w:r>
      <w:r>
        <w:rPr>
          <w:rFonts w:hint="eastAsia" w:ascii="宋体" w:hAnsi="宋体" w:eastAsia="宋体" w:cs="宋体"/>
          <w:color w:val="auto"/>
          <w:kern w:val="2"/>
          <w:sz w:val="24"/>
          <w:szCs w:val="24"/>
          <w:highlight w:val="none"/>
          <w:u w:val="single"/>
          <w:lang w:val="en-US" w:eastAsia="zh-CN" w:bidi="ar"/>
        </w:rPr>
        <w:t xml:space="preserve">   一式五份                    </w:t>
      </w:r>
      <w:r>
        <w:rPr>
          <w:rFonts w:hint="eastAsia" w:ascii="宋体" w:hAnsi="宋体" w:eastAsia="宋体" w:cs="宋体"/>
          <w:color w:val="auto"/>
          <w:kern w:val="2"/>
          <w:sz w:val="24"/>
          <w:szCs w:val="24"/>
          <w:highlight w:val="none"/>
          <w:lang w:val="en-US" w:eastAsia="zh-CN" w:bidi="ar"/>
        </w:rPr>
        <w:t>。</w:t>
      </w:r>
    </w:p>
    <w:p w14:paraId="4DF4579B">
      <w:pPr>
        <w:keepNext w:val="0"/>
        <w:keepLines w:val="0"/>
        <w:pageBreakBefore w:val="0"/>
        <w:widowControl w:val="0"/>
        <w:suppressLineNumbers w:val="0"/>
        <w:kinsoku/>
        <w:overflowPunct/>
        <w:topLinePunct w:val="0"/>
        <w:bidi w:val="0"/>
        <w:snapToGrid/>
        <w:spacing w:before="0" w:beforeAutospacing="0" w:after="0" w:afterAutospacing="0" w:line="288" w:lineRule="auto"/>
        <w:ind w:left="424" w:leftChars="202" w:right="0"/>
        <w:jc w:val="left"/>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bidi="ar"/>
        </w:rPr>
        <w:t>承包人提交的竣工资料的费用承担：</w:t>
      </w:r>
      <w:r>
        <w:rPr>
          <w:rFonts w:hint="eastAsia" w:ascii="宋体" w:hAnsi="宋体" w:eastAsia="宋体" w:cs="宋体"/>
          <w:color w:val="auto"/>
          <w:kern w:val="2"/>
          <w:sz w:val="24"/>
          <w:szCs w:val="24"/>
          <w:highlight w:val="none"/>
          <w:u w:val="single"/>
          <w:lang w:val="en-US" w:eastAsia="zh-CN" w:bidi="ar"/>
        </w:rPr>
        <w:t xml:space="preserve"> 由承包人承担                </w:t>
      </w:r>
      <w:r>
        <w:rPr>
          <w:rFonts w:hint="eastAsia" w:ascii="宋体" w:hAnsi="宋体" w:eastAsia="宋体" w:cs="宋体"/>
          <w:color w:val="auto"/>
          <w:kern w:val="2"/>
          <w:sz w:val="24"/>
          <w:szCs w:val="24"/>
          <w:highlight w:val="none"/>
          <w:lang w:val="en-US" w:eastAsia="zh-CN" w:bidi="ar"/>
        </w:rPr>
        <w:t>。</w:t>
      </w:r>
    </w:p>
    <w:p w14:paraId="3C0D7F62">
      <w:pPr>
        <w:keepNext w:val="0"/>
        <w:keepLines w:val="0"/>
        <w:pageBreakBefore w:val="0"/>
        <w:widowControl w:val="0"/>
        <w:suppressLineNumbers w:val="0"/>
        <w:kinsoku/>
        <w:overflowPunct/>
        <w:topLinePunct w:val="0"/>
        <w:bidi w:val="0"/>
        <w:snapToGrid/>
        <w:spacing w:before="0" w:beforeAutospacing="0" w:after="0" w:afterAutospacing="0" w:line="288" w:lineRule="auto"/>
        <w:ind w:left="424" w:leftChars="202" w:right="0"/>
        <w:jc w:val="left"/>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bidi="ar"/>
        </w:rPr>
        <w:t>承包人提交的竣工资料移交时间：</w:t>
      </w:r>
      <w:r>
        <w:rPr>
          <w:rFonts w:hint="eastAsia" w:ascii="宋体" w:hAnsi="宋体" w:eastAsia="宋体" w:cs="宋体"/>
          <w:color w:val="auto"/>
          <w:kern w:val="2"/>
          <w:sz w:val="24"/>
          <w:szCs w:val="24"/>
          <w:highlight w:val="none"/>
          <w:u w:val="single"/>
          <w:lang w:val="en-US" w:eastAsia="zh-CN" w:bidi="ar"/>
        </w:rPr>
        <w:t xml:space="preserve">   工程竣工验收合格后6个月内   </w:t>
      </w:r>
      <w:r>
        <w:rPr>
          <w:rFonts w:hint="eastAsia" w:ascii="宋体" w:hAnsi="宋体" w:eastAsia="宋体" w:cs="宋体"/>
          <w:color w:val="auto"/>
          <w:kern w:val="2"/>
          <w:sz w:val="24"/>
          <w:szCs w:val="24"/>
          <w:highlight w:val="none"/>
          <w:lang w:val="en-US" w:eastAsia="zh-CN" w:bidi="ar"/>
        </w:rPr>
        <w:t>。</w:t>
      </w:r>
    </w:p>
    <w:p w14:paraId="37B58DFA">
      <w:pPr>
        <w:keepNext w:val="0"/>
        <w:keepLines w:val="0"/>
        <w:pageBreakBefore w:val="0"/>
        <w:widowControl w:val="0"/>
        <w:suppressLineNumbers w:val="0"/>
        <w:kinsoku/>
        <w:overflowPunct/>
        <w:topLinePunct w:val="0"/>
        <w:bidi w:val="0"/>
        <w:snapToGrid/>
        <w:spacing w:before="0" w:beforeAutospacing="0" w:after="0" w:afterAutospacing="0" w:line="288" w:lineRule="auto"/>
        <w:ind w:left="0" w:right="0" w:firstLine="480" w:firstLineChars="200"/>
        <w:jc w:val="left"/>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bidi="ar"/>
        </w:rPr>
        <w:t>承包人提交的竣工资料形式要求：</w:t>
      </w:r>
      <w:r>
        <w:rPr>
          <w:rFonts w:hint="eastAsia" w:ascii="宋体" w:hAnsi="宋体" w:eastAsia="宋体" w:cs="宋体"/>
          <w:color w:val="auto"/>
          <w:kern w:val="2"/>
          <w:sz w:val="24"/>
          <w:szCs w:val="24"/>
          <w:highlight w:val="none"/>
          <w:u w:val="single"/>
          <w:lang w:val="en-US" w:eastAsia="zh-CN" w:bidi="ar"/>
        </w:rPr>
        <w:t xml:space="preserve">    纸质（装订成册）及电子文档 </w:t>
      </w:r>
      <w:r>
        <w:rPr>
          <w:rFonts w:hint="eastAsia" w:ascii="宋体" w:hAnsi="宋体" w:eastAsia="宋体" w:cs="宋体"/>
          <w:color w:val="auto"/>
          <w:kern w:val="2"/>
          <w:sz w:val="24"/>
          <w:szCs w:val="24"/>
          <w:highlight w:val="none"/>
          <w:lang w:val="en-US" w:eastAsia="zh-CN" w:bidi="ar"/>
        </w:rPr>
        <w:t>。</w:t>
      </w:r>
    </w:p>
    <w:p w14:paraId="25BEF3D0">
      <w:pPr>
        <w:keepNext w:val="0"/>
        <w:keepLines w:val="0"/>
        <w:pageBreakBefore w:val="0"/>
        <w:widowControl w:val="0"/>
        <w:suppressLineNumbers w:val="0"/>
        <w:kinsoku/>
        <w:overflowPunct/>
        <w:topLinePunct w:val="0"/>
        <w:bidi w:val="0"/>
        <w:snapToGrid/>
        <w:spacing w:before="0" w:beforeAutospacing="0" w:after="0" w:afterAutospacing="0" w:line="288" w:lineRule="auto"/>
        <w:ind w:left="424" w:leftChars="202" w:right="0"/>
        <w:jc w:val="left"/>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kern w:val="0"/>
          <w:sz w:val="24"/>
          <w:szCs w:val="24"/>
          <w:highlight w:val="none"/>
          <w:lang w:val="en-US" w:eastAsia="zh-CN" w:bidi="ar"/>
        </w:rPr>
        <w:t>（10）承包人应履行的其他义务：</w:t>
      </w:r>
    </w:p>
    <w:p w14:paraId="3B621196">
      <w:pPr>
        <w:pageBreakBefore w:val="0"/>
        <w:kinsoku/>
        <w:overflowPunct/>
        <w:topLinePunct w:val="0"/>
        <w:bidi w:val="0"/>
        <w:snapToGrid/>
        <w:spacing w:line="288" w:lineRule="auto"/>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bidi="ar"/>
        </w:rPr>
        <w:t>按照《中华人民共和国工会法》、《国务院关于进一步做好为农民工服务工作的意见》（国发〔2014〕40号）、《中华全国总工会关于深入贯彻落实&lt;国务院关于进一步做好为农民工服务工作的意见&gt;的实施意见》（总工发〔2015〕14号）有关要求，深入开展“农民工入会集中行动”。</w:t>
      </w:r>
    </w:p>
    <w:p w14:paraId="10766A64">
      <w:pPr>
        <w:pageBreakBefore w:val="0"/>
        <w:kinsoku/>
        <w:overflowPunct/>
        <w:topLinePunct w:val="0"/>
        <w:bidi w:val="0"/>
        <w:snapToGrid/>
        <w:spacing w:line="288" w:lineRule="auto"/>
        <w:textAlignment w:val="auto"/>
        <w:rPr>
          <w:rFonts w:hint="eastAsia" w:ascii="宋体" w:hAnsi="宋体" w:eastAsia="宋体" w:cs="宋体"/>
          <w:b/>
          <w:bCs/>
          <w:color w:val="auto"/>
          <w:sz w:val="24"/>
          <w:szCs w:val="24"/>
          <w:highlight w:val="none"/>
        </w:rPr>
      </w:pPr>
      <w:bookmarkStart w:id="277" w:name="_Toc25943"/>
      <w:bookmarkStart w:id="278" w:name="_Toc407135210"/>
      <w:bookmarkStart w:id="279" w:name="_Toc9850538"/>
      <w:r>
        <w:rPr>
          <w:rFonts w:hint="eastAsia" w:ascii="宋体" w:hAnsi="宋体" w:eastAsia="宋体" w:cs="宋体"/>
          <w:b/>
          <w:bCs/>
          <w:color w:val="auto"/>
          <w:sz w:val="24"/>
          <w:szCs w:val="24"/>
          <w:highlight w:val="none"/>
        </w:rPr>
        <w:t>3.2 项目经理</w:t>
      </w:r>
      <w:bookmarkEnd w:id="277"/>
      <w:bookmarkEnd w:id="278"/>
      <w:bookmarkEnd w:id="279"/>
    </w:p>
    <w:p w14:paraId="02086D4D">
      <w:pPr>
        <w:pageBreakBefore w:val="0"/>
        <w:kinsoku/>
        <w:overflowPunct/>
        <w:topLinePunct w:val="0"/>
        <w:bidi w:val="0"/>
        <w:snapToGrid/>
        <w:spacing w:line="28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 xml:space="preserve">3.2.1 </w:t>
      </w:r>
      <w:r>
        <w:rPr>
          <w:rFonts w:hint="eastAsia" w:ascii="宋体" w:hAnsi="宋体" w:eastAsia="宋体" w:cs="宋体"/>
          <w:color w:val="auto"/>
          <w:sz w:val="24"/>
          <w:szCs w:val="24"/>
          <w:highlight w:val="none"/>
        </w:rPr>
        <w:t>项目经理：</w:t>
      </w:r>
    </w:p>
    <w:p w14:paraId="3A82893C">
      <w:pPr>
        <w:pageBreakBefore w:val="0"/>
        <w:kinsoku/>
        <w:overflowPunct/>
        <w:topLinePunct w:val="0"/>
        <w:bidi w:val="0"/>
        <w:snapToGrid/>
        <w:spacing w:line="28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    名：</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         </w:t>
      </w:r>
      <w:r>
        <w:rPr>
          <w:rFonts w:hint="eastAsia" w:ascii="宋体" w:hAnsi="宋体" w:eastAsia="宋体" w:cs="宋体"/>
          <w:color w:val="auto"/>
          <w:sz w:val="24"/>
          <w:szCs w:val="24"/>
          <w:highlight w:val="none"/>
        </w:rPr>
        <w:t>；</w:t>
      </w:r>
    </w:p>
    <w:p w14:paraId="05DD9AC2">
      <w:pPr>
        <w:pageBreakBefore w:val="0"/>
        <w:kinsoku/>
        <w:overflowPunct/>
        <w:topLinePunct w:val="0"/>
        <w:bidi w:val="0"/>
        <w:snapToGrid/>
        <w:spacing w:line="28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身份证号：</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 </w:t>
      </w:r>
      <w:r>
        <w:rPr>
          <w:rFonts w:hint="eastAsia" w:ascii="宋体" w:hAnsi="宋体" w:eastAsia="宋体" w:cs="宋体"/>
          <w:color w:val="auto"/>
          <w:sz w:val="24"/>
          <w:szCs w:val="24"/>
          <w:highlight w:val="none"/>
        </w:rPr>
        <w:t>；</w:t>
      </w:r>
    </w:p>
    <w:p w14:paraId="3CA6CBB1">
      <w:pPr>
        <w:pageBreakBefore w:val="0"/>
        <w:kinsoku/>
        <w:overflowPunct/>
        <w:topLinePunct w:val="0"/>
        <w:bidi w:val="0"/>
        <w:snapToGrid/>
        <w:spacing w:line="28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建造师执业资格等级：</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 </w:t>
      </w:r>
      <w:r>
        <w:rPr>
          <w:rFonts w:hint="eastAsia" w:ascii="宋体" w:hAnsi="宋体" w:eastAsia="宋体" w:cs="宋体"/>
          <w:color w:val="auto"/>
          <w:sz w:val="24"/>
          <w:szCs w:val="24"/>
          <w:highlight w:val="none"/>
        </w:rPr>
        <w:t>；</w:t>
      </w:r>
    </w:p>
    <w:p w14:paraId="20CAF9A6">
      <w:pPr>
        <w:pageBreakBefore w:val="0"/>
        <w:kinsoku/>
        <w:overflowPunct/>
        <w:topLinePunct w:val="0"/>
        <w:bidi w:val="0"/>
        <w:snapToGrid/>
        <w:spacing w:line="28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建造师注册证书号：</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 </w:t>
      </w:r>
      <w:r>
        <w:rPr>
          <w:rFonts w:hint="eastAsia" w:ascii="宋体" w:hAnsi="宋体" w:eastAsia="宋体" w:cs="宋体"/>
          <w:color w:val="auto"/>
          <w:sz w:val="24"/>
          <w:szCs w:val="24"/>
          <w:highlight w:val="none"/>
        </w:rPr>
        <w:t>；</w:t>
      </w:r>
    </w:p>
    <w:p w14:paraId="7D1DB0AD">
      <w:pPr>
        <w:pageBreakBefore w:val="0"/>
        <w:kinsoku/>
        <w:overflowPunct/>
        <w:topLinePunct w:val="0"/>
        <w:bidi w:val="0"/>
        <w:snapToGrid/>
        <w:spacing w:line="28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建造师执业印章号：</w:t>
      </w:r>
      <w:r>
        <w:rPr>
          <w:rFonts w:hint="eastAsia" w:ascii="宋体" w:hAnsi="宋体" w:eastAsia="宋体" w:cs="宋体"/>
          <w:color w:val="auto"/>
          <w:sz w:val="24"/>
          <w:szCs w:val="24"/>
          <w:highlight w:val="none"/>
          <w:u w:val="single"/>
        </w:rPr>
        <w:t>    </w:t>
      </w:r>
      <w:r>
        <w:rPr>
          <w:rFonts w:hint="eastAsia" w:ascii="宋体" w:hAnsi="宋体" w:eastAsia="宋体" w:cs="宋体"/>
          <w:color w:val="auto"/>
          <w:sz w:val="24"/>
          <w:szCs w:val="24"/>
          <w:highlight w:val="none"/>
        </w:rPr>
        <w:t>；</w:t>
      </w:r>
    </w:p>
    <w:p w14:paraId="5732C979">
      <w:pPr>
        <w:pageBreakBefore w:val="0"/>
        <w:kinsoku/>
        <w:overflowPunct/>
        <w:topLinePunct w:val="0"/>
        <w:bidi w:val="0"/>
        <w:snapToGrid/>
        <w:spacing w:line="28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安全生产考核合格证书号：</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5A838A5C">
      <w:pPr>
        <w:pageBreakBefore w:val="0"/>
        <w:kinsoku/>
        <w:overflowPunct/>
        <w:topLinePunct w:val="0"/>
        <w:bidi w:val="0"/>
        <w:snapToGrid/>
        <w:spacing w:line="28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       </w:t>
      </w:r>
      <w:r>
        <w:rPr>
          <w:rFonts w:hint="eastAsia" w:ascii="宋体" w:hAnsi="宋体" w:eastAsia="宋体" w:cs="宋体"/>
          <w:color w:val="auto"/>
          <w:sz w:val="24"/>
          <w:szCs w:val="24"/>
          <w:highlight w:val="none"/>
        </w:rPr>
        <w:t>；</w:t>
      </w:r>
    </w:p>
    <w:p w14:paraId="748AF014">
      <w:pPr>
        <w:pageBreakBefore w:val="0"/>
        <w:kinsoku/>
        <w:overflowPunct/>
        <w:topLinePunct w:val="0"/>
        <w:bidi w:val="0"/>
        <w:snapToGrid/>
        <w:spacing w:line="28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电子信箱：</w:t>
      </w:r>
      <w:r>
        <w:rPr>
          <w:rFonts w:hint="eastAsia" w:ascii="宋体" w:hAnsi="宋体" w:eastAsia="宋体" w:cs="宋体"/>
          <w:color w:val="auto"/>
          <w:sz w:val="24"/>
          <w:szCs w:val="24"/>
          <w:highlight w:val="none"/>
          <w:u w:val="single"/>
        </w:rPr>
        <w:t>             </w:t>
      </w:r>
      <w:r>
        <w:rPr>
          <w:rFonts w:hint="eastAsia" w:ascii="宋体" w:hAnsi="宋体" w:eastAsia="宋体" w:cs="宋体"/>
          <w:color w:val="auto"/>
          <w:sz w:val="24"/>
          <w:szCs w:val="24"/>
          <w:highlight w:val="none"/>
        </w:rPr>
        <w:t>；</w:t>
      </w:r>
    </w:p>
    <w:p w14:paraId="451DCCFE">
      <w:pPr>
        <w:pageBreakBefore w:val="0"/>
        <w:kinsoku/>
        <w:overflowPunct/>
        <w:topLinePunct w:val="0"/>
        <w:bidi w:val="0"/>
        <w:snapToGrid/>
        <w:spacing w:line="28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通信地址：</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p>
    <w:p w14:paraId="21E7E66D">
      <w:pPr>
        <w:pageBreakBefore w:val="0"/>
        <w:kinsoku/>
        <w:overflowPunct/>
        <w:topLinePunct w:val="0"/>
        <w:bidi w:val="0"/>
        <w:snapToGrid/>
        <w:spacing w:line="28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对项目经理的授权范围如下：项目经理仅限于工程的现场施工管理，但未经承包人盖章同意，不得以承包人名义向外采购材料设备、租用建筑周转材料、雇用劳动力、签订分包合同等从事一切为承包人设立义务或责任的行为。</w:t>
      </w:r>
    </w:p>
    <w:p w14:paraId="05CE69C4">
      <w:pPr>
        <w:pageBreakBefore w:val="0"/>
        <w:kinsoku/>
        <w:overflowPunct/>
        <w:topLinePunct w:val="0"/>
        <w:bidi w:val="0"/>
        <w:snapToGrid/>
        <w:spacing w:line="288"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关于项目经理每月在施工现场的时间要求：发包人对承包人的项目经理、项目总工、质量员、安全员等主要管理人员进行考勤，以上人员每月出勤必须在21天以上，每少1天，除项目经理外，每人每天扣罚300元人民币。项目经理每月出勤必须在21天以上，每少1天，扣罚1000元人民币</w:t>
      </w:r>
      <w:r>
        <w:rPr>
          <w:rFonts w:hint="eastAsia" w:ascii="宋体" w:hAnsi="宋体" w:eastAsia="宋体" w:cs="宋体"/>
          <w:color w:val="auto"/>
          <w:sz w:val="24"/>
          <w:szCs w:val="24"/>
          <w:highlight w:val="none"/>
        </w:rPr>
        <w:t>。</w:t>
      </w:r>
    </w:p>
    <w:p w14:paraId="79E39497">
      <w:pPr>
        <w:keepNext w:val="0"/>
        <w:keepLines w:val="0"/>
        <w:pageBreakBefore w:val="0"/>
        <w:widowControl w:val="0"/>
        <w:suppressLineNumbers w:val="0"/>
        <w:kinsoku/>
        <w:overflowPunct/>
        <w:topLinePunct w:val="0"/>
        <w:bidi w:val="0"/>
        <w:snapToGrid/>
        <w:spacing w:before="0" w:beforeAutospacing="0" w:after="0" w:afterAutospacing="0" w:line="288" w:lineRule="auto"/>
        <w:ind w:left="0" w:right="0" w:firstLine="480" w:firstLineChars="200"/>
        <w:jc w:val="both"/>
        <w:textAlignment w:val="auto"/>
        <w:rPr>
          <w:rFonts w:hint="eastAsia" w:ascii="宋体" w:hAnsi="宋体" w:eastAsia="宋体" w:cs="宋体"/>
          <w:color w:val="auto"/>
          <w:sz w:val="24"/>
          <w:szCs w:val="24"/>
          <w:highlight w:val="none"/>
          <w:u w:val="single"/>
          <w:lang w:val="en-US"/>
        </w:rPr>
      </w:pPr>
      <w:r>
        <w:rPr>
          <w:rFonts w:hint="eastAsia" w:ascii="宋体" w:hAnsi="宋体" w:eastAsia="宋体" w:cs="宋体"/>
          <w:color w:val="auto"/>
          <w:kern w:val="0"/>
          <w:sz w:val="24"/>
          <w:szCs w:val="24"/>
          <w:highlight w:val="none"/>
          <w:lang w:val="en-US" w:eastAsia="zh-CN" w:bidi="ar"/>
        </w:rPr>
        <w:t>承包人未提交劳动合同，以及没有为项目经理缴纳社会保险证明的违约责任：</w:t>
      </w:r>
    </w:p>
    <w:p w14:paraId="3FAB9961">
      <w:pPr>
        <w:keepNext w:val="0"/>
        <w:keepLines w:val="0"/>
        <w:pageBreakBefore w:val="0"/>
        <w:widowControl/>
        <w:suppressLineNumbers w:val="0"/>
        <w:kinsoku/>
        <w:wordWrap w:val="0"/>
        <w:overflowPunct/>
        <w:topLinePunct w:val="0"/>
        <w:bidi w:val="0"/>
        <w:snapToGrid/>
        <w:spacing w:before="0" w:beforeAutospacing="0" w:after="0" w:afterAutospacing="0" w:line="288" w:lineRule="auto"/>
        <w:ind w:left="0" w:right="0" w:firstLine="480" w:firstLineChars="200"/>
        <w:jc w:val="both"/>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2"/>
          <w:sz w:val="24"/>
          <w:szCs w:val="24"/>
          <w:highlight w:val="none"/>
          <w:u w:val="single"/>
          <w:lang w:val="en-US" w:eastAsia="zh-CN" w:bidi="ar"/>
        </w:rPr>
        <w:t>发包人有权要求承包人更换合格的项目经理，</w:t>
      </w:r>
      <w:r>
        <w:rPr>
          <w:rFonts w:hint="eastAsia" w:ascii="宋体" w:hAnsi="宋体" w:eastAsia="宋体" w:cs="宋体"/>
          <w:color w:val="auto"/>
          <w:kern w:val="0"/>
          <w:sz w:val="24"/>
          <w:szCs w:val="24"/>
          <w:highlight w:val="none"/>
          <w:u w:val="single"/>
          <w:lang w:val="en-US" w:eastAsia="zh-CN" w:bidi="ar"/>
        </w:rPr>
        <w:t>由此增加的费用和（或）延误的工期由承包人承担，如不按要求更换，发包人</w:t>
      </w:r>
      <w:r>
        <w:rPr>
          <w:rFonts w:hint="eastAsia" w:ascii="宋体" w:hAnsi="宋体" w:eastAsia="宋体" w:cs="宋体"/>
          <w:color w:val="auto"/>
          <w:kern w:val="2"/>
          <w:sz w:val="24"/>
          <w:szCs w:val="24"/>
          <w:highlight w:val="none"/>
          <w:u w:val="single"/>
          <w:lang w:val="en-US" w:eastAsia="zh-CN" w:bidi="ar"/>
        </w:rPr>
        <w:t>有权通知解除合同</w:t>
      </w:r>
      <w:r>
        <w:rPr>
          <w:rFonts w:hint="eastAsia" w:ascii="宋体" w:hAnsi="宋体" w:eastAsia="宋体" w:cs="宋体"/>
          <w:color w:val="auto"/>
          <w:kern w:val="2"/>
          <w:sz w:val="24"/>
          <w:szCs w:val="24"/>
          <w:highlight w:val="none"/>
          <w:lang w:val="en-US" w:eastAsia="zh-CN" w:bidi="ar"/>
        </w:rPr>
        <w:t>。</w:t>
      </w:r>
    </w:p>
    <w:p w14:paraId="095900C1">
      <w:pPr>
        <w:keepNext w:val="0"/>
        <w:keepLines w:val="0"/>
        <w:pageBreakBefore w:val="0"/>
        <w:widowControl w:val="0"/>
        <w:suppressLineNumbers w:val="0"/>
        <w:kinsoku/>
        <w:overflowPunct/>
        <w:topLinePunct w:val="0"/>
        <w:bidi w:val="0"/>
        <w:snapToGrid/>
        <w:spacing w:before="0" w:beforeAutospacing="0" w:after="0" w:afterAutospacing="0" w:line="288" w:lineRule="auto"/>
        <w:ind w:left="0" w:right="0" w:firstLine="480" w:firstLineChars="200"/>
        <w:jc w:val="both"/>
        <w:textAlignment w:val="auto"/>
        <w:rPr>
          <w:rFonts w:hint="eastAsia" w:ascii="宋体" w:hAnsi="宋体" w:eastAsia="宋体" w:cs="宋体"/>
          <w:color w:val="auto"/>
          <w:sz w:val="24"/>
          <w:szCs w:val="24"/>
          <w:highlight w:val="none"/>
          <w:u w:val="single"/>
          <w:lang w:val="en-US"/>
        </w:rPr>
      </w:pPr>
      <w:r>
        <w:rPr>
          <w:rFonts w:hint="eastAsia" w:ascii="宋体" w:hAnsi="宋体" w:eastAsia="宋体" w:cs="宋体"/>
          <w:color w:val="auto"/>
          <w:kern w:val="0"/>
          <w:sz w:val="24"/>
          <w:szCs w:val="24"/>
          <w:highlight w:val="none"/>
          <w:lang w:val="en-US" w:eastAsia="zh-CN" w:bidi="ar"/>
        </w:rPr>
        <w:t>项目经理未经批准，擅自离开施工现场的违约责任：</w:t>
      </w:r>
      <w:r>
        <w:rPr>
          <w:rFonts w:hint="eastAsia" w:ascii="宋体" w:hAnsi="宋体" w:eastAsia="宋体" w:cs="宋体"/>
          <w:color w:val="auto"/>
          <w:kern w:val="2"/>
          <w:sz w:val="24"/>
          <w:szCs w:val="24"/>
          <w:highlight w:val="none"/>
          <w:u w:val="single"/>
          <w:lang w:val="en-US" w:eastAsia="zh-CN" w:bidi="ar"/>
        </w:rPr>
        <w:t xml:space="preserve">项目经理每月在岗带班时间不得少于当月施工时间的80%。未经发包人同意或正当理由，项目经理每月在岗带班时间少于当月施工时间80%的，少在岗带班一天，发包人有权处违约金1000元/人•天(人民币)  </w:t>
      </w:r>
      <w:r>
        <w:rPr>
          <w:rFonts w:hint="eastAsia" w:ascii="宋体" w:hAnsi="宋体" w:eastAsia="宋体" w:cs="宋体"/>
          <w:color w:val="auto"/>
          <w:kern w:val="2"/>
          <w:sz w:val="24"/>
          <w:szCs w:val="24"/>
          <w:highlight w:val="none"/>
          <w:lang w:val="en-US" w:eastAsia="zh-CN" w:bidi="ar"/>
        </w:rPr>
        <w:t>。</w:t>
      </w:r>
    </w:p>
    <w:p w14:paraId="5C0FA286">
      <w:pPr>
        <w:keepNext w:val="0"/>
        <w:keepLines w:val="0"/>
        <w:pageBreakBefore w:val="0"/>
        <w:widowControl w:val="0"/>
        <w:suppressLineNumbers w:val="0"/>
        <w:kinsoku/>
        <w:overflowPunct/>
        <w:topLinePunct w:val="0"/>
        <w:bidi w:val="0"/>
        <w:snapToGrid/>
        <w:spacing w:before="0" w:beforeAutospacing="0" w:after="0" w:afterAutospacing="0" w:line="288" w:lineRule="auto"/>
        <w:ind w:left="0" w:right="0" w:firstLine="480" w:firstLineChars="200"/>
        <w:jc w:val="both"/>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bidi="ar"/>
        </w:rPr>
        <w:t>3.2.3 承包人擅自更换项目经理的违约责任：</w:t>
      </w:r>
      <w:r>
        <w:rPr>
          <w:rFonts w:hint="eastAsia" w:ascii="宋体" w:hAnsi="宋体" w:eastAsia="宋体" w:cs="宋体"/>
          <w:color w:val="auto"/>
          <w:kern w:val="2"/>
          <w:sz w:val="24"/>
          <w:szCs w:val="24"/>
          <w:highlight w:val="none"/>
          <w:u w:val="single"/>
          <w:lang w:val="en-US" w:eastAsia="zh-CN" w:bidi="ar"/>
        </w:rPr>
        <w:t>承包人项目经理必须与承包人投标时所承诺的人员一致，并在  （开工日期）  前到任。在发包人向承包人颁发 （竣工证明材料名称） 前，项目经理不得同时兼任其他任何项目的项目经理</w:t>
      </w:r>
      <w:r>
        <w:rPr>
          <w:rFonts w:hint="eastAsia" w:ascii="宋体" w:hAnsi="宋体" w:eastAsia="宋体" w:cs="宋体"/>
          <w:color w:val="auto"/>
          <w:kern w:val="0"/>
          <w:sz w:val="24"/>
          <w:szCs w:val="24"/>
          <w:highlight w:val="none"/>
          <w:u w:val="single"/>
          <w:lang w:val="en-US" w:eastAsia="zh-CN" w:bidi="ar"/>
        </w:rPr>
        <w:t>（符合桂建管</w:t>
      </w:r>
      <w:r>
        <w:rPr>
          <w:rFonts w:hint="eastAsia" w:ascii="宋体" w:hAnsi="宋体" w:eastAsia="宋体" w:cs="宋体"/>
          <w:color w:val="auto"/>
          <w:kern w:val="2"/>
          <w:sz w:val="24"/>
          <w:szCs w:val="24"/>
          <w:highlight w:val="none"/>
          <w:u w:val="single"/>
          <w:lang w:val="en-US" w:eastAsia="zh-CN" w:bidi="ar"/>
        </w:rPr>
        <w:t>﹝2013﹞</w:t>
      </w:r>
      <w:r>
        <w:rPr>
          <w:rFonts w:hint="eastAsia" w:ascii="宋体" w:hAnsi="宋体" w:eastAsia="宋体" w:cs="宋体"/>
          <w:color w:val="auto"/>
          <w:kern w:val="0"/>
          <w:sz w:val="24"/>
          <w:szCs w:val="24"/>
          <w:highlight w:val="none"/>
          <w:u w:val="single"/>
          <w:lang w:val="en-US" w:eastAsia="zh-CN" w:bidi="ar"/>
        </w:rPr>
        <w:t>17号和</w:t>
      </w:r>
      <w:r>
        <w:rPr>
          <w:rFonts w:hint="eastAsia" w:ascii="宋体" w:hAnsi="宋体" w:eastAsia="宋体" w:cs="宋体"/>
          <w:color w:val="auto"/>
          <w:kern w:val="2"/>
          <w:sz w:val="24"/>
          <w:szCs w:val="24"/>
          <w:highlight w:val="none"/>
          <w:u w:val="single"/>
          <w:lang w:val="en-US" w:eastAsia="zh-CN" w:bidi="ar"/>
        </w:rPr>
        <w:t>桂建管﹝2014﹞25号</w:t>
      </w:r>
      <w:r>
        <w:rPr>
          <w:rFonts w:hint="eastAsia" w:ascii="宋体" w:hAnsi="宋体" w:eastAsia="宋体" w:cs="宋体"/>
          <w:color w:val="auto"/>
          <w:kern w:val="0"/>
          <w:sz w:val="24"/>
          <w:szCs w:val="24"/>
          <w:highlight w:val="none"/>
          <w:u w:val="single"/>
          <w:lang w:val="en-US" w:eastAsia="zh-CN" w:bidi="ar"/>
        </w:rPr>
        <w:t>文除外）</w:t>
      </w:r>
      <w:r>
        <w:rPr>
          <w:rFonts w:hint="eastAsia" w:ascii="宋体" w:hAnsi="宋体" w:eastAsia="宋体" w:cs="宋体"/>
          <w:color w:val="auto"/>
          <w:kern w:val="2"/>
          <w:sz w:val="24"/>
          <w:szCs w:val="24"/>
          <w:highlight w:val="none"/>
          <w:u w:val="single"/>
          <w:lang w:val="en-US" w:eastAsia="zh-CN" w:bidi="ar"/>
        </w:rPr>
        <w:t>。未经发包人书面同意，承包人擅自更换项目经理的视为违约，违约金处8000元/人•次(人民币)</w:t>
      </w:r>
      <w:r>
        <w:rPr>
          <w:rFonts w:hint="eastAsia" w:ascii="宋体" w:hAnsi="宋体" w:eastAsia="宋体" w:cs="宋体"/>
          <w:color w:val="auto"/>
          <w:kern w:val="2"/>
          <w:sz w:val="24"/>
          <w:szCs w:val="24"/>
          <w:highlight w:val="none"/>
          <w:lang w:val="en-US" w:eastAsia="zh-CN" w:bidi="ar"/>
        </w:rPr>
        <w:t>。</w:t>
      </w:r>
    </w:p>
    <w:p w14:paraId="7501BD02">
      <w:pPr>
        <w:pageBreakBefore w:val="0"/>
        <w:kinsoku/>
        <w:overflowPunct/>
        <w:topLinePunct w:val="0"/>
        <w:bidi w:val="0"/>
        <w:snapToGrid/>
        <w:spacing w:line="28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
        </w:rPr>
        <w:t>3.2.4 承包人无正当理由拒绝更换项目经理的违约责任：</w:t>
      </w:r>
      <w:r>
        <w:rPr>
          <w:rFonts w:hint="eastAsia" w:ascii="宋体" w:hAnsi="宋体" w:eastAsia="宋体" w:cs="宋体"/>
          <w:color w:val="auto"/>
          <w:kern w:val="2"/>
          <w:sz w:val="24"/>
          <w:szCs w:val="24"/>
          <w:highlight w:val="none"/>
          <w:u w:val="single"/>
          <w:lang w:val="en-US" w:eastAsia="zh-CN" w:bidi="ar"/>
        </w:rPr>
        <w:t>因承包人项目经理不称职，发包人要求调换而未及时调换的，视为承包人违约，必须向发包人交纳处罚金5000元/人•次(人民币)</w:t>
      </w:r>
      <w:r>
        <w:rPr>
          <w:rFonts w:hint="eastAsia" w:ascii="宋体" w:hAnsi="宋体" w:eastAsia="宋体" w:cs="宋体"/>
          <w:color w:val="auto"/>
          <w:kern w:val="2"/>
          <w:sz w:val="24"/>
          <w:szCs w:val="24"/>
          <w:highlight w:val="none"/>
          <w:lang w:val="en-US" w:eastAsia="zh-CN" w:bidi="ar"/>
        </w:rPr>
        <w:t>。</w:t>
      </w:r>
    </w:p>
    <w:p w14:paraId="66271F6A">
      <w:pPr>
        <w:pageBreakBefore w:val="0"/>
        <w:kinsoku/>
        <w:overflowPunct/>
        <w:topLinePunct w:val="0"/>
        <w:bidi w:val="0"/>
        <w:snapToGrid/>
        <w:spacing w:line="288" w:lineRule="auto"/>
        <w:textAlignment w:val="auto"/>
        <w:rPr>
          <w:rFonts w:hint="eastAsia" w:ascii="宋体" w:hAnsi="宋体" w:eastAsia="宋体" w:cs="宋体"/>
          <w:b/>
          <w:bCs/>
          <w:color w:val="auto"/>
          <w:sz w:val="24"/>
          <w:szCs w:val="24"/>
          <w:highlight w:val="none"/>
        </w:rPr>
      </w:pPr>
      <w:bookmarkStart w:id="280" w:name="_Toc22598"/>
      <w:bookmarkStart w:id="281" w:name="_Toc407135211"/>
      <w:bookmarkStart w:id="282" w:name="_Toc9850539"/>
      <w:r>
        <w:rPr>
          <w:rFonts w:hint="eastAsia" w:ascii="宋体" w:hAnsi="宋体" w:eastAsia="宋体" w:cs="宋体"/>
          <w:b/>
          <w:bCs/>
          <w:color w:val="auto"/>
          <w:sz w:val="24"/>
          <w:szCs w:val="24"/>
          <w:highlight w:val="none"/>
        </w:rPr>
        <w:t>3.3 承包人人员</w:t>
      </w:r>
      <w:bookmarkEnd w:id="280"/>
      <w:bookmarkEnd w:id="281"/>
      <w:bookmarkEnd w:id="282"/>
    </w:p>
    <w:p w14:paraId="04C3BC0C">
      <w:pPr>
        <w:keepNext w:val="0"/>
        <w:keepLines w:val="0"/>
        <w:pageBreakBefore w:val="0"/>
        <w:widowControl w:val="0"/>
        <w:suppressLineNumbers w:val="0"/>
        <w:kinsoku/>
        <w:overflowPunct/>
        <w:topLinePunct w:val="0"/>
        <w:bidi w:val="0"/>
        <w:snapToGrid/>
        <w:spacing w:before="0" w:beforeAutospacing="0" w:after="0" w:afterAutospacing="0" w:line="288" w:lineRule="auto"/>
        <w:ind w:left="0" w:right="0" w:firstLine="480" w:firstLineChars="200"/>
        <w:jc w:val="both"/>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bidi="ar"/>
        </w:rPr>
        <w:t>3.3.1 承包人提交项目管理机构及施工现场管理人员安排报告的期限：</w:t>
      </w:r>
    </w:p>
    <w:p w14:paraId="69FB5A0D">
      <w:pPr>
        <w:keepNext w:val="0"/>
        <w:keepLines w:val="0"/>
        <w:pageBreakBefore w:val="0"/>
        <w:widowControl w:val="0"/>
        <w:suppressLineNumbers w:val="0"/>
        <w:kinsoku/>
        <w:overflowPunct/>
        <w:topLinePunct w:val="0"/>
        <w:bidi w:val="0"/>
        <w:snapToGrid/>
        <w:spacing w:before="0" w:beforeAutospacing="0" w:after="0" w:afterAutospacing="0" w:line="288" w:lineRule="auto"/>
        <w:ind w:left="0" w:right="0"/>
        <w:jc w:val="both"/>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u w:val="single"/>
          <w:lang w:val="en-US" w:eastAsia="zh-CN" w:bidi="ar"/>
        </w:rPr>
        <w:t>发包人下发开工令且进场施工前7天内</w:t>
      </w:r>
      <w:r>
        <w:rPr>
          <w:rFonts w:hint="eastAsia" w:ascii="宋体" w:hAnsi="宋体" w:eastAsia="宋体" w:cs="宋体"/>
          <w:color w:val="auto"/>
          <w:kern w:val="2"/>
          <w:sz w:val="24"/>
          <w:szCs w:val="24"/>
          <w:highlight w:val="none"/>
          <w:lang w:val="en-US" w:eastAsia="zh-CN" w:bidi="ar"/>
        </w:rPr>
        <w:t>。</w:t>
      </w:r>
    </w:p>
    <w:p w14:paraId="1A759074">
      <w:pPr>
        <w:keepNext w:val="0"/>
        <w:keepLines w:val="0"/>
        <w:pageBreakBefore w:val="0"/>
        <w:widowControl w:val="0"/>
        <w:suppressLineNumbers w:val="0"/>
        <w:kinsoku/>
        <w:overflowPunct/>
        <w:topLinePunct w:val="0"/>
        <w:bidi w:val="0"/>
        <w:snapToGrid/>
        <w:spacing w:before="0" w:beforeAutospacing="0" w:after="0" w:afterAutospacing="0" w:line="288" w:lineRule="auto"/>
        <w:ind w:left="0" w:right="0" w:firstLine="480" w:firstLineChars="200"/>
        <w:jc w:val="both"/>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bidi="ar"/>
        </w:rPr>
        <w:t>3.3.3 承包人无正当理由拒绝撤换主要施工管理人员的违约责任：</w:t>
      </w:r>
      <w:r>
        <w:rPr>
          <w:rFonts w:hint="eastAsia" w:ascii="宋体" w:hAnsi="宋体" w:eastAsia="宋体" w:cs="宋体"/>
          <w:color w:val="auto"/>
          <w:kern w:val="2"/>
          <w:sz w:val="24"/>
          <w:szCs w:val="24"/>
          <w:highlight w:val="none"/>
          <w:u w:val="single"/>
          <w:lang w:val="en-US" w:eastAsia="zh-CN" w:bidi="ar"/>
        </w:rPr>
        <w:t>因承包人主要施工管理人员不称职，发包人要求调换而无正当理由拒绝撤换或未及时调换的，视为承包人违约，必须向发包人交纳处罚金，处罚标准：技术负责人500元/人•次(人民币)；专业工程师3000元/人•次(人民币)</w:t>
      </w:r>
      <w:r>
        <w:rPr>
          <w:rFonts w:hint="eastAsia" w:ascii="宋体" w:hAnsi="宋体" w:eastAsia="宋体" w:cs="宋体"/>
          <w:color w:val="auto"/>
          <w:kern w:val="2"/>
          <w:sz w:val="24"/>
          <w:szCs w:val="24"/>
          <w:highlight w:val="none"/>
          <w:lang w:val="en-US" w:eastAsia="zh-CN" w:bidi="ar"/>
        </w:rPr>
        <w:t>。</w:t>
      </w:r>
    </w:p>
    <w:p w14:paraId="714AEC44">
      <w:pPr>
        <w:keepNext w:val="0"/>
        <w:keepLines w:val="0"/>
        <w:pageBreakBefore w:val="0"/>
        <w:widowControl w:val="0"/>
        <w:suppressLineNumbers w:val="0"/>
        <w:kinsoku/>
        <w:overflowPunct/>
        <w:topLinePunct w:val="0"/>
        <w:bidi w:val="0"/>
        <w:snapToGrid/>
        <w:spacing w:before="0" w:beforeAutospacing="0" w:after="0" w:afterAutospacing="0" w:line="288" w:lineRule="auto"/>
        <w:ind w:left="0" w:right="0" w:firstLine="480" w:firstLineChars="200"/>
        <w:jc w:val="both"/>
        <w:textAlignment w:val="auto"/>
        <w:rPr>
          <w:rFonts w:hint="eastAsia" w:ascii="宋体" w:hAnsi="宋体" w:eastAsia="宋体" w:cs="宋体"/>
          <w:color w:val="auto"/>
          <w:sz w:val="24"/>
          <w:szCs w:val="24"/>
          <w:highlight w:val="none"/>
          <w:u w:val="single"/>
          <w:lang w:val="en-US"/>
        </w:rPr>
      </w:pPr>
      <w:r>
        <w:rPr>
          <w:rFonts w:hint="eastAsia" w:ascii="宋体" w:hAnsi="宋体" w:eastAsia="宋体" w:cs="宋体"/>
          <w:color w:val="auto"/>
          <w:kern w:val="2"/>
          <w:sz w:val="24"/>
          <w:szCs w:val="24"/>
          <w:highlight w:val="none"/>
          <w:lang w:val="en-US" w:eastAsia="zh-CN" w:bidi="ar"/>
        </w:rPr>
        <w:t>3.3.4 承包人主要施工管理人员离开施工现场的批准要求：</w:t>
      </w:r>
      <w:r>
        <w:rPr>
          <w:rFonts w:hint="eastAsia" w:ascii="宋体" w:hAnsi="宋体" w:eastAsia="宋体" w:cs="宋体"/>
          <w:color w:val="auto"/>
          <w:kern w:val="2"/>
          <w:sz w:val="24"/>
          <w:szCs w:val="24"/>
          <w:highlight w:val="none"/>
          <w:u w:val="single"/>
          <w:lang w:val="en-US" w:eastAsia="zh-CN" w:bidi="ar"/>
        </w:rPr>
        <w:t>向发包人提出申请，并提供相关证明材料，经发包人同意后方可离开</w:t>
      </w:r>
      <w:r>
        <w:rPr>
          <w:rFonts w:hint="eastAsia" w:ascii="宋体" w:hAnsi="宋体" w:eastAsia="宋体" w:cs="宋体"/>
          <w:color w:val="auto"/>
          <w:kern w:val="2"/>
          <w:sz w:val="24"/>
          <w:szCs w:val="24"/>
          <w:highlight w:val="none"/>
          <w:lang w:val="en-US" w:eastAsia="zh-CN" w:bidi="ar"/>
        </w:rPr>
        <w:t>。</w:t>
      </w:r>
    </w:p>
    <w:p w14:paraId="30F4DAF7">
      <w:pPr>
        <w:keepNext w:val="0"/>
        <w:keepLines w:val="0"/>
        <w:pageBreakBefore w:val="0"/>
        <w:widowControl w:val="0"/>
        <w:suppressLineNumbers w:val="0"/>
        <w:kinsoku/>
        <w:overflowPunct/>
        <w:topLinePunct w:val="0"/>
        <w:bidi w:val="0"/>
        <w:snapToGrid/>
        <w:spacing w:before="0" w:beforeAutospacing="0" w:after="0" w:afterAutospacing="0" w:line="288" w:lineRule="auto"/>
        <w:ind w:left="0" w:right="0" w:firstLine="480" w:firstLineChars="200"/>
        <w:jc w:val="both"/>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bidi="ar"/>
        </w:rPr>
        <w:t>3.3.5 承包人擅自更换主要施工管理人员的违约责任：</w:t>
      </w:r>
      <w:r>
        <w:rPr>
          <w:rFonts w:hint="eastAsia" w:ascii="宋体" w:hAnsi="宋体" w:eastAsia="宋体" w:cs="宋体"/>
          <w:color w:val="auto"/>
          <w:kern w:val="2"/>
          <w:sz w:val="24"/>
          <w:szCs w:val="24"/>
          <w:highlight w:val="none"/>
          <w:u w:val="single"/>
          <w:lang w:val="en-US" w:eastAsia="zh-CN" w:bidi="ar"/>
        </w:rPr>
        <w:t>项目技术负责人、专职安全员及其承诺的其它在场管理人员未经发包人书面同意不准擅自更换，擅自更换项目技术负责人处500元/人•次（人民币）违约金；擅自更换专职安全员处500元/人•次(人民币)违约金；擅自更换其它在场管理人员处500元/人•次(人民币)违约金</w:t>
      </w:r>
      <w:r>
        <w:rPr>
          <w:rFonts w:hint="eastAsia" w:ascii="宋体" w:hAnsi="宋体" w:eastAsia="宋体" w:cs="宋体"/>
          <w:color w:val="auto"/>
          <w:kern w:val="2"/>
          <w:sz w:val="24"/>
          <w:szCs w:val="24"/>
          <w:highlight w:val="none"/>
          <w:lang w:val="en-US" w:eastAsia="zh-CN" w:bidi="ar"/>
        </w:rPr>
        <w:t>。</w:t>
      </w:r>
    </w:p>
    <w:p w14:paraId="1E10C060">
      <w:pPr>
        <w:keepNext w:val="0"/>
        <w:keepLines w:val="0"/>
        <w:pageBreakBefore w:val="0"/>
        <w:widowControl w:val="0"/>
        <w:suppressLineNumbers w:val="0"/>
        <w:kinsoku/>
        <w:overflowPunct/>
        <w:topLinePunct w:val="0"/>
        <w:bidi w:val="0"/>
        <w:snapToGrid/>
        <w:spacing w:before="0" w:beforeAutospacing="0" w:after="0" w:afterAutospacing="0" w:line="288" w:lineRule="auto"/>
        <w:ind w:left="0" w:right="0" w:firstLine="480" w:firstLineChars="200"/>
        <w:jc w:val="both"/>
        <w:textAlignment w:val="auto"/>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承包人主要施工管理人员擅自离开施工现场的违约责任：</w:t>
      </w:r>
      <w:r>
        <w:rPr>
          <w:rFonts w:hint="eastAsia" w:ascii="宋体" w:hAnsi="宋体" w:eastAsia="宋体" w:cs="宋体"/>
          <w:color w:val="auto"/>
          <w:kern w:val="2"/>
          <w:sz w:val="24"/>
          <w:szCs w:val="24"/>
          <w:highlight w:val="none"/>
          <w:u w:val="single"/>
          <w:lang w:val="en-US" w:eastAsia="zh-CN" w:bidi="ar"/>
        </w:rPr>
        <w:t>未经发包人同意，项目技术负责人擅自离岗的，视为承包人违约，发包人有权处违约金500元/人•次(人民币)；未经发包人同意，专职安全员擅自离岗的，视为承包人违约，发包人有权处违约金500元/人•次(人民币)；其它在场管理人员擅自离岗的，视为承包人违约，发包人有权处违约金 500元/人•次(人民币)</w:t>
      </w:r>
      <w:r>
        <w:rPr>
          <w:rFonts w:hint="eastAsia" w:ascii="宋体" w:hAnsi="宋体" w:eastAsia="宋体" w:cs="宋体"/>
          <w:color w:val="auto"/>
          <w:kern w:val="2"/>
          <w:sz w:val="24"/>
          <w:szCs w:val="24"/>
          <w:highlight w:val="none"/>
          <w:lang w:val="en-US" w:eastAsia="zh-CN" w:bidi="ar"/>
        </w:rPr>
        <w:t>。</w:t>
      </w:r>
    </w:p>
    <w:p w14:paraId="2C453EBF">
      <w:pPr>
        <w:pageBreakBefore w:val="0"/>
        <w:kinsoku/>
        <w:overflowPunct/>
        <w:topLinePunct w:val="0"/>
        <w:bidi w:val="0"/>
        <w:snapToGrid/>
        <w:spacing w:line="288" w:lineRule="auto"/>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kern w:val="2"/>
          <w:sz w:val="24"/>
          <w:szCs w:val="24"/>
          <w:highlight w:val="none"/>
          <w:lang w:val="en-US" w:eastAsia="zh-CN" w:bidi="ar"/>
        </w:rPr>
        <w:t>承包人网络施工人员须为国家保密局培训合格上岗人员。</w:t>
      </w:r>
    </w:p>
    <w:p w14:paraId="01C85108">
      <w:pPr>
        <w:pageBreakBefore w:val="0"/>
        <w:kinsoku/>
        <w:overflowPunct/>
        <w:topLinePunct w:val="0"/>
        <w:bidi w:val="0"/>
        <w:snapToGrid/>
        <w:spacing w:line="288" w:lineRule="auto"/>
        <w:textAlignment w:val="auto"/>
        <w:rPr>
          <w:rFonts w:hint="eastAsia" w:ascii="宋体" w:hAnsi="宋体" w:eastAsia="宋体" w:cs="宋体"/>
          <w:b/>
          <w:bCs/>
          <w:color w:val="auto"/>
          <w:sz w:val="24"/>
          <w:szCs w:val="24"/>
          <w:highlight w:val="none"/>
        </w:rPr>
      </w:pPr>
      <w:bookmarkStart w:id="283" w:name="_Toc9850540"/>
      <w:bookmarkStart w:id="284" w:name="_Toc407135212"/>
      <w:bookmarkStart w:id="285" w:name="_Toc8793"/>
      <w:r>
        <w:rPr>
          <w:rFonts w:hint="eastAsia" w:ascii="宋体" w:hAnsi="宋体" w:eastAsia="宋体" w:cs="宋体"/>
          <w:b/>
          <w:bCs/>
          <w:color w:val="auto"/>
          <w:sz w:val="24"/>
          <w:szCs w:val="24"/>
          <w:highlight w:val="none"/>
        </w:rPr>
        <w:t>3.5 分包</w:t>
      </w:r>
      <w:bookmarkEnd w:id="283"/>
      <w:bookmarkEnd w:id="284"/>
      <w:bookmarkEnd w:id="285"/>
    </w:p>
    <w:p w14:paraId="3D95829F">
      <w:pPr>
        <w:keepNext w:val="0"/>
        <w:keepLines w:val="0"/>
        <w:pageBreakBefore w:val="0"/>
        <w:widowControl w:val="0"/>
        <w:suppressLineNumbers w:val="0"/>
        <w:kinsoku/>
        <w:overflowPunct/>
        <w:topLinePunct w:val="0"/>
        <w:bidi w:val="0"/>
        <w:snapToGrid/>
        <w:spacing w:before="0" w:beforeAutospacing="0" w:after="0" w:afterAutospacing="0" w:line="288" w:lineRule="auto"/>
        <w:ind w:left="0" w:right="0" w:firstLine="480" w:firstLineChars="200"/>
        <w:jc w:val="both"/>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bidi="ar"/>
        </w:rPr>
        <w:t>3</w:t>
      </w:r>
      <w:bookmarkStart w:id="286" w:name="_Toc297216152"/>
      <w:bookmarkStart w:id="287" w:name="_Toc303539103"/>
      <w:bookmarkStart w:id="288" w:name="_Toc312677989"/>
      <w:bookmarkStart w:id="289" w:name="_Toc297120460"/>
      <w:bookmarkStart w:id="290" w:name="_Toc296944499"/>
      <w:bookmarkStart w:id="291" w:name="_Toc304295524"/>
      <w:bookmarkStart w:id="292" w:name="_Toc297123493"/>
      <w:bookmarkStart w:id="293" w:name="_Toc297048346"/>
      <w:bookmarkStart w:id="294" w:name="_Toc300934946"/>
      <w:bookmarkStart w:id="295" w:name="_Toc296346661"/>
      <w:bookmarkStart w:id="296" w:name="_Toc296503160"/>
      <w:bookmarkStart w:id="297" w:name="_Toc292559870"/>
      <w:bookmarkStart w:id="298" w:name="_Toc296347159"/>
      <w:bookmarkStart w:id="299" w:name="_Toc318581158"/>
      <w:bookmarkStart w:id="300" w:name="_Toc296891200"/>
      <w:bookmarkStart w:id="301" w:name="_Toc296890988"/>
      <w:bookmarkStart w:id="302" w:name="_Toc292559365"/>
      <w:r>
        <w:rPr>
          <w:rFonts w:hint="eastAsia" w:ascii="宋体" w:hAnsi="宋体" w:eastAsia="宋体" w:cs="宋体"/>
          <w:color w:val="auto"/>
          <w:kern w:val="2"/>
          <w:sz w:val="24"/>
          <w:szCs w:val="24"/>
          <w:highlight w:val="none"/>
          <w:lang w:val="en-US" w:eastAsia="zh-CN" w:bidi="ar"/>
        </w:rPr>
        <w:t>.5.1 分包的一般约定</w:t>
      </w:r>
    </w:p>
    <w:p w14:paraId="786A87F2">
      <w:pPr>
        <w:keepNext w:val="0"/>
        <w:keepLines w:val="0"/>
        <w:pageBreakBefore w:val="0"/>
        <w:widowControl w:val="0"/>
        <w:suppressLineNumbers w:val="0"/>
        <w:kinsoku/>
        <w:overflowPunct/>
        <w:topLinePunct w:val="0"/>
        <w:bidi w:val="0"/>
        <w:snapToGrid/>
        <w:spacing w:before="0" w:beforeAutospacing="0" w:after="0" w:afterAutospacing="0" w:line="288" w:lineRule="auto"/>
        <w:ind w:left="0" w:right="0" w:firstLine="480" w:firstLineChars="200"/>
        <w:jc w:val="left"/>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bidi="ar"/>
        </w:rPr>
        <w:t>禁止分包的工程包括：</w:t>
      </w:r>
      <w:r>
        <w:rPr>
          <w:rFonts w:hint="eastAsia" w:ascii="宋体" w:hAnsi="宋体" w:eastAsia="宋体" w:cs="宋体"/>
          <w:color w:val="auto"/>
          <w:kern w:val="2"/>
          <w:sz w:val="24"/>
          <w:szCs w:val="24"/>
          <w:highlight w:val="none"/>
          <w:u w:val="single"/>
          <w:lang w:val="en-US" w:eastAsia="zh-CN" w:bidi="ar"/>
        </w:rPr>
        <w:t>本项目包含的主体结构工程</w:t>
      </w:r>
      <w:r>
        <w:rPr>
          <w:rFonts w:hint="eastAsia" w:ascii="宋体" w:hAnsi="宋体" w:eastAsia="宋体" w:cs="宋体"/>
          <w:color w:val="auto"/>
          <w:kern w:val="2"/>
          <w:sz w:val="24"/>
          <w:szCs w:val="24"/>
          <w:highlight w:val="none"/>
          <w:lang w:val="en-US" w:eastAsia="zh-CN" w:bidi="ar"/>
        </w:rPr>
        <w:t>。</w:t>
      </w:r>
    </w:p>
    <w:p w14:paraId="52BC657A">
      <w:pPr>
        <w:keepNext w:val="0"/>
        <w:keepLines w:val="0"/>
        <w:pageBreakBefore w:val="0"/>
        <w:widowControl w:val="0"/>
        <w:suppressLineNumbers w:val="0"/>
        <w:kinsoku/>
        <w:overflowPunct/>
        <w:topLinePunct w:val="0"/>
        <w:bidi w:val="0"/>
        <w:snapToGrid/>
        <w:spacing w:before="0" w:beforeAutospacing="0" w:after="0" w:afterAutospacing="0" w:line="288" w:lineRule="auto"/>
        <w:ind w:left="0" w:right="0" w:firstLine="480" w:firstLineChars="200"/>
        <w:jc w:val="left"/>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bidi="ar"/>
        </w:rPr>
        <w:t>主体结构、关键性工作的范围：</w:t>
      </w:r>
      <w:r>
        <w:rPr>
          <w:rFonts w:hint="eastAsia" w:ascii="宋体" w:hAnsi="宋体" w:eastAsia="宋体" w:cs="宋体"/>
          <w:color w:val="auto"/>
          <w:kern w:val="2"/>
          <w:sz w:val="24"/>
          <w:szCs w:val="24"/>
          <w:highlight w:val="none"/>
          <w:u w:val="single"/>
          <w:lang w:val="en-US" w:eastAsia="zh-CN" w:bidi="ar"/>
        </w:rPr>
        <w:t>无</w:t>
      </w:r>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p>
    <w:p w14:paraId="05F0A8F3">
      <w:pPr>
        <w:keepNext w:val="0"/>
        <w:keepLines w:val="0"/>
        <w:pageBreakBefore w:val="0"/>
        <w:widowControl w:val="0"/>
        <w:suppressLineNumbers w:val="0"/>
        <w:kinsoku/>
        <w:overflowPunct/>
        <w:topLinePunct w:val="0"/>
        <w:bidi w:val="0"/>
        <w:snapToGrid/>
        <w:spacing w:before="0" w:beforeAutospacing="0" w:after="0" w:afterAutospacing="0" w:line="288" w:lineRule="auto"/>
        <w:ind w:left="0" w:right="0" w:firstLine="480" w:firstLineChars="200"/>
        <w:jc w:val="left"/>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bidi="ar"/>
        </w:rPr>
        <w:t>3.5.2 分包的确定</w:t>
      </w:r>
    </w:p>
    <w:p w14:paraId="742EC8C0">
      <w:pPr>
        <w:keepNext w:val="0"/>
        <w:keepLines w:val="0"/>
        <w:pageBreakBefore w:val="0"/>
        <w:widowControl w:val="0"/>
        <w:suppressLineNumbers w:val="0"/>
        <w:kinsoku/>
        <w:overflowPunct/>
        <w:topLinePunct w:val="0"/>
        <w:bidi w:val="0"/>
        <w:snapToGrid/>
        <w:spacing w:before="0" w:beforeAutospacing="0" w:after="0" w:afterAutospacing="0" w:line="288" w:lineRule="auto"/>
        <w:ind w:left="0" w:right="0" w:firstLine="480" w:firstLineChars="200"/>
        <w:jc w:val="both"/>
        <w:textAlignment w:val="auto"/>
        <w:rPr>
          <w:rFonts w:hint="eastAsia" w:ascii="宋体" w:hAnsi="宋体" w:eastAsia="宋体" w:cs="宋体"/>
          <w:color w:val="auto"/>
          <w:sz w:val="24"/>
          <w:szCs w:val="24"/>
          <w:highlight w:val="none"/>
          <w:u w:val="single"/>
          <w:lang w:val="en-US"/>
        </w:rPr>
      </w:pPr>
      <w:r>
        <w:rPr>
          <w:rFonts w:hint="eastAsia" w:ascii="宋体" w:hAnsi="宋体" w:eastAsia="宋体" w:cs="宋体"/>
          <w:color w:val="auto"/>
          <w:kern w:val="2"/>
          <w:sz w:val="24"/>
          <w:szCs w:val="24"/>
          <w:highlight w:val="none"/>
          <w:lang w:val="en-US" w:eastAsia="zh-CN" w:bidi="ar"/>
        </w:rPr>
        <w:t>允许分包的专业工程包括：</w:t>
      </w:r>
      <w:r>
        <w:rPr>
          <w:rFonts w:hint="eastAsia" w:ascii="宋体" w:hAnsi="宋体" w:eastAsia="宋体" w:cs="宋体"/>
          <w:color w:val="auto"/>
          <w:kern w:val="2"/>
          <w:sz w:val="24"/>
          <w:szCs w:val="24"/>
          <w:highlight w:val="none"/>
          <w:u w:val="single"/>
          <w:lang w:val="en-US" w:eastAsia="zh-CN" w:bidi="ar"/>
        </w:rPr>
        <w:t>无</w:t>
      </w:r>
      <w:r>
        <w:rPr>
          <w:rFonts w:hint="eastAsia" w:ascii="宋体" w:hAnsi="宋体" w:eastAsia="宋体" w:cs="宋体"/>
          <w:color w:val="auto"/>
          <w:kern w:val="2"/>
          <w:sz w:val="24"/>
          <w:szCs w:val="24"/>
          <w:highlight w:val="none"/>
          <w:lang w:val="en-US" w:eastAsia="zh-CN" w:bidi="ar"/>
        </w:rPr>
        <w:t>。</w:t>
      </w:r>
    </w:p>
    <w:p w14:paraId="5CC34BF8">
      <w:pPr>
        <w:keepNext w:val="0"/>
        <w:keepLines w:val="0"/>
        <w:pageBreakBefore w:val="0"/>
        <w:widowControl w:val="0"/>
        <w:suppressLineNumbers w:val="0"/>
        <w:kinsoku/>
        <w:overflowPunct/>
        <w:topLinePunct w:val="0"/>
        <w:bidi w:val="0"/>
        <w:snapToGrid/>
        <w:spacing w:before="0" w:beforeAutospacing="0" w:after="0" w:afterAutospacing="0" w:line="288" w:lineRule="auto"/>
        <w:ind w:left="0" w:right="0" w:firstLine="480" w:firstLineChars="200"/>
        <w:jc w:val="both"/>
        <w:textAlignment w:val="auto"/>
        <w:rPr>
          <w:rFonts w:hint="eastAsia" w:ascii="宋体" w:hAnsi="宋体" w:eastAsia="宋体" w:cs="宋体"/>
          <w:color w:val="auto"/>
          <w:sz w:val="24"/>
          <w:szCs w:val="24"/>
          <w:highlight w:val="none"/>
          <w:u w:val="single"/>
          <w:lang w:val="en-US"/>
        </w:rPr>
      </w:pPr>
      <w:r>
        <w:rPr>
          <w:rFonts w:hint="eastAsia" w:ascii="宋体" w:hAnsi="宋体" w:eastAsia="宋体" w:cs="宋体"/>
          <w:color w:val="auto"/>
          <w:kern w:val="2"/>
          <w:sz w:val="24"/>
          <w:szCs w:val="24"/>
          <w:highlight w:val="none"/>
          <w:lang w:val="en-US" w:eastAsia="zh-CN" w:bidi="ar"/>
        </w:rPr>
        <w:t>其他关于分包的约定：</w:t>
      </w:r>
      <w:r>
        <w:rPr>
          <w:rFonts w:hint="eastAsia" w:ascii="宋体" w:hAnsi="宋体" w:eastAsia="宋体" w:cs="宋体"/>
          <w:color w:val="auto"/>
          <w:kern w:val="2"/>
          <w:sz w:val="24"/>
          <w:szCs w:val="24"/>
          <w:highlight w:val="none"/>
          <w:u w:val="single"/>
          <w:lang w:val="en-US" w:eastAsia="zh-CN" w:bidi="ar"/>
        </w:rPr>
        <w:t>无。</w:t>
      </w:r>
    </w:p>
    <w:p w14:paraId="1708909C">
      <w:pPr>
        <w:keepNext w:val="0"/>
        <w:keepLines w:val="0"/>
        <w:pageBreakBefore w:val="0"/>
        <w:widowControl/>
        <w:suppressLineNumbers w:val="0"/>
        <w:kinsoku/>
        <w:wordWrap w:val="0"/>
        <w:overflowPunct/>
        <w:topLinePunct w:val="0"/>
        <w:bidi w:val="0"/>
        <w:snapToGrid/>
        <w:spacing w:before="0" w:beforeAutospacing="0" w:after="0" w:afterAutospacing="0" w:line="288" w:lineRule="auto"/>
        <w:ind w:left="0" w:right="0" w:firstLine="480" w:firstLineChars="200"/>
        <w:jc w:val="left"/>
        <w:textAlignment w:val="auto"/>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3.5.3 分包合同价款</w:t>
      </w:r>
    </w:p>
    <w:p w14:paraId="574E67FA">
      <w:pPr>
        <w:pageBreakBefore w:val="0"/>
        <w:kinsoku/>
        <w:overflowPunct/>
        <w:topLinePunct w:val="0"/>
        <w:bidi w:val="0"/>
        <w:snapToGrid/>
        <w:spacing w:line="28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
        </w:rPr>
        <w:t>关于分包合同价款支付的约定：</w:t>
      </w:r>
      <w:r>
        <w:rPr>
          <w:rFonts w:hint="eastAsia" w:ascii="宋体" w:hAnsi="宋体" w:eastAsia="宋体" w:cs="宋体"/>
          <w:color w:val="auto"/>
          <w:kern w:val="2"/>
          <w:sz w:val="24"/>
          <w:szCs w:val="24"/>
          <w:highlight w:val="none"/>
          <w:u w:val="single"/>
          <w:lang w:val="en-US" w:eastAsia="zh-CN" w:bidi="ar"/>
        </w:rPr>
        <w:t>无</w:t>
      </w:r>
      <w:r>
        <w:rPr>
          <w:rFonts w:hint="eastAsia" w:ascii="宋体" w:hAnsi="宋体" w:eastAsia="宋体" w:cs="宋体"/>
          <w:color w:val="auto"/>
          <w:kern w:val="2"/>
          <w:sz w:val="24"/>
          <w:szCs w:val="24"/>
          <w:highlight w:val="none"/>
          <w:lang w:val="en-US" w:eastAsia="zh-CN" w:bidi="ar"/>
        </w:rPr>
        <w:t>。</w:t>
      </w:r>
    </w:p>
    <w:p w14:paraId="1FF90DCF">
      <w:pPr>
        <w:pageBreakBefore w:val="0"/>
        <w:kinsoku/>
        <w:overflowPunct/>
        <w:topLinePunct w:val="0"/>
        <w:bidi w:val="0"/>
        <w:snapToGrid/>
        <w:spacing w:line="288" w:lineRule="auto"/>
        <w:textAlignment w:val="auto"/>
        <w:rPr>
          <w:rFonts w:hint="eastAsia" w:ascii="宋体" w:hAnsi="宋体" w:eastAsia="宋体" w:cs="宋体"/>
          <w:b/>
          <w:bCs/>
          <w:color w:val="auto"/>
          <w:sz w:val="24"/>
          <w:szCs w:val="24"/>
          <w:highlight w:val="none"/>
        </w:rPr>
      </w:pPr>
      <w:bookmarkStart w:id="303" w:name="_Toc9850541"/>
      <w:bookmarkStart w:id="304" w:name="_Toc12719"/>
      <w:bookmarkStart w:id="305" w:name="_Toc407135213"/>
      <w:r>
        <w:rPr>
          <w:rFonts w:hint="eastAsia" w:ascii="宋体" w:hAnsi="宋体" w:eastAsia="宋体" w:cs="宋体"/>
          <w:b/>
          <w:bCs/>
          <w:color w:val="auto"/>
          <w:sz w:val="24"/>
          <w:szCs w:val="24"/>
          <w:highlight w:val="none"/>
        </w:rPr>
        <w:t>3.6 工程照管与成品、半成品保护</w:t>
      </w:r>
      <w:bookmarkEnd w:id="303"/>
      <w:bookmarkEnd w:id="304"/>
      <w:bookmarkEnd w:id="305"/>
    </w:p>
    <w:p w14:paraId="59341A9C">
      <w:pPr>
        <w:pageBreakBefore w:val="0"/>
        <w:kinsoku/>
        <w:overflowPunct/>
        <w:topLinePunct w:val="0"/>
        <w:bidi w:val="0"/>
        <w:snapToGrid/>
        <w:spacing w:line="288" w:lineRule="auto"/>
        <w:ind w:firstLine="480" w:firstLineChars="200"/>
        <w:textAlignment w:val="auto"/>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lang w:val="en-US" w:eastAsia="zh-CN" w:bidi="ar"/>
        </w:rPr>
        <w:t>承包人负责照管工程及工程相关的材料、工程设备的起始时间：工程接收证书颁发前，承包人应负责照管和维护工程。工程接收证书颁发时尚有部分未竣工工程的，承包人还应负责该未竣工工程的照管和维护工作，直到竣工后移交给发包人为止。因发包人原因不能及时办理竣工验收以及移交所引起的照管和保护费用由发包人承担。</w:t>
      </w:r>
      <w:r>
        <w:rPr>
          <w:rFonts w:hint="eastAsia" w:ascii="宋体" w:hAnsi="宋体" w:eastAsia="宋体" w:cs="宋体"/>
          <w:color w:val="auto"/>
          <w:kern w:val="0"/>
          <w:sz w:val="24"/>
          <w:szCs w:val="24"/>
          <w:highlight w:val="none"/>
          <w:u w:val="single"/>
        </w:rPr>
        <w:t xml:space="preserve"> </w:t>
      </w:r>
    </w:p>
    <w:p w14:paraId="11DF8DB9">
      <w:pPr>
        <w:pageBreakBefore w:val="0"/>
        <w:kinsoku/>
        <w:overflowPunct/>
        <w:topLinePunct w:val="0"/>
        <w:bidi w:val="0"/>
        <w:snapToGrid/>
        <w:spacing w:line="288" w:lineRule="auto"/>
        <w:textAlignment w:val="auto"/>
        <w:rPr>
          <w:rFonts w:hint="eastAsia" w:ascii="宋体" w:hAnsi="宋体" w:eastAsia="宋体" w:cs="宋体"/>
          <w:b/>
          <w:bCs/>
          <w:color w:val="auto"/>
          <w:sz w:val="24"/>
          <w:szCs w:val="24"/>
          <w:highlight w:val="none"/>
        </w:rPr>
      </w:pPr>
      <w:bookmarkStart w:id="306" w:name="_Toc9850542"/>
      <w:bookmarkStart w:id="307" w:name="_Toc30828"/>
      <w:bookmarkStart w:id="308" w:name="_Toc407135214"/>
      <w:r>
        <w:rPr>
          <w:rFonts w:hint="eastAsia" w:ascii="宋体" w:hAnsi="宋体" w:eastAsia="宋体" w:cs="宋体"/>
          <w:b/>
          <w:bCs/>
          <w:color w:val="auto"/>
          <w:sz w:val="24"/>
          <w:szCs w:val="24"/>
          <w:highlight w:val="none"/>
        </w:rPr>
        <w:t>3.7 履约保证金</w:t>
      </w:r>
      <w:bookmarkEnd w:id="306"/>
      <w:bookmarkEnd w:id="307"/>
      <w:bookmarkEnd w:id="308"/>
    </w:p>
    <w:p w14:paraId="63A3991E">
      <w:pPr>
        <w:pageBreakBefore w:val="0"/>
        <w:kinsoku/>
        <w:overflowPunct/>
        <w:topLinePunct w:val="0"/>
        <w:bidi w:val="0"/>
        <w:snapToGrid/>
        <w:spacing w:line="288" w:lineRule="auto"/>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kern w:val="2"/>
          <w:sz w:val="24"/>
          <w:szCs w:val="24"/>
          <w:highlight w:val="none"/>
          <w:lang w:val="en-US" w:eastAsia="zh-CN" w:bidi="ar"/>
        </w:rPr>
        <w:t>无履约保证金。</w:t>
      </w:r>
    </w:p>
    <w:p w14:paraId="07DEF2E3">
      <w:pPr>
        <w:pageBreakBefore w:val="0"/>
        <w:kinsoku/>
        <w:overflowPunct/>
        <w:topLinePunct w:val="0"/>
        <w:bidi w:val="0"/>
        <w:snapToGrid/>
        <w:spacing w:line="288" w:lineRule="auto"/>
        <w:textAlignment w:val="auto"/>
        <w:rPr>
          <w:rFonts w:hint="eastAsia" w:ascii="宋体" w:hAnsi="宋体" w:eastAsia="宋体" w:cs="宋体"/>
          <w:b/>
          <w:bCs/>
          <w:color w:val="auto"/>
          <w:sz w:val="24"/>
          <w:szCs w:val="24"/>
          <w:highlight w:val="none"/>
        </w:rPr>
      </w:pPr>
      <w:bookmarkStart w:id="309" w:name="_Toc19883"/>
      <w:bookmarkStart w:id="310" w:name="_Toc407135215"/>
      <w:bookmarkStart w:id="311" w:name="_Toc9850543"/>
      <w:r>
        <w:rPr>
          <w:rFonts w:hint="eastAsia" w:ascii="宋体" w:hAnsi="宋体" w:eastAsia="宋体" w:cs="宋体"/>
          <w:b/>
          <w:bCs/>
          <w:color w:val="auto"/>
          <w:sz w:val="24"/>
          <w:szCs w:val="24"/>
          <w:highlight w:val="none"/>
        </w:rPr>
        <w:t>4. 监理人</w:t>
      </w:r>
      <w:bookmarkEnd w:id="309"/>
      <w:bookmarkEnd w:id="310"/>
      <w:bookmarkEnd w:id="311"/>
    </w:p>
    <w:p w14:paraId="0E1A4800">
      <w:pPr>
        <w:pageBreakBefore w:val="0"/>
        <w:kinsoku/>
        <w:overflowPunct/>
        <w:topLinePunct w:val="0"/>
        <w:bidi w:val="0"/>
        <w:snapToGrid/>
        <w:spacing w:line="288" w:lineRule="auto"/>
        <w:textAlignment w:val="auto"/>
        <w:rPr>
          <w:rFonts w:hint="eastAsia" w:ascii="宋体" w:hAnsi="宋体" w:eastAsia="宋体" w:cs="宋体"/>
          <w:b/>
          <w:bCs/>
          <w:color w:val="auto"/>
          <w:sz w:val="24"/>
          <w:szCs w:val="24"/>
          <w:highlight w:val="none"/>
        </w:rPr>
      </w:pPr>
      <w:bookmarkStart w:id="312" w:name="_Toc9850544"/>
      <w:bookmarkStart w:id="313" w:name="_Toc31355"/>
      <w:bookmarkStart w:id="314" w:name="_Toc407135216"/>
      <w:r>
        <w:rPr>
          <w:rFonts w:hint="eastAsia" w:ascii="宋体" w:hAnsi="宋体" w:eastAsia="宋体" w:cs="宋体"/>
          <w:b/>
          <w:bCs/>
          <w:color w:val="auto"/>
          <w:sz w:val="24"/>
          <w:szCs w:val="24"/>
          <w:highlight w:val="none"/>
        </w:rPr>
        <w:t>4.1 监理人的一般规定</w:t>
      </w:r>
      <w:bookmarkEnd w:id="312"/>
      <w:bookmarkEnd w:id="313"/>
      <w:bookmarkEnd w:id="314"/>
    </w:p>
    <w:p w14:paraId="63F942D2">
      <w:pPr>
        <w:pageBreakBefore w:val="0"/>
        <w:kinsoku/>
        <w:overflowPunct/>
        <w:topLinePunct w:val="0"/>
        <w:bidi w:val="0"/>
        <w:snapToGrid/>
        <w:spacing w:line="288"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关于监理人的监理内容：</w:t>
      </w:r>
      <w:r>
        <w:rPr>
          <w:rFonts w:hint="eastAsia" w:ascii="宋体" w:hAnsi="宋体" w:eastAsia="宋体" w:cs="宋体"/>
          <w:color w:val="auto"/>
          <w:sz w:val="24"/>
          <w:szCs w:val="24"/>
          <w:highlight w:val="none"/>
          <w:u w:val="single"/>
        </w:rPr>
        <w:t xml:space="preserve">质量、进度、投资三控制、合同、信息两份管理、安全文明施工管理、工程建设各相关方的关系协调 </w:t>
      </w:r>
      <w:r>
        <w:rPr>
          <w:rFonts w:hint="eastAsia" w:ascii="宋体" w:hAnsi="宋体" w:eastAsia="宋体" w:cs="宋体"/>
          <w:color w:val="auto"/>
          <w:sz w:val="24"/>
          <w:szCs w:val="24"/>
          <w:highlight w:val="none"/>
        </w:rPr>
        <w:t>。</w:t>
      </w:r>
    </w:p>
    <w:p w14:paraId="692986DF">
      <w:pPr>
        <w:pageBreakBefore w:val="0"/>
        <w:kinsoku/>
        <w:overflowPunct/>
        <w:topLinePunct w:val="0"/>
        <w:bidi w:val="0"/>
        <w:snapToGrid/>
        <w:spacing w:line="288"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关于监理人的监理权限：</w:t>
      </w:r>
      <w:r>
        <w:rPr>
          <w:rFonts w:hint="eastAsia" w:ascii="宋体" w:hAnsi="宋体" w:eastAsia="宋体" w:cs="宋体"/>
          <w:color w:val="auto"/>
          <w:sz w:val="24"/>
          <w:szCs w:val="24"/>
          <w:highlight w:val="none"/>
          <w:u w:val="single"/>
        </w:rPr>
        <w:t xml:space="preserve">  1、在发出有关能引起工程费用实际增加（减少）或延长工期的指令前，应得到发包人的书面批准。2、监理工程师在向承包人发出有关技术规范的重大 变更或有关变更合同条款的任何指令前均应获得发包人书面批准。3、工程实际竣工日期超过工程承包合同规定的竣工期限的签认之前应得到发包人的书面批准。4、工程内容和材料变更签证单监理只有证明权，无确认权。 </w:t>
      </w:r>
    </w:p>
    <w:p w14:paraId="61400958">
      <w:pPr>
        <w:pageBreakBefore w:val="0"/>
        <w:kinsoku/>
        <w:overflowPunct/>
        <w:topLinePunct w:val="0"/>
        <w:bidi w:val="0"/>
        <w:snapToGrid/>
        <w:spacing w:line="28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关于监理人在施工现场的办公场所、生活场所的提供和费用承担的约定：</w:t>
      </w:r>
      <w:r>
        <w:rPr>
          <w:rFonts w:hint="eastAsia" w:ascii="宋体" w:hAnsi="宋体" w:eastAsia="宋体" w:cs="宋体"/>
          <w:color w:val="auto"/>
          <w:sz w:val="24"/>
          <w:szCs w:val="24"/>
          <w:highlight w:val="none"/>
          <w:u w:val="single"/>
        </w:rPr>
        <w:t xml:space="preserve">  由承包人提供，监理人无偿使用   </w:t>
      </w:r>
      <w:r>
        <w:rPr>
          <w:rFonts w:hint="eastAsia" w:ascii="宋体" w:hAnsi="宋体" w:eastAsia="宋体" w:cs="宋体"/>
          <w:color w:val="auto"/>
          <w:sz w:val="24"/>
          <w:szCs w:val="24"/>
          <w:highlight w:val="none"/>
        </w:rPr>
        <w:t>。</w:t>
      </w:r>
    </w:p>
    <w:p w14:paraId="583B8357">
      <w:pPr>
        <w:pageBreakBefore w:val="0"/>
        <w:kinsoku/>
        <w:overflowPunct/>
        <w:topLinePunct w:val="0"/>
        <w:bidi w:val="0"/>
        <w:snapToGrid/>
        <w:spacing w:line="288" w:lineRule="auto"/>
        <w:textAlignment w:val="auto"/>
        <w:rPr>
          <w:rFonts w:hint="eastAsia" w:ascii="宋体" w:hAnsi="宋体" w:eastAsia="宋体" w:cs="宋体"/>
          <w:b/>
          <w:bCs/>
          <w:color w:val="auto"/>
          <w:sz w:val="24"/>
          <w:szCs w:val="24"/>
          <w:highlight w:val="none"/>
        </w:rPr>
      </w:pPr>
      <w:bookmarkStart w:id="315" w:name="_Toc9850545"/>
      <w:bookmarkStart w:id="316" w:name="_Toc407135217"/>
      <w:bookmarkStart w:id="317" w:name="_Toc13197"/>
      <w:r>
        <w:rPr>
          <w:rFonts w:hint="eastAsia" w:ascii="宋体" w:hAnsi="宋体" w:eastAsia="宋体" w:cs="宋体"/>
          <w:b/>
          <w:bCs/>
          <w:color w:val="auto"/>
          <w:sz w:val="24"/>
          <w:szCs w:val="24"/>
          <w:highlight w:val="none"/>
        </w:rPr>
        <w:t>4.2 监理人员</w:t>
      </w:r>
      <w:bookmarkEnd w:id="315"/>
      <w:bookmarkEnd w:id="316"/>
      <w:bookmarkEnd w:id="317"/>
    </w:p>
    <w:p w14:paraId="316C55C1">
      <w:pPr>
        <w:pageBreakBefore w:val="0"/>
        <w:kinsoku/>
        <w:overflowPunct/>
        <w:topLinePunct w:val="0"/>
        <w:bidi w:val="0"/>
        <w:snapToGrid/>
        <w:spacing w:line="28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总监理工程师：</w:t>
      </w:r>
    </w:p>
    <w:p w14:paraId="1A8B9909">
      <w:pPr>
        <w:pageBreakBefore w:val="0"/>
        <w:kinsoku/>
        <w:overflowPunct/>
        <w:topLinePunct w:val="0"/>
        <w:bidi w:val="0"/>
        <w:snapToGrid/>
        <w:spacing w:line="28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    名：</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w:t>
      </w:r>
    </w:p>
    <w:p w14:paraId="0C418767">
      <w:pPr>
        <w:pageBreakBefore w:val="0"/>
        <w:kinsoku/>
        <w:overflowPunct/>
        <w:topLinePunct w:val="0"/>
        <w:bidi w:val="0"/>
        <w:snapToGrid/>
        <w:spacing w:line="28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    务：</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w:t>
      </w:r>
    </w:p>
    <w:p w14:paraId="6CDC3D26">
      <w:pPr>
        <w:pageBreakBefore w:val="0"/>
        <w:kinsoku/>
        <w:overflowPunct/>
        <w:topLinePunct w:val="0"/>
        <w:bidi w:val="0"/>
        <w:snapToGrid/>
        <w:spacing w:line="28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监理工程师执业资格证书号：</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w:t>
      </w:r>
    </w:p>
    <w:p w14:paraId="76092D85">
      <w:pPr>
        <w:pageBreakBefore w:val="0"/>
        <w:kinsoku/>
        <w:overflowPunct/>
        <w:topLinePunct w:val="0"/>
        <w:bidi w:val="0"/>
        <w:snapToGrid/>
        <w:spacing w:line="28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single"/>
        </w:rPr>
        <w:t>   </w:t>
      </w:r>
      <w:r>
        <w:rPr>
          <w:rFonts w:hint="eastAsia" w:ascii="宋体" w:hAnsi="宋体" w:eastAsia="宋体" w:cs="宋体"/>
          <w:color w:val="auto"/>
          <w:sz w:val="24"/>
          <w:szCs w:val="24"/>
          <w:highlight w:val="none"/>
        </w:rPr>
        <w:t>；</w:t>
      </w:r>
    </w:p>
    <w:p w14:paraId="500A1F72">
      <w:pPr>
        <w:pageBreakBefore w:val="0"/>
        <w:kinsoku/>
        <w:overflowPunct/>
        <w:topLinePunct w:val="0"/>
        <w:bidi w:val="0"/>
        <w:snapToGrid/>
        <w:spacing w:line="28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电子信箱：</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w:t>
      </w:r>
    </w:p>
    <w:p w14:paraId="62D3484A">
      <w:pPr>
        <w:pageBreakBefore w:val="0"/>
        <w:kinsoku/>
        <w:overflowPunct/>
        <w:topLinePunct w:val="0"/>
        <w:bidi w:val="0"/>
        <w:snapToGrid/>
        <w:spacing w:line="28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通信地址：</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w:t>
      </w:r>
    </w:p>
    <w:p w14:paraId="45365C04">
      <w:pPr>
        <w:pageBreakBefore w:val="0"/>
        <w:kinsoku/>
        <w:overflowPunct/>
        <w:topLinePunct w:val="0"/>
        <w:bidi w:val="0"/>
        <w:snapToGrid/>
        <w:spacing w:line="28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关于监理人的其他约定：</w:t>
      </w:r>
      <w:r>
        <w:rPr>
          <w:rFonts w:hint="eastAsia" w:ascii="宋体" w:hAnsi="宋体" w:eastAsia="宋体" w:cs="宋体"/>
          <w:color w:val="auto"/>
          <w:sz w:val="24"/>
          <w:szCs w:val="24"/>
          <w:highlight w:val="none"/>
          <w:u w:val="single"/>
        </w:rPr>
        <w:t>   </w:t>
      </w:r>
      <w:r>
        <w:rPr>
          <w:rFonts w:hint="eastAsia" w:ascii="宋体" w:hAnsi="宋体" w:eastAsia="宋体" w:cs="宋体"/>
          <w:color w:val="auto"/>
          <w:sz w:val="24"/>
          <w:szCs w:val="24"/>
          <w:highlight w:val="none"/>
        </w:rPr>
        <w:t>。</w:t>
      </w:r>
    </w:p>
    <w:p w14:paraId="3000D378">
      <w:pPr>
        <w:pageBreakBefore w:val="0"/>
        <w:kinsoku/>
        <w:overflowPunct/>
        <w:topLinePunct w:val="0"/>
        <w:bidi w:val="0"/>
        <w:snapToGrid/>
        <w:spacing w:line="288" w:lineRule="auto"/>
        <w:textAlignment w:val="auto"/>
        <w:rPr>
          <w:rFonts w:hint="eastAsia" w:ascii="宋体" w:hAnsi="宋体" w:eastAsia="宋体" w:cs="宋体"/>
          <w:b/>
          <w:bCs/>
          <w:color w:val="auto"/>
          <w:sz w:val="24"/>
          <w:szCs w:val="24"/>
          <w:highlight w:val="none"/>
        </w:rPr>
      </w:pPr>
      <w:bookmarkStart w:id="318" w:name="_Toc407135218"/>
      <w:bookmarkStart w:id="319" w:name="_Toc9850546"/>
      <w:bookmarkStart w:id="320" w:name="_Toc14916"/>
      <w:r>
        <w:rPr>
          <w:rFonts w:hint="eastAsia" w:ascii="宋体" w:hAnsi="宋体" w:eastAsia="宋体" w:cs="宋体"/>
          <w:b/>
          <w:bCs/>
          <w:color w:val="auto"/>
          <w:sz w:val="24"/>
          <w:szCs w:val="24"/>
          <w:highlight w:val="none"/>
        </w:rPr>
        <w:t>4.4 商定或确定</w:t>
      </w:r>
      <w:bookmarkEnd w:id="318"/>
      <w:bookmarkEnd w:id="319"/>
      <w:bookmarkEnd w:id="320"/>
    </w:p>
    <w:p w14:paraId="1EED71F3">
      <w:pPr>
        <w:pageBreakBefore w:val="0"/>
        <w:kinsoku/>
        <w:overflowPunct/>
        <w:topLinePunct w:val="0"/>
        <w:bidi w:val="0"/>
        <w:snapToGrid/>
        <w:spacing w:line="28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在发包人和承包人不能通过协商达成一致意见时，发包人授权监理人对以下事项进行确定：</w:t>
      </w:r>
    </w:p>
    <w:p w14:paraId="319E7320">
      <w:pPr>
        <w:pageBreakBefore w:val="0"/>
        <w:kinsoku/>
        <w:overflowPunct/>
        <w:topLinePunct w:val="0"/>
        <w:autoSpaceDE w:val="0"/>
        <w:autoSpaceDN w:val="0"/>
        <w:bidi w:val="0"/>
        <w:adjustRightInd w:val="0"/>
        <w:snapToGrid/>
        <w:spacing w:line="288"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eastAsia="宋体" w:cs="宋体"/>
          <w:color w:val="auto"/>
          <w:sz w:val="24"/>
          <w:szCs w:val="24"/>
          <w:highlight w:val="none"/>
          <w:u w:val="single"/>
        </w:rPr>
        <w:t>详见监理合同</w:t>
      </w:r>
      <w:r>
        <w:rPr>
          <w:rFonts w:hint="eastAsia" w:ascii="宋体" w:hAnsi="宋体" w:eastAsia="宋体" w:cs="宋体"/>
          <w:color w:val="auto"/>
          <w:sz w:val="24"/>
          <w:szCs w:val="24"/>
          <w:highlight w:val="none"/>
        </w:rPr>
        <w:t>；</w:t>
      </w:r>
    </w:p>
    <w:p w14:paraId="7AE8AADF">
      <w:pPr>
        <w:pageBreakBefore w:val="0"/>
        <w:kinsoku/>
        <w:overflowPunct/>
        <w:topLinePunct w:val="0"/>
        <w:autoSpaceDE w:val="0"/>
        <w:autoSpaceDN w:val="0"/>
        <w:bidi w:val="0"/>
        <w:adjustRightInd w:val="0"/>
        <w:snapToGrid/>
        <w:spacing w:line="288"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sz w:val="24"/>
          <w:szCs w:val="24"/>
          <w:highlight w:val="none"/>
          <w:u w:val="single"/>
        </w:rPr>
        <w:t>详见监理合同</w:t>
      </w:r>
      <w:r>
        <w:rPr>
          <w:rFonts w:hint="eastAsia" w:ascii="宋体" w:hAnsi="宋体" w:eastAsia="宋体" w:cs="宋体"/>
          <w:color w:val="auto"/>
          <w:sz w:val="24"/>
          <w:szCs w:val="24"/>
          <w:highlight w:val="none"/>
        </w:rPr>
        <w:t>；</w:t>
      </w:r>
    </w:p>
    <w:p w14:paraId="355F6056">
      <w:pPr>
        <w:pageBreakBefore w:val="0"/>
        <w:kinsoku/>
        <w:overflowPunct/>
        <w:topLinePunct w:val="0"/>
        <w:autoSpaceDE w:val="0"/>
        <w:autoSpaceDN w:val="0"/>
        <w:bidi w:val="0"/>
        <w:adjustRightInd w:val="0"/>
        <w:snapToGrid/>
        <w:spacing w:line="288"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r>
        <w:rPr>
          <w:rFonts w:hint="eastAsia" w:ascii="宋体" w:hAnsi="宋体" w:eastAsia="宋体" w:cs="宋体"/>
          <w:color w:val="auto"/>
          <w:sz w:val="24"/>
          <w:szCs w:val="24"/>
          <w:highlight w:val="none"/>
          <w:u w:val="single"/>
        </w:rPr>
        <w:t>详见监理合同</w:t>
      </w:r>
      <w:r>
        <w:rPr>
          <w:rFonts w:hint="eastAsia" w:ascii="宋体" w:hAnsi="宋体" w:eastAsia="宋体" w:cs="宋体"/>
          <w:color w:val="auto"/>
          <w:sz w:val="24"/>
          <w:szCs w:val="24"/>
          <w:highlight w:val="none"/>
        </w:rPr>
        <w:t>。</w:t>
      </w:r>
    </w:p>
    <w:p w14:paraId="145B1881">
      <w:pPr>
        <w:pageBreakBefore w:val="0"/>
        <w:kinsoku/>
        <w:overflowPunct/>
        <w:topLinePunct w:val="0"/>
        <w:bidi w:val="0"/>
        <w:snapToGrid/>
        <w:spacing w:line="288" w:lineRule="auto"/>
        <w:textAlignment w:val="auto"/>
        <w:rPr>
          <w:rFonts w:hint="eastAsia" w:ascii="宋体" w:hAnsi="宋体" w:eastAsia="宋体" w:cs="宋体"/>
          <w:b/>
          <w:bCs/>
          <w:color w:val="auto"/>
          <w:sz w:val="24"/>
          <w:szCs w:val="24"/>
          <w:highlight w:val="none"/>
        </w:rPr>
      </w:pPr>
      <w:bookmarkStart w:id="321" w:name="_Toc32524"/>
      <w:bookmarkStart w:id="322" w:name="_Toc9850547"/>
      <w:bookmarkStart w:id="323" w:name="_Toc407135219"/>
      <w:r>
        <w:rPr>
          <w:rFonts w:hint="eastAsia" w:ascii="宋体" w:hAnsi="宋体" w:eastAsia="宋体" w:cs="宋体"/>
          <w:b/>
          <w:bCs/>
          <w:color w:val="auto"/>
          <w:sz w:val="24"/>
          <w:szCs w:val="24"/>
          <w:highlight w:val="none"/>
        </w:rPr>
        <w:t>5. 工程质量</w:t>
      </w:r>
      <w:bookmarkEnd w:id="321"/>
      <w:bookmarkEnd w:id="322"/>
      <w:bookmarkEnd w:id="323"/>
    </w:p>
    <w:p w14:paraId="3D323249">
      <w:pPr>
        <w:pageBreakBefore w:val="0"/>
        <w:kinsoku/>
        <w:overflowPunct/>
        <w:topLinePunct w:val="0"/>
        <w:bidi w:val="0"/>
        <w:snapToGrid/>
        <w:spacing w:line="288" w:lineRule="auto"/>
        <w:textAlignment w:val="auto"/>
        <w:rPr>
          <w:rFonts w:hint="eastAsia" w:ascii="宋体" w:hAnsi="宋体" w:eastAsia="宋体" w:cs="宋体"/>
          <w:b/>
          <w:bCs/>
          <w:color w:val="auto"/>
          <w:sz w:val="24"/>
          <w:szCs w:val="24"/>
          <w:highlight w:val="none"/>
        </w:rPr>
      </w:pPr>
      <w:bookmarkStart w:id="324" w:name="_Toc6621"/>
      <w:bookmarkStart w:id="325" w:name="_Toc9850548"/>
      <w:bookmarkStart w:id="326" w:name="_Toc407135220"/>
      <w:r>
        <w:rPr>
          <w:rFonts w:hint="eastAsia" w:ascii="宋体" w:hAnsi="宋体" w:eastAsia="宋体" w:cs="宋体"/>
          <w:b/>
          <w:bCs/>
          <w:color w:val="auto"/>
          <w:sz w:val="24"/>
          <w:szCs w:val="24"/>
          <w:highlight w:val="none"/>
        </w:rPr>
        <w:t>5.1 质量要求</w:t>
      </w:r>
      <w:bookmarkEnd w:id="324"/>
      <w:bookmarkEnd w:id="325"/>
      <w:bookmarkEnd w:id="326"/>
    </w:p>
    <w:p w14:paraId="0E025A36">
      <w:pPr>
        <w:keepNext w:val="0"/>
        <w:keepLines w:val="0"/>
        <w:pageBreakBefore w:val="0"/>
        <w:widowControl w:val="0"/>
        <w:suppressLineNumbers w:val="0"/>
        <w:kinsoku/>
        <w:overflowPunct/>
        <w:topLinePunct w:val="0"/>
        <w:bidi w:val="0"/>
        <w:snapToGrid/>
        <w:spacing w:before="0" w:beforeAutospacing="0" w:after="0" w:afterAutospacing="0" w:line="288" w:lineRule="auto"/>
        <w:ind w:left="0" w:right="0" w:firstLine="480" w:firstLineChars="200"/>
        <w:jc w:val="left"/>
        <w:textAlignment w:val="auto"/>
        <w:rPr>
          <w:rFonts w:hint="eastAsia" w:ascii="宋体" w:hAnsi="宋体" w:eastAsia="宋体" w:cs="宋体"/>
          <w:color w:val="auto"/>
          <w:sz w:val="24"/>
          <w:szCs w:val="24"/>
          <w:highlight w:val="none"/>
          <w:u w:val="single"/>
          <w:lang w:val="en-US"/>
        </w:rPr>
      </w:pPr>
      <w:r>
        <w:rPr>
          <w:rFonts w:hint="eastAsia" w:ascii="宋体" w:hAnsi="宋体" w:eastAsia="宋体" w:cs="宋体"/>
          <w:color w:val="auto"/>
          <w:kern w:val="2"/>
          <w:sz w:val="24"/>
          <w:szCs w:val="24"/>
          <w:highlight w:val="none"/>
          <w:lang w:val="en-US" w:eastAsia="zh-CN" w:bidi="ar"/>
        </w:rPr>
        <w:t>5.1.1 特殊质量标准和要求：</w:t>
      </w:r>
      <w:r>
        <w:rPr>
          <w:rFonts w:hint="eastAsia" w:ascii="宋体" w:hAnsi="宋体" w:eastAsia="宋体" w:cs="宋体"/>
          <w:color w:val="auto"/>
          <w:kern w:val="2"/>
          <w:sz w:val="24"/>
          <w:szCs w:val="24"/>
          <w:highlight w:val="none"/>
          <w:u w:val="single"/>
          <w:lang w:val="en-US" w:eastAsia="zh-CN" w:bidi="ar"/>
        </w:rPr>
        <w:t xml:space="preserve">       无     。</w:t>
      </w:r>
    </w:p>
    <w:p w14:paraId="6D92B208">
      <w:pPr>
        <w:keepNext w:val="0"/>
        <w:keepLines w:val="0"/>
        <w:pageBreakBefore w:val="0"/>
        <w:widowControl w:val="0"/>
        <w:suppressLineNumbers w:val="0"/>
        <w:kinsoku/>
        <w:overflowPunct/>
        <w:topLinePunct w:val="0"/>
        <w:bidi w:val="0"/>
        <w:snapToGrid/>
        <w:spacing w:before="0" w:beforeAutospacing="0" w:after="0" w:afterAutospacing="0" w:line="288" w:lineRule="auto"/>
        <w:ind w:left="0" w:right="0" w:firstLine="480" w:firstLineChars="200"/>
        <w:jc w:val="left"/>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bidi="ar"/>
        </w:rPr>
        <w:t>关于工程奖项的约定：</w:t>
      </w:r>
      <w:r>
        <w:rPr>
          <w:rFonts w:hint="eastAsia" w:ascii="宋体" w:hAnsi="宋体" w:eastAsia="宋体" w:cs="宋体"/>
          <w:color w:val="auto"/>
          <w:kern w:val="2"/>
          <w:sz w:val="24"/>
          <w:szCs w:val="24"/>
          <w:highlight w:val="none"/>
          <w:u w:val="single"/>
          <w:lang w:val="en-US" w:eastAsia="zh-CN" w:bidi="ar"/>
        </w:rPr>
        <w:t xml:space="preserve">     无 </w:t>
      </w:r>
      <w:r>
        <w:rPr>
          <w:rFonts w:hint="eastAsia" w:ascii="宋体" w:hAnsi="宋体" w:eastAsia="宋体" w:cs="宋体"/>
          <w:color w:val="auto"/>
          <w:kern w:val="2"/>
          <w:sz w:val="24"/>
          <w:szCs w:val="24"/>
          <w:highlight w:val="none"/>
          <w:lang w:val="en-US" w:eastAsia="zh-CN" w:bidi="ar"/>
        </w:rPr>
        <w:t>。</w:t>
      </w:r>
    </w:p>
    <w:p w14:paraId="1A92D61A">
      <w:pPr>
        <w:keepNext w:val="0"/>
        <w:keepLines w:val="0"/>
        <w:pageBreakBefore w:val="0"/>
        <w:widowControl w:val="0"/>
        <w:suppressLineNumbers w:val="0"/>
        <w:kinsoku/>
        <w:overflowPunct/>
        <w:topLinePunct w:val="0"/>
        <w:bidi w:val="0"/>
        <w:snapToGrid/>
        <w:spacing w:before="0" w:beforeAutospacing="0" w:after="0" w:afterAutospacing="0" w:line="288" w:lineRule="auto"/>
        <w:ind w:left="0" w:right="0" w:firstLine="480" w:firstLineChars="200"/>
        <w:jc w:val="left"/>
        <w:textAlignment w:val="auto"/>
        <w:outlineLvl w:val="2"/>
        <w:rPr>
          <w:rFonts w:hint="eastAsia" w:ascii="宋体" w:hAnsi="宋体" w:eastAsia="宋体" w:cs="宋体"/>
          <w:color w:val="auto"/>
          <w:sz w:val="24"/>
          <w:szCs w:val="24"/>
          <w:highlight w:val="none"/>
          <w:lang w:val="en-US"/>
        </w:rPr>
      </w:pPr>
      <w:bookmarkStart w:id="327" w:name="_Toc1725"/>
      <w:bookmarkStart w:id="328" w:name="_Toc9029"/>
      <w:r>
        <w:rPr>
          <w:rFonts w:hint="eastAsia" w:ascii="宋体" w:hAnsi="宋体" w:eastAsia="宋体" w:cs="宋体"/>
          <w:color w:val="auto"/>
          <w:kern w:val="2"/>
          <w:sz w:val="24"/>
          <w:szCs w:val="24"/>
          <w:highlight w:val="none"/>
          <w:lang w:val="en-US" w:eastAsia="zh-CN" w:bidi="ar"/>
        </w:rPr>
        <w:t>5.3 隐蔽工程检查</w:t>
      </w:r>
      <w:bookmarkEnd w:id="327"/>
      <w:bookmarkEnd w:id="328"/>
    </w:p>
    <w:p w14:paraId="115FF833">
      <w:pPr>
        <w:keepNext w:val="0"/>
        <w:keepLines w:val="0"/>
        <w:pageBreakBefore w:val="0"/>
        <w:widowControl w:val="0"/>
        <w:suppressLineNumbers w:val="0"/>
        <w:kinsoku/>
        <w:overflowPunct/>
        <w:topLinePunct w:val="0"/>
        <w:bidi w:val="0"/>
        <w:snapToGrid/>
        <w:spacing w:before="0" w:beforeAutospacing="0" w:after="0" w:afterAutospacing="0" w:line="288" w:lineRule="auto"/>
        <w:ind w:left="0" w:right="0" w:firstLine="480" w:firstLineChars="200"/>
        <w:jc w:val="left"/>
        <w:textAlignment w:val="auto"/>
        <w:rPr>
          <w:rFonts w:hint="eastAsia" w:ascii="宋体" w:hAnsi="宋体" w:eastAsia="宋体" w:cs="宋体"/>
          <w:color w:val="auto"/>
          <w:sz w:val="24"/>
          <w:szCs w:val="24"/>
          <w:highlight w:val="none"/>
          <w:u w:val="single"/>
          <w:lang w:val="en-US"/>
        </w:rPr>
      </w:pPr>
      <w:r>
        <w:rPr>
          <w:rFonts w:hint="eastAsia" w:ascii="宋体" w:hAnsi="宋体" w:eastAsia="宋体" w:cs="宋体"/>
          <w:color w:val="auto"/>
          <w:kern w:val="2"/>
          <w:sz w:val="24"/>
          <w:szCs w:val="24"/>
          <w:highlight w:val="none"/>
          <w:lang w:val="en-US" w:eastAsia="zh-CN" w:bidi="ar"/>
        </w:rPr>
        <w:t>5.3.2承包人提前通知发包人隐蔽工程检查的期限的约定：工程隐蔽或中间验收前24小时以书面形式通知发包人验收的内容、时间、地点，承包人准备验收记录单（最好是印制的表格）由双方签证。验收合格，承包人可进行隐蔽和继续施工；验收不合格，双方商订时限内修改后按上述循序重新验收。</w:t>
      </w:r>
    </w:p>
    <w:p w14:paraId="3321DE84">
      <w:pPr>
        <w:keepNext w:val="0"/>
        <w:keepLines w:val="0"/>
        <w:pageBreakBefore w:val="0"/>
        <w:widowControl w:val="0"/>
        <w:suppressLineNumbers w:val="0"/>
        <w:kinsoku/>
        <w:overflowPunct/>
        <w:topLinePunct w:val="0"/>
        <w:bidi w:val="0"/>
        <w:snapToGrid/>
        <w:spacing w:before="0" w:beforeAutospacing="0" w:after="0" w:afterAutospacing="0" w:line="288" w:lineRule="auto"/>
        <w:ind w:left="0" w:right="0" w:firstLine="480" w:firstLineChars="200"/>
        <w:jc w:val="left"/>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bidi="ar"/>
        </w:rPr>
        <w:t>发包人不能按时进行检查时，应提前</w:t>
      </w:r>
      <w:r>
        <w:rPr>
          <w:rFonts w:hint="eastAsia" w:ascii="宋体" w:hAnsi="宋体" w:eastAsia="宋体" w:cs="宋体"/>
          <w:color w:val="auto"/>
          <w:kern w:val="2"/>
          <w:sz w:val="24"/>
          <w:szCs w:val="24"/>
          <w:highlight w:val="none"/>
          <w:u w:val="single"/>
          <w:lang w:val="en-US" w:eastAsia="zh-CN" w:bidi="ar"/>
        </w:rPr>
        <w:t xml:space="preserve">   12    </w:t>
      </w:r>
      <w:r>
        <w:rPr>
          <w:rFonts w:hint="eastAsia" w:ascii="宋体" w:hAnsi="宋体" w:eastAsia="宋体" w:cs="宋体"/>
          <w:color w:val="auto"/>
          <w:kern w:val="2"/>
          <w:sz w:val="24"/>
          <w:szCs w:val="24"/>
          <w:highlight w:val="none"/>
          <w:lang w:val="en-US" w:eastAsia="zh-CN" w:bidi="ar"/>
        </w:rPr>
        <w:t>小时提交书面延期要求。</w:t>
      </w:r>
    </w:p>
    <w:p w14:paraId="0A65EE6F">
      <w:pPr>
        <w:pageBreakBefore w:val="0"/>
        <w:kinsoku/>
        <w:overflowPunct/>
        <w:topLinePunct w:val="0"/>
        <w:bidi w:val="0"/>
        <w:snapToGrid/>
        <w:spacing w:line="288"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
        </w:rPr>
        <w:t>关于延期最长不得超过：</w:t>
      </w:r>
      <w:r>
        <w:rPr>
          <w:rFonts w:hint="eastAsia" w:ascii="宋体" w:hAnsi="宋体" w:eastAsia="宋体" w:cs="宋体"/>
          <w:color w:val="auto"/>
          <w:kern w:val="2"/>
          <w:sz w:val="24"/>
          <w:szCs w:val="24"/>
          <w:highlight w:val="none"/>
          <w:u w:val="single"/>
          <w:lang w:val="en-US" w:eastAsia="zh-CN" w:bidi="ar"/>
        </w:rPr>
        <w:t xml:space="preserve">    24     </w:t>
      </w:r>
      <w:r>
        <w:rPr>
          <w:rFonts w:hint="eastAsia" w:ascii="宋体" w:hAnsi="宋体" w:eastAsia="宋体" w:cs="宋体"/>
          <w:color w:val="auto"/>
          <w:kern w:val="2"/>
          <w:sz w:val="24"/>
          <w:szCs w:val="24"/>
          <w:highlight w:val="none"/>
          <w:lang w:val="en-US" w:eastAsia="zh-CN" w:bidi="ar"/>
        </w:rPr>
        <w:t>小时。</w:t>
      </w:r>
    </w:p>
    <w:p w14:paraId="19258C48">
      <w:pPr>
        <w:pageBreakBefore w:val="0"/>
        <w:kinsoku/>
        <w:overflowPunct/>
        <w:topLinePunct w:val="0"/>
        <w:bidi w:val="0"/>
        <w:snapToGrid/>
        <w:spacing w:line="288" w:lineRule="auto"/>
        <w:textAlignment w:val="auto"/>
        <w:rPr>
          <w:rFonts w:hint="eastAsia" w:ascii="宋体" w:hAnsi="宋体" w:eastAsia="宋体" w:cs="宋体"/>
          <w:b/>
          <w:bCs/>
          <w:color w:val="auto"/>
          <w:sz w:val="24"/>
          <w:szCs w:val="24"/>
          <w:highlight w:val="none"/>
        </w:rPr>
      </w:pPr>
      <w:bookmarkStart w:id="329" w:name="_Toc9850549"/>
      <w:bookmarkStart w:id="330" w:name="_Toc407135221"/>
      <w:bookmarkStart w:id="331" w:name="_Toc29209"/>
      <w:r>
        <w:rPr>
          <w:rFonts w:hint="eastAsia" w:ascii="宋体" w:hAnsi="宋体" w:eastAsia="宋体" w:cs="宋体"/>
          <w:b/>
          <w:bCs/>
          <w:color w:val="auto"/>
          <w:sz w:val="24"/>
          <w:szCs w:val="24"/>
          <w:highlight w:val="none"/>
        </w:rPr>
        <w:t>6. 安全文明施工与环境保护</w:t>
      </w:r>
      <w:bookmarkEnd w:id="329"/>
      <w:bookmarkEnd w:id="330"/>
      <w:bookmarkEnd w:id="331"/>
    </w:p>
    <w:p w14:paraId="7D1819B9">
      <w:pPr>
        <w:pageBreakBefore w:val="0"/>
        <w:kinsoku/>
        <w:overflowPunct/>
        <w:topLinePunct w:val="0"/>
        <w:bidi w:val="0"/>
        <w:snapToGrid/>
        <w:spacing w:line="288" w:lineRule="auto"/>
        <w:textAlignment w:val="auto"/>
        <w:rPr>
          <w:rFonts w:hint="eastAsia" w:ascii="宋体" w:hAnsi="宋体" w:eastAsia="宋体" w:cs="宋体"/>
          <w:b/>
          <w:bCs/>
          <w:color w:val="auto"/>
          <w:sz w:val="24"/>
          <w:szCs w:val="24"/>
          <w:highlight w:val="none"/>
        </w:rPr>
      </w:pPr>
      <w:bookmarkStart w:id="332" w:name="_Toc9850550"/>
      <w:bookmarkStart w:id="333" w:name="_Toc407135222"/>
      <w:bookmarkStart w:id="334" w:name="_Toc715"/>
      <w:r>
        <w:rPr>
          <w:rFonts w:hint="eastAsia" w:ascii="宋体" w:hAnsi="宋体" w:eastAsia="宋体" w:cs="宋体"/>
          <w:b/>
          <w:bCs/>
          <w:color w:val="auto"/>
          <w:sz w:val="24"/>
          <w:szCs w:val="24"/>
          <w:highlight w:val="none"/>
        </w:rPr>
        <w:t>6.1 安全文明施工</w:t>
      </w:r>
      <w:bookmarkEnd w:id="332"/>
      <w:bookmarkEnd w:id="333"/>
      <w:bookmarkEnd w:id="334"/>
    </w:p>
    <w:p w14:paraId="3A75BE66">
      <w:pPr>
        <w:keepNext w:val="0"/>
        <w:keepLines w:val="0"/>
        <w:pageBreakBefore w:val="0"/>
        <w:widowControl/>
        <w:suppressLineNumbers w:val="0"/>
        <w:kinsoku/>
        <w:overflowPunct/>
        <w:topLinePunct w:val="0"/>
        <w:bidi w:val="0"/>
        <w:snapToGrid/>
        <w:spacing w:before="0" w:beforeAutospacing="0" w:after="0" w:afterAutospacing="0" w:line="288" w:lineRule="auto"/>
        <w:ind w:left="0" w:right="0" w:firstLine="480" w:firstLineChars="200"/>
        <w:jc w:val="left"/>
        <w:textAlignment w:val="auto"/>
        <w:rPr>
          <w:rFonts w:hint="eastAsia" w:ascii="宋体" w:hAnsi="宋体" w:eastAsia="宋体" w:cs="宋体"/>
          <w:color w:val="auto"/>
          <w:kern w:val="2"/>
          <w:sz w:val="24"/>
          <w:szCs w:val="24"/>
          <w:highlight w:val="none"/>
          <w:u w:val="single"/>
          <w:lang w:val="en-US" w:eastAsia="zh-CN" w:bidi="ar"/>
        </w:rPr>
      </w:pPr>
      <w:r>
        <w:rPr>
          <w:rFonts w:hint="eastAsia" w:ascii="宋体" w:hAnsi="宋体" w:eastAsia="宋体" w:cs="宋体"/>
          <w:color w:val="auto"/>
          <w:kern w:val="2"/>
          <w:sz w:val="24"/>
          <w:szCs w:val="24"/>
          <w:highlight w:val="none"/>
          <w:lang w:val="en-US" w:eastAsia="zh-CN" w:bidi="ar"/>
        </w:rPr>
        <w:t>6.1.1 项目安全生产的达标目标及相应事项的约定：</w:t>
      </w:r>
      <w:r>
        <w:rPr>
          <w:rFonts w:hint="eastAsia" w:ascii="宋体" w:hAnsi="宋体" w:eastAsia="宋体" w:cs="宋体"/>
          <w:color w:val="auto"/>
          <w:kern w:val="2"/>
          <w:sz w:val="24"/>
          <w:szCs w:val="24"/>
          <w:highlight w:val="none"/>
          <w:u w:val="single"/>
          <w:lang w:val="en-US" w:eastAsia="zh-CN" w:bidi="ar"/>
        </w:rPr>
        <w:t>要求达到《建筑施工安全检查标准》（JGJ59-2011）的标准和符合《广西壮族自治区建筑工程安全防护、文明施工措施费及使用管理细则》（桂建质安【2015】16号文）的要求</w:t>
      </w:r>
      <w:r>
        <w:rPr>
          <w:rFonts w:hint="eastAsia" w:ascii="宋体" w:hAnsi="宋体" w:eastAsia="宋体" w:cs="宋体"/>
          <w:color w:val="auto"/>
          <w:kern w:val="2"/>
          <w:sz w:val="24"/>
          <w:szCs w:val="24"/>
          <w:highlight w:val="none"/>
          <w:lang w:val="en-US" w:eastAsia="zh-CN" w:bidi="ar"/>
        </w:rPr>
        <w:t>。</w:t>
      </w:r>
    </w:p>
    <w:p w14:paraId="651F3B56">
      <w:pPr>
        <w:keepNext w:val="0"/>
        <w:keepLines w:val="0"/>
        <w:pageBreakBefore w:val="0"/>
        <w:widowControl w:val="0"/>
        <w:suppressLineNumbers w:val="0"/>
        <w:kinsoku/>
        <w:overflowPunct/>
        <w:topLinePunct w:val="0"/>
        <w:bidi w:val="0"/>
        <w:snapToGrid/>
        <w:spacing w:before="0" w:beforeAutospacing="0" w:after="0" w:afterAutospacing="0" w:line="288" w:lineRule="auto"/>
        <w:ind w:left="0" w:right="0" w:firstLine="480" w:firstLineChars="200"/>
        <w:jc w:val="left"/>
        <w:textAlignment w:val="auto"/>
        <w:rPr>
          <w:rFonts w:hint="eastAsia" w:ascii="宋体" w:hAnsi="宋体" w:eastAsia="宋体" w:cs="宋体"/>
          <w:color w:val="auto"/>
          <w:sz w:val="24"/>
          <w:szCs w:val="24"/>
          <w:highlight w:val="none"/>
          <w:u w:val="single"/>
          <w:lang w:val="en-US"/>
        </w:rPr>
      </w:pPr>
      <w:r>
        <w:rPr>
          <w:rFonts w:hint="eastAsia" w:ascii="宋体" w:hAnsi="宋体" w:eastAsia="宋体" w:cs="宋体"/>
          <w:color w:val="auto"/>
          <w:kern w:val="2"/>
          <w:sz w:val="24"/>
          <w:szCs w:val="24"/>
          <w:highlight w:val="none"/>
          <w:lang w:val="en-US" w:eastAsia="zh-CN" w:bidi="ar"/>
        </w:rPr>
        <w:t>6.1.4 关于治安保卫的特别约定：</w:t>
      </w:r>
      <w:r>
        <w:rPr>
          <w:rFonts w:hint="eastAsia" w:ascii="宋体" w:hAnsi="宋体" w:eastAsia="宋体" w:cs="宋体"/>
          <w:color w:val="auto"/>
          <w:kern w:val="2"/>
          <w:sz w:val="24"/>
          <w:szCs w:val="24"/>
          <w:highlight w:val="none"/>
          <w:u w:val="single"/>
          <w:lang w:val="en-US" w:eastAsia="zh-CN" w:bidi="ar"/>
        </w:rPr>
        <w:t>承包人应承担施工安全保卫工作及非夜间施工照明的责任，承包人应采取一切合理的预防措施，防止人员伤亡、财产损失事故，费用由承包人承担。承包人生活设施及施工场应自费配备消防设备，防止火灾发生。</w:t>
      </w:r>
    </w:p>
    <w:p w14:paraId="3346AE3C">
      <w:pPr>
        <w:keepNext w:val="0"/>
        <w:keepLines w:val="0"/>
        <w:pageBreakBefore w:val="0"/>
        <w:widowControl w:val="0"/>
        <w:suppressLineNumbers w:val="0"/>
        <w:kinsoku/>
        <w:overflowPunct/>
        <w:topLinePunct w:val="0"/>
        <w:bidi w:val="0"/>
        <w:snapToGrid/>
        <w:spacing w:before="0" w:beforeAutospacing="0" w:after="0" w:afterAutospacing="0" w:line="288" w:lineRule="auto"/>
        <w:ind w:left="0" w:right="0" w:firstLine="480" w:firstLineChars="200"/>
        <w:jc w:val="left"/>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bidi="ar"/>
        </w:rPr>
        <w:t>关于编制施工场地治安管理计划的约定：</w:t>
      </w:r>
      <w:r>
        <w:rPr>
          <w:rFonts w:hint="eastAsia" w:ascii="宋体" w:hAnsi="宋体" w:eastAsia="宋体" w:cs="宋体"/>
          <w:color w:val="auto"/>
          <w:kern w:val="2"/>
          <w:sz w:val="24"/>
          <w:szCs w:val="24"/>
          <w:highlight w:val="none"/>
          <w:u w:val="single"/>
          <w:lang w:val="en-US" w:eastAsia="zh-CN" w:bidi="ar"/>
        </w:rPr>
        <w:t>按通用条款执行</w:t>
      </w:r>
      <w:r>
        <w:rPr>
          <w:rFonts w:hint="eastAsia" w:ascii="宋体" w:hAnsi="宋体" w:eastAsia="宋体" w:cs="宋体"/>
          <w:color w:val="auto"/>
          <w:kern w:val="2"/>
          <w:sz w:val="24"/>
          <w:szCs w:val="24"/>
          <w:highlight w:val="none"/>
          <w:lang w:val="en-US" w:eastAsia="zh-CN" w:bidi="ar"/>
        </w:rPr>
        <w:t>。</w:t>
      </w:r>
    </w:p>
    <w:p w14:paraId="2D34A551">
      <w:pPr>
        <w:keepNext w:val="0"/>
        <w:keepLines w:val="0"/>
        <w:pageBreakBefore w:val="0"/>
        <w:widowControl w:val="0"/>
        <w:suppressLineNumbers w:val="0"/>
        <w:kinsoku/>
        <w:overflowPunct/>
        <w:topLinePunct w:val="0"/>
        <w:bidi w:val="0"/>
        <w:snapToGrid/>
        <w:spacing w:before="0" w:beforeAutospacing="0" w:after="0" w:afterAutospacing="0" w:line="288" w:lineRule="auto"/>
        <w:ind w:left="0" w:right="0" w:firstLine="480" w:firstLineChars="200"/>
        <w:jc w:val="left"/>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bidi="ar"/>
        </w:rPr>
        <w:t>6.1.5 文明施工</w:t>
      </w:r>
    </w:p>
    <w:p w14:paraId="72ACF109">
      <w:pPr>
        <w:keepNext w:val="0"/>
        <w:keepLines w:val="0"/>
        <w:pageBreakBefore w:val="0"/>
        <w:widowControl/>
        <w:suppressLineNumbers w:val="0"/>
        <w:kinsoku/>
        <w:overflowPunct/>
        <w:topLinePunct w:val="0"/>
        <w:bidi w:val="0"/>
        <w:snapToGrid/>
        <w:spacing w:before="0" w:beforeAutospacing="0" w:after="0" w:afterAutospacing="0" w:line="288" w:lineRule="auto"/>
        <w:ind w:left="0" w:right="0" w:firstLine="480" w:firstLineChars="200"/>
        <w:jc w:val="left"/>
        <w:textAlignment w:val="auto"/>
        <w:rPr>
          <w:rFonts w:hint="eastAsia" w:ascii="宋体" w:hAnsi="宋体" w:eastAsia="宋体" w:cs="宋体"/>
          <w:color w:val="auto"/>
          <w:kern w:val="2"/>
          <w:sz w:val="24"/>
          <w:szCs w:val="24"/>
          <w:highlight w:val="none"/>
          <w:u w:val="single"/>
          <w:lang w:val="en-US" w:eastAsia="zh-CN" w:bidi="ar"/>
        </w:rPr>
      </w:pPr>
      <w:r>
        <w:rPr>
          <w:rFonts w:hint="eastAsia" w:ascii="宋体" w:hAnsi="宋体" w:eastAsia="宋体" w:cs="宋体"/>
          <w:color w:val="auto"/>
          <w:kern w:val="2"/>
          <w:sz w:val="24"/>
          <w:szCs w:val="24"/>
          <w:highlight w:val="none"/>
          <w:lang w:val="en-US" w:eastAsia="zh-CN" w:bidi="ar"/>
        </w:rPr>
        <w:t>合同当事人对文明施工的要求：</w:t>
      </w:r>
      <w:r>
        <w:rPr>
          <w:rFonts w:hint="eastAsia" w:ascii="宋体" w:hAnsi="宋体" w:eastAsia="宋体" w:cs="宋体"/>
          <w:color w:val="auto"/>
          <w:kern w:val="2"/>
          <w:sz w:val="24"/>
          <w:szCs w:val="24"/>
          <w:highlight w:val="none"/>
          <w:u w:val="single"/>
          <w:lang w:val="en-US" w:eastAsia="zh-CN" w:bidi="ar"/>
        </w:rPr>
        <w:t>安全防护、文明施工设施须按南宁市城乡建委《南宁市建设工程质量安全管理标准化图集》要求。土方作业严格执行南宁市城乡建设委员会印发的《南宁市土方作业文明施工工作导则》要求。</w:t>
      </w:r>
    </w:p>
    <w:p w14:paraId="38C9D89E">
      <w:pPr>
        <w:keepNext w:val="0"/>
        <w:keepLines w:val="0"/>
        <w:pageBreakBefore w:val="0"/>
        <w:widowControl/>
        <w:suppressLineNumbers w:val="0"/>
        <w:kinsoku/>
        <w:overflowPunct/>
        <w:topLinePunct w:val="0"/>
        <w:bidi w:val="0"/>
        <w:snapToGrid/>
        <w:spacing w:before="0" w:beforeAutospacing="0" w:after="0" w:afterAutospacing="0" w:line="288" w:lineRule="auto"/>
        <w:ind w:left="0" w:right="0" w:firstLine="480" w:firstLineChars="200"/>
        <w:jc w:val="left"/>
        <w:textAlignment w:val="auto"/>
        <w:rPr>
          <w:rFonts w:hint="eastAsia" w:ascii="宋体" w:hAnsi="宋体" w:eastAsia="宋体" w:cs="宋体"/>
          <w:color w:val="auto"/>
          <w:kern w:val="2"/>
          <w:sz w:val="24"/>
          <w:szCs w:val="24"/>
          <w:highlight w:val="none"/>
          <w:u w:val="single"/>
          <w:lang w:val="en-US" w:eastAsia="zh-CN" w:bidi="ar"/>
        </w:rPr>
      </w:pPr>
      <w:bookmarkStart w:id="335" w:name="_Toc373478368"/>
      <w:bookmarkStart w:id="336" w:name="_Toc389065287"/>
      <w:bookmarkStart w:id="337" w:name="_Toc373227721"/>
      <w:r>
        <w:rPr>
          <w:rFonts w:hint="eastAsia" w:ascii="宋体" w:hAnsi="宋体" w:eastAsia="宋体" w:cs="宋体"/>
          <w:color w:val="auto"/>
          <w:kern w:val="2"/>
          <w:sz w:val="24"/>
          <w:szCs w:val="24"/>
          <w:highlight w:val="none"/>
          <w:lang w:val="en-US" w:eastAsia="zh-CN" w:bidi="ar"/>
        </w:rPr>
        <w:t>6.1.6 关于安全文明施工费支付比例和支付期限的约定：</w:t>
      </w:r>
      <w:r>
        <w:rPr>
          <w:rFonts w:hint="eastAsia" w:ascii="宋体" w:hAnsi="宋体" w:eastAsia="宋体" w:cs="宋体"/>
          <w:color w:val="auto"/>
          <w:kern w:val="2"/>
          <w:sz w:val="24"/>
          <w:szCs w:val="24"/>
          <w:highlight w:val="none"/>
          <w:u w:val="single"/>
          <w:lang w:val="en-US" w:eastAsia="zh-CN" w:bidi="ar"/>
        </w:rPr>
        <w:t>详见工程量清单。</w:t>
      </w:r>
    </w:p>
    <w:p w14:paraId="5171473D">
      <w:pPr>
        <w:keepNext w:val="0"/>
        <w:keepLines w:val="0"/>
        <w:pageBreakBefore w:val="0"/>
        <w:widowControl/>
        <w:suppressLineNumbers w:val="0"/>
        <w:kinsoku/>
        <w:overflowPunct/>
        <w:topLinePunct w:val="0"/>
        <w:bidi w:val="0"/>
        <w:snapToGrid/>
        <w:spacing w:before="0" w:beforeAutospacing="0" w:after="0" w:afterAutospacing="0" w:line="288" w:lineRule="auto"/>
        <w:ind w:left="0" w:right="0" w:firstLine="480" w:firstLineChars="200"/>
        <w:jc w:val="left"/>
        <w:textAlignment w:val="auto"/>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6.1.7施工时须做好相应保护，避免沾上施工涂料，施工完成后需按</w:t>
      </w:r>
      <w:r>
        <w:rPr>
          <w:rFonts w:hint="eastAsia" w:ascii="宋体" w:hAnsi="宋体" w:eastAsia="宋体" w:cs="宋体"/>
          <w:color w:val="auto"/>
          <w:kern w:val="0"/>
          <w:sz w:val="24"/>
          <w:szCs w:val="24"/>
          <w:highlight w:val="none"/>
          <w:lang w:val="en-US" w:eastAsia="zh-CN" w:bidi="ar"/>
        </w:rPr>
        <w:t>发包人要求</w:t>
      </w:r>
      <w:r>
        <w:rPr>
          <w:rFonts w:hint="eastAsia" w:ascii="宋体" w:hAnsi="宋体" w:eastAsia="宋体" w:cs="宋体"/>
          <w:color w:val="auto"/>
          <w:kern w:val="2"/>
          <w:sz w:val="24"/>
          <w:szCs w:val="24"/>
          <w:highlight w:val="none"/>
          <w:lang w:val="en-US" w:eastAsia="zh-CN" w:bidi="ar"/>
        </w:rPr>
        <w:t>恢复原样，如有损坏，承包人照价赔偿或购买同类更换。</w:t>
      </w:r>
    </w:p>
    <w:p w14:paraId="6E23FDB6">
      <w:pPr>
        <w:keepNext w:val="0"/>
        <w:keepLines w:val="0"/>
        <w:pageBreakBefore w:val="0"/>
        <w:widowControl w:val="0"/>
        <w:suppressLineNumbers w:val="0"/>
        <w:kinsoku/>
        <w:overflowPunct/>
        <w:topLinePunct w:val="0"/>
        <w:bidi w:val="0"/>
        <w:snapToGrid/>
        <w:spacing w:before="0" w:beforeAutospacing="0" w:after="0" w:afterAutospacing="0" w:line="288" w:lineRule="auto"/>
        <w:ind w:left="0" w:right="0" w:firstLine="480" w:firstLineChars="200"/>
        <w:jc w:val="both"/>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bidi="ar"/>
        </w:rPr>
        <w:t>6.1.8 施工完成后地面及周边环境需按</w:t>
      </w:r>
      <w:r>
        <w:rPr>
          <w:rFonts w:hint="eastAsia" w:ascii="宋体" w:hAnsi="宋体" w:eastAsia="宋体" w:cs="宋体"/>
          <w:color w:val="auto"/>
          <w:kern w:val="0"/>
          <w:sz w:val="24"/>
          <w:szCs w:val="24"/>
          <w:highlight w:val="none"/>
          <w:lang w:val="en-US" w:eastAsia="zh-CN" w:bidi="ar"/>
        </w:rPr>
        <w:t>发包人要求</w:t>
      </w:r>
      <w:r>
        <w:rPr>
          <w:rFonts w:hint="eastAsia" w:ascii="宋体" w:hAnsi="宋体" w:eastAsia="宋体" w:cs="宋体"/>
          <w:color w:val="auto"/>
          <w:kern w:val="2"/>
          <w:sz w:val="24"/>
          <w:szCs w:val="24"/>
          <w:highlight w:val="none"/>
          <w:lang w:val="en-US" w:eastAsia="zh-CN" w:bidi="ar"/>
        </w:rPr>
        <w:t xml:space="preserve">恢复干净。 </w:t>
      </w:r>
    </w:p>
    <w:p w14:paraId="54C89613">
      <w:pPr>
        <w:keepNext/>
        <w:keepLines/>
        <w:pageBreakBefore w:val="0"/>
        <w:widowControl/>
        <w:kinsoku/>
        <w:overflowPunct/>
        <w:topLinePunct w:val="0"/>
        <w:bidi w:val="0"/>
        <w:snapToGrid/>
        <w:spacing w:line="288" w:lineRule="auto"/>
        <w:jc w:val="both"/>
        <w:textAlignment w:val="auto"/>
        <w:outlineLvl w:val="2"/>
        <w:rPr>
          <w:rFonts w:hint="eastAsia" w:ascii="宋体" w:hAnsi="宋体" w:eastAsia="宋体" w:cs="宋体"/>
          <w:b w:val="0"/>
          <w:bCs w:val="0"/>
          <w:color w:val="auto"/>
          <w:kern w:val="0"/>
          <w:sz w:val="24"/>
          <w:szCs w:val="24"/>
          <w:highlight w:val="none"/>
          <w:lang w:val="en-US" w:eastAsia="zh-CN" w:bidi="ar-SA"/>
        </w:rPr>
      </w:pPr>
      <w:bookmarkStart w:id="338" w:name="_Toc17083"/>
      <w:bookmarkStart w:id="339" w:name="_Toc77255591"/>
      <w:bookmarkStart w:id="340" w:name="_Toc73356662"/>
      <w:bookmarkStart w:id="341" w:name="_Toc31967"/>
      <w:r>
        <w:rPr>
          <w:rFonts w:hint="eastAsia" w:ascii="宋体" w:hAnsi="宋体" w:eastAsia="宋体" w:cs="宋体"/>
          <w:b/>
          <w:bCs/>
          <w:color w:val="auto"/>
          <w:kern w:val="2"/>
          <w:sz w:val="24"/>
          <w:szCs w:val="24"/>
          <w:highlight w:val="none"/>
          <w:lang w:val="en-US" w:eastAsia="zh-CN" w:bidi="ar-SA"/>
        </w:rPr>
        <w:t xml:space="preserve">6.2 </w:t>
      </w:r>
      <w:r>
        <w:rPr>
          <w:rFonts w:hint="eastAsia" w:ascii="宋体" w:hAnsi="宋体" w:eastAsia="宋体" w:cs="宋体"/>
          <w:b w:val="0"/>
          <w:bCs w:val="0"/>
          <w:color w:val="auto"/>
          <w:kern w:val="0"/>
          <w:sz w:val="24"/>
          <w:szCs w:val="24"/>
          <w:highlight w:val="none"/>
          <w:lang w:val="en-US" w:eastAsia="zh-CN" w:bidi="ar-SA"/>
        </w:rPr>
        <w:t>环境保护</w:t>
      </w:r>
      <w:bookmarkEnd w:id="335"/>
      <w:bookmarkEnd w:id="336"/>
      <w:bookmarkEnd w:id="337"/>
      <w:bookmarkEnd w:id="338"/>
      <w:bookmarkEnd w:id="339"/>
      <w:bookmarkEnd w:id="340"/>
      <w:bookmarkEnd w:id="341"/>
    </w:p>
    <w:p w14:paraId="60B860CC">
      <w:pPr>
        <w:keepNext w:val="0"/>
        <w:keepLines w:val="0"/>
        <w:pageBreakBefore w:val="0"/>
        <w:widowControl w:val="0"/>
        <w:suppressLineNumbers w:val="0"/>
        <w:kinsoku/>
        <w:overflowPunct/>
        <w:topLinePunct w:val="0"/>
        <w:bidi w:val="0"/>
        <w:snapToGrid/>
        <w:spacing w:before="0" w:beforeAutospacing="0" w:after="0" w:afterAutospacing="0" w:line="288" w:lineRule="auto"/>
        <w:ind w:left="0" w:right="0" w:firstLine="480" w:firstLineChars="200"/>
        <w:jc w:val="left"/>
        <w:textAlignment w:val="auto"/>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lang w:val="en-US" w:eastAsia="zh-CN" w:bidi="ar"/>
        </w:rPr>
        <w:t>因施工需要，经发包人批准，由承包人办理有关施工场地交通、环卫和施工噪音管理等手续，费用由承包人负责。</w:t>
      </w:r>
    </w:p>
    <w:p w14:paraId="67FC7A66">
      <w:pPr>
        <w:keepNext w:val="0"/>
        <w:keepLines w:val="0"/>
        <w:pageBreakBefore w:val="0"/>
        <w:widowControl w:val="0"/>
        <w:suppressLineNumbers w:val="0"/>
        <w:kinsoku/>
        <w:overflowPunct/>
        <w:topLinePunct w:val="0"/>
        <w:bidi w:val="0"/>
        <w:snapToGrid/>
        <w:spacing w:before="0" w:beforeAutospacing="0" w:after="0" w:afterAutospacing="0" w:line="288" w:lineRule="auto"/>
        <w:ind w:left="0" w:right="0" w:firstLine="480" w:firstLineChars="200"/>
        <w:jc w:val="left"/>
        <w:textAlignment w:val="auto"/>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lang w:val="en-US" w:eastAsia="zh-CN" w:bidi="ar"/>
        </w:rPr>
        <w:t>经过城市道路的施工车辆，必须按交警、城管、运输等部门相关规定执行。由于施工车辆造成的道路、环境等污染，其责任和费用均由承包人承担。</w:t>
      </w:r>
    </w:p>
    <w:p w14:paraId="103C53ED">
      <w:pPr>
        <w:pageBreakBefore w:val="0"/>
        <w:kinsoku/>
        <w:overflowPunct/>
        <w:topLinePunct w:val="0"/>
        <w:autoSpaceDE w:val="0"/>
        <w:autoSpaceDN w:val="0"/>
        <w:bidi w:val="0"/>
        <w:adjustRightInd w:val="0"/>
        <w:snapToGrid/>
        <w:spacing w:line="288"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2"/>
          <w:sz w:val="24"/>
          <w:szCs w:val="24"/>
          <w:highlight w:val="none"/>
          <w:u w:val="single"/>
          <w:lang w:val="en-US" w:eastAsia="zh-CN" w:bidi="ar"/>
        </w:rPr>
        <w:t>根据《南宁市挥发性有机物污染防治实施方案（2019-2020年）》（南环委办</w:t>
      </w:r>
      <w:r>
        <w:rPr>
          <w:rFonts w:hint="eastAsia" w:ascii="宋体" w:hAnsi="宋体" w:eastAsia="宋体" w:cs="宋体"/>
          <w:color w:val="auto"/>
          <w:kern w:val="0"/>
          <w:sz w:val="24"/>
          <w:szCs w:val="24"/>
          <w:highlight w:val="none"/>
          <w:u w:val="single"/>
          <w:lang w:val="en-US" w:eastAsia="zh-CN" w:bidi="ar"/>
        </w:rPr>
        <w:t>〔2019〕166号）文件精神，宜优先使用低VOCs含量的涂料、油漆和有机溶剂。</w:t>
      </w:r>
    </w:p>
    <w:p w14:paraId="0E2B674B">
      <w:pPr>
        <w:keepNext/>
        <w:keepLines/>
        <w:pageBreakBefore w:val="0"/>
        <w:widowControl/>
        <w:kinsoku/>
        <w:overflowPunct/>
        <w:topLinePunct w:val="0"/>
        <w:bidi w:val="0"/>
        <w:snapToGrid/>
        <w:spacing w:line="288" w:lineRule="auto"/>
        <w:jc w:val="left"/>
        <w:textAlignment w:val="auto"/>
        <w:outlineLvl w:val="1"/>
        <w:rPr>
          <w:rFonts w:hint="eastAsia" w:ascii="宋体" w:hAnsi="宋体" w:eastAsia="宋体" w:cs="宋体"/>
          <w:b/>
          <w:bCs/>
          <w:color w:val="auto"/>
          <w:kern w:val="44"/>
          <w:sz w:val="24"/>
          <w:szCs w:val="24"/>
          <w:highlight w:val="none"/>
          <w:lang w:val="en-US" w:eastAsia="zh-CN" w:bidi="ar-SA"/>
        </w:rPr>
      </w:pPr>
      <w:bookmarkStart w:id="342" w:name="_Toc77255592"/>
      <w:bookmarkStart w:id="343" w:name="_Toc389065288"/>
      <w:bookmarkStart w:id="344" w:name="_Toc373227722"/>
      <w:bookmarkStart w:id="345" w:name="_Toc5348"/>
      <w:bookmarkStart w:id="346" w:name="_Toc6940"/>
      <w:bookmarkStart w:id="347" w:name="_Toc73356663"/>
      <w:bookmarkStart w:id="348" w:name="_Toc373478369"/>
      <w:bookmarkStart w:id="349" w:name="_Toc351203639"/>
      <w:r>
        <w:rPr>
          <w:rFonts w:hint="eastAsia" w:ascii="宋体" w:hAnsi="宋体" w:eastAsia="宋体" w:cs="宋体"/>
          <w:b/>
          <w:bCs/>
          <w:color w:val="auto"/>
          <w:kern w:val="44"/>
          <w:sz w:val="24"/>
          <w:szCs w:val="24"/>
          <w:highlight w:val="none"/>
          <w:lang w:val="en-US" w:eastAsia="zh-CN" w:bidi="ar-SA"/>
        </w:rPr>
        <w:t>7. 工期和进度</w:t>
      </w:r>
      <w:bookmarkEnd w:id="342"/>
      <w:bookmarkEnd w:id="343"/>
      <w:bookmarkEnd w:id="344"/>
      <w:bookmarkEnd w:id="345"/>
      <w:bookmarkEnd w:id="346"/>
      <w:bookmarkEnd w:id="347"/>
      <w:bookmarkEnd w:id="348"/>
      <w:bookmarkEnd w:id="349"/>
    </w:p>
    <w:p w14:paraId="796F513E">
      <w:pPr>
        <w:keepNext/>
        <w:keepLines/>
        <w:pageBreakBefore w:val="0"/>
        <w:widowControl/>
        <w:kinsoku/>
        <w:overflowPunct/>
        <w:topLinePunct w:val="0"/>
        <w:bidi w:val="0"/>
        <w:snapToGrid/>
        <w:spacing w:line="288" w:lineRule="auto"/>
        <w:jc w:val="both"/>
        <w:textAlignment w:val="auto"/>
        <w:outlineLvl w:val="2"/>
        <w:rPr>
          <w:rFonts w:hint="eastAsia" w:ascii="宋体" w:hAnsi="宋体" w:eastAsia="宋体" w:cs="宋体"/>
          <w:b/>
          <w:bCs/>
          <w:color w:val="auto"/>
          <w:kern w:val="2"/>
          <w:sz w:val="24"/>
          <w:szCs w:val="24"/>
          <w:highlight w:val="none"/>
          <w:lang w:val="en-US" w:eastAsia="zh-CN" w:bidi="ar-SA"/>
        </w:rPr>
      </w:pPr>
      <w:bookmarkStart w:id="350" w:name="_Toc1048"/>
      <w:bookmarkStart w:id="351" w:name="_Toc16685"/>
      <w:bookmarkStart w:id="352" w:name="_Toc73356664"/>
      <w:bookmarkStart w:id="353" w:name="_Toc373227723"/>
      <w:bookmarkStart w:id="354" w:name="_Toc373478370"/>
      <w:bookmarkStart w:id="355" w:name="_Toc389065289"/>
      <w:bookmarkStart w:id="356" w:name="_Toc77255593"/>
      <w:r>
        <w:rPr>
          <w:rFonts w:hint="eastAsia" w:ascii="宋体" w:hAnsi="宋体" w:eastAsia="宋体" w:cs="宋体"/>
          <w:b/>
          <w:bCs/>
          <w:color w:val="auto"/>
          <w:kern w:val="2"/>
          <w:sz w:val="24"/>
          <w:szCs w:val="24"/>
          <w:highlight w:val="none"/>
          <w:lang w:val="en-US" w:eastAsia="zh-CN" w:bidi="ar-SA"/>
        </w:rPr>
        <w:t>7.1 施工组织设计</w:t>
      </w:r>
      <w:bookmarkEnd w:id="350"/>
      <w:bookmarkEnd w:id="351"/>
      <w:bookmarkEnd w:id="352"/>
      <w:bookmarkEnd w:id="353"/>
      <w:bookmarkEnd w:id="354"/>
      <w:bookmarkEnd w:id="355"/>
      <w:bookmarkEnd w:id="356"/>
    </w:p>
    <w:p w14:paraId="3B11C138">
      <w:pPr>
        <w:keepNext w:val="0"/>
        <w:keepLines w:val="0"/>
        <w:pageBreakBefore w:val="0"/>
        <w:widowControl/>
        <w:suppressLineNumbers w:val="0"/>
        <w:kinsoku/>
        <w:wordWrap w:val="0"/>
        <w:overflowPunct/>
        <w:topLinePunct w:val="0"/>
        <w:autoSpaceDE w:val="0"/>
        <w:autoSpaceDN w:val="0"/>
        <w:bidi w:val="0"/>
        <w:adjustRightInd w:val="0"/>
        <w:snapToGrid/>
        <w:spacing w:before="0" w:beforeAutospacing="0" w:after="0" w:afterAutospacing="0" w:line="288" w:lineRule="auto"/>
        <w:ind w:left="0" w:right="0" w:firstLine="480" w:firstLineChars="200"/>
        <w:jc w:val="left"/>
        <w:textAlignment w:val="auto"/>
        <w:rPr>
          <w:rFonts w:hint="eastAsia" w:ascii="宋体" w:hAnsi="宋体" w:eastAsia="宋体" w:cs="宋体"/>
          <w:color w:val="auto"/>
          <w:kern w:val="2"/>
          <w:sz w:val="24"/>
          <w:szCs w:val="24"/>
          <w:highlight w:val="none"/>
          <w:u w:val="single"/>
          <w:lang w:val="en-US" w:eastAsia="zh-CN" w:bidi="ar"/>
        </w:rPr>
      </w:pPr>
      <w:r>
        <w:rPr>
          <w:rFonts w:hint="eastAsia" w:ascii="宋体" w:hAnsi="宋体" w:eastAsia="宋体" w:cs="宋体"/>
          <w:color w:val="auto"/>
          <w:kern w:val="2"/>
          <w:sz w:val="24"/>
          <w:szCs w:val="24"/>
          <w:highlight w:val="none"/>
          <w:lang w:val="en-US" w:eastAsia="zh-CN" w:bidi="ar"/>
        </w:rPr>
        <w:t>7.1.1 合</w:t>
      </w:r>
      <w:r>
        <w:rPr>
          <w:rFonts w:hint="eastAsia" w:ascii="宋体" w:hAnsi="宋体" w:eastAsia="宋体" w:cs="宋体"/>
          <w:color w:val="auto"/>
          <w:kern w:val="0"/>
          <w:sz w:val="24"/>
          <w:szCs w:val="24"/>
          <w:highlight w:val="none"/>
          <w:lang w:val="en-US" w:eastAsia="zh-CN" w:bidi="ar"/>
        </w:rPr>
        <w:t>同当事人约定的施工组织设计应包括的其他内容：</w:t>
      </w:r>
      <w:r>
        <w:rPr>
          <w:rFonts w:hint="eastAsia" w:ascii="宋体" w:hAnsi="宋体" w:eastAsia="宋体" w:cs="宋体"/>
          <w:color w:val="auto"/>
          <w:kern w:val="0"/>
          <w:sz w:val="24"/>
          <w:szCs w:val="24"/>
          <w:highlight w:val="none"/>
          <w:u w:val="single"/>
          <w:lang w:val="en-US" w:eastAsia="zh-CN" w:bidi="ar"/>
        </w:rPr>
        <w:t>根据国家工期定额和使用需要，确定工程总工期为   天（日历日），开工时间以开工报告约定的时间为准，竣工时间以工程具备验收条件为准。</w:t>
      </w:r>
    </w:p>
    <w:p w14:paraId="05D19F26">
      <w:pPr>
        <w:keepNext w:val="0"/>
        <w:keepLines w:val="0"/>
        <w:pageBreakBefore w:val="0"/>
        <w:widowControl w:val="0"/>
        <w:suppressLineNumbers w:val="0"/>
        <w:kinsoku/>
        <w:overflowPunct/>
        <w:topLinePunct w:val="0"/>
        <w:autoSpaceDE w:val="0"/>
        <w:autoSpaceDN w:val="0"/>
        <w:bidi w:val="0"/>
        <w:adjustRightInd w:val="0"/>
        <w:snapToGrid/>
        <w:spacing w:before="0" w:beforeAutospacing="0" w:after="0" w:afterAutospacing="0" w:line="288" w:lineRule="auto"/>
        <w:ind w:left="0" w:right="0" w:firstLine="480" w:firstLineChars="200"/>
        <w:jc w:val="left"/>
        <w:textAlignment w:val="auto"/>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2"/>
          <w:sz w:val="24"/>
          <w:szCs w:val="24"/>
          <w:highlight w:val="none"/>
          <w:lang w:val="en-US" w:eastAsia="zh-CN" w:bidi="ar"/>
        </w:rPr>
        <w:t xml:space="preserve">7.1.2 </w:t>
      </w:r>
      <w:r>
        <w:rPr>
          <w:rFonts w:hint="eastAsia" w:ascii="宋体" w:hAnsi="宋体" w:eastAsia="宋体" w:cs="宋体"/>
          <w:color w:val="auto"/>
          <w:kern w:val="0"/>
          <w:sz w:val="24"/>
          <w:szCs w:val="24"/>
          <w:highlight w:val="none"/>
          <w:lang w:val="en-US" w:eastAsia="zh-CN" w:bidi="ar"/>
        </w:rPr>
        <w:t>施工组织设计的提交和修改</w:t>
      </w:r>
    </w:p>
    <w:p w14:paraId="7123860D">
      <w:pPr>
        <w:keepNext w:val="0"/>
        <w:keepLines w:val="0"/>
        <w:pageBreakBefore w:val="0"/>
        <w:widowControl w:val="0"/>
        <w:suppressLineNumbers w:val="0"/>
        <w:kinsoku/>
        <w:overflowPunct/>
        <w:topLinePunct w:val="0"/>
        <w:autoSpaceDE w:val="0"/>
        <w:autoSpaceDN w:val="0"/>
        <w:bidi w:val="0"/>
        <w:adjustRightInd w:val="0"/>
        <w:snapToGrid/>
        <w:spacing w:before="0" w:beforeAutospacing="0" w:after="0" w:afterAutospacing="0" w:line="288" w:lineRule="auto"/>
        <w:ind w:left="0" w:right="0" w:firstLine="480" w:firstLineChars="200"/>
        <w:jc w:val="left"/>
        <w:textAlignment w:val="auto"/>
        <w:rPr>
          <w:rFonts w:hint="eastAsia" w:ascii="宋体" w:hAnsi="宋体" w:eastAsia="宋体" w:cs="宋体"/>
          <w:color w:val="auto"/>
          <w:sz w:val="24"/>
          <w:szCs w:val="24"/>
          <w:highlight w:val="none"/>
          <w:u w:val="single"/>
          <w:lang w:val="en-US"/>
        </w:rPr>
      </w:pPr>
      <w:r>
        <w:rPr>
          <w:rFonts w:hint="eastAsia" w:ascii="宋体" w:hAnsi="宋体" w:eastAsia="宋体" w:cs="宋体"/>
          <w:color w:val="auto"/>
          <w:kern w:val="0"/>
          <w:sz w:val="24"/>
          <w:szCs w:val="24"/>
          <w:highlight w:val="none"/>
          <w:lang w:val="en-US" w:eastAsia="zh-CN" w:bidi="ar"/>
        </w:rPr>
        <w:t>承包人提交详细施工组织设计的期限的约定：</w:t>
      </w:r>
      <w:r>
        <w:rPr>
          <w:rFonts w:hint="eastAsia" w:ascii="宋体" w:hAnsi="宋体" w:eastAsia="宋体" w:cs="宋体"/>
          <w:color w:val="auto"/>
          <w:kern w:val="2"/>
          <w:sz w:val="24"/>
          <w:szCs w:val="24"/>
          <w:highlight w:val="none"/>
          <w:u w:val="single"/>
          <w:lang w:val="en-US" w:eastAsia="zh-CN" w:bidi="ar"/>
        </w:rPr>
        <w:t>合同签订后七天内</w:t>
      </w:r>
      <w:r>
        <w:rPr>
          <w:rFonts w:hint="eastAsia" w:ascii="宋体" w:hAnsi="宋体" w:eastAsia="宋体" w:cs="宋体"/>
          <w:color w:val="auto"/>
          <w:kern w:val="2"/>
          <w:sz w:val="24"/>
          <w:szCs w:val="24"/>
          <w:highlight w:val="none"/>
          <w:lang w:val="en-US" w:eastAsia="zh-CN" w:bidi="ar"/>
        </w:rPr>
        <w:t>。</w:t>
      </w:r>
    </w:p>
    <w:p w14:paraId="07E84857">
      <w:pPr>
        <w:keepNext w:val="0"/>
        <w:keepLines w:val="0"/>
        <w:pageBreakBefore w:val="0"/>
        <w:widowControl w:val="0"/>
        <w:suppressLineNumbers w:val="0"/>
        <w:kinsoku/>
        <w:overflowPunct/>
        <w:topLinePunct w:val="0"/>
        <w:bidi w:val="0"/>
        <w:snapToGrid/>
        <w:spacing w:before="0" w:beforeAutospacing="0" w:after="0" w:afterAutospacing="0" w:line="288" w:lineRule="auto"/>
        <w:ind w:left="0" w:right="0" w:firstLine="480" w:firstLineChars="200"/>
        <w:jc w:val="left"/>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bidi="ar"/>
        </w:rPr>
        <w:t>发包人在收到详细的施工组织设计后确认或提出修改意见的期限：</w:t>
      </w:r>
      <w:r>
        <w:rPr>
          <w:rFonts w:hint="eastAsia" w:ascii="宋体" w:hAnsi="宋体" w:eastAsia="宋体" w:cs="宋体"/>
          <w:color w:val="auto"/>
          <w:kern w:val="2"/>
          <w:sz w:val="24"/>
          <w:szCs w:val="24"/>
          <w:highlight w:val="none"/>
          <w:u w:val="single"/>
          <w:lang w:val="en-US" w:eastAsia="zh-CN" w:bidi="ar"/>
        </w:rPr>
        <w:t>合同签订后七天内</w:t>
      </w:r>
      <w:r>
        <w:rPr>
          <w:rFonts w:hint="eastAsia" w:ascii="宋体" w:hAnsi="宋体" w:eastAsia="宋体" w:cs="宋体"/>
          <w:color w:val="auto"/>
          <w:kern w:val="2"/>
          <w:sz w:val="24"/>
          <w:szCs w:val="24"/>
          <w:highlight w:val="none"/>
          <w:lang w:val="en-US" w:eastAsia="zh-CN" w:bidi="ar"/>
        </w:rPr>
        <w:t>。</w:t>
      </w:r>
    </w:p>
    <w:p w14:paraId="0654D36B">
      <w:pPr>
        <w:keepNext/>
        <w:keepLines/>
        <w:pageBreakBefore w:val="0"/>
        <w:widowControl/>
        <w:kinsoku/>
        <w:overflowPunct/>
        <w:topLinePunct w:val="0"/>
        <w:bidi w:val="0"/>
        <w:snapToGrid/>
        <w:spacing w:line="288" w:lineRule="auto"/>
        <w:jc w:val="both"/>
        <w:textAlignment w:val="auto"/>
        <w:outlineLvl w:val="2"/>
        <w:rPr>
          <w:rFonts w:hint="eastAsia" w:ascii="宋体" w:hAnsi="宋体" w:eastAsia="宋体" w:cs="宋体"/>
          <w:b/>
          <w:bCs/>
          <w:color w:val="auto"/>
          <w:kern w:val="2"/>
          <w:sz w:val="24"/>
          <w:szCs w:val="24"/>
          <w:highlight w:val="none"/>
          <w:lang w:val="en-US" w:eastAsia="zh-CN" w:bidi="ar-SA"/>
        </w:rPr>
      </w:pPr>
      <w:bookmarkStart w:id="357" w:name="_Toc25061"/>
      <w:bookmarkStart w:id="358" w:name="_Toc13835"/>
      <w:bookmarkStart w:id="359" w:name="_Toc77255594"/>
      <w:bookmarkStart w:id="360" w:name="_Toc73356665"/>
      <w:bookmarkStart w:id="361" w:name="_Toc373227724"/>
      <w:bookmarkStart w:id="362" w:name="_Toc373478371"/>
      <w:bookmarkStart w:id="363" w:name="_Toc389065290"/>
      <w:r>
        <w:rPr>
          <w:rFonts w:hint="eastAsia" w:ascii="宋体" w:hAnsi="宋体" w:eastAsia="宋体" w:cs="宋体"/>
          <w:b/>
          <w:bCs/>
          <w:color w:val="auto"/>
          <w:kern w:val="2"/>
          <w:sz w:val="24"/>
          <w:szCs w:val="24"/>
          <w:highlight w:val="none"/>
          <w:lang w:val="en-US" w:eastAsia="zh-CN" w:bidi="ar-SA"/>
        </w:rPr>
        <w:t>7</w:t>
      </w:r>
      <w:bookmarkStart w:id="364" w:name="_Toc300934966"/>
      <w:bookmarkStart w:id="365" w:name="_Toc312677479"/>
      <w:bookmarkStart w:id="366" w:name="_Toc297123514"/>
      <w:bookmarkStart w:id="367" w:name="_Toc297216173"/>
      <w:bookmarkStart w:id="368" w:name="_Toc303539123"/>
      <w:bookmarkStart w:id="369" w:name="_Toc304295541"/>
      <w:bookmarkStart w:id="370" w:name="_Toc312678005"/>
      <w:r>
        <w:rPr>
          <w:rFonts w:hint="eastAsia" w:ascii="宋体" w:hAnsi="宋体" w:eastAsia="宋体" w:cs="宋体"/>
          <w:b/>
          <w:bCs/>
          <w:color w:val="auto"/>
          <w:kern w:val="2"/>
          <w:sz w:val="24"/>
          <w:szCs w:val="24"/>
          <w:highlight w:val="none"/>
          <w:lang w:val="en-US" w:eastAsia="zh-CN" w:bidi="ar-SA"/>
        </w:rPr>
        <w:t>.2 施工进度计划</w:t>
      </w:r>
      <w:bookmarkEnd w:id="357"/>
      <w:bookmarkEnd w:id="358"/>
      <w:bookmarkEnd w:id="359"/>
      <w:bookmarkEnd w:id="360"/>
      <w:bookmarkEnd w:id="361"/>
      <w:bookmarkEnd w:id="362"/>
      <w:bookmarkEnd w:id="363"/>
    </w:p>
    <w:p w14:paraId="50835281">
      <w:pPr>
        <w:keepNext w:val="0"/>
        <w:keepLines w:val="0"/>
        <w:pageBreakBefore w:val="0"/>
        <w:widowControl w:val="0"/>
        <w:suppressLineNumbers w:val="0"/>
        <w:kinsoku/>
        <w:overflowPunct/>
        <w:topLinePunct w:val="0"/>
        <w:bidi w:val="0"/>
        <w:snapToGrid/>
        <w:spacing w:before="0" w:beforeAutospacing="0" w:after="0" w:afterAutospacing="0" w:line="288" w:lineRule="auto"/>
        <w:ind w:left="0" w:right="0" w:firstLine="480" w:firstLineChars="200"/>
        <w:jc w:val="left"/>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bidi="ar"/>
        </w:rPr>
        <w:t>7.2.2 施工进度计划的修订</w:t>
      </w:r>
    </w:p>
    <w:p w14:paraId="5BEE7FC8">
      <w:pPr>
        <w:keepNext w:val="0"/>
        <w:keepLines w:val="0"/>
        <w:pageBreakBefore w:val="0"/>
        <w:widowControl w:val="0"/>
        <w:suppressLineNumbers w:val="0"/>
        <w:kinsoku/>
        <w:overflowPunct/>
        <w:topLinePunct w:val="0"/>
        <w:bidi w:val="0"/>
        <w:snapToGrid/>
        <w:spacing w:before="0" w:beforeAutospacing="0" w:after="0" w:afterAutospacing="0" w:line="288" w:lineRule="auto"/>
        <w:ind w:left="0" w:right="0" w:firstLine="480" w:firstLineChars="200"/>
        <w:jc w:val="left"/>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bidi="ar"/>
        </w:rPr>
        <w:t>发包人在收到修订的施工进度计划后确认或提出修改意见的期限：</w:t>
      </w:r>
      <w:r>
        <w:rPr>
          <w:rFonts w:hint="eastAsia" w:ascii="宋体" w:hAnsi="宋体" w:eastAsia="宋体" w:cs="宋体"/>
          <w:color w:val="auto"/>
          <w:kern w:val="2"/>
          <w:sz w:val="24"/>
          <w:szCs w:val="24"/>
          <w:highlight w:val="none"/>
          <w:u w:val="single"/>
          <w:lang w:val="en-US" w:eastAsia="zh-CN" w:bidi="ar"/>
        </w:rPr>
        <w:t>收到后15天内</w:t>
      </w:r>
      <w:r>
        <w:rPr>
          <w:rFonts w:hint="eastAsia" w:ascii="宋体" w:hAnsi="宋体" w:eastAsia="宋体" w:cs="宋体"/>
          <w:color w:val="auto"/>
          <w:kern w:val="2"/>
          <w:sz w:val="24"/>
          <w:szCs w:val="24"/>
          <w:highlight w:val="none"/>
          <w:lang w:val="en-US" w:eastAsia="zh-CN" w:bidi="ar"/>
        </w:rPr>
        <w:t>。</w:t>
      </w:r>
    </w:p>
    <w:p w14:paraId="15807E62">
      <w:pPr>
        <w:keepNext/>
        <w:keepLines/>
        <w:pageBreakBefore w:val="0"/>
        <w:widowControl/>
        <w:kinsoku/>
        <w:overflowPunct/>
        <w:topLinePunct w:val="0"/>
        <w:bidi w:val="0"/>
        <w:snapToGrid/>
        <w:spacing w:line="288" w:lineRule="auto"/>
        <w:jc w:val="both"/>
        <w:textAlignment w:val="auto"/>
        <w:outlineLvl w:val="2"/>
        <w:rPr>
          <w:rFonts w:hint="eastAsia" w:ascii="宋体" w:hAnsi="宋体" w:eastAsia="宋体" w:cs="宋体"/>
          <w:b/>
          <w:bCs/>
          <w:color w:val="auto"/>
          <w:kern w:val="2"/>
          <w:sz w:val="24"/>
          <w:szCs w:val="24"/>
          <w:highlight w:val="none"/>
          <w:lang w:val="en-US" w:eastAsia="zh-CN" w:bidi="ar-SA"/>
        </w:rPr>
      </w:pPr>
      <w:bookmarkStart w:id="371" w:name="_Toc389065291"/>
      <w:bookmarkStart w:id="372" w:name="_Toc77255595"/>
      <w:bookmarkStart w:id="373" w:name="_Toc73356666"/>
      <w:bookmarkStart w:id="374" w:name="_Toc1074"/>
      <w:bookmarkStart w:id="375" w:name="_Toc373227725"/>
      <w:bookmarkStart w:id="376" w:name="_Toc373478372"/>
      <w:bookmarkStart w:id="377" w:name="_Toc4788"/>
      <w:r>
        <w:rPr>
          <w:rFonts w:hint="eastAsia" w:ascii="宋体" w:hAnsi="宋体" w:eastAsia="宋体" w:cs="宋体"/>
          <w:b/>
          <w:bCs/>
          <w:color w:val="auto"/>
          <w:kern w:val="2"/>
          <w:sz w:val="24"/>
          <w:szCs w:val="24"/>
          <w:highlight w:val="none"/>
          <w:lang w:val="en-US" w:eastAsia="zh-CN" w:bidi="ar-SA"/>
        </w:rPr>
        <w:t>7.3 开工</w:t>
      </w:r>
      <w:bookmarkEnd w:id="371"/>
      <w:bookmarkEnd w:id="372"/>
      <w:bookmarkEnd w:id="373"/>
      <w:bookmarkEnd w:id="374"/>
      <w:bookmarkEnd w:id="375"/>
      <w:bookmarkEnd w:id="376"/>
      <w:bookmarkEnd w:id="377"/>
    </w:p>
    <w:p w14:paraId="111B4ED0">
      <w:pPr>
        <w:keepNext w:val="0"/>
        <w:keepLines w:val="0"/>
        <w:pageBreakBefore w:val="0"/>
        <w:widowControl w:val="0"/>
        <w:suppressLineNumbers w:val="0"/>
        <w:kinsoku/>
        <w:overflowPunct/>
        <w:topLinePunct w:val="0"/>
        <w:bidi w:val="0"/>
        <w:snapToGrid/>
        <w:spacing w:before="0" w:beforeAutospacing="0" w:after="0" w:afterAutospacing="0" w:line="288" w:lineRule="auto"/>
        <w:ind w:left="0" w:right="0" w:firstLine="480" w:firstLineChars="200"/>
        <w:jc w:val="left"/>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bidi="ar"/>
        </w:rPr>
        <w:t>7.3.1 开工准备</w:t>
      </w:r>
    </w:p>
    <w:bookmarkEnd w:id="364"/>
    <w:bookmarkEnd w:id="365"/>
    <w:bookmarkEnd w:id="366"/>
    <w:bookmarkEnd w:id="367"/>
    <w:bookmarkEnd w:id="368"/>
    <w:bookmarkEnd w:id="369"/>
    <w:bookmarkEnd w:id="370"/>
    <w:p w14:paraId="0FADABAC">
      <w:pPr>
        <w:keepNext w:val="0"/>
        <w:keepLines w:val="0"/>
        <w:pageBreakBefore w:val="0"/>
        <w:widowControl/>
        <w:suppressLineNumbers w:val="0"/>
        <w:kinsoku/>
        <w:wordWrap w:val="0"/>
        <w:overflowPunct/>
        <w:topLinePunct w:val="0"/>
        <w:bidi w:val="0"/>
        <w:snapToGrid/>
        <w:spacing w:before="0" w:beforeAutospacing="0" w:after="0" w:afterAutospacing="0" w:line="288" w:lineRule="auto"/>
        <w:ind w:left="0" w:right="0" w:firstLine="426"/>
        <w:jc w:val="left"/>
        <w:textAlignment w:val="auto"/>
        <w:rPr>
          <w:rFonts w:hint="eastAsia" w:ascii="宋体" w:hAnsi="宋体" w:eastAsia="宋体" w:cs="宋体"/>
          <w:color w:val="auto"/>
          <w:kern w:val="2"/>
          <w:sz w:val="24"/>
          <w:szCs w:val="24"/>
          <w:highlight w:val="none"/>
          <w:u w:val="single"/>
          <w:lang w:val="en-US" w:eastAsia="zh-CN" w:bidi="ar"/>
        </w:rPr>
      </w:pPr>
      <w:bookmarkStart w:id="378" w:name="_Toc373478373"/>
      <w:bookmarkStart w:id="379" w:name="_Toc389065292"/>
      <w:bookmarkStart w:id="380" w:name="_Toc373227726"/>
      <w:r>
        <w:rPr>
          <w:rFonts w:hint="eastAsia" w:ascii="宋体" w:hAnsi="宋体" w:eastAsia="宋体" w:cs="宋体"/>
          <w:color w:val="auto"/>
          <w:kern w:val="2"/>
          <w:sz w:val="24"/>
          <w:szCs w:val="24"/>
          <w:highlight w:val="none"/>
          <w:lang w:val="en-US" w:eastAsia="zh-CN" w:bidi="ar"/>
        </w:rPr>
        <w:t>关于承包人提交</w:t>
      </w:r>
      <w:r>
        <w:rPr>
          <w:rFonts w:hint="eastAsia" w:ascii="宋体" w:hAnsi="宋体" w:eastAsia="宋体" w:cs="宋体"/>
          <w:color w:val="auto"/>
          <w:kern w:val="0"/>
          <w:sz w:val="24"/>
          <w:szCs w:val="24"/>
          <w:highlight w:val="none"/>
          <w:lang w:val="en-US" w:eastAsia="zh-CN" w:bidi="ar"/>
        </w:rPr>
        <w:t>工程开工报审表的期限：</w:t>
      </w:r>
      <w:r>
        <w:rPr>
          <w:rFonts w:hint="eastAsia" w:ascii="宋体" w:hAnsi="宋体" w:eastAsia="宋体" w:cs="宋体"/>
          <w:color w:val="auto"/>
          <w:kern w:val="2"/>
          <w:sz w:val="24"/>
          <w:szCs w:val="24"/>
          <w:highlight w:val="none"/>
          <w:u w:val="single"/>
          <w:lang w:val="en-US" w:eastAsia="zh-CN" w:bidi="ar"/>
        </w:rPr>
        <w:t>开工前7天</w:t>
      </w:r>
      <w:r>
        <w:rPr>
          <w:rFonts w:hint="eastAsia" w:ascii="宋体" w:hAnsi="宋体" w:eastAsia="宋体" w:cs="宋体"/>
          <w:color w:val="auto"/>
          <w:kern w:val="2"/>
          <w:sz w:val="24"/>
          <w:szCs w:val="24"/>
          <w:highlight w:val="none"/>
          <w:lang w:val="en-US" w:eastAsia="zh-CN" w:bidi="ar"/>
        </w:rPr>
        <w:t>。</w:t>
      </w:r>
    </w:p>
    <w:p w14:paraId="4B7BF5BA">
      <w:pPr>
        <w:keepNext w:val="0"/>
        <w:keepLines w:val="0"/>
        <w:pageBreakBefore w:val="0"/>
        <w:widowControl/>
        <w:suppressLineNumbers w:val="0"/>
        <w:kinsoku/>
        <w:wordWrap w:val="0"/>
        <w:overflowPunct/>
        <w:topLinePunct w:val="0"/>
        <w:bidi w:val="0"/>
        <w:snapToGrid/>
        <w:spacing w:before="0" w:beforeAutospacing="0" w:after="0" w:afterAutospacing="0" w:line="288" w:lineRule="auto"/>
        <w:ind w:left="0" w:right="0" w:firstLine="426"/>
        <w:jc w:val="left"/>
        <w:textAlignment w:val="auto"/>
        <w:rPr>
          <w:rFonts w:hint="eastAsia" w:ascii="宋体" w:hAnsi="宋体" w:eastAsia="宋体" w:cs="宋体"/>
          <w:color w:val="auto"/>
          <w:kern w:val="2"/>
          <w:sz w:val="24"/>
          <w:szCs w:val="24"/>
          <w:highlight w:val="none"/>
          <w:u w:val="single"/>
          <w:lang w:val="en-US" w:eastAsia="zh-CN" w:bidi="ar"/>
        </w:rPr>
      </w:pPr>
      <w:r>
        <w:rPr>
          <w:rFonts w:hint="eastAsia" w:ascii="宋体" w:hAnsi="宋体" w:eastAsia="宋体" w:cs="宋体"/>
          <w:color w:val="auto"/>
          <w:kern w:val="2"/>
          <w:sz w:val="24"/>
          <w:szCs w:val="24"/>
          <w:highlight w:val="none"/>
          <w:lang w:val="en-US" w:eastAsia="zh-CN" w:bidi="ar"/>
        </w:rPr>
        <w:t>关于发包人应完成的其他开工准备工作及期限：</w:t>
      </w:r>
      <w:r>
        <w:rPr>
          <w:rFonts w:hint="eastAsia" w:ascii="宋体" w:hAnsi="宋体" w:eastAsia="宋体" w:cs="宋体"/>
          <w:color w:val="auto"/>
          <w:kern w:val="2"/>
          <w:sz w:val="24"/>
          <w:szCs w:val="24"/>
          <w:highlight w:val="none"/>
          <w:u w:val="single"/>
          <w:lang w:val="en-US" w:eastAsia="zh-CN" w:bidi="ar"/>
        </w:rPr>
        <w:t>①开工前14天完成施工现场 “三通一平”工作，并满足施工要求；②开工前7天内发包人确定施工用水、用电接入点； ③按发包人核批的施工组织设计，开工前7天内由承包方完成施工临时道路的修建，并承担修建费用④开工前7天内将工程管线的资料提供给承包人并确保图纸的准确性、有效性及完整性，如因图纸有误造成的损失由发包人承担及由此产生的相关费用；⑤开工前7天内由发包人办理的施工所需证件、批件，因发包人证件资料不齐全，无法办理导致工程无法顺利进行，工期相应顺延；⑥开工前组织承包人和设计单位进行图纸会审，并由设计单位向承包人进行设计交底</w:t>
      </w:r>
      <w:r>
        <w:rPr>
          <w:rFonts w:hint="eastAsia" w:ascii="宋体" w:hAnsi="宋体" w:eastAsia="宋体" w:cs="宋体"/>
          <w:color w:val="auto"/>
          <w:kern w:val="2"/>
          <w:sz w:val="24"/>
          <w:szCs w:val="24"/>
          <w:highlight w:val="none"/>
          <w:lang w:val="en-US" w:eastAsia="zh-CN" w:bidi="ar"/>
        </w:rPr>
        <w:t>。</w:t>
      </w:r>
    </w:p>
    <w:p w14:paraId="6E30FE43">
      <w:pPr>
        <w:keepNext w:val="0"/>
        <w:keepLines w:val="0"/>
        <w:pageBreakBefore w:val="0"/>
        <w:widowControl/>
        <w:suppressLineNumbers w:val="0"/>
        <w:kinsoku/>
        <w:wordWrap w:val="0"/>
        <w:overflowPunct/>
        <w:topLinePunct w:val="0"/>
        <w:bidi w:val="0"/>
        <w:snapToGrid/>
        <w:spacing w:before="0" w:beforeAutospacing="0" w:after="0" w:afterAutospacing="0" w:line="288" w:lineRule="auto"/>
        <w:ind w:left="0" w:right="0" w:firstLine="480" w:firstLineChars="200"/>
        <w:jc w:val="left"/>
        <w:textAlignment w:val="auto"/>
        <w:rPr>
          <w:rFonts w:hint="eastAsia" w:ascii="宋体" w:hAnsi="宋体" w:eastAsia="宋体" w:cs="宋体"/>
          <w:color w:val="auto"/>
          <w:kern w:val="2"/>
          <w:sz w:val="24"/>
          <w:szCs w:val="24"/>
          <w:highlight w:val="none"/>
          <w:u w:val="single"/>
          <w:lang w:val="en-US" w:eastAsia="zh-CN" w:bidi="ar"/>
        </w:rPr>
      </w:pPr>
      <w:r>
        <w:rPr>
          <w:rFonts w:hint="eastAsia" w:ascii="宋体" w:hAnsi="宋体" w:eastAsia="宋体" w:cs="宋体"/>
          <w:color w:val="auto"/>
          <w:kern w:val="2"/>
          <w:sz w:val="24"/>
          <w:szCs w:val="24"/>
          <w:highlight w:val="none"/>
          <w:lang w:val="en-US" w:eastAsia="zh-CN" w:bidi="ar"/>
        </w:rPr>
        <w:t>关于承包人应完成的其他开工准备工作及期限：</w:t>
      </w:r>
      <w:r>
        <w:rPr>
          <w:rFonts w:hint="eastAsia" w:ascii="宋体" w:hAnsi="宋体" w:eastAsia="宋体" w:cs="宋体"/>
          <w:color w:val="auto"/>
          <w:kern w:val="2"/>
          <w:sz w:val="24"/>
          <w:szCs w:val="24"/>
          <w:highlight w:val="none"/>
          <w:u w:val="single"/>
          <w:lang w:val="en-US" w:eastAsia="zh-CN" w:bidi="ar"/>
        </w:rPr>
        <w:t>施工机械设备、材料进场、人员配备、测量定点放线等工作在开工前7天完成</w:t>
      </w:r>
      <w:r>
        <w:rPr>
          <w:rFonts w:hint="eastAsia" w:ascii="宋体" w:hAnsi="宋体" w:eastAsia="宋体" w:cs="宋体"/>
          <w:color w:val="auto"/>
          <w:kern w:val="2"/>
          <w:sz w:val="24"/>
          <w:szCs w:val="24"/>
          <w:highlight w:val="none"/>
          <w:lang w:val="en-US" w:eastAsia="zh-CN" w:bidi="ar"/>
        </w:rPr>
        <w:t>。</w:t>
      </w:r>
    </w:p>
    <w:p w14:paraId="19BB83E1">
      <w:pPr>
        <w:keepNext w:val="0"/>
        <w:keepLines w:val="0"/>
        <w:pageBreakBefore w:val="0"/>
        <w:widowControl/>
        <w:suppressLineNumbers w:val="0"/>
        <w:kinsoku/>
        <w:wordWrap w:val="0"/>
        <w:overflowPunct/>
        <w:topLinePunct w:val="0"/>
        <w:bidi w:val="0"/>
        <w:snapToGrid/>
        <w:spacing w:before="0" w:beforeAutospacing="0" w:after="0" w:afterAutospacing="0" w:line="288" w:lineRule="auto"/>
        <w:ind w:left="0" w:right="0" w:firstLine="480" w:firstLineChars="200"/>
        <w:jc w:val="left"/>
        <w:textAlignment w:val="auto"/>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7.3.2开工通知</w:t>
      </w:r>
    </w:p>
    <w:p w14:paraId="383AC516">
      <w:pPr>
        <w:keepNext w:val="0"/>
        <w:keepLines w:val="0"/>
        <w:pageBreakBefore w:val="0"/>
        <w:widowControl/>
        <w:suppressLineNumbers w:val="0"/>
        <w:kinsoku/>
        <w:wordWrap w:val="0"/>
        <w:overflowPunct/>
        <w:topLinePunct w:val="0"/>
        <w:bidi w:val="0"/>
        <w:snapToGrid/>
        <w:spacing w:before="0" w:beforeAutospacing="0" w:after="0" w:afterAutospacing="0" w:line="288" w:lineRule="auto"/>
        <w:ind w:left="0" w:right="0" w:firstLine="480" w:firstLineChars="200"/>
        <w:jc w:val="left"/>
        <w:textAlignment w:val="auto"/>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因发包人原因造成未能在计划开工日期之日起90天内发出开工通知的，承包人有权提出价格调整要求，或者解除合同。</w:t>
      </w:r>
    </w:p>
    <w:p w14:paraId="294392B8">
      <w:pPr>
        <w:keepNext/>
        <w:keepLines/>
        <w:pageBreakBefore w:val="0"/>
        <w:widowControl/>
        <w:kinsoku/>
        <w:overflowPunct/>
        <w:topLinePunct w:val="0"/>
        <w:bidi w:val="0"/>
        <w:snapToGrid/>
        <w:spacing w:line="288" w:lineRule="auto"/>
        <w:jc w:val="both"/>
        <w:textAlignment w:val="auto"/>
        <w:outlineLvl w:val="2"/>
        <w:rPr>
          <w:rFonts w:hint="eastAsia" w:ascii="宋体" w:hAnsi="宋体" w:eastAsia="宋体" w:cs="宋体"/>
          <w:b/>
          <w:bCs/>
          <w:color w:val="auto"/>
          <w:kern w:val="2"/>
          <w:sz w:val="24"/>
          <w:szCs w:val="24"/>
          <w:highlight w:val="none"/>
          <w:lang w:val="en-US" w:eastAsia="zh-CN" w:bidi="ar-SA"/>
        </w:rPr>
      </w:pPr>
      <w:bookmarkStart w:id="381" w:name="_Toc11689"/>
      <w:bookmarkStart w:id="382" w:name="_Toc73356667"/>
      <w:bookmarkStart w:id="383" w:name="_Toc31827"/>
      <w:bookmarkStart w:id="384" w:name="_Toc77255596"/>
      <w:r>
        <w:rPr>
          <w:rFonts w:hint="eastAsia" w:ascii="宋体" w:hAnsi="宋体" w:eastAsia="宋体" w:cs="宋体"/>
          <w:b/>
          <w:bCs/>
          <w:color w:val="auto"/>
          <w:kern w:val="2"/>
          <w:sz w:val="24"/>
          <w:szCs w:val="24"/>
          <w:highlight w:val="none"/>
          <w:lang w:val="en-US" w:eastAsia="zh-CN" w:bidi="ar-SA"/>
        </w:rPr>
        <w:t>7.4 测量放线</w:t>
      </w:r>
      <w:bookmarkEnd w:id="378"/>
      <w:bookmarkEnd w:id="379"/>
      <w:bookmarkEnd w:id="380"/>
      <w:bookmarkEnd w:id="381"/>
      <w:bookmarkEnd w:id="382"/>
      <w:bookmarkEnd w:id="383"/>
      <w:bookmarkEnd w:id="384"/>
    </w:p>
    <w:p w14:paraId="01152431">
      <w:pPr>
        <w:keepNext w:val="0"/>
        <w:keepLines w:val="0"/>
        <w:pageBreakBefore w:val="0"/>
        <w:widowControl w:val="0"/>
        <w:suppressLineNumbers w:val="0"/>
        <w:kinsoku/>
        <w:overflowPunct/>
        <w:topLinePunct w:val="0"/>
        <w:bidi w:val="0"/>
        <w:snapToGrid/>
        <w:spacing w:before="0" w:beforeAutospacing="0" w:after="0" w:afterAutospacing="0" w:line="288" w:lineRule="auto"/>
        <w:ind w:left="0" w:right="0" w:firstLine="480" w:firstLineChars="200"/>
        <w:jc w:val="left"/>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bidi="ar"/>
        </w:rPr>
        <w:t>7.4.1发包人向承包人提供测量基准点、基准线和水准点及其书面资料的期限：</w:t>
      </w:r>
    </w:p>
    <w:p w14:paraId="23E4E2A9">
      <w:pPr>
        <w:keepNext w:val="0"/>
        <w:keepLines w:val="0"/>
        <w:pageBreakBefore w:val="0"/>
        <w:widowControl/>
        <w:suppressLineNumbers w:val="0"/>
        <w:kinsoku/>
        <w:wordWrap w:val="0"/>
        <w:overflowPunct/>
        <w:topLinePunct w:val="0"/>
        <w:bidi w:val="0"/>
        <w:snapToGrid/>
        <w:spacing w:before="0" w:beforeAutospacing="0" w:after="0" w:afterAutospacing="0" w:line="288" w:lineRule="auto"/>
        <w:ind w:left="0" w:right="0" w:firstLine="480" w:firstLineChars="200"/>
        <w:jc w:val="left"/>
        <w:textAlignment w:val="auto"/>
        <w:rPr>
          <w:rFonts w:hint="eastAsia" w:ascii="宋体" w:hAnsi="宋体" w:eastAsia="宋体" w:cs="宋体"/>
          <w:color w:val="auto"/>
          <w:kern w:val="2"/>
          <w:sz w:val="24"/>
          <w:szCs w:val="24"/>
          <w:highlight w:val="none"/>
          <w:lang w:val="en-US" w:eastAsia="zh-CN" w:bidi="ar"/>
        </w:rPr>
      </w:pPr>
      <w:bookmarkStart w:id="385" w:name="OLE_LINK12"/>
      <w:bookmarkStart w:id="386" w:name="_Toc373478374"/>
      <w:bookmarkStart w:id="387" w:name="_Toc373227727"/>
      <w:bookmarkStart w:id="388" w:name="_Toc389065293"/>
      <w:r>
        <w:rPr>
          <w:rFonts w:hint="eastAsia" w:ascii="宋体" w:hAnsi="宋体" w:eastAsia="宋体" w:cs="宋体"/>
          <w:color w:val="auto"/>
          <w:kern w:val="2"/>
          <w:sz w:val="24"/>
          <w:szCs w:val="24"/>
          <w:highlight w:val="none"/>
          <w:lang w:val="en-US" w:eastAsia="zh-CN" w:bidi="ar"/>
        </w:rPr>
        <w:t>开工前七天，以书面形式交给承包人，双方现场进行交验</w:t>
      </w:r>
      <w:bookmarkEnd w:id="385"/>
      <w:r>
        <w:rPr>
          <w:rFonts w:hint="eastAsia" w:ascii="宋体" w:hAnsi="宋体" w:eastAsia="宋体" w:cs="宋体"/>
          <w:color w:val="auto"/>
          <w:kern w:val="2"/>
          <w:sz w:val="24"/>
          <w:szCs w:val="24"/>
          <w:highlight w:val="none"/>
          <w:lang w:val="en-US" w:eastAsia="zh-CN" w:bidi="ar"/>
        </w:rPr>
        <w:t>。</w:t>
      </w:r>
    </w:p>
    <w:p w14:paraId="699B0F77">
      <w:pPr>
        <w:keepNext/>
        <w:keepLines/>
        <w:pageBreakBefore w:val="0"/>
        <w:widowControl/>
        <w:kinsoku/>
        <w:overflowPunct/>
        <w:topLinePunct w:val="0"/>
        <w:bidi w:val="0"/>
        <w:snapToGrid/>
        <w:spacing w:line="288" w:lineRule="auto"/>
        <w:jc w:val="both"/>
        <w:textAlignment w:val="auto"/>
        <w:outlineLvl w:val="2"/>
        <w:rPr>
          <w:rFonts w:hint="eastAsia" w:ascii="宋体" w:hAnsi="宋体" w:eastAsia="宋体" w:cs="宋体"/>
          <w:b/>
          <w:bCs/>
          <w:color w:val="auto"/>
          <w:kern w:val="2"/>
          <w:sz w:val="24"/>
          <w:szCs w:val="24"/>
          <w:highlight w:val="none"/>
          <w:lang w:val="en-US" w:eastAsia="zh-CN" w:bidi="ar-SA"/>
        </w:rPr>
      </w:pPr>
      <w:bookmarkStart w:id="389" w:name="_Toc77255597"/>
      <w:bookmarkStart w:id="390" w:name="_Toc73356668"/>
      <w:bookmarkStart w:id="391" w:name="_Toc31556"/>
      <w:bookmarkStart w:id="392" w:name="_Toc26347"/>
      <w:r>
        <w:rPr>
          <w:rFonts w:hint="eastAsia" w:ascii="宋体" w:hAnsi="宋体" w:eastAsia="宋体" w:cs="宋体"/>
          <w:b/>
          <w:bCs/>
          <w:color w:val="auto"/>
          <w:kern w:val="2"/>
          <w:sz w:val="24"/>
          <w:szCs w:val="24"/>
          <w:highlight w:val="none"/>
          <w:lang w:val="en-US" w:eastAsia="zh-CN" w:bidi="ar-SA"/>
        </w:rPr>
        <w:t>7</w:t>
      </w:r>
      <w:bookmarkStart w:id="393" w:name="_Toc297123516"/>
      <w:bookmarkStart w:id="394" w:name="_Toc312678010"/>
      <w:bookmarkStart w:id="395" w:name="_Toc312677484"/>
      <w:bookmarkStart w:id="396" w:name="_Toc303539125"/>
      <w:bookmarkStart w:id="397" w:name="_Toc297216175"/>
      <w:bookmarkStart w:id="398" w:name="_Toc300934968"/>
      <w:bookmarkStart w:id="399" w:name="_Toc304295546"/>
      <w:r>
        <w:rPr>
          <w:rFonts w:hint="eastAsia" w:ascii="宋体" w:hAnsi="宋体" w:eastAsia="宋体" w:cs="宋体"/>
          <w:b/>
          <w:bCs/>
          <w:color w:val="auto"/>
          <w:kern w:val="2"/>
          <w:sz w:val="24"/>
          <w:szCs w:val="24"/>
          <w:highlight w:val="none"/>
          <w:lang w:val="en-US" w:eastAsia="zh-CN" w:bidi="ar-SA"/>
        </w:rPr>
        <w:t>.5 工期延误</w:t>
      </w:r>
      <w:bookmarkEnd w:id="386"/>
      <w:bookmarkEnd w:id="387"/>
      <w:bookmarkEnd w:id="388"/>
      <w:bookmarkEnd w:id="389"/>
      <w:bookmarkEnd w:id="390"/>
      <w:bookmarkEnd w:id="391"/>
      <w:bookmarkEnd w:id="392"/>
    </w:p>
    <w:bookmarkEnd w:id="393"/>
    <w:bookmarkEnd w:id="394"/>
    <w:bookmarkEnd w:id="395"/>
    <w:bookmarkEnd w:id="396"/>
    <w:bookmarkEnd w:id="397"/>
    <w:bookmarkEnd w:id="398"/>
    <w:bookmarkEnd w:id="399"/>
    <w:p w14:paraId="50C79F47">
      <w:pPr>
        <w:keepNext w:val="0"/>
        <w:keepLines w:val="0"/>
        <w:pageBreakBefore w:val="0"/>
        <w:widowControl w:val="0"/>
        <w:suppressLineNumbers w:val="0"/>
        <w:kinsoku/>
        <w:overflowPunct/>
        <w:topLinePunct w:val="0"/>
        <w:bidi w:val="0"/>
        <w:snapToGrid/>
        <w:spacing w:before="0" w:beforeAutospacing="0" w:after="0" w:afterAutospacing="0" w:line="288" w:lineRule="auto"/>
        <w:ind w:left="0" w:right="0" w:firstLine="480" w:firstLineChars="200"/>
        <w:jc w:val="left"/>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bidi="ar"/>
        </w:rPr>
        <w:t>7.5.1 因发包人原因导致工期延误</w:t>
      </w:r>
    </w:p>
    <w:p w14:paraId="3D826564">
      <w:pPr>
        <w:keepNext w:val="0"/>
        <w:keepLines w:val="0"/>
        <w:pageBreakBefore w:val="0"/>
        <w:widowControl w:val="0"/>
        <w:suppressLineNumbers w:val="0"/>
        <w:kinsoku/>
        <w:overflowPunct/>
        <w:topLinePunct w:val="0"/>
        <w:bidi w:val="0"/>
        <w:snapToGrid/>
        <w:spacing w:before="0" w:beforeAutospacing="0" w:after="0" w:afterAutospacing="0" w:line="288" w:lineRule="auto"/>
        <w:ind w:left="0" w:right="0" w:firstLine="480" w:firstLineChars="200"/>
        <w:jc w:val="left"/>
        <w:textAlignment w:val="auto"/>
        <w:rPr>
          <w:rFonts w:hint="eastAsia" w:ascii="宋体" w:hAnsi="宋体" w:eastAsia="宋体" w:cs="宋体"/>
          <w:color w:val="auto"/>
          <w:sz w:val="24"/>
          <w:szCs w:val="24"/>
          <w:highlight w:val="none"/>
          <w:u w:val="single"/>
          <w:lang w:val="en-US"/>
        </w:rPr>
      </w:pPr>
      <w:r>
        <w:rPr>
          <w:rFonts w:hint="eastAsia" w:ascii="宋体" w:hAnsi="宋体" w:eastAsia="宋体" w:cs="宋体"/>
          <w:color w:val="auto"/>
          <w:kern w:val="2"/>
          <w:sz w:val="24"/>
          <w:szCs w:val="24"/>
          <w:highlight w:val="none"/>
          <w:lang w:val="en-US" w:eastAsia="zh-CN" w:bidi="ar"/>
        </w:rPr>
        <w:t>（7）因发包人原因导致工期延误的其他情形：</w:t>
      </w:r>
      <w:r>
        <w:rPr>
          <w:rFonts w:hint="eastAsia" w:ascii="宋体" w:hAnsi="宋体" w:eastAsia="宋体" w:cs="宋体"/>
          <w:color w:val="auto"/>
          <w:kern w:val="2"/>
          <w:sz w:val="24"/>
          <w:szCs w:val="24"/>
          <w:highlight w:val="none"/>
          <w:u w:val="single"/>
          <w:lang w:val="en-US" w:eastAsia="zh-CN" w:bidi="ar"/>
        </w:rPr>
        <w:t>①重大图纸变更影响关健线路工序施工；②施工期间如因停电、停水连续8小时以上或一周内间歇性停水、停电累计8小时（含8小时）影响正常施工的。③政府指令性停工。④在施工过程中遇到地下障碍物、溶洞、岩石、文物或地下管线的。⑤因发包人未能及时确认变更价格或甲供材料提供延误的。⑥非承包人的责任造成的工期延误其他情形</w:t>
      </w:r>
      <w:r>
        <w:rPr>
          <w:rFonts w:hint="eastAsia" w:ascii="宋体" w:hAnsi="宋体" w:eastAsia="宋体" w:cs="宋体"/>
          <w:color w:val="auto"/>
          <w:kern w:val="2"/>
          <w:sz w:val="24"/>
          <w:szCs w:val="24"/>
          <w:highlight w:val="none"/>
          <w:lang w:val="en-US" w:eastAsia="zh-CN" w:bidi="ar"/>
        </w:rPr>
        <w:t xml:space="preserve"> 。</w:t>
      </w:r>
    </w:p>
    <w:p w14:paraId="69636DAF">
      <w:pPr>
        <w:keepNext w:val="0"/>
        <w:keepLines w:val="0"/>
        <w:pageBreakBefore w:val="0"/>
        <w:widowControl w:val="0"/>
        <w:suppressLineNumbers w:val="0"/>
        <w:kinsoku/>
        <w:overflowPunct/>
        <w:topLinePunct w:val="0"/>
        <w:bidi w:val="0"/>
        <w:snapToGrid/>
        <w:spacing w:before="0" w:beforeAutospacing="0" w:after="0" w:afterAutospacing="0" w:line="288" w:lineRule="auto"/>
        <w:ind w:left="0" w:right="0" w:firstLine="480" w:firstLineChars="200"/>
        <w:jc w:val="left"/>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bidi="ar"/>
        </w:rPr>
        <w:t>7</w:t>
      </w:r>
      <w:bookmarkStart w:id="400" w:name="_Toc318581169"/>
      <w:bookmarkStart w:id="401" w:name="_Toc312677486"/>
      <w:bookmarkStart w:id="402" w:name="_Toc312678012"/>
      <w:bookmarkStart w:id="403" w:name="_Toc300934970"/>
      <w:bookmarkStart w:id="404" w:name="_Toc304295548"/>
      <w:bookmarkStart w:id="405" w:name="_Toc297216177"/>
      <w:bookmarkStart w:id="406" w:name="_Toc303539127"/>
      <w:bookmarkStart w:id="407" w:name="_Toc297123518"/>
      <w:r>
        <w:rPr>
          <w:rFonts w:hint="eastAsia" w:ascii="宋体" w:hAnsi="宋体" w:eastAsia="宋体" w:cs="宋体"/>
          <w:color w:val="auto"/>
          <w:kern w:val="2"/>
          <w:sz w:val="24"/>
          <w:szCs w:val="24"/>
          <w:highlight w:val="none"/>
          <w:lang w:val="en-US" w:eastAsia="zh-CN" w:bidi="ar"/>
        </w:rPr>
        <w:t>.5.2 因承包人原因导致工期延误</w:t>
      </w:r>
    </w:p>
    <w:bookmarkEnd w:id="400"/>
    <w:bookmarkEnd w:id="401"/>
    <w:bookmarkEnd w:id="402"/>
    <w:p w14:paraId="6376B186">
      <w:pPr>
        <w:keepNext w:val="0"/>
        <w:keepLines w:val="0"/>
        <w:pageBreakBefore w:val="0"/>
        <w:widowControl/>
        <w:suppressLineNumbers w:val="0"/>
        <w:kinsoku/>
        <w:wordWrap w:val="0"/>
        <w:overflowPunct/>
        <w:topLinePunct w:val="0"/>
        <w:bidi w:val="0"/>
        <w:snapToGrid/>
        <w:spacing w:before="0" w:beforeAutospacing="0" w:after="0" w:afterAutospacing="0" w:line="288" w:lineRule="auto"/>
        <w:ind w:left="0" w:right="0" w:firstLine="480" w:firstLineChars="200"/>
        <w:jc w:val="left"/>
        <w:textAlignment w:val="auto"/>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双方约定确认，工期相应顺延的情况：按通用条款和</w:t>
      </w:r>
      <w:r>
        <w:rPr>
          <w:rFonts w:hint="eastAsia" w:ascii="宋体" w:hAnsi="宋体" w:eastAsia="宋体" w:cs="宋体"/>
          <w:color w:val="auto"/>
          <w:kern w:val="2"/>
          <w:sz w:val="24"/>
          <w:szCs w:val="24"/>
          <w:highlight w:val="none"/>
          <w:u w:val="single"/>
          <w:lang w:val="en-US" w:eastAsia="zh-CN" w:bidi="ar"/>
        </w:rPr>
        <w:t>第7.5.1条款</w:t>
      </w:r>
      <w:bookmarkStart w:id="408" w:name="OLE_LINK17"/>
      <w:r>
        <w:rPr>
          <w:rFonts w:hint="eastAsia" w:ascii="宋体" w:hAnsi="宋体" w:eastAsia="宋体" w:cs="宋体"/>
          <w:color w:val="auto"/>
          <w:kern w:val="2"/>
          <w:sz w:val="24"/>
          <w:szCs w:val="24"/>
          <w:highlight w:val="none"/>
          <w:u w:val="single"/>
          <w:lang w:val="en-US" w:eastAsia="zh-CN" w:bidi="ar"/>
        </w:rPr>
        <w:t>及以及7.6条约定办理</w:t>
      </w:r>
      <w:r>
        <w:rPr>
          <w:rFonts w:hint="eastAsia" w:ascii="宋体" w:hAnsi="宋体" w:eastAsia="宋体" w:cs="宋体"/>
          <w:color w:val="auto"/>
          <w:kern w:val="2"/>
          <w:sz w:val="24"/>
          <w:szCs w:val="24"/>
          <w:highlight w:val="none"/>
          <w:lang w:val="en-US" w:eastAsia="zh-CN" w:bidi="ar"/>
        </w:rPr>
        <w:t>。</w:t>
      </w:r>
      <w:r>
        <w:rPr>
          <w:rFonts w:hint="eastAsia" w:ascii="宋体" w:hAnsi="宋体" w:eastAsia="宋体" w:cs="宋体"/>
          <w:color w:val="auto"/>
          <w:kern w:val="2"/>
          <w:sz w:val="24"/>
          <w:szCs w:val="24"/>
          <w:highlight w:val="none"/>
          <w:u w:val="single"/>
          <w:lang w:val="en-US" w:eastAsia="zh-CN" w:bidi="ar"/>
        </w:rPr>
        <w:t>其他不可抗力的原因</w:t>
      </w:r>
      <w:bookmarkEnd w:id="408"/>
      <w:r>
        <w:rPr>
          <w:rFonts w:hint="eastAsia" w:ascii="宋体" w:hAnsi="宋体" w:eastAsia="宋体" w:cs="宋体"/>
          <w:color w:val="auto"/>
          <w:kern w:val="2"/>
          <w:sz w:val="24"/>
          <w:szCs w:val="24"/>
          <w:highlight w:val="none"/>
          <w:u w:val="single"/>
          <w:lang w:val="en-US" w:eastAsia="zh-CN" w:bidi="ar"/>
        </w:rPr>
        <w:t xml:space="preserve"> ,发生工期顺延时应在30日内通知发包方确认，否则视为工期不延误</w:t>
      </w:r>
      <w:r>
        <w:rPr>
          <w:rFonts w:hint="eastAsia" w:ascii="宋体" w:hAnsi="宋体" w:eastAsia="宋体" w:cs="宋体"/>
          <w:color w:val="auto"/>
          <w:kern w:val="2"/>
          <w:sz w:val="24"/>
          <w:szCs w:val="24"/>
          <w:highlight w:val="none"/>
          <w:lang w:val="en-US" w:eastAsia="zh-CN" w:bidi="ar"/>
        </w:rPr>
        <w:t>。</w:t>
      </w:r>
    </w:p>
    <w:p w14:paraId="27F46DF5">
      <w:pPr>
        <w:keepNext w:val="0"/>
        <w:keepLines w:val="0"/>
        <w:pageBreakBefore w:val="0"/>
        <w:widowControl/>
        <w:suppressLineNumbers w:val="0"/>
        <w:kinsoku/>
        <w:wordWrap w:val="0"/>
        <w:overflowPunct/>
        <w:topLinePunct w:val="0"/>
        <w:bidi w:val="0"/>
        <w:snapToGrid/>
        <w:spacing w:before="0" w:beforeAutospacing="0" w:after="0" w:afterAutospacing="0" w:line="288" w:lineRule="auto"/>
        <w:ind w:left="0" w:right="0" w:firstLine="480" w:firstLineChars="200"/>
        <w:jc w:val="left"/>
        <w:textAlignment w:val="auto"/>
        <w:rPr>
          <w:rFonts w:hint="eastAsia" w:ascii="宋体" w:hAnsi="宋体" w:eastAsia="宋体" w:cs="宋体"/>
          <w:color w:val="auto"/>
          <w:kern w:val="2"/>
          <w:sz w:val="24"/>
          <w:szCs w:val="24"/>
          <w:highlight w:val="none"/>
          <w:u w:val="single"/>
          <w:lang w:val="en-US" w:eastAsia="zh-CN" w:bidi="ar"/>
        </w:rPr>
      </w:pPr>
      <w:r>
        <w:rPr>
          <w:rFonts w:hint="eastAsia" w:ascii="宋体" w:hAnsi="宋体" w:eastAsia="宋体" w:cs="宋体"/>
          <w:color w:val="auto"/>
          <w:kern w:val="2"/>
          <w:sz w:val="24"/>
          <w:szCs w:val="24"/>
          <w:highlight w:val="none"/>
          <w:lang w:val="en-US" w:eastAsia="zh-CN" w:bidi="ar"/>
        </w:rPr>
        <w:t>因</w:t>
      </w:r>
      <w:bookmarkStart w:id="409" w:name="_Toc312678013"/>
      <w:bookmarkStart w:id="410" w:name="_Toc318581170"/>
      <w:bookmarkStart w:id="411" w:name="_Toc312677487"/>
      <w:r>
        <w:rPr>
          <w:rFonts w:hint="eastAsia" w:ascii="宋体" w:hAnsi="宋体" w:eastAsia="宋体" w:cs="宋体"/>
          <w:color w:val="auto"/>
          <w:kern w:val="2"/>
          <w:sz w:val="24"/>
          <w:szCs w:val="24"/>
          <w:highlight w:val="none"/>
          <w:lang w:val="en-US" w:eastAsia="zh-CN" w:bidi="ar"/>
        </w:rPr>
        <w:t>承包人原因造成工期延误，逾期竣工违约金的计算方法为：</w:t>
      </w:r>
      <w:bookmarkEnd w:id="403"/>
      <w:bookmarkEnd w:id="404"/>
      <w:bookmarkEnd w:id="405"/>
      <w:bookmarkEnd w:id="406"/>
      <w:bookmarkEnd w:id="407"/>
      <w:bookmarkEnd w:id="409"/>
      <w:bookmarkEnd w:id="410"/>
      <w:bookmarkEnd w:id="411"/>
      <w:r>
        <w:rPr>
          <w:rFonts w:hint="eastAsia" w:ascii="宋体" w:hAnsi="宋体" w:eastAsia="宋体" w:cs="宋体"/>
          <w:color w:val="auto"/>
          <w:kern w:val="2"/>
          <w:sz w:val="24"/>
          <w:szCs w:val="24"/>
          <w:highlight w:val="none"/>
          <w:u w:val="single"/>
          <w:lang w:val="en-US" w:eastAsia="zh-CN" w:bidi="ar"/>
        </w:rPr>
        <w:t>非上述原因，承包人不能按合同约定的时间竣工，承包人应承担违约责任。应向发包人支付误期赔偿费（每天赔偿金额为合同价的万分之四），误期时间从规定竣工日期起直到全部工程或相应部分工程竣工验收各方签章日期之间的天数（扣除发包人批准顺延的工期）。发包人可从应向承包人支付的任何金额中扣除此项赔款费或其他方式收回此款，此赔偿款的支付并不能解除承包人应完成工程的责任或合同规定的其他责任。</w:t>
      </w:r>
      <w:bookmarkStart w:id="412" w:name="_Toc312678014"/>
      <w:bookmarkStart w:id="413" w:name="_Toc318581171"/>
    </w:p>
    <w:p w14:paraId="7D8DFEDC">
      <w:pPr>
        <w:keepNext w:val="0"/>
        <w:keepLines w:val="0"/>
        <w:pageBreakBefore w:val="0"/>
        <w:widowControl/>
        <w:suppressLineNumbers w:val="0"/>
        <w:kinsoku/>
        <w:wordWrap w:val="0"/>
        <w:overflowPunct/>
        <w:topLinePunct w:val="0"/>
        <w:bidi w:val="0"/>
        <w:snapToGrid/>
        <w:spacing w:before="0" w:beforeAutospacing="0" w:after="0" w:afterAutospacing="0" w:line="288" w:lineRule="auto"/>
        <w:ind w:left="0" w:right="0" w:firstLine="480" w:firstLineChars="200"/>
        <w:jc w:val="left"/>
        <w:textAlignment w:val="auto"/>
        <w:rPr>
          <w:rFonts w:hint="eastAsia" w:ascii="宋体" w:hAnsi="宋体" w:eastAsia="宋体" w:cs="宋体"/>
          <w:color w:val="auto"/>
          <w:kern w:val="2"/>
          <w:sz w:val="24"/>
          <w:szCs w:val="24"/>
          <w:highlight w:val="none"/>
          <w:u w:val="single"/>
          <w:lang w:val="en-US" w:eastAsia="zh-CN" w:bidi="ar"/>
        </w:rPr>
      </w:pPr>
      <w:r>
        <w:rPr>
          <w:rFonts w:hint="eastAsia" w:ascii="宋体" w:hAnsi="宋体" w:eastAsia="宋体" w:cs="宋体"/>
          <w:color w:val="auto"/>
          <w:kern w:val="2"/>
          <w:sz w:val="24"/>
          <w:szCs w:val="24"/>
          <w:highlight w:val="none"/>
          <w:lang w:val="en-US" w:eastAsia="zh-CN" w:bidi="ar"/>
        </w:rPr>
        <w:t>承包人原因造成工期延误，逾期竣工违约金的上限：</w:t>
      </w:r>
      <w:r>
        <w:rPr>
          <w:rFonts w:hint="eastAsia" w:ascii="宋体" w:hAnsi="宋体" w:eastAsia="宋体" w:cs="宋体"/>
          <w:color w:val="auto"/>
          <w:kern w:val="2"/>
          <w:sz w:val="24"/>
          <w:szCs w:val="24"/>
          <w:highlight w:val="none"/>
          <w:u w:val="single"/>
          <w:lang w:val="en-US" w:eastAsia="zh-CN" w:bidi="ar"/>
        </w:rPr>
        <w:t>逾期竣工的单项工程结算造价的2 %</w:t>
      </w:r>
      <w:r>
        <w:rPr>
          <w:rFonts w:hint="eastAsia" w:ascii="宋体" w:hAnsi="宋体" w:eastAsia="宋体" w:cs="宋体"/>
          <w:color w:val="auto"/>
          <w:kern w:val="2"/>
          <w:sz w:val="24"/>
          <w:szCs w:val="24"/>
          <w:highlight w:val="none"/>
          <w:lang w:val="en-US" w:eastAsia="zh-CN" w:bidi="ar"/>
        </w:rPr>
        <w:t>。</w:t>
      </w:r>
    </w:p>
    <w:bookmarkEnd w:id="412"/>
    <w:bookmarkEnd w:id="413"/>
    <w:p w14:paraId="543ABD9B">
      <w:pPr>
        <w:keepNext/>
        <w:keepLines/>
        <w:pageBreakBefore w:val="0"/>
        <w:widowControl/>
        <w:kinsoku/>
        <w:overflowPunct/>
        <w:topLinePunct w:val="0"/>
        <w:bidi w:val="0"/>
        <w:snapToGrid/>
        <w:spacing w:line="288" w:lineRule="auto"/>
        <w:jc w:val="both"/>
        <w:textAlignment w:val="auto"/>
        <w:outlineLvl w:val="2"/>
        <w:rPr>
          <w:rFonts w:hint="eastAsia" w:ascii="宋体" w:hAnsi="宋体" w:eastAsia="宋体" w:cs="宋体"/>
          <w:b/>
          <w:bCs/>
          <w:color w:val="auto"/>
          <w:kern w:val="2"/>
          <w:sz w:val="24"/>
          <w:szCs w:val="24"/>
          <w:highlight w:val="none"/>
          <w:lang w:val="en-US" w:eastAsia="zh-CN" w:bidi="ar-SA"/>
        </w:rPr>
      </w:pPr>
      <w:bookmarkStart w:id="414" w:name="_Toc1504"/>
      <w:bookmarkStart w:id="415" w:name="_Toc31542"/>
      <w:bookmarkStart w:id="416" w:name="_Toc373227728"/>
      <w:bookmarkStart w:id="417" w:name="_Toc73356669"/>
      <w:bookmarkStart w:id="418" w:name="_Toc389065294"/>
      <w:bookmarkStart w:id="419" w:name="_Toc77255598"/>
      <w:bookmarkStart w:id="420" w:name="_Toc373478375"/>
      <w:r>
        <w:rPr>
          <w:rFonts w:hint="eastAsia" w:ascii="宋体" w:hAnsi="宋体" w:eastAsia="宋体" w:cs="宋体"/>
          <w:b/>
          <w:bCs/>
          <w:color w:val="auto"/>
          <w:kern w:val="2"/>
          <w:sz w:val="24"/>
          <w:szCs w:val="24"/>
          <w:highlight w:val="none"/>
          <w:lang w:val="en-US" w:eastAsia="zh-CN" w:bidi="ar-SA"/>
        </w:rPr>
        <w:t>7</w:t>
      </w:r>
      <w:bookmarkStart w:id="421" w:name="_Toc297216178"/>
      <w:bookmarkStart w:id="422" w:name="_Toc300934971"/>
      <w:bookmarkStart w:id="423" w:name="_Toc297123519"/>
      <w:bookmarkStart w:id="424" w:name="_Toc303539128"/>
      <w:bookmarkStart w:id="425" w:name="_Toc312678015"/>
      <w:bookmarkStart w:id="426" w:name="_Toc304295549"/>
      <w:r>
        <w:rPr>
          <w:rFonts w:hint="eastAsia" w:ascii="宋体" w:hAnsi="宋体" w:eastAsia="宋体" w:cs="宋体"/>
          <w:b/>
          <w:bCs/>
          <w:color w:val="auto"/>
          <w:kern w:val="2"/>
          <w:sz w:val="24"/>
          <w:szCs w:val="24"/>
          <w:highlight w:val="none"/>
          <w:lang w:val="en-US" w:eastAsia="zh-CN" w:bidi="ar-SA"/>
        </w:rPr>
        <w:t>.6 不</w:t>
      </w:r>
      <w:bookmarkEnd w:id="421"/>
      <w:bookmarkEnd w:id="422"/>
      <w:bookmarkEnd w:id="423"/>
      <w:bookmarkEnd w:id="424"/>
      <w:bookmarkEnd w:id="425"/>
      <w:bookmarkEnd w:id="426"/>
      <w:r>
        <w:rPr>
          <w:rFonts w:hint="eastAsia" w:ascii="宋体" w:hAnsi="宋体" w:eastAsia="宋体" w:cs="宋体"/>
          <w:b/>
          <w:bCs/>
          <w:color w:val="auto"/>
          <w:kern w:val="2"/>
          <w:sz w:val="24"/>
          <w:szCs w:val="24"/>
          <w:highlight w:val="none"/>
          <w:lang w:val="en-US" w:eastAsia="zh-CN" w:bidi="ar-SA"/>
        </w:rPr>
        <w:t>利物质条件</w:t>
      </w:r>
      <w:bookmarkEnd w:id="414"/>
      <w:bookmarkEnd w:id="415"/>
      <w:bookmarkEnd w:id="416"/>
      <w:bookmarkEnd w:id="417"/>
      <w:bookmarkEnd w:id="418"/>
      <w:bookmarkEnd w:id="419"/>
      <w:bookmarkEnd w:id="420"/>
    </w:p>
    <w:p w14:paraId="4786CED7">
      <w:pPr>
        <w:keepNext w:val="0"/>
        <w:keepLines w:val="0"/>
        <w:pageBreakBefore w:val="0"/>
        <w:widowControl w:val="0"/>
        <w:suppressLineNumbers w:val="0"/>
        <w:kinsoku/>
        <w:overflowPunct/>
        <w:topLinePunct w:val="0"/>
        <w:bidi w:val="0"/>
        <w:snapToGrid/>
        <w:spacing w:before="0" w:beforeAutospacing="0" w:after="0" w:afterAutospacing="0" w:line="288" w:lineRule="auto"/>
        <w:ind w:left="0" w:right="0" w:firstLine="480" w:firstLineChars="200"/>
        <w:jc w:val="left"/>
        <w:textAlignment w:val="auto"/>
        <w:rPr>
          <w:rFonts w:hint="eastAsia" w:ascii="宋体" w:hAnsi="宋体" w:eastAsia="宋体" w:cs="宋体"/>
          <w:color w:val="auto"/>
          <w:sz w:val="24"/>
          <w:szCs w:val="24"/>
          <w:highlight w:val="none"/>
          <w:u w:val="single"/>
          <w:lang w:val="en-US"/>
        </w:rPr>
      </w:pPr>
      <w:bookmarkStart w:id="427" w:name="_Toc297216179"/>
      <w:bookmarkStart w:id="428" w:name="_Toc297123520"/>
      <w:bookmarkStart w:id="429" w:name="_Toc318581172"/>
      <w:bookmarkStart w:id="430" w:name="_Toc312678016"/>
      <w:bookmarkStart w:id="431" w:name="_Toc303539129"/>
      <w:bookmarkStart w:id="432" w:name="_Toc304295550"/>
      <w:bookmarkStart w:id="433" w:name="_Toc300934972"/>
      <w:r>
        <w:rPr>
          <w:rFonts w:hint="eastAsia" w:ascii="宋体" w:hAnsi="宋体" w:eastAsia="宋体" w:cs="宋体"/>
          <w:color w:val="auto"/>
          <w:kern w:val="2"/>
          <w:sz w:val="24"/>
          <w:szCs w:val="24"/>
          <w:highlight w:val="none"/>
          <w:lang w:val="en-US" w:eastAsia="zh-CN" w:bidi="ar"/>
        </w:rPr>
        <w:t>不利物质条件的其他情形和有关约定：</w:t>
      </w:r>
      <w:r>
        <w:rPr>
          <w:rFonts w:hint="eastAsia" w:ascii="宋体" w:hAnsi="宋体" w:eastAsia="宋体" w:cs="宋体"/>
          <w:color w:val="auto"/>
          <w:kern w:val="2"/>
          <w:sz w:val="24"/>
          <w:szCs w:val="24"/>
          <w:highlight w:val="none"/>
          <w:u w:val="single"/>
          <w:lang w:val="en-US" w:eastAsia="zh-CN" w:bidi="ar"/>
        </w:rPr>
        <w:t>因不利物质条件的原因导致承包人暂停施工的，由业主（监审）确认是否给予工期顺延或费用补偿。</w:t>
      </w:r>
    </w:p>
    <w:bookmarkEnd w:id="427"/>
    <w:bookmarkEnd w:id="428"/>
    <w:bookmarkEnd w:id="429"/>
    <w:bookmarkEnd w:id="430"/>
    <w:bookmarkEnd w:id="431"/>
    <w:bookmarkEnd w:id="432"/>
    <w:bookmarkEnd w:id="433"/>
    <w:p w14:paraId="392D5B7F">
      <w:pPr>
        <w:keepNext/>
        <w:keepLines/>
        <w:pageBreakBefore w:val="0"/>
        <w:widowControl/>
        <w:kinsoku/>
        <w:overflowPunct/>
        <w:topLinePunct w:val="0"/>
        <w:bidi w:val="0"/>
        <w:snapToGrid/>
        <w:spacing w:line="288" w:lineRule="auto"/>
        <w:jc w:val="both"/>
        <w:textAlignment w:val="auto"/>
        <w:outlineLvl w:val="2"/>
        <w:rPr>
          <w:rFonts w:hint="eastAsia" w:ascii="宋体" w:hAnsi="宋体" w:eastAsia="宋体" w:cs="宋体"/>
          <w:b/>
          <w:bCs/>
          <w:color w:val="auto"/>
          <w:kern w:val="2"/>
          <w:sz w:val="24"/>
          <w:szCs w:val="24"/>
          <w:highlight w:val="none"/>
          <w:lang w:val="en-US" w:eastAsia="zh-CN" w:bidi="ar-SA"/>
        </w:rPr>
      </w:pPr>
      <w:bookmarkStart w:id="434" w:name="_Toc17859"/>
      <w:bookmarkStart w:id="435" w:name="_Toc13439"/>
      <w:bookmarkStart w:id="436" w:name="_Toc373478376"/>
      <w:bookmarkStart w:id="437" w:name="_Toc389065295"/>
      <w:bookmarkStart w:id="438" w:name="_Toc73356670"/>
      <w:bookmarkStart w:id="439" w:name="_Toc77255599"/>
      <w:bookmarkStart w:id="440" w:name="_Toc373227729"/>
      <w:r>
        <w:rPr>
          <w:rFonts w:hint="eastAsia" w:ascii="宋体" w:hAnsi="宋体" w:eastAsia="宋体" w:cs="宋体"/>
          <w:b/>
          <w:bCs/>
          <w:color w:val="auto"/>
          <w:kern w:val="2"/>
          <w:sz w:val="24"/>
          <w:szCs w:val="24"/>
          <w:highlight w:val="none"/>
          <w:lang w:val="en-US" w:eastAsia="zh-CN" w:bidi="ar-SA"/>
        </w:rPr>
        <w:t>7</w:t>
      </w:r>
      <w:bookmarkStart w:id="441" w:name="_Toc300934973"/>
      <w:bookmarkStart w:id="442" w:name="_Toc312678017"/>
      <w:bookmarkStart w:id="443" w:name="_Toc297123521"/>
      <w:bookmarkStart w:id="444" w:name="_Toc304295551"/>
      <w:bookmarkStart w:id="445" w:name="_Toc303539130"/>
      <w:bookmarkStart w:id="446" w:name="_Toc297216180"/>
      <w:r>
        <w:rPr>
          <w:rFonts w:hint="eastAsia" w:ascii="宋体" w:hAnsi="宋体" w:eastAsia="宋体" w:cs="宋体"/>
          <w:b/>
          <w:bCs/>
          <w:color w:val="auto"/>
          <w:kern w:val="2"/>
          <w:sz w:val="24"/>
          <w:szCs w:val="24"/>
          <w:highlight w:val="none"/>
          <w:lang w:val="en-US" w:eastAsia="zh-CN" w:bidi="ar-SA"/>
        </w:rPr>
        <w:t>.7 异常恶劣的气候条件</w:t>
      </w:r>
      <w:bookmarkEnd w:id="434"/>
      <w:bookmarkEnd w:id="435"/>
      <w:bookmarkEnd w:id="436"/>
      <w:bookmarkEnd w:id="437"/>
      <w:bookmarkEnd w:id="438"/>
      <w:bookmarkEnd w:id="439"/>
      <w:bookmarkEnd w:id="440"/>
    </w:p>
    <w:bookmarkEnd w:id="441"/>
    <w:bookmarkEnd w:id="442"/>
    <w:bookmarkEnd w:id="443"/>
    <w:bookmarkEnd w:id="444"/>
    <w:bookmarkEnd w:id="445"/>
    <w:bookmarkEnd w:id="446"/>
    <w:p w14:paraId="03D35FC1">
      <w:pPr>
        <w:keepNext w:val="0"/>
        <w:keepLines w:val="0"/>
        <w:pageBreakBefore w:val="0"/>
        <w:widowControl w:val="0"/>
        <w:suppressLineNumbers w:val="0"/>
        <w:kinsoku/>
        <w:overflowPunct/>
        <w:topLinePunct w:val="0"/>
        <w:bidi w:val="0"/>
        <w:snapToGrid/>
        <w:spacing w:before="0" w:beforeAutospacing="0" w:after="0" w:afterAutospacing="0" w:line="288" w:lineRule="auto"/>
        <w:ind w:left="0" w:right="0" w:firstLine="480" w:firstLineChars="200"/>
        <w:jc w:val="left"/>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bidi="ar"/>
        </w:rPr>
        <w:t>发包人和承包人同意以下情形视为异常恶劣的气候条件：</w:t>
      </w:r>
    </w:p>
    <w:p w14:paraId="63861651">
      <w:pPr>
        <w:keepNext w:val="0"/>
        <w:keepLines w:val="0"/>
        <w:pageBreakBefore w:val="0"/>
        <w:widowControl w:val="0"/>
        <w:suppressLineNumbers w:val="0"/>
        <w:kinsoku/>
        <w:overflowPunct/>
        <w:topLinePunct w:val="0"/>
        <w:bidi w:val="0"/>
        <w:snapToGrid/>
        <w:spacing w:before="0" w:beforeAutospacing="0" w:after="0" w:afterAutospacing="0" w:line="288" w:lineRule="auto"/>
        <w:ind w:left="0" w:right="0" w:firstLine="480" w:firstLineChars="200"/>
        <w:jc w:val="left"/>
        <w:textAlignment w:val="auto"/>
        <w:rPr>
          <w:rFonts w:hint="eastAsia" w:ascii="宋体" w:hAnsi="宋体" w:eastAsia="宋体" w:cs="宋体"/>
          <w:color w:val="auto"/>
          <w:sz w:val="24"/>
          <w:szCs w:val="24"/>
          <w:highlight w:val="none"/>
          <w:lang w:val="en-US"/>
        </w:rPr>
      </w:pPr>
      <w:bookmarkStart w:id="447" w:name="_Toc373478377"/>
      <w:bookmarkStart w:id="448" w:name="_Toc389065296"/>
      <w:bookmarkStart w:id="449" w:name="_Toc373227730"/>
      <w:r>
        <w:rPr>
          <w:rFonts w:hint="eastAsia" w:ascii="宋体" w:hAnsi="宋体" w:eastAsia="宋体" w:cs="宋体"/>
          <w:color w:val="auto"/>
          <w:kern w:val="2"/>
          <w:sz w:val="24"/>
          <w:szCs w:val="24"/>
          <w:highlight w:val="none"/>
          <w:lang w:val="en-US" w:eastAsia="zh-CN" w:bidi="ar"/>
        </w:rPr>
        <w:t>（1）6级以上的地震；</w:t>
      </w:r>
    </w:p>
    <w:p w14:paraId="164258CF">
      <w:pPr>
        <w:keepNext w:val="0"/>
        <w:keepLines w:val="0"/>
        <w:pageBreakBefore w:val="0"/>
        <w:widowControl w:val="0"/>
        <w:suppressLineNumbers w:val="0"/>
        <w:kinsoku/>
        <w:overflowPunct/>
        <w:topLinePunct w:val="0"/>
        <w:bidi w:val="0"/>
        <w:snapToGrid/>
        <w:spacing w:before="0" w:beforeAutospacing="0" w:after="0" w:afterAutospacing="0" w:line="288" w:lineRule="auto"/>
        <w:ind w:left="0" w:right="0" w:firstLine="480" w:firstLineChars="200"/>
        <w:jc w:val="left"/>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bidi="ar"/>
        </w:rPr>
        <w:t>（2）6级以上的持续1天的大风；</w:t>
      </w:r>
    </w:p>
    <w:p w14:paraId="783791ED">
      <w:pPr>
        <w:keepNext w:val="0"/>
        <w:keepLines w:val="0"/>
        <w:pageBreakBefore w:val="0"/>
        <w:widowControl w:val="0"/>
        <w:suppressLineNumbers w:val="0"/>
        <w:kinsoku/>
        <w:overflowPunct/>
        <w:topLinePunct w:val="0"/>
        <w:bidi w:val="0"/>
        <w:snapToGrid/>
        <w:spacing w:before="0" w:beforeAutospacing="0" w:after="0" w:afterAutospacing="0" w:line="288" w:lineRule="auto"/>
        <w:ind w:left="0" w:right="0" w:firstLine="480" w:firstLineChars="200"/>
        <w:jc w:val="left"/>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bidi="ar"/>
        </w:rPr>
        <w:t>（3）暴雨级以上持续1天的大雨；</w:t>
      </w:r>
    </w:p>
    <w:p w14:paraId="020DED5F">
      <w:pPr>
        <w:keepNext w:val="0"/>
        <w:keepLines w:val="0"/>
        <w:pageBreakBefore w:val="0"/>
        <w:widowControl w:val="0"/>
        <w:suppressLineNumbers w:val="0"/>
        <w:kinsoku/>
        <w:overflowPunct/>
        <w:topLinePunct w:val="0"/>
        <w:bidi w:val="0"/>
        <w:snapToGrid/>
        <w:spacing w:before="0" w:beforeAutospacing="0" w:after="0" w:afterAutospacing="0" w:line="288" w:lineRule="auto"/>
        <w:ind w:left="0" w:right="0" w:firstLine="480" w:firstLineChars="200"/>
        <w:jc w:val="left"/>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bidi="ar"/>
        </w:rPr>
        <w:t>（4）由南宁市气象部门发布暴雨预警信号为蓝色预警以上的天气，或12小时内实际降雨量将达50毫米以上的天气，或者已达50毫米以上且降雨可能持续的天气。</w:t>
      </w:r>
    </w:p>
    <w:p w14:paraId="047BAA80">
      <w:pPr>
        <w:keepNext w:val="0"/>
        <w:keepLines w:val="0"/>
        <w:pageBreakBefore w:val="0"/>
        <w:widowControl w:val="0"/>
        <w:suppressLineNumbers w:val="0"/>
        <w:kinsoku/>
        <w:overflowPunct/>
        <w:topLinePunct w:val="0"/>
        <w:bidi w:val="0"/>
        <w:snapToGrid/>
        <w:spacing w:before="0" w:beforeAutospacing="0" w:after="0" w:afterAutospacing="0" w:line="288" w:lineRule="auto"/>
        <w:ind w:left="0" w:right="0" w:firstLine="480" w:firstLineChars="200"/>
        <w:jc w:val="left"/>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bidi="ar"/>
        </w:rPr>
        <w:t>（5）50年以上未发生过，持续2天的高温天气；</w:t>
      </w:r>
    </w:p>
    <w:p w14:paraId="0E6E664F">
      <w:pPr>
        <w:keepNext w:val="0"/>
        <w:keepLines w:val="0"/>
        <w:pageBreakBefore w:val="0"/>
        <w:widowControl w:val="0"/>
        <w:suppressLineNumbers w:val="0"/>
        <w:kinsoku/>
        <w:overflowPunct/>
        <w:topLinePunct w:val="0"/>
        <w:bidi w:val="0"/>
        <w:snapToGrid/>
        <w:spacing w:before="0" w:beforeAutospacing="0" w:after="0" w:afterAutospacing="0" w:line="288" w:lineRule="auto"/>
        <w:ind w:left="0" w:right="0" w:firstLine="480" w:firstLineChars="200"/>
        <w:jc w:val="left"/>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bidi="ar"/>
        </w:rPr>
        <w:t>（6）50年以上未发生过，持续2天的低温天气；</w:t>
      </w:r>
    </w:p>
    <w:p w14:paraId="4CE499FE">
      <w:pPr>
        <w:keepNext w:val="0"/>
        <w:keepLines w:val="0"/>
        <w:pageBreakBefore w:val="0"/>
        <w:widowControl w:val="0"/>
        <w:suppressLineNumbers w:val="0"/>
        <w:kinsoku/>
        <w:overflowPunct/>
        <w:topLinePunct w:val="0"/>
        <w:bidi w:val="0"/>
        <w:snapToGrid/>
        <w:spacing w:before="0" w:beforeAutospacing="0" w:after="0" w:afterAutospacing="0" w:line="288" w:lineRule="auto"/>
        <w:ind w:left="0" w:right="0" w:firstLine="480" w:firstLineChars="200"/>
        <w:jc w:val="left"/>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bidi="ar"/>
        </w:rPr>
        <w:t>（7）50年以上未发生过的洪水。</w:t>
      </w:r>
    </w:p>
    <w:p w14:paraId="4AF5E1B8">
      <w:pPr>
        <w:keepNext w:val="0"/>
        <w:keepLines w:val="0"/>
        <w:pageBreakBefore w:val="0"/>
        <w:widowControl w:val="0"/>
        <w:suppressLineNumbers w:val="0"/>
        <w:kinsoku/>
        <w:overflowPunct/>
        <w:topLinePunct w:val="0"/>
        <w:bidi w:val="0"/>
        <w:snapToGrid/>
        <w:spacing w:before="0" w:beforeAutospacing="0" w:after="0" w:afterAutospacing="0" w:line="288" w:lineRule="auto"/>
        <w:ind w:left="0" w:right="0" w:firstLine="480" w:firstLineChars="200"/>
        <w:jc w:val="left"/>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bidi="ar"/>
        </w:rPr>
        <w:t>（8）对上述几种形式，应以造成灾害和影响施工为准。</w:t>
      </w:r>
    </w:p>
    <w:p w14:paraId="2DA1114D">
      <w:pPr>
        <w:keepNext/>
        <w:keepLines/>
        <w:pageBreakBefore w:val="0"/>
        <w:widowControl/>
        <w:kinsoku/>
        <w:overflowPunct/>
        <w:topLinePunct w:val="0"/>
        <w:bidi w:val="0"/>
        <w:snapToGrid/>
        <w:spacing w:line="288" w:lineRule="auto"/>
        <w:jc w:val="both"/>
        <w:textAlignment w:val="auto"/>
        <w:outlineLvl w:val="2"/>
        <w:rPr>
          <w:rFonts w:hint="eastAsia" w:ascii="宋体" w:hAnsi="宋体" w:eastAsia="宋体" w:cs="宋体"/>
          <w:b/>
          <w:bCs/>
          <w:color w:val="auto"/>
          <w:kern w:val="2"/>
          <w:sz w:val="24"/>
          <w:szCs w:val="24"/>
          <w:highlight w:val="none"/>
          <w:lang w:val="en-US" w:eastAsia="zh-CN" w:bidi="ar-SA"/>
        </w:rPr>
      </w:pPr>
      <w:bookmarkStart w:id="450" w:name="_Toc77255600"/>
      <w:bookmarkStart w:id="451" w:name="_Toc3827"/>
      <w:bookmarkStart w:id="452" w:name="_Toc30982"/>
      <w:bookmarkStart w:id="453" w:name="_Toc73356671"/>
      <w:r>
        <w:rPr>
          <w:rFonts w:hint="eastAsia" w:ascii="宋体" w:hAnsi="宋体" w:eastAsia="宋体" w:cs="宋体"/>
          <w:b/>
          <w:bCs/>
          <w:color w:val="auto"/>
          <w:kern w:val="2"/>
          <w:sz w:val="24"/>
          <w:szCs w:val="24"/>
          <w:highlight w:val="none"/>
          <w:lang w:val="en-US" w:eastAsia="zh-CN" w:bidi="ar-SA"/>
        </w:rPr>
        <w:t>7.9 提前竣工</w:t>
      </w:r>
      <w:bookmarkEnd w:id="447"/>
      <w:bookmarkEnd w:id="448"/>
      <w:bookmarkEnd w:id="449"/>
      <w:bookmarkEnd w:id="450"/>
      <w:bookmarkEnd w:id="451"/>
      <w:bookmarkEnd w:id="452"/>
      <w:bookmarkEnd w:id="453"/>
    </w:p>
    <w:p w14:paraId="0FEB6D1F">
      <w:pPr>
        <w:keepNext w:val="0"/>
        <w:keepLines w:val="0"/>
        <w:pageBreakBefore w:val="0"/>
        <w:widowControl w:val="0"/>
        <w:suppressLineNumbers w:val="0"/>
        <w:kinsoku/>
        <w:overflowPunct/>
        <w:topLinePunct w:val="0"/>
        <w:bidi w:val="0"/>
        <w:snapToGrid/>
        <w:spacing w:before="0" w:beforeAutospacing="0" w:after="0" w:afterAutospacing="0" w:line="288" w:lineRule="auto"/>
        <w:ind w:left="0" w:right="0" w:firstLine="480" w:firstLineChars="200"/>
        <w:jc w:val="left"/>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bidi="ar"/>
        </w:rPr>
        <w:t>7.9.2提前竣工（赶工）增加费的计算方法：</w:t>
      </w:r>
      <w:r>
        <w:rPr>
          <w:rFonts w:hint="eastAsia" w:ascii="宋体" w:hAnsi="宋体" w:eastAsia="宋体" w:cs="宋体"/>
          <w:color w:val="auto"/>
          <w:kern w:val="2"/>
          <w:sz w:val="24"/>
          <w:szCs w:val="24"/>
          <w:highlight w:val="none"/>
          <w:u w:val="single"/>
          <w:lang w:val="en-US" w:eastAsia="zh-CN" w:bidi="ar"/>
        </w:rPr>
        <w:t xml:space="preserve">    无      </w:t>
      </w:r>
      <w:r>
        <w:rPr>
          <w:rFonts w:hint="eastAsia" w:ascii="宋体" w:hAnsi="宋体" w:eastAsia="宋体" w:cs="宋体"/>
          <w:color w:val="auto"/>
          <w:kern w:val="2"/>
          <w:sz w:val="24"/>
          <w:szCs w:val="24"/>
          <w:highlight w:val="none"/>
          <w:lang w:val="en-US" w:eastAsia="zh-CN" w:bidi="ar"/>
        </w:rPr>
        <w:t>。</w:t>
      </w:r>
    </w:p>
    <w:p w14:paraId="5442E31C">
      <w:pPr>
        <w:keepNext/>
        <w:keepLines/>
        <w:pageBreakBefore w:val="0"/>
        <w:widowControl/>
        <w:kinsoku/>
        <w:overflowPunct/>
        <w:topLinePunct w:val="0"/>
        <w:bidi w:val="0"/>
        <w:snapToGrid/>
        <w:spacing w:line="288" w:lineRule="auto"/>
        <w:jc w:val="left"/>
        <w:textAlignment w:val="auto"/>
        <w:outlineLvl w:val="1"/>
        <w:rPr>
          <w:rFonts w:hint="eastAsia" w:ascii="宋体" w:hAnsi="宋体" w:eastAsia="宋体" w:cs="宋体"/>
          <w:b/>
          <w:bCs/>
          <w:color w:val="auto"/>
          <w:kern w:val="44"/>
          <w:sz w:val="24"/>
          <w:szCs w:val="24"/>
          <w:highlight w:val="none"/>
          <w:lang w:val="en-US" w:eastAsia="zh-CN" w:bidi="ar-SA"/>
        </w:rPr>
      </w:pPr>
      <w:bookmarkStart w:id="454" w:name="_Toc351203640"/>
      <w:bookmarkStart w:id="455" w:name="_Toc6047"/>
      <w:bookmarkStart w:id="456" w:name="_Toc77255601"/>
      <w:bookmarkStart w:id="457" w:name="_Toc373227731"/>
      <w:bookmarkStart w:id="458" w:name="_Toc27362"/>
      <w:bookmarkStart w:id="459" w:name="_Toc373478378"/>
      <w:bookmarkStart w:id="460" w:name="_Toc73356672"/>
      <w:bookmarkStart w:id="461" w:name="_Toc389065297"/>
      <w:r>
        <w:rPr>
          <w:rFonts w:hint="eastAsia" w:ascii="宋体" w:hAnsi="宋体" w:eastAsia="宋体" w:cs="宋体"/>
          <w:b/>
          <w:bCs/>
          <w:color w:val="auto"/>
          <w:kern w:val="44"/>
          <w:sz w:val="24"/>
          <w:szCs w:val="24"/>
          <w:highlight w:val="none"/>
          <w:lang w:val="en-US" w:eastAsia="zh-CN" w:bidi="ar-SA"/>
        </w:rPr>
        <w:t>8. 材料与设备</w:t>
      </w:r>
      <w:bookmarkEnd w:id="454"/>
      <w:bookmarkEnd w:id="455"/>
      <w:bookmarkEnd w:id="456"/>
      <w:bookmarkEnd w:id="457"/>
      <w:bookmarkEnd w:id="458"/>
      <w:bookmarkEnd w:id="459"/>
      <w:bookmarkEnd w:id="460"/>
      <w:bookmarkEnd w:id="461"/>
    </w:p>
    <w:p w14:paraId="52BDA1B9">
      <w:pPr>
        <w:keepNext/>
        <w:keepLines/>
        <w:pageBreakBefore w:val="0"/>
        <w:widowControl/>
        <w:kinsoku/>
        <w:overflowPunct/>
        <w:topLinePunct w:val="0"/>
        <w:bidi w:val="0"/>
        <w:snapToGrid/>
        <w:spacing w:line="288" w:lineRule="auto"/>
        <w:jc w:val="both"/>
        <w:textAlignment w:val="auto"/>
        <w:outlineLvl w:val="2"/>
        <w:rPr>
          <w:rFonts w:hint="eastAsia" w:ascii="宋体" w:hAnsi="宋体" w:eastAsia="宋体" w:cs="宋体"/>
          <w:b/>
          <w:bCs/>
          <w:color w:val="auto"/>
          <w:kern w:val="2"/>
          <w:sz w:val="24"/>
          <w:szCs w:val="24"/>
          <w:highlight w:val="none"/>
          <w:lang w:val="en-US" w:eastAsia="zh-CN" w:bidi="ar-SA"/>
        </w:rPr>
      </w:pPr>
      <w:bookmarkStart w:id="462" w:name="_Toc73356673"/>
      <w:bookmarkStart w:id="463" w:name="_Toc373478379"/>
      <w:bookmarkStart w:id="464" w:name="_Toc1295"/>
      <w:bookmarkStart w:id="465" w:name="_Toc389065298"/>
      <w:bookmarkStart w:id="466" w:name="_Toc77255602"/>
      <w:bookmarkStart w:id="467" w:name="_Toc29880"/>
      <w:bookmarkStart w:id="468" w:name="_Toc373227732"/>
      <w:r>
        <w:rPr>
          <w:rFonts w:hint="eastAsia" w:ascii="宋体" w:hAnsi="宋体" w:eastAsia="宋体" w:cs="宋体"/>
          <w:b/>
          <w:bCs/>
          <w:color w:val="auto"/>
          <w:kern w:val="2"/>
          <w:sz w:val="24"/>
          <w:szCs w:val="24"/>
          <w:highlight w:val="none"/>
          <w:lang w:val="en-US" w:eastAsia="zh-CN" w:bidi="ar-SA"/>
        </w:rPr>
        <w:t>8.2 承包人采购材料与工程设备</w:t>
      </w:r>
      <w:bookmarkEnd w:id="462"/>
      <w:bookmarkEnd w:id="463"/>
      <w:bookmarkEnd w:id="464"/>
      <w:bookmarkEnd w:id="465"/>
      <w:bookmarkEnd w:id="466"/>
      <w:bookmarkEnd w:id="467"/>
      <w:bookmarkEnd w:id="468"/>
    </w:p>
    <w:p w14:paraId="742928B9">
      <w:pPr>
        <w:keepNext w:val="0"/>
        <w:keepLines w:val="0"/>
        <w:pageBreakBefore w:val="0"/>
        <w:widowControl/>
        <w:suppressLineNumbers w:val="0"/>
        <w:shd w:val="clear" w:color="auto" w:fill="FFFFFF"/>
        <w:kinsoku/>
        <w:wordWrap w:val="0"/>
        <w:overflowPunct/>
        <w:topLinePunct w:val="0"/>
        <w:bidi w:val="0"/>
        <w:snapToGrid/>
        <w:spacing w:before="0" w:beforeAutospacing="0" w:after="0" w:afterAutospacing="0" w:line="288" w:lineRule="auto"/>
        <w:ind w:left="0" w:right="0" w:firstLine="420"/>
        <w:jc w:val="left"/>
        <w:textAlignment w:val="auto"/>
        <w:rPr>
          <w:rFonts w:hint="eastAsia" w:ascii="宋体" w:hAnsi="宋体" w:eastAsia="宋体" w:cs="宋体"/>
          <w:color w:val="auto"/>
          <w:kern w:val="0"/>
          <w:sz w:val="24"/>
          <w:szCs w:val="24"/>
          <w:highlight w:val="none"/>
          <w:shd w:val="clear" w:color="auto" w:fill="FFFFFF"/>
          <w:lang w:val="en-US" w:eastAsia="zh-CN" w:bidi="ar"/>
        </w:rPr>
      </w:pPr>
      <w:bookmarkStart w:id="469" w:name="_Toc373227733"/>
      <w:bookmarkStart w:id="470" w:name="_Toc389065299"/>
      <w:bookmarkStart w:id="471" w:name="_Toc373478380"/>
      <w:r>
        <w:rPr>
          <w:rFonts w:hint="eastAsia" w:ascii="宋体" w:hAnsi="宋体" w:eastAsia="宋体" w:cs="宋体"/>
          <w:color w:val="auto"/>
          <w:kern w:val="0"/>
          <w:sz w:val="24"/>
          <w:szCs w:val="24"/>
          <w:highlight w:val="none"/>
          <w:shd w:val="clear" w:color="auto" w:fill="FFFFFF"/>
          <w:lang w:val="en-US" w:eastAsia="zh-CN" w:bidi="ar"/>
        </w:rPr>
        <w:t>除专用合同条款的附件《发包人供应材料设备一览表》中明确的材料、工程设备外，由承包人负责材料和工程设备的采购、运输和保管。对工程使用的重要建设工程材料，承包人应按《南宁市建设工程材料使用管理办法》相关规定，从南宁市建设行政主管部门公布的建设工程材料目录中选用重要建设工程材料。</w:t>
      </w:r>
    </w:p>
    <w:p w14:paraId="0146D96F">
      <w:pPr>
        <w:keepNext w:val="0"/>
        <w:keepLines w:val="0"/>
        <w:pageBreakBefore w:val="0"/>
        <w:widowControl/>
        <w:suppressLineNumbers w:val="0"/>
        <w:shd w:val="clear" w:color="auto" w:fill="FFFFFF"/>
        <w:kinsoku/>
        <w:wordWrap w:val="0"/>
        <w:overflowPunct/>
        <w:topLinePunct w:val="0"/>
        <w:bidi w:val="0"/>
        <w:snapToGrid/>
        <w:spacing w:before="0" w:beforeAutospacing="0" w:after="0" w:afterAutospacing="0" w:line="288" w:lineRule="auto"/>
        <w:ind w:left="0" w:right="0" w:firstLine="420"/>
        <w:jc w:val="left"/>
        <w:textAlignment w:val="auto"/>
        <w:rPr>
          <w:rFonts w:hint="eastAsia" w:ascii="宋体" w:hAnsi="宋体" w:eastAsia="宋体" w:cs="宋体"/>
          <w:color w:val="auto"/>
          <w:kern w:val="44"/>
          <w:sz w:val="24"/>
          <w:szCs w:val="24"/>
          <w:highlight w:val="none"/>
          <w:shd w:val="clear" w:color="auto" w:fill="FFFFFF"/>
          <w:lang w:val="en-US" w:eastAsia="zh-CN" w:bidi="ar"/>
        </w:rPr>
      </w:pPr>
      <w:r>
        <w:rPr>
          <w:rFonts w:hint="eastAsia" w:ascii="宋体" w:hAnsi="宋体" w:eastAsia="宋体" w:cs="宋体"/>
          <w:color w:val="auto"/>
          <w:kern w:val="44"/>
          <w:sz w:val="24"/>
          <w:szCs w:val="24"/>
          <w:highlight w:val="none"/>
          <w:shd w:val="clear" w:color="auto" w:fill="FFFFFF"/>
          <w:lang w:val="en-US" w:eastAsia="zh-CN" w:bidi="ar"/>
        </w:rPr>
        <w:t>8.2.1 由承包人采购、供应的材料，承包人需提前三天向发包人报验并提供详细进货清单，进货清单应含有所进货物的品牌、规格、型号、数量及质量等级等内容，待发包人回复同意后方可进货，若承包人材料进场前未报验、进场材料与报验材料不符及进场材料为假冒伪劣材料的，每发生一例，承包人应向发包人支付违约金30000元。该款项直接从工程进度款中扣除，无需经承包人同意，承包人还应无条件负责将材料退场，并承担由此产生的一切费用及责任，由此延误的工期不予顺延。</w:t>
      </w:r>
    </w:p>
    <w:p w14:paraId="70F7A0BA">
      <w:pPr>
        <w:keepNext w:val="0"/>
        <w:keepLines w:val="0"/>
        <w:pageBreakBefore w:val="0"/>
        <w:widowControl/>
        <w:suppressLineNumbers w:val="0"/>
        <w:shd w:val="clear" w:color="auto" w:fill="FFFFFF"/>
        <w:kinsoku/>
        <w:wordWrap w:val="0"/>
        <w:overflowPunct/>
        <w:topLinePunct w:val="0"/>
        <w:bidi w:val="0"/>
        <w:snapToGrid/>
        <w:spacing w:before="0" w:beforeAutospacing="0" w:after="0" w:afterAutospacing="0" w:line="288" w:lineRule="auto"/>
        <w:ind w:left="0" w:right="0" w:firstLine="420"/>
        <w:jc w:val="left"/>
        <w:textAlignment w:val="auto"/>
        <w:rPr>
          <w:rFonts w:hint="eastAsia" w:ascii="宋体" w:hAnsi="宋体" w:eastAsia="宋体" w:cs="宋体"/>
          <w:color w:val="auto"/>
          <w:kern w:val="44"/>
          <w:sz w:val="24"/>
          <w:szCs w:val="24"/>
          <w:highlight w:val="none"/>
          <w:shd w:val="clear" w:color="auto" w:fill="FFFFFF"/>
          <w:lang w:val="en-US" w:eastAsia="zh-CN" w:bidi="ar"/>
        </w:rPr>
      </w:pPr>
      <w:r>
        <w:rPr>
          <w:rFonts w:hint="eastAsia" w:ascii="宋体" w:hAnsi="宋体" w:eastAsia="宋体" w:cs="宋体"/>
          <w:color w:val="auto"/>
          <w:kern w:val="44"/>
          <w:sz w:val="24"/>
          <w:szCs w:val="24"/>
          <w:highlight w:val="none"/>
          <w:shd w:val="clear" w:color="auto" w:fill="FFFFFF"/>
          <w:lang w:val="en-US" w:eastAsia="zh-CN" w:bidi="ar"/>
        </w:rPr>
        <w:t>8.2.2 承包人采购材料进场同时，需提供与报验相同的产品合格证及相关检测报告，若不能提供的，该批材料按不合格产品清退出场，并按8.2.1条处理。</w:t>
      </w:r>
      <w:bookmarkStart w:id="472" w:name="_Toc508188907"/>
    </w:p>
    <w:bookmarkEnd w:id="472"/>
    <w:p w14:paraId="665C8A72">
      <w:pPr>
        <w:keepNext/>
        <w:keepLines/>
        <w:pageBreakBefore w:val="0"/>
        <w:widowControl/>
        <w:kinsoku/>
        <w:overflowPunct/>
        <w:topLinePunct w:val="0"/>
        <w:bidi w:val="0"/>
        <w:snapToGrid/>
        <w:spacing w:line="288" w:lineRule="auto"/>
        <w:jc w:val="both"/>
        <w:textAlignment w:val="auto"/>
        <w:outlineLvl w:val="2"/>
        <w:rPr>
          <w:rFonts w:hint="eastAsia" w:ascii="宋体" w:hAnsi="宋体" w:eastAsia="宋体" w:cs="宋体"/>
          <w:b/>
          <w:bCs/>
          <w:color w:val="auto"/>
          <w:kern w:val="2"/>
          <w:sz w:val="24"/>
          <w:szCs w:val="24"/>
          <w:highlight w:val="none"/>
          <w:lang w:val="en-US" w:eastAsia="zh-CN" w:bidi="ar-SA"/>
        </w:rPr>
      </w:pPr>
      <w:bookmarkStart w:id="473" w:name="_Toc77255604"/>
      <w:bookmarkStart w:id="474" w:name="_Toc31362"/>
      <w:bookmarkStart w:id="475" w:name="_Toc28469"/>
      <w:bookmarkStart w:id="476" w:name="_Toc73356675"/>
      <w:r>
        <w:rPr>
          <w:rFonts w:hint="eastAsia" w:ascii="宋体" w:hAnsi="宋体" w:eastAsia="宋体" w:cs="宋体"/>
          <w:b/>
          <w:bCs/>
          <w:color w:val="auto"/>
          <w:kern w:val="2"/>
          <w:sz w:val="24"/>
          <w:szCs w:val="24"/>
          <w:highlight w:val="none"/>
          <w:lang w:val="en-US" w:eastAsia="zh-CN" w:bidi="ar-SA"/>
        </w:rPr>
        <w:t>8</w:t>
      </w:r>
      <w:bookmarkStart w:id="477" w:name="_Toc292559372"/>
      <w:bookmarkStart w:id="478" w:name="_Toc296346668"/>
      <w:bookmarkStart w:id="479" w:name="_Toc296890995"/>
      <w:bookmarkStart w:id="480" w:name="_Toc304295556"/>
      <w:bookmarkStart w:id="481" w:name="_Toc312677493"/>
      <w:bookmarkStart w:id="482" w:name="_Toc297048353"/>
      <w:bookmarkStart w:id="483" w:name="_Toc280868654"/>
      <w:bookmarkStart w:id="484" w:name="_Toc297120467"/>
      <w:bookmarkStart w:id="485" w:name="_Toc312678019"/>
      <w:bookmarkStart w:id="486" w:name="_Toc297216186"/>
      <w:bookmarkStart w:id="487" w:name="_Toc297123527"/>
      <w:bookmarkStart w:id="488" w:name="_Toc296944506"/>
      <w:bookmarkStart w:id="489" w:name="_Toc296347166"/>
      <w:bookmarkStart w:id="490" w:name="_Toc300934979"/>
      <w:bookmarkStart w:id="491" w:name="_Toc296891207"/>
      <w:bookmarkStart w:id="492" w:name="_Toc292559877"/>
      <w:bookmarkStart w:id="493" w:name="_Toc296503167"/>
      <w:bookmarkStart w:id="494" w:name="_Toc303539136"/>
      <w:bookmarkStart w:id="495" w:name="_Toc280868656"/>
      <w:bookmarkStart w:id="496" w:name="_Toc267251424"/>
      <w:bookmarkStart w:id="497" w:name="_Toc280868655"/>
      <w:r>
        <w:rPr>
          <w:rFonts w:hint="eastAsia" w:ascii="宋体" w:hAnsi="宋体" w:eastAsia="宋体" w:cs="宋体"/>
          <w:b/>
          <w:bCs/>
          <w:color w:val="auto"/>
          <w:kern w:val="2"/>
          <w:sz w:val="24"/>
          <w:szCs w:val="24"/>
          <w:highlight w:val="none"/>
          <w:lang w:val="en-US" w:eastAsia="zh-CN" w:bidi="ar-SA"/>
        </w:rPr>
        <w:t>.4 材料与工程设备的保管与使用</w:t>
      </w:r>
      <w:bookmarkEnd w:id="469"/>
      <w:bookmarkEnd w:id="470"/>
      <w:bookmarkEnd w:id="471"/>
      <w:bookmarkEnd w:id="473"/>
      <w:bookmarkEnd w:id="474"/>
      <w:bookmarkEnd w:id="475"/>
      <w:bookmarkEnd w:id="476"/>
    </w:p>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p w14:paraId="4D9BB9A2">
      <w:pPr>
        <w:keepNext w:val="0"/>
        <w:keepLines w:val="0"/>
        <w:pageBreakBefore w:val="0"/>
        <w:widowControl w:val="0"/>
        <w:suppressLineNumbers w:val="0"/>
        <w:kinsoku/>
        <w:overflowPunct/>
        <w:topLinePunct w:val="0"/>
        <w:bidi w:val="0"/>
        <w:snapToGrid/>
        <w:spacing w:before="0" w:beforeAutospacing="0" w:after="0" w:afterAutospacing="0" w:line="288" w:lineRule="auto"/>
        <w:ind w:left="0" w:right="0" w:firstLine="480" w:firstLineChars="200"/>
        <w:jc w:val="left"/>
        <w:textAlignment w:val="auto"/>
        <w:rPr>
          <w:rFonts w:hint="eastAsia" w:ascii="宋体" w:hAnsi="宋体" w:eastAsia="宋体" w:cs="宋体"/>
          <w:color w:val="auto"/>
          <w:sz w:val="24"/>
          <w:szCs w:val="24"/>
          <w:highlight w:val="none"/>
          <w:u w:val="single"/>
          <w:lang w:val="en-US"/>
        </w:rPr>
      </w:pPr>
      <w:r>
        <w:rPr>
          <w:rFonts w:hint="eastAsia" w:ascii="宋体" w:hAnsi="宋体" w:eastAsia="宋体" w:cs="宋体"/>
          <w:color w:val="auto"/>
          <w:kern w:val="2"/>
          <w:sz w:val="24"/>
          <w:szCs w:val="24"/>
          <w:highlight w:val="none"/>
          <w:lang w:val="en-US" w:eastAsia="zh-CN" w:bidi="ar"/>
        </w:rPr>
        <w:t>8</w:t>
      </w:r>
      <w:bookmarkStart w:id="498" w:name="_Toc292559878"/>
      <w:bookmarkStart w:id="499" w:name="_Toc292559373"/>
      <w:bookmarkStart w:id="500" w:name="_Toc303539137"/>
      <w:bookmarkStart w:id="501" w:name="_Toc296891208"/>
      <w:bookmarkStart w:id="502" w:name="_Toc297048354"/>
      <w:bookmarkStart w:id="503" w:name="_Toc304295557"/>
      <w:bookmarkStart w:id="504" w:name="_Toc296890996"/>
      <w:bookmarkStart w:id="505" w:name="_Toc296503168"/>
      <w:bookmarkStart w:id="506" w:name="_Toc296346669"/>
      <w:bookmarkStart w:id="507" w:name="_Toc297120468"/>
      <w:bookmarkStart w:id="508" w:name="_Toc297216187"/>
      <w:bookmarkStart w:id="509" w:name="_Toc296347167"/>
      <w:bookmarkStart w:id="510" w:name="_Toc297123528"/>
      <w:bookmarkStart w:id="511" w:name="_Toc318581173"/>
      <w:bookmarkStart w:id="512" w:name="_Toc296944507"/>
      <w:bookmarkStart w:id="513" w:name="_Toc312677494"/>
      <w:bookmarkStart w:id="514" w:name="_Toc300934980"/>
      <w:bookmarkStart w:id="515" w:name="_Toc312678020"/>
      <w:r>
        <w:rPr>
          <w:rFonts w:hint="eastAsia" w:ascii="宋体" w:hAnsi="宋体" w:eastAsia="宋体" w:cs="宋体"/>
          <w:color w:val="auto"/>
          <w:kern w:val="2"/>
          <w:sz w:val="24"/>
          <w:szCs w:val="24"/>
          <w:highlight w:val="none"/>
          <w:lang w:val="en-US" w:eastAsia="zh-CN" w:bidi="ar"/>
        </w:rPr>
        <w:t>.4.1发包人供应的材料设备的保管费用的承担：</w:t>
      </w:r>
      <w:r>
        <w:rPr>
          <w:rFonts w:hint="eastAsia" w:ascii="宋体" w:hAnsi="宋体" w:eastAsia="宋体" w:cs="宋体"/>
          <w:color w:val="auto"/>
          <w:kern w:val="2"/>
          <w:sz w:val="24"/>
          <w:szCs w:val="24"/>
          <w:highlight w:val="none"/>
          <w:u w:val="single"/>
          <w:lang w:val="en-US" w:eastAsia="zh-CN" w:bidi="ar"/>
        </w:rPr>
        <w:t>由承包人承担</w:t>
      </w:r>
      <w:r>
        <w:rPr>
          <w:rFonts w:hint="eastAsia" w:ascii="宋体" w:hAnsi="宋体" w:eastAsia="宋体" w:cs="宋体"/>
          <w:color w:val="auto"/>
          <w:kern w:val="2"/>
          <w:sz w:val="24"/>
          <w:szCs w:val="24"/>
          <w:highlight w:val="none"/>
          <w:lang w:val="en-US" w:eastAsia="zh-CN" w:bidi="ar"/>
        </w:rPr>
        <w:t>。</w:t>
      </w:r>
    </w:p>
    <w:bookmarkEnd w:id="498"/>
    <w:bookmarkEnd w:id="499"/>
    <w:p w14:paraId="51725CC7">
      <w:pPr>
        <w:keepNext/>
        <w:keepLines/>
        <w:pageBreakBefore w:val="0"/>
        <w:widowControl/>
        <w:kinsoku/>
        <w:overflowPunct/>
        <w:topLinePunct w:val="0"/>
        <w:bidi w:val="0"/>
        <w:snapToGrid/>
        <w:spacing w:line="288" w:lineRule="auto"/>
        <w:jc w:val="both"/>
        <w:textAlignment w:val="auto"/>
        <w:outlineLvl w:val="2"/>
        <w:rPr>
          <w:rFonts w:hint="eastAsia" w:ascii="宋体" w:hAnsi="宋体" w:eastAsia="宋体" w:cs="宋体"/>
          <w:b/>
          <w:bCs/>
          <w:color w:val="auto"/>
          <w:kern w:val="2"/>
          <w:sz w:val="24"/>
          <w:szCs w:val="24"/>
          <w:highlight w:val="none"/>
          <w:lang w:val="en-US" w:eastAsia="zh-CN" w:bidi="ar-SA"/>
        </w:rPr>
      </w:pPr>
      <w:bookmarkStart w:id="516" w:name="_Toc77255605"/>
      <w:bookmarkStart w:id="517" w:name="_Toc12014"/>
      <w:bookmarkStart w:id="518" w:name="_Toc373227734"/>
      <w:bookmarkStart w:id="519" w:name="_Toc389065300"/>
      <w:bookmarkStart w:id="520" w:name="_Toc373478381"/>
      <w:bookmarkStart w:id="521" w:name="_Toc73356676"/>
      <w:bookmarkStart w:id="522" w:name="_Toc19090"/>
      <w:r>
        <w:rPr>
          <w:rFonts w:hint="eastAsia" w:ascii="宋体" w:hAnsi="宋体" w:eastAsia="宋体" w:cs="宋体"/>
          <w:b/>
          <w:bCs/>
          <w:color w:val="auto"/>
          <w:kern w:val="2"/>
          <w:sz w:val="24"/>
          <w:szCs w:val="24"/>
          <w:highlight w:val="none"/>
          <w:lang w:val="en-US" w:eastAsia="zh-CN" w:bidi="ar-SA"/>
        </w:rPr>
        <w:t>8.6 样品</w:t>
      </w:r>
      <w:bookmarkEnd w:id="516"/>
      <w:bookmarkEnd w:id="517"/>
      <w:bookmarkEnd w:id="518"/>
      <w:bookmarkEnd w:id="519"/>
      <w:bookmarkEnd w:id="520"/>
      <w:bookmarkEnd w:id="521"/>
      <w:bookmarkEnd w:id="522"/>
    </w:p>
    <w:p w14:paraId="5AD47E1F">
      <w:pPr>
        <w:keepNext w:val="0"/>
        <w:keepLines w:val="0"/>
        <w:pageBreakBefore w:val="0"/>
        <w:widowControl w:val="0"/>
        <w:suppressLineNumbers w:val="0"/>
        <w:kinsoku/>
        <w:overflowPunct/>
        <w:topLinePunct w:val="0"/>
        <w:autoSpaceDE w:val="0"/>
        <w:autoSpaceDN w:val="0"/>
        <w:bidi w:val="0"/>
        <w:adjustRightInd w:val="0"/>
        <w:snapToGrid/>
        <w:spacing w:before="0" w:beforeAutospacing="0" w:after="0" w:afterAutospacing="0" w:line="288" w:lineRule="auto"/>
        <w:ind w:left="0" w:right="0" w:firstLine="480" w:firstLineChars="200"/>
        <w:jc w:val="left"/>
        <w:textAlignment w:val="auto"/>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lang w:val="en-US" w:eastAsia="zh-CN" w:bidi="ar"/>
        </w:rPr>
        <w:t>8.6.1 样品的报送与封存</w:t>
      </w:r>
    </w:p>
    <w:p w14:paraId="0FCB36B2">
      <w:pPr>
        <w:keepNext w:val="0"/>
        <w:keepLines w:val="0"/>
        <w:pageBreakBefore w:val="0"/>
        <w:widowControl w:val="0"/>
        <w:suppressLineNumbers w:val="0"/>
        <w:kinsoku/>
        <w:overflowPunct/>
        <w:topLinePunct w:val="0"/>
        <w:autoSpaceDE w:val="0"/>
        <w:autoSpaceDN w:val="0"/>
        <w:bidi w:val="0"/>
        <w:adjustRightInd w:val="0"/>
        <w:snapToGrid/>
        <w:spacing w:before="0" w:beforeAutospacing="0" w:after="0" w:afterAutospacing="0" w:line="288" w:lineRule="auto"/>
        <w:ind w:left="0" w:right="0" w:firstLine="480" w:firstLineChars="200"/>
        <w:jc w:val="left"/>
        <w:textAlignment w:val="auto"/>
        <w:rPr>
          <w:rFonts w:hint="eastAsia" w:ascii="宋体" w:hAnsi="宋体" w:eastAsia="宋体" w:cs="宋体"/>
          <w:color w:val="auto"/>
          <w:sz w:val="24"/>
          <w:szCs w:val="24"/>
          <w:highlight w:val="none"/>
          <w:u w:val="single"/>
          <w:lang w:val="en-US"/>
        </w:rPr>
      </w:pPr>
      <w:r>
        <w:rPr>
          <w:rFonts w:hint="eastAsia" w:ascii="宋体" w:hAnsi="宋体" w:eastAsia="宋体" w:cs="宋体"/>
          <w:color w:val="auto"/>
          <w:kern w:val="0"/>
          <w:sz w:val="24"/>
          <w:szCs w:val="24"/>
          <w:highlight w:val="none"/>
          <w:lang w:val="en-US" w:eastAsia="zh-CN" w:bidi="ar"/>
        </w:rPr>
        <w:t>需要承包人报送样品的材料或工程设备，样品的种类、名称、规格、数量要求：</w:t>
      </w:r>
      <w:r>
        <w:rPr>
          <w:rFonts w:hint="eastAsia" w:ascii="宋体" w:hAnsi="宋体" w:eastAsia="宋体" w:cs="宋体"/>
          <w:color w:val="auto"/>
          <w:kern w:val="2"/>
          <w:sz w:val="24"/>
          <w:szCs w:val="24"/>
          <w:highlight w:val="none"/>
          <w:u w:val="single"/>
          <w:lang w:val="en-US" w:eastAsia="zh-CN" w:bidi="ar"/>
        </w:rPr>
        <w:t>主要材料涉及品种、款式、颜色等方面内容的，承包人应提交准备合格的材料样品送发包人选定。</w:t>
      </w:r>
    </w:p>
    <w:p w14:paraId="38BCAEFF">
      <w:pPr>
        <w:keepNext/>
        <w:keepLines/>
        <w:pageBreakBefore w:val="0"/>
        <w:widowControl/>
        <w:kinsoku/>
        <w:overflowPunct/>
        <w:topLinePunct w:val="0"/>
        <w:bidi w:val="0"/>
        <w:snapToGrid/>
        <w:spacing w:line="288" w:lineRule="auto"/>
        <w:jc w:val="both"/>
        <w:textAlignment w:val="auto"/>
        <w:outlineLvl w:val="2"/>
        <w:rPr>
          <w:rFonts w:hint="eastAsia" w:ascii="宋体" w:hAnsi="宋体" w:eastAsia="宋体" w:cs="宋体"/>
          <w:b/>
          <w:bCs/>
          <w:color w:val="auto"/>
          <w:kern w:val="2"/>
          <w:sz w:val="24"/>
          <w:szCs w:val="24"/>
          <w:highlight w:val="none"/>
          <w:lang w:val="en-US" w:eastAsia="zh-CN" w:bidi="ar-SA"/>
        </w:rPr>
      </w:pPr>
      <w:bookmarkStart w:id="523" w:name="_Toc73356677"/>
      <w:bookmarkStart w:id="524" w:name="_Toc19468"/>
      <w:bookmarkStart w:id="525" w:name="_Toc373478382"/>
      <w:bookmarkStart w:id="526" w:name="_Toc373227735"/>
      <w:bookmarkStart w:id="527" w:name="_Toc15538"/>
      <w:bookmarkStart w:id="528" w:name="_Toc389065301"/>
      <w:bookmarkStart w:id="529" w:name="_Toc77255606"/>
      <w:r>
        <w:rPr>
          <w:rFonts w:hint="eastAsia" w:ascii="宋体" w:hAnsi="宋体" w:eastAsia="宋体" w:cs="宋体"/>
          <w:b/>
          <w:bCs/>
          <w:color w:val="auto"/>
          <w:kern w:val="2"/>
          <w:sz w:val="24"/>
          <w:szCs w:val="24"/>
          <w:highlight w:val="none"/>
          <w:lang w:val="en-US" w:eastAsia="zh-CN" w:bidi="ar-SA"/>
        </w:rPr>
        <w:t>8.8 施工设备和临时设施</w:t>
      </w:r>
      <w:bookmarkEnd w:id="523"/>
      <w:bookmarkEnd w:id="524"/>
      <w:bookmarkEnd w:id="525"/>
      <w:bookmarkEnd w:id="526"/>
      <w:bookmarkEnd w:id="527"/>
      <w:bookmarkEnd w:id="528"/>
      <w:bookmarkEnd w:id="529"/>
    </w:p>
    <w:p w14:paraId="1A3BC6C2">
      <w:pPr>
        <w:keepNext w:val="0"/>
        <w:keepLines w:val="0"/>
        <w:pageBreakBefore w:val="0"/>
        <w:widowControl w:val="0"/>
        <w:suppressLineNumbers w:val="0"/>
        <w:kinsoku/>
        <w:overflowPunct/>
        <w:topLinePunct w:val="0"/>
        <w:autoSpaceDE w:val="0"/>
        <w:autoSpaceDN w:val="0"/>
        <w:bidi w:val="0"/>
        <w:adjustRightInd w:val="0"/>
        <w:snapToGrid/>
        <w:spacing w:before="0" w:beforeAutospacing="0" w:after="0" w:afterAutospacing="0" w:line="288" w:lineRule="auto"/>
        <w:ind w:left="0" w:right="0" w:firstLine="480" w:firstLineChars="200"/>
        <w:jc w:val="left"/>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bidi="ar"/>
        </w:rPr>
        <w:t>8.8.1 承包人提供的施工设备和临时设施</w:t>
      </w:r>
    </w:p>
    <w:p w14:paraId="79DAA6A5">
      <w:pPr>
        <w:keepNext w:val="0"/>
        <w:keepLines w:val="0"/>
        <w:pageBreakBefore w:val="0"/>
        <w:widowControl w:val="0"/>
        <w:suppressLineNumbers w:val="0"/>
        <w:kinsoku/>
        <w:overflowPunct/>
        <w:topLinePunct w:val="0"/>
        <w:autoSpaceDE w:val="0"/>
        <w:autoSpaceDN w:val="0"/>
        <w:bidi w:val="0"/>
        <w:adjustRightInd w:val="0"/>
        <w:snapToGrid/>
        <w:spacing w:before="0" w:beforeAutospacing="0" w:after="0" w:afterAutospacing="0" w:line="288" w:lineRule="auto"/>
        <w:ind w:left="0" w:right="0" w:firstLine="480" w:firstLineChars="200"/>
        <w:jc w:val="left"/>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bidi="ar"/>
        </w:rPr>
        <w:t>除专用合同条款另有约定的其他独立承包人提供外，承包人运入施工场地的所有施工设备以及在施工场地建设的临时设施仅限于用于合同工程。承包人用于本工程的主要机械设备清单见合同附件5。</w:t>
      </w:r>
    </w:p>
    <w:p w14:paraId="6033E520">
      <w:pPr>
        <w:keepNext w:val="0"/>
        <w:keepLines w:val="0"/>
        <w:pageBreakBefore w:val="0"/>
        <w:widowControl w:val="0"/>
        <w:suppressLineNumbers w:val="0"/>
        <w:kinsoku/>
        <w:overflowPunct/>
        <w:topLinePunct w:val="0"/>
        <w:autoSpaceDE w:val="0"/>
        <w:autoSpaceDN w:val="0"/>
        <w:bidi w:val="0"/>
        <w:adjustRightInd w:val="0"/>
        <w:snapToGrid/>
        <w:spacing w:before="0" w:beforeAutospacing="0" w:after="0" w:afterAutospacing="0" w:line="288" w:lineRule="auto"/>
        <w:ind w:left="0" w:right="0" w:firstLine="480" w:firstLineChars="200"/>
        <w:jc w:val="left"/>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bidi="ar"/>
        </w:rPr>
        <w:t>关于修建临时设施费用承担的约定：</w:t>
      </w:r>
    </w:p>
    <w:p w14:paraId="258C5A2A">
      <w:pPr>
        <w:keepNext w:val="0"/>
        <w:keepLines w:val="0"/>
        <w:pageBreakBefore w:val="0"/>
        <w:widowControl w:val="0"/>
        <w:suppressLineNumbers w:val="0"/>
        <w:kinsoku/>
        <w:wordWrap w:val="0"/>
        <w:overflowPunct/>
        <w:topLinePunct w:val="0"/>
        <w:autoSpaceDE w:val="0"/>
        <w:autoSpaceDN w:val="0"/>
        <w:bidi w:val="0"/>
        <w:adjustRightInd w:val="0"/>
        <w:snapToGrid/>
        <w:spacing w:before="0" w:beforeAutospacing="0" w:after="0" w:afterAutospacing="0" w:line="288" w:lineRule="auto"/>
        <w:ind w:left="0" w:right="0" w:firstLine="480" w:firstLineChars="200"/>
        <w:jc w:val="left"/>
        <w:textAlignment w:val="auto"/>
        <w:rPr>
          <w:rFonts w:hint="eastAsia" w:ascii="宋体" w:hAnsi="宋体" w:eastAsia="宋体" w:cs="宋体"/>
          <w:color w:val="auto"/>
          <w:sz w:val="24"/>
          <w:szCs w:val="24"/>
          <w:highlight w:val="none"/>
          <w:u w:val="single"/>
          <w:lang w:val="en-US"/>
        </w:rPr>
      </w:pPr>
      <w:r>
        <w:rPr>
          <w:rFonts w:hint="eastAsia" w:ascii="宋体" w:hAnsi="宋体" w:eastAsia="宋体" w:cs="宋体"/>
          <w:color w:val="auto"/>
          <w:kern w:val="2"/>
          <w:sz w:val="24"/>
          <w:szCs w:val="24"/>
          <w:highlight w:val="none"/>
          <w:u w:val="single"/>
          <w:lang w:val="en-US" w:eastAsia="zh-CN" w:bidi="ar"/>
        </w:rPr>
        <w:t>①承包人的临时用地（含项目部驻地等）租用费（含拆迁补偿）、临时用地的环保、恢复、临时用地的青苗补偿及地面附着物拆除等费用均由承包人负责，以上费用在投标报价中综合考虑。</w:t>
      </w:r>
    </w:p>
    <w:p w14:paraId="02A52C50">
      <w:pPr>
        <w:keepNext w:val="0"/>
        <w:keepLines w:val="0"/>
        <w:pageBreakBefore w:val="0"/>
        <w:widowControl w:val="0"/>
        <w:suppressLineNumbers w:val="0"/>
        <w:kinsoku/>
        <w:wordWrap w:val="0"/>
        <w:overflowPunct/>
        <w:topLinePunct w:val="0"/>
        <w:autoSpaceDE w:val="0"/>
        <w:autoSpaceDN w:val="0"/>
        <w:bidi w:val="0"/>
        <w:adjustRightInd w:val="0"/>
        <w:snapToGrid/>
        <w:spacing w:before="0" w:beforeAutospacing="0" w:after="0" w:afterAutospacing="0" w:line="288" w:lineRule="auto"/>
        <w:ind w:left="0" w:right="0" w:firstLine="480" w:firstLineChars="200"/>
        <w:jc w:val="left"/>
        <w:textAlignment w:val="auto"/>
        <w:rPr>
          <w:rFonts w:hint="eastAsia" w:ascii="宋体" w:hAnsi="宋体" w:eastAsia="宋体" w:cs="宋体"/>
          <w:color w:val="auto"/>
          <w:sz w:val="24"/>
          <w:szCs w:val="24"/>
          <w:highlight w:val="none"/>
          <w:u w:val="single"/>
          <w:lang w:val="en-US"/>
        </w:rPr>
      </w:pPr>
      <w:r>
        <w:rPr>
          <w:rFonts w:hint="eastAsia" w:ascii="宋体" w:hAnsi="宋体" w:eastAsia="宋体" w:cs="宋体"/>
          <w:color w:val="auto"/>
          <w:kern w:val="2"/>
          <w:sz w:val="24"/>
          <w:szCs w:val="24"/>
          <w:highlight w:val="none"/>
          <w:u w:val="single"/>
          <w:lang w:val="en-US" w:eastAsia="zh-CN" w:bidi="ar"/>
        </w:rPr>
        <w:t>②承包人负责合同实施期间其合同段内临时交通道路（含场内外连接公共交通道路）和交通设施的修建、维修、养护和交通管理工作，并承担一切费用。</w:t>
      </w:r>
    </w:p>
    <w:p w14:paraId="168BB08B">
      <w:pPr>
        <w:keepNext w:val="0"/>
        <w:keepLines w:val="0"/>
        <w:pageBreakBefore w:val="0"/>
        <w:widowControl w:val="0"/>
        <w:suppressLineNumbers w:val="0"/>
        <w:kinsoku/>
        <w:wordWrap w:val="0"/>
        <w:overflowPunct/>
        <w:topLinePunct w:val="0"/>
        <w:autoSpaceDE w:val="0"/>
        <w:autoSpaceDN w:val="0"/>
        <w:bidi w:val="0"/>
        <w:adjustRightInd w:val="0"/>
        <w:snapToGrid/>
        <w:spacing w:before="0" w:beforeAutospacing="0" w:after="0" w:afterAutospacing="0" w:line="288" w:lineRule="auto"/>
        <w:ind w:left="0" w:right="0" w:firstLine="480" w:firstLineChars="200"/>
        <w:jc w:val="left"/>
        <w:textAlignment w:val="auto"/>
        <w:rPr>
          <w:rFonts w:hint="eastAsia" w:ascii="宋体" w:hAnsi="宋体" w:eastAsia="宋体" w:cs="宋体"/>
          <w:color w:val="auto"/>
          <w:sz w:val="24"/>
          <w:szCs w:val="24"/>
          <w:highlight w:val="none"/>
          <w:u w:val="single"/>
          <w:lang w:val="en-US"/>
        </w:rPr>
      </w:pPr>
      <w:r>
        <w:rPr>
          <w:rFonts w:hint="eastAsia" w:ascii="宋体" w:hAnsi="宋体" w:eastAsia="宋体" w:cs="宋体"/>
          <w:color w:val="auto"/>
          <w:kern w:val="2"/>
          <w:sz w:val="24"/>
          <w:szCs w:val="24"/>
          <w:highlight w:val="none"/>
          <w:u w:val="single"/>
          <w:lang w:val="en-US" w:eastAsia="zh-CN" w:bidi="ar"/>
        </w:rPr>
        <w:t>③承包人修建的临时道路和交通设施，应免费提供给发包人和其他合同段的承包人使用，如共同使用的路基损坏严重，发包人将负责通知有关承包人共同出资修复，若使用频率相差悬殊，则按比例分摊。</w:t>
      </w:r>
    </w:p>
    <w:p w14:paraId="6DE6DEA2">
      <w:pPr>
        <w:keepNext w:val="0"/>
        <w:keepLines w:val="0"/>
        <w:pageBreakBefore w:val="0"/>
        <w:widowControl w:val="0"/>
        <w:suppressLineNumbers w:val="0"/>
        <w:kinsoku/>
        <w:overflowPunct/>
        <w:topLinePunct w:val="0"/>
        <w:autoSpaceDE w:val="0"/>
        <w:autoSpaceDN w:val="0"/>
        <w:bidi w:val="0"/>
        <w:adjustRightInd w:val="0"/>
        <w:snapToGrid/>
        <w:spacing w:before="0" w:beforeAutospacing="0" w:after="0" w:afterAutospacing="0" w:line="288" w:lineRule="auto"/>
        <w:ind w:left="0" w:right="0" w:firstLine="480" w:firstLineChars="200"/>
        <w:jc w:val="left"/>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bidi="ar"/>
        </w:rPr>
        <w:t>8.8.2 发包人提供的施工设备和临时设施</w:t>
      </w:r>
    </w:p>
    <w:p w14:paraId="73C3D614">
      <w:pPr>
        <w:keepNext w:val="0"/>
        <w:keepLines w:val="0"/>
        <w:pageBreakBefore w:val="0"/>
        <w:widowControl/>
        <w:suppressLineNumbers w:val="0"/>
        <w:kinsoku/>
        <w:wordWrap w:val="0"/>
        <w:overflowPunct/>
        <w:topLinePunct w:val="0"/>
        <w:autoSpaceDE w:val="0"/>
        <w:autoSpaceDN w:val="0"/>
        <w:bidi w:val="0"/>
        <w:adjustRightInd w:val="0"/>
        <w:snapToGrid/>
        <w:spacing w:before="0" w:beforeAutospacing="0" w:after="0" w:afterAutospacing="0" w:line="288" w:lineRule="auto"/>
        <w:ind w:left="0" w:right="0" w:firstLine="480" w:firstLineChars="200"/>
        <w:jc w:val="left"/>
        <w:textAlignment w:val="auto"/>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发包人提供的施工设备和临时设施：除专用合同条款另有约定的其他独立承包人提供外，承包人运入施工场地的所有施工设备以及在施工场地建设的临时设施仅限于用本合同工程，</w:t>
      </w:r>
      <w:r>
        <w:rPr>
          <w:rFonts w:hint="eastAsia" w:ascii="宋体" w:hAnsi="宋体" w:eastAsia="宋体" w:cs="宋体"/>
          <w:color w:val="auto"/>
          <w:kern w:val="2"/>
          <w:sz w:val="24"/>
          <w:szCs w:val="24"/>
          <w:highlight w:val="none"/>
          <w:u w:val="single"/>
          <w:lang w:val="en-US" w:eastAsia="zh-CN" w:bidi="ar"/>
        </w:rPr>
        <w:t>免费提供给发包人和其他施工人员用于本工程项目相关配套工程</w:t>
      </w:r>
      <w:r>
        <w:rPr>
          <w:rFonts w:hint="eastAsia" w:ascii="宋体" w:hAnsi="宋体" w:eastAsia="宋体" w:cs="宋体"/>
          <w:color w:val="auto"/>
          <w:kern w:val="2"/>
          <w:sz w:val="24"/>
          <w:szCs w:val="24"/>
          <w:highlight w:val="none"/>
          <w:lang w:val="en-US" w:eastAsia="zh-CN" w:bidi="ar"/>
        </w:rPr>
        <w:t>。</w:t>
      </w:r>
    </w:p>
    <w:p w14:paraId="28EF1B81">
      <w:pPr>
        <w:keepNext w:val="0"/>
        <w:keepLines w:val="0"/>
        <w:pageBreakBefore w:val="0"/>
        <w:widowControl/>
        <w:suppressLineNumbers w:val="0"/>
        <w:kinsoku/>
        <w:wordWrap w:val="0"/>
        <w:overflowPunct/>
        <w:topLinePunct w:val="0"/>
        <w:autoSpaceDE w:val="0"/>
        <w:autoSpaceDN w:val="0"/>
        <w:bidi w:val="0"/>
        <w:adjustRightInd w:val="0"/>
        <w:snapToGrid/>
        <w:spacing w:before="0" w:beforeAutospacing="0" w:after="0" w:afterAutospacing="0" w:line="288" w:lineRule="auto"/>
        <w:ind w:left="0" w:right="0" w:firstLine="480" w:firstLineChars="200"/>
        <w:jc w:val="left"/>
        <w:textAlignment w:val="auto"/>
        <w:rPr>
          <w:rFonts w:hint="eastAsia" w:ascii="宋体" w:hAnsi="宋体" w:eastAsia="宋体" w:cs="宋体"/>
          <w:color w:val="auto"/>
          <w:kern w:val="2"/>
          <w:sz w:val="24"/>
          <w:szCs w:val="24"/>
          <w:highlight w:val="none"/>
          <w:u w:val="single"/>
          <w:lang w:val="en-US" w:eastAsia="zh-CN" w:bidi="ar"/>
        </w:rPr>
      </w:pPr>
      <w:r>
        <w:rPr>
          <w:rFonts w:hint="eastAsia" w:ascii="宋体" w:hAnsi="宋体" w:eastAsia="宋体" w:cs="宋体"/>
          <w:color w:val="auto"/>
          <w:kern w:val="2"/>
          <w:sz w:val="24"/>
          <w:szCs w:val="24"/>
          <w:highlight w:val="none"/>
          <w:lang w:val="en-US" w:eastAsia="zh-CN" w:bidi="ar"/>
        </w:rPr>
        <w:t>发包人提供的施工设备和临时设施的运行、维护、拆除、清运费用的承担人：</w:t>
      </w:r>
      <w:r>
        <w:rPr>
          <w:rFonts w:hint="eastAsia" w:ascii="宋体" w:hAnsi="宋体" w:eastAsia="宋体" w:cs="宋体"/>
          <w:color w:val="auto"/>
          <w:kern w:val="2"/>
          <w:sz w:val="24"/>
          <w:szCs w:val="24"/>
          <w:highlight w:val="none"/>
          <w:u w:val="single"/>
          <w:lang w:val="en-US" w:eastAsia="zh-CN" w:bidi="ar"/>
        </w:rPr>
        <w:t>①承包人的临时用地（含项目部驻地等）租用费（含拆迁补偿）、临时用地的环保、恢复、临时用地的青苗补偿及地面附着物拆除等费用均由承包人负责，以上费用在投标报价中综合考虑。</w:t>
      </w:r>
    </w:p>
    <w:p w14:paraId="67A1EA7D">
      <w:pPr>
        <w:keepNext w:val="0"/>
        <w:keepLines w:val="0"/>
        <w:pageBreakBefore w:val="0"/>
        <w:widowControl/>
        <w:suppressLineNumbers w:val="0"/>
        <w:kinsoku/>
        <w:wordWrap w:val="0"/>
        <w:overflowPunct/>
        <w:topLinePunct w:val="0"/>
        <w:autoSpaceDE w:val="0"/>
        <w:autoSpaceDN w:val="0"/>
        <w:bidi w:val="0"/>
        <w:adjustRightInd w:val="0"/>
        <w:snapToGrid/>
        <w:spacing w:before="0" w:beforeAutospacing="0" w:after="0" w:afterAutospacing="0" w:line="288" w:lineRule="auto"/>
        <w:ind w:left="0" w:right="0" w:firstLine="480" w:firstLineChars="200"/>
        <w:jc w:val="left"/>
        <w:textAlignment w:val="auto"/>
        <w:rPr>
          <w:rFonts w:hint="eastAsia" w:ascii="宋体" w:hAnsi="宋体" w:eastAsia="宋体" w:cs="宋体"/>
          <w:color w:val="auto"/>
          <w:kern w:val="2"/>
          <w:sz w:val="24"/>
          <w:szCs w:val="24"/>
          <w:highlight w:val="none"/>
          <w:u w:val="single"/>
          <w:lang w:val="en-US" w:eastAsia="zh-CN" w:bidi="ar"/>
        </w:rPr>
      </w:pPr>
      <w:r>
        <w:rPr>
          <w:rFonts w:hint="eastAsia" w:ascii="宋体" w:hAnsi="宋体" w:eastAsia="宋体" w:cs="宋体"/>
          <w:color w:val="auto"/>
          <w:kern w:val="2"/>
          <w:sz w:val="24"/>
          <w:szCs w:val="24"/>
          <w:highlight w:val="none"/>
          <w:u w:val="single"/>
          <w:lang w:val="en-US" w:eastAsia="zh-CN" w:bidi="ar"/>
        </w:rPr>
        <w:t>②承包人负责合同实施期间其合同段内临时交通道路（含场内外连接公共交通道路）和交通设施的修建、维修、养护和交通管理工作，并承担一切费用。</w:t>
      </w:r>
    </w:p>
    <w:p w14:paraId="545A3001">
      <w:pPr>
        <w:keepNext w:val="0"/>
        <w:keepLines w:val="0"/>
        <w:pageBreakBefore w:val="0"/>
        <w:widowControl/>
        <w:suppressLineNumbers w:val="0"/>
        <w:kinsoku/>
        <w:wordWrap w:val="0"/>
        <w:overflowPunct/>
        <w:topLinePunct w:val="0"/>
        <w:autoSpaceDE w:val="0"/>
        <w:autoSpaceDN w:val="0"/>
        <w:bidi w:val="0"/>
        <w:adjustRightInd w:val="0"/>
        <w:snapToGrid/>
        <w:spacing w:before="0" w:beforeAutospacing="0" w:after="0" w:afterAutospacing="0" w:line="288" w:lineRule="auto"/>
        <w:ind w:left="0" w:right="0" w:firstLine="480" w:firstLineChars="200"/>
        <w:jc w:val="left"/>
        <w:textAlignment w:val="auto"/>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u w:val="single"/>
          <w:lang w:val="en-US" w:eastAsia="zh-CN" w:bidi="ar"/>
        </w:rPr>
        <w:t>③承包人修建的临时道路和交通设施，应免费提供给发包人和其他合同段的承包人使用，如共同使用的路基损坏严重，发包人将负责通知有关承包人共同出资修复，若使用频率相差悬殊，则按比例分摊</w:t>
      </w:r>
      <w:r>
        <w:rPr>
          <w:rFonts w:hint="eastAsia" w:ascii="宋体" w:hAnsi="宋体" w:eastAsia="宋体" w:cs="宋体"/>
          <w:color w:val="auto"/>
          <w:kern w:val="2"/>
          <w:sz w:val="24"/>
          <w:szCs w:val="24"/>
          <w:highlight w:val="none"/>
          <w:lang w:val="en-US" w:eastAsia="zh-CN" w:bidi="ar"/>
        </w:rPr>
        <w:t>。</w:t>
      </w:r>
    </w:p>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p w14:paraId="0B1A6B0F">
      <w:pPr>
        <w:keepNext/>
        <w:keepLines/>
        <w:pageBreakBefore w:val="0"/>
        <w:widowControl/>
        <w:kinsoku/>
        <w:overflowPunct/>
        <w:topLinePunct w:val="0"/>
        <w:bidi w:val="0"/>
        <w:snapToGrid/>
        <w:spacing w:line="288" w:lineRule="auto"/>
        <w:jc w:val="left"/>
        <w:textAlignment w:val="auto"/>
        <w:outlineLvl w:val="1"/>
        <w:rPr>
          <w:rFonts w:hint="eastAsia" w:ascii="宋体" w:hAnsi="宋体" w:eastAsia="宋体" w:cs="宋体"/>
          <w:b/>
          <w:bCs/>
          <w:color w:val="auto"/>
          <w:kern w:val="44"/>
          <w:sz w:val="24"/>
          <w:szCs w:val="24"/>
          <w:highlight w:val="none"/>
          <w:lang w:val="en-US" w:eastAsia="zh-CN" w:bidi="ar-SA"/>
        </w:rPr>
      </w:pPr>
      <w:bookmarkStart w:id="530" w:name="_Toc77255607"/>
      <w:bookmarkStart w:id="531" w:name="_Toc28880"/>
      <w:bookmarkStart w:id="532" w:name="_Toc373478383"/>
      <w:bookmarkStart w:id="533" w:name="_Toc73356678"/>
      <w:bookmarkStart w:id="534" w:name="_Toc5708"/>
      <w:bookmarkStart w:id="535" w:name="_Toc351203641"/>
      <w:bookmarkStart w:id="536" w:name="_Toc389065302"/>
      <w:bookmarkStart w:id="537" w:name="_Toc373227736"/>
      <w:r>
        <w:rPr>
          <w:rFonts w:hint="eastAsia" w:ascii="宋体" w:hAnsi="宋体" w:eastAsia="宋体" w:cs="宋体"/>
          <w:b/>
          <w:bCs/>
          <w:color w:val="auto"/>
          <w:kern w:val="44"/>
          <w:sz w:val="24"/>
          <w:szCs w:val="24"/>
          <w:highlight w:val="none"/>
          <w:lang w:val="en-US" w:eastAsia="zh-CN" w:bidi="ar-SA"/>
        </w:rPr>
        <w:t>9</w:t>
      </w:r>
      <w:bookmarkEnd w:id="495"/>
      <w:bookmarkEnd w:id="496"/>
      <w:bookmarkEnd w:id="497"/>
      <w:bookmarkStart w:id="538" w:name="_Toc297123533"/>
      <w:bookmarkStart w:id="539" w:name="_Toc312677495"/>
      <w:bookmarkStart w:id="540" w:name="_Toc300934982"/>
      <w:bookmarkStart w:id="541" w:name="_Toc304295559"/>
      <w:bookmarkStart w:id="542" w:name="_Toc312678021"/>
      <w:bookmarkStart w:id="543" w:name="_Toc303539139"/>
      <w:bookmarkStart w:id="544" w:name="_Toc297216192"/>
      <w:bookmarkStart w:id="545" w:name="_Toc297120473"/>
      <w:bookmarkStart w:id="546" w:name="_Toc296891213"/>
      <w:bookmarkStart w:id="547" w:name="_Toc292559378"/>
      <w:bookmarkStart w:id="548" w:name="_Toc292559883"/>
      <w:bookmarkStart w:id="549" w:name="_Toc296891001"/>
      <w:bookmarkStart w:id="550" w:name="_Toc296503173"/>
      <w:bookmarkStart w:id="551" w:name="_Toc296944512"/>
      <w:bookmarkStart w:id="552" w:name="_Toc296346674"/>
      <w:bookmarkStart w:id="553" w:name="_Toc296347172"/>
      <w:bookmarkStart w:id="554" w:name="_Toc267251428"/>
      <w:bookmarkStart w:id="555" w:name="_Toc297048359"/>
      <w:bookmarkStart w:id="556" w:name="_Toc267251427"/>
      <w:r>
        <w:rPr>
          <w:rFonts w:hint="eastAsia" w:ascii="宋体" w:hAnsi="宋体" w:eastAsia="宋体" w:cs="宋体"/>
          <w:b/>
          <w:bCs/>
          <w:color w:val="auto"/>
          <w:kern w:val="44"/>
          <w:sz w:val="24"/>
          <w:szCs w:val="24"/>
          <w:highlight w:val="none"/>
          <w:lang w:val="en-US" w:eastAsia="zh-CN" w:bidi="ar-SA"/>
        </w:rPr>
        <w:t>. 试验与检验</w:t>
      </w:r>
      <w:bookmarkEnd w:id="530"/>
      <w:bookmarkEnd w:id="531"/>
      <w:bookmarkEnd w:id="532"/>
      <w:bookmarkEnd w:id="533"/>
      <w:bookmarkEnd w:id="534"/>
      <w:bookmarkEnd w:id="535"/>
      <w:bookmarkEnd w:id="536"/>
      <w:bookmarkEnd w:id="537"/>
    </w:p>
    <w:bookmarkEnd w:id="538"/>
    <w:bookmarkEnd w:id="539"/>
    <w:bookmarkEnd w:id="540"/>
    <w:bookmarkEnd w:id="541"/>
    <w:bookmarkEnd w:id="542"/>
    <w:bookmarkEnd w:id="543"/>
    <w:bookmarkEnd w:id="544"/>
    <w:p w14:paraId="4735B204">
      <w:pPr>
        <w:keepNext/>
        <w:keepLines/>
        <w:pageBreakBefore w:val="0"/>
        <w:widowControl/>
        <w:kinsoku/>
        <w:overflowPunct/>
        <w:topLinePunct w:val="0"/>
        <w:bidi w:val="0"/>
        <w:snapToGrid/>
        <w:spacing w:line="288" w:lineRule="auto"/>
        <w:jc w:val="both"/>
        <w:textAlignment w:val="auto"/>
        <w:outlineLvl w:val="2"/>
        <w:rPr>
          <w:rFonts w:hint="eastAsia" w:ascii="宋体" w:hAnsi="宋体" w:eastAsia="宋体" w:cs="宋体"/>
          <w:b/>
          <w:bCs/>
          <w:color w:val="auto"/>
          <w:kern w:val="2"/>
          <w:sz w:val="24"/>
          <w:szCs w:val="24"/>
          <w:highlight w:val="none"/>
          <w:lang w:val="en-US" w:eastAsia="zh-CN" w:bidi="ar-SA"/>
        </w:rPr>
      </w:pPr>
      <w:bookmarkStart w:id="557" w:name="_Toc389065303"/>
      <w:bookmarkStart w:id="558" w:name="_Toc19547"/>
      <w:bookmarkStart w:id="559" w:name="_Toc960"/>
      <w:bookmarkStart w:id="560" w:name="_Toc373478384"/>
      <w:bookmarkStart w:id="561" w:name="_Toc373227737"/>
      <w:bookmarkStart w:id="562" w:name="_Toc77255608"/>
      <w:bookmarkStart w:id="563" w:name="_Toc73356679"/>
      <w:r>
        <w:rPr>
          <w:rFonts w:hint="eastAsia" w:ascii="宋体" w:hAnsi="宋体" w:eastAsia="宋体" w:cs="宋体"/>
          <w:b/>
          <w:bCs/>
          <w:color w:val="auto"/>
          <w:kern w:val="2"/>
          <w:sz w:val="24"/>
          <w:szCs w:val="24"/>
          <w:highlight w:val="none"/>
          <w:lang w:val="en-US" w:eastAsia="zh-CN" w:bidi="ar-SA"/>
        </w:rPr>
        <w:t>9</w:t>
      </w:r>
      <w:bookmarkStart w:id="564" w:name="_Toc312677496"/>
      <w:bookmarkStart w:id="565" w:name="_Toc303539140"/>
      <w:bookmarkStart w:id="566" w:name="_Toc297216193"/>
      <w:bookmarkStart w:id="567" w:name="_Toc312678022"/>
      <w:bookmarkStart w:id="568" w:name="_Toc300934983"/>
      <w:bookmarkStart w:id="569" w:name="_Toc304295560"/>
      <w:bookmarkStart w:id="570" w:name="_Toc297123534"/>
      <w:r>
        <w:rPr>
          <w:rFonts w:hint="eastAsia" w:ascii="宋体" w:hAnsi="宋体" w:eastAsia="宋体" w:cs="宋体"/>
          <w:b/>
          <w:bCs/>
          <w:color w:val="auto"/>
          <w:kern w:val="2"/>
          <w:sz w:val="24"/>
          <w:szCs w:val="24"/>
          <w:highlight w:val="none"/>
          <w:lang w:val="en-US" w:eastAsia="zh-CN" w:bidi="ar-SA"/>
        </w:rPr>
        <w:t>.1 试验设备与试验人员</w:t>
      </w:r>
      <w:bookmarkEnd w:id="557"/>
      <w:bookmarkEnd w:id="558"/>
      <w:bookmarkEnd w:id="559"/>
      <w:bookmarkEnd w:id="560"/>
      <w:bookmarkEnd w:id="561"/>
      <w:bookmarkEnd w:id="562"/>
      <w:bookmarkEnd w:id="563"/>
    </w:p>
    <w:bookmarkEnd w:id="564"/>
    <w:bookmarkEnd w:id="565"/>
    <w:bookmarkEnd w:id="566"/>
    <w:bookmarkEnd w:id="567"/>
    <w:bookmarkEnd w:id="568"/>
    <w:bookmarkEnd w:id="569"/>
    <w:bookmarkEnd w:id="570"/>
    <w:p w14:paraId="5FBEB574">
      <w:pPr>
        <w:keepNext w:val="0"/>
        <w:keepLines w:val="0"/>
        <w:pageBreakBefore w:val="0"/>
        <w:widowControl w:val="0"/>
        <w:suppressLineNumbers w:val="0"/>
        <w:kinsoku/>
        <w:overflowPunct/>
        <w:topLinePunct w:val="0"/>
        <w:bidi w:val="0"/>
        <w:snapToGrid/>
        <w:spacing w:before="0" w:beforeAutospacing="0" w:after="0" w:afterAutospacing="0" w:line="288" w:lineRule="auto"/>
        <w:ind w:left="0" w:right="0" w:firstLine="480" w:firstLineChars="200"/>
        <w:jc w:val="left"/>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bidi="ar"/>
        </w:rPr>
        <w:t>9</w:t>
      </w:r>
      <w:bookmarkStart w:id="571" w:name="_Toc300934984"/>
      <w:bookmarkStart w:id="572" w:name="_Toc297216194"/>
      <w:bookmarkStart w:id="573" w:name="_Toc304295561"/>
      <w:bookmarkStart w:id="574" w:name="_Toc312677497"/>
      <w:bookmarkStart w:id="575" w:name="_Toc312678023"/>
      <w:bookmarkStart w:id="576" w:name="_Toc303539141"/>
      <w:bookmarkStart w:id="577" w:name="_Toc297123535"/>
      <w:bookmarkStart w:id="578" w:name="_Toc318581174"/>
      <w:r>
        <w:rPr>
          <w:rFonts w:hint="eastAsia" w:ascii="宋体" w:hAnsi="宋体" w:eastAsia="宋体" w:cs="宋体"/>
          <w:color w:val="auto"/>
          <w:kern w:val="2"/>
          <w:sz w:val="24"/>
          <w:szCs w:val="24"/>
          <w:highlight w:val="none"/>
          <w:lang w:val="en-US" w:eastAsia="zh-CN" w:bidi="ar"/>
        </w:rPr>
        <w:t>.1.2 试验设备</w:t>
      </w:r>
    </w:p>
    <w:p w14:paraId="674E648A">
      <w:pPr>
        <w:keepNext w:val="0"/>
        <w:keepLines w:val="0"/>
        <w:pageBreakBefore w:val="0"/>
        <w:widowControl w:val="0"/>
        <w:suppressLineNumbers w:val="0"/>
        <w:kinsoku/>
        <w:overflowPunct/>
        <w:topLinePunct w:val="0"/>
        <w:bidi w:val="0"/>
        <w:snapToGrid/>
        <w:spacing w:before="0" w:beforeAutospacing="0" w:after="0" w:afterAutospacing="0" w:line="288" w:lineRule="auto"/>
        <w:ind w:left="0" w:right="0" w:firstLine="480" w:firstLineChars="200"/>
        <w:jc w:val="left"/>
        <w:textAlignment w:val="auto"/>
        <w:rPr>
          <w:rFonts w:hint="eastAsia" w:ascii="宋体" w:hAnsi="宋体" w:eastAsia="宋体" w:cs="宋体"/>
          <w:color w:val="auto"/>
          <w:sz w:val="24"/>
          <w:szCs w:val="24"/>
          <w:highlight w:val="none"/>
          <w:u w:val="single"/>
          <w:lang w:val="en-US"/>
        </w:rPr>
      </w:pPr>
      <w:r>
        <w:rPr>
          <w:rFonts w:hint="eastAsia" w:ascii="宋体" w:hAnsi="宋体" w:eastAsia="宋体" w:cs="宋体"/>
          <w:color w:val="auto"/>
          <w:kern w:val="2"/>
          <w:sz w:val="24"/>
          <w:szCs w:val="24"/>
          <w:highlight w:val="none"/>
          <w:lang w:val="en-US" w:eastAsia="zh-CN" w:bidi="ar"/>
        </w:rPr>
        <w:t>施工现场需要配置的试验场所：</w:t>
      </w:r>
      <w:bookmarkEnd w:id="571"/>
      <w:bookmarkEnd w:id="572"/>
      <w:bookmarkEnd w:id="573"/>
      <w:bookmarkEnd w:id="574"/>
      <w:bookmarkEnd w:id="575"/>
      <w:bookmarkEnd w:id="576"/>
      <w:bookmarkEnd w:id="577"/>
      <w:bookmarkStart w:id="579" w:name="_Toc312678024"/>
      <w:bookmarkStart w:id="580" w:name="_Toc297216195"/>
      <w:bookmarkStart w:id="581" w:name="_Toc304295562"/>
      <w:bookmarkStart w:id="582" w:name="_Toc303539142"/>
      <w:bookmarkStart w:id="583" w:name="_Toc300934985"/>
      <w:bookmarkStart w:id="584" w:name="_Toc312677498"/>
      <w:bookmarkStart w:id="585" w:name="_Toc297123536"/>
      <w:r>
        <w:rPr>
          <w:rFonts w:hint="eastAsia" w:ascii="宋体" w:hAnsi="宋体" w:eastAsia="宋体" w:cs="宋体"/>
          <w:color w:val="auto"/>
          <w:kern w:val="2"/>
          <w:sz w:val="24"/>
          <w:szCs w:val="24"/>
          <w:highlight w:val="none"/>
          <w:u w:val="single"/>
          <w:lang w:val="en-US" w:eastAsia="zh-CN" w:bidi="ar"/>
        </w:rPr>
        <w:t xml:space="preserve">  按有关规定执行   </w:t>
      </w:r>
      <w:r>
        <w:rPr>
          <w:rFonts w:hint="eastAsia" w:ascii="宋体" w:hAnsi="宋体" w:eastAsia="宋体" w:cs="宋体"/>
          <w:color w:val="auto"/>
          <w:kern w:val="2"/>
          <w:sz w:val="24"/>
          <w:szCs w:val="24"/>
          <w:highlight w:val="none"/>
          <w:lang w:val="en-US" w:eastAsia="zh-CN" w:bidi="ar"/>
        </w:rPr>
        <w:t>。</w:t>
      </w:r>
    </w:p>
    <w:p w14:paraId="27513CEE">
      <w:pPr>
        <w:keepNext w:val="0"/>
        <w:keepLines w:val="0"/>
        <w:pageBreakBefore w:val="0"/>
        <w:widowControl w:val="0"/>
        <w:suppressLineNumbers w:val="0"/>
        <w:kinsoku/>
        <w:overflowPunct/>
        <w:topLinePunct w:val="0"/>
        <w:bidi w:val="0"/>
        <w:snapToGrid/>
        <w:spacing w:before="0" w:beforeAutospacing="0" w:after="0" w:afterAutospacing="0" w:line="288" w:lineRule="auto"/>
        <w:ind w:left="0" w:right="0" w:firstLine="480" w:firstLineChars="200"/>
        <w:jc w:val="left"/>
        <w:textAlignment w:val="auto"/>
        <w:rPr>
          <w:rFonts w:hint="eastAsia" w:ascii="宋体" w:hAnsi="宋体" w:eastAsia="宋体" w:cs="宋体"/>
          <w:color w:val="auto"/>
          <w:sz w:val="24"/>
          <w:szCs w:val="24"/>
          <w:highlight w:val="none"/>
          <w:u w:val="single"/>
          <w:lang w:val="en-US"/>
        </w:rPr>
      </w:pPr>
      <w:r>
        <w:rPr>
          <w:rFonts w:hint="eastAsia" w:ascii="宋体" w:hAnsi="宋体" w:eastAsia="宋体" w:cs="宋体"/>
          <w:color w:val="auto"/>
          <w:kern w:val="2"/>
          <w:sz w:val="24"/>
          <w:szCs w:val="24"/>
          <w:highlight w:val="none"/>
          <w:lang w:val="en-US" w:eastAsia="zh-CN" w:bidi="ar"/>
        </w:rPr>
        <w:t>施工现场需要配备的试验设备：</w:t>
      </w:r>
      <w:r>
        <w:rPr>
          <w:rFonts w:hint="eastAsia" w:ascii="宋体" w:hAnsi="宋体" w:eastAsia="宋体" w:cs="宋体"/>
          <w:color w:val="auto"/>
          <w:kern w:val="2"/>
          <w:sz w:val="24"/>
          <w:szCs w:val="24"/>
          <w:highlight w:val="none"/>
          <w:u w:val="single"/>
          <w:lang w:val="en-US" w:eastAsia="zh-CN" w:bidi="ar"/>
        </w:rPr>
        <w:t xml:space="preserve">   按有关规定执行 </w:t>
      </w:r>
      <w:r>
        <w:rPr>
          <w:rFonts w:hint="eastAsia" w:ascii="宋体" w:hAnsi="宋体" w:eastAsia="宋体" w:cs="宋体"/>
          <w:color w:val="auto"/>
          <w:kern w:val="2"/>
          <w:sz w:val="24"/>
          <w:szCs w:val="24"/>
          <w:highlight w:val="none"/>
          <w:lang w:val="en-US" w:eastAsia="zh-CN" w:bidi="ar"/>
        </w:rPr>
        <w:t>。</w:t>
      </w:r>
    </w:p>
    <w:p w14:paraId="091F6AFB">
      <w:pPr>
        <w:keepNext w:val="0"/>
        <w:keepLines w:val="0"/>
        <w:pageBreakBefore w:val="0"/>
        <w:widowControl w:val="0"/>
        <w:suppressLineNumbers w:val="0"/>
        <w:kinsoku/>
        <w:overflowPunct/>
        <w:topLinePunct w:val="0"/>
        <w:bidi w:val="0"/>
        <w:snapToGrid/>
        <w:spacing w:before="0" w:beforeAutospacing="0" w:after="0" w:afterAutospacing="0" w:line="288" w:lineRule="auto"/>
        <w:ind w:left="0" w:right="0" w:firstLine="480" w:firstLineChars="200"/>
        <w:jc w:val="left"/>
        <w:textAlignment w:val="auto"/>
        <w:rPr>
          <w:rFonts w:hint="eastAsia" w:ascii="宋体" w:hAnsi="宋体" w:eastAsia="宋体" w:cs="宋体"/>
          <w:color w:val="auto"/>
          <w:sz w:val="24"/>
          <w:szCs w:val="24"/>
          <w:highlight w:val="none"/>
          <w:u w:val="single"/>
          <w:lang w:val="en-US"/>
        </w:rPr>
      </w:pPr>
      <w:r>
        <w:rPr>
          <w:rFonts w:hint="eastAsia" w:ascii="宋体" w:hAnsi="宋体" w:eastAsia="宋体" w:cs="宋体"/>
          <w:color w:val="auto"/>
          <w:kern w:val="2"/>
          <w:sz w:val="24"/>
          <w:szCs w:val="24"/>
          <w:highlight w:val="none"/>
          <w:lang w:val="en-US" w:eastAsia="zh-CN" w:bidi="ar"/>
        </w:rPr>
        <w:t>施工现场需要具备的其他试验条件：</w:t>
      </w:r>
      <w:r>
        <w:rPr>
          <w:rFonts w:hint="eastAsia" w:ascii="宋体" w:hAnsi="宋体" w:eastAsia="宋体" w:cs="宋体"/>
          <w:color w:val="auto"/>
          <w:kern w:val="2"/>
          <w:sz w:val="24"/>
          <w:szCs w:val="24"/>
          <w:highlight w:val="none"/>
          <w:u w:val="single"/>
          <w:lang w:val="en-US" w:eastAsia="zh-CN" w:bidi="ar"/>
        </w:rPr>
        <w:t>需要时双方协商</w:t>
      </w:r>
      <w:r>
        <w:rPr>
          <w:rFonts w:hint="eastAsia" w:ascii="宋体" w:hAnsi="宋体" w:eastAsia="宋体" w:cs="宋体"/>
          <w:color w:val="auto"/>
          <w:kern w:val="2"/>
          <w:sz w:val="24"/>
          <w:szCs w:val="24"/>
          <w:highlight w:val="none"/>
          <w:lang w:val="en-US" w:eastAsia="zh-CN" w:bidi="ar"/>
        </w:rPr>
        <w:t>。</w:t>
      </w:r>
    </w:p>
    <w:p w14:paraId="4C031B6E">
      <w:pPr>
        <w:keepNext/>
        <w:keepLines/>
        <w:pageBreakBefore w:val="0"/>
        <w:widowControl/>
        <w:kinsoku/>
        <w:overflowPunct/>
        <w:topLinePunct w:val="0"/>
        <w:bidi w:val="0"/>
        <w:snapToGrid/>
        <w:spacing w:line="288" w:lineRule="auto"/>
        <w:jc w:val="both"/>
        <w:textAlignment w:val="auto"/>
        <w:outlineLvl w:val="2"/>
        <w:rPr>
          <w:rFonts w:hint="eastAsia" w:ascii="宋体" w:hAnsi="宋体" w:eastAsia="宋体" w:cs="宋体"/>
          <w:b/>
          <w:bCs/>
          <w:color w:val="auto"/>
          <w:kern w:val="2"/>
          <w:sz w:val="24"/>
          <w:szCs w:val="24"/>
          <w:highlight w:val="none"/>
          <w:lang w:val="en-US" w:eastAsia="zh-CN" w:bidi="ar-SA"/>
        </w:rPr>
      </w:pPr>
      <w:bookmarkStart w:id="586" w:name="_Toc389065304"/>
      <w:bookmarkStart w:id="587" w:name="_Toc73356680"/>
      <w:bookmarkStart w:id="588" w:name="_Toc77255609"/>
      <w:bookmarkStart w:id="589" w:name="_Toc373478385"/>
      <w:bookmarkStart w:id="590" w:name="_Toc19426"/>
      <w:bookmarkStart w:id="591" w:name="_Toc969"/>
      <w:bookmarkStart w:id="592" w:name="_Toc373227738"/>
      <w:r>
        <w:rPr>
          <w:rFonts w:hint="eastAsia" w:ascii="宋体" w:hAnsi="宋体" w:eastAsia="宋体" w:cs="宋体"/>
          <w:b/>
          <w:bCs/>
          <w:color w:val="auto"/>
          <w:kern w:val="2"/>
          <w:sz w:val="24"/>
          <w:szCs w:val="24"/>
          <w:highlight w:val="none"/>
          <w:lang w:val="en-US" w:eastAsia="zh-CN" w:bidi="ar-SA"/>
        </w:rPr>
        <w:t>9.4 现场工艺试验</w:t>
      </w:r>
      <w:bookmarkEnd w:id="586"/>
      <w:bookmarkEnd w:id="587"/>
      <w:bookmarkEnd w:id="588"/>
      <w:bookmarkEnd w:id="589"/>
      <w:bookmarkEnd w:id="590"/>
      <w:bookmarkEnd w:id="591"/>
      <w:bookmarkEnd w:id="592"/>
      <w:r>
        <w:rPr>
          <w:rFonts w:hint="eastAsia" w:ascii="宋体" w:hAnsi="宋体" w:eastAsia="宋体" w:cs="宋体"/>
          <w:b/>
          <w:bCs/>
          <w:color w:val="auto"/>
          <w:kern w:val="2"/>
          <w:sz w:val="24"/>
          <w:szCs w:val="24"/>
          <w:highlight w:val="none"/>
          <w:lang w:val="en-US" w:eastAsia="zh-CN" w:bidi="ar-SA"/>
        </w:rPr>
        <w:t xml:space="preserve"> </w:t>
      </w:r>
    </w:p>
    <w:p w14:paraId="754E88F7">
      <w:pPr>
        <w:keepNext w:val="0"/>
        <w:keepLines w:val="0"/>
        <w:pageBreakBefore w:val="0"/>
        <w:widowControl w:val="0"/>
        <w:suppressLineNumbers w:val="0"/>
        <w:kinsoku/>
        <w:overflowPunct/>
        <w:topLinePunct w:val="0"/>
        <w:bidi w:val="0"/>
        <w:snapToGrid/>
        <w:spacing w:before="0" w:beforeAutospacing="0" w:after="0" w:afterAutospacing="0" w:line="288" w:lineRule="auto"/>
        <w:ind w:left="0" w:right="0" w:firstLine="480" w:firstLineChars="200"/>
        <w:jc w:val="left"/>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bidi="ar"/>
        </w:rPr>
        <w:t>现场工艺试验的有关约定：</w:t>
      </w:r>
      <w:r>
        <w:rPr>
          <w:rFonts w:hint="eastAsia" w:ascii="宋体" w:hAnsi="宋体" w:eastAsia="宋体" w:cs="宋体"/>
          <w:color w:val="auto"/>
          <w:kern w:val="2"/>
          <w:sz w:val="24"/>
          <w:szCs w:val="24"/>
          <w:highlight w:val="none"/>
          <w:u w:val="single"/>
          <w:lang w:val="en-US" w:eastAsia="zh-CN" w:bidi="ar"/>
        </w:rPr>
        <w:t>需要时双方协商</w:t>
      </w:r>
      <w:r>
        <w:rPr>
          <w:rFonts w:hint="eastAsia" w:ascii="宋体" w:hAnsi="宋体" w:eastAsia="宋体" w:cs="宋体"/>
          <w:color w:val="auto"/>
          <w:kern w:val="2"/>
          <w:sz w:val="24"/>
          <w:szCs w:val="24"/>
          <w:highlight w:val="none"/>
          <w:lang w:val="en-US" w:eastAsia="zh-CN" w:bidi="ar"/>
        </w:rPr>
        <w:t>。</w:t>
      </w:r>
    </w:p>
    <w:p w14:paraId="6C8F0910">
      <w:pPr>
        <w:keepNext/>
        <w:keepLines/>
        <w:pageBreakBefore w:val="0"/>
        <w:widowControl/>
        <w:kinsoku/>
        <w:overflowPunct/>
        <w:topLinePunct w:val="0"/>
        <w:bidi w:val="0"/>
        <w:snapToGrid/>
        <w:spacing w:line="288" w:lineRule="auto"/>
        <w:jc w:val="both"/>
        <w:textAlignment w:val="auto"/>
        <w:outlineLvl w:val="2"/>
        <w:rPr>
          <w:rFonts w:hint="eastAsia" w:ascii="宋体" w:hAnsi="宋体" w:eastAsia="宋体" w:cs="宋体"/>
          <w:b/>
          <w:bCs/>
          <w:color w:val="auto"/>
          <w:kern w:val="2"/>
          <w:sz w:val="24"/>
          <w:szCs w:val="24"/>
          <w:highlight w:val="none"/>
          <w:lang w:val="en-US" w:eastAsia="zh-CN" w:bidi="ar-SA"/>
        </w:rPr>
      </w:pPr>
      <w:bookmarkStart w:id="593" w:name="_Toc73356681"/>
      <w:bookmarkStart w:id="594" w:name="_Toc77255610"/>
      <w:bookmarkStart w:id="595" w:name="_Toc1992"/>
      <w:bookmarkStart w:id="596" w:name="_Toc17651"/>
      <w:r>
        <w:rPr>
          <w:rFonts w:hint="eastAsia" w:ascii="宋体" w:hAnsi="宋体" w:eastAsia="宋体" w:cs="宋体"/>
          <w:b/>
          <w:bCs/>
          <w:color w:val="auto"/>
          <w:kern w:val="2"/>
          <w:sz w:val="24"/>
          <w:szCs w:val="24"/>
          <w:highlight w:val="none"/>
          <w:lang w:val="en-US" w:eastAsia="zh-CN" w:bidi="ar-SA"/>
        </w:rPr>
        <w:t>9.5 检验费用</w:t>
      </w:r>
      <w:bookmarkEnd w:id="593"/>
      <w:bookmarkEnd w:id="594"/>
      <w:bookmarkEnd w:id="595"/>
      <w:bookmarkEnd w:id="596"/>
    </w:p>
    <w:p w14:paraId="06FAE56E">
      <w:pPr>
        <w:keepNext w:val="0"/>
        <w:keepLines w:val="0"/>
        <w:pageBreakBefore w:val="0"/>
        <w:widowControl w:val="0"/>
        <w:suppressLineNumbers w:val="0"/>
        <w:kinsoku/>
        <w:overflowPunct/>
        <w:topLinePunct w:val="0"/>
        <w:bidi w:val="0"/>
        <w:snapToGrid/>
        <w:spacing w:before="0" w:beforeAutospacing="0" w:after="0" w:afterAutospacing="0" w:line="288" w:lineRule="auto"/>
        <w:ind w:left="0" w:right="0" w:firstLine="470" w:firstLineChars="196"/>
        <w:jc w:val="both"/>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bidi="ar"/>
        </w:rPr>
        <w:t>根据《建设工程质量检测管理办法》（建设部令第141号）以及《广西壮族自治区建设工程质量检测管理规定》（桂建管〔2013〕11号）规定，工程质量检测业务由发包人委托有相应资质的检测机构检测。费用从发包人的项目建设经费中支出并直接支付给检测机构，不计入合同价款内。</w:t>
      </w:r>
    </w:p>
    <w:bookmarkEnd w:id="578"/>
    <w:bookmarkEnd w:id="579"/>
    <w:bookmarkEnd w:id="580"/>
    <w:bookmarkEnd w:id="581"/>
    <w:bookmarkEnd w:id="582"/>
    <w:bookmarkEnd w:id="583"/>
    <w:bookmarkEnd w:id="584"/>
    <w:bookmarkEnd w:id="585"/>
    <w:p w14:paraId="0E1A40C3">
      <w:pPr>
        <w:keepNext/>
        <w:keepLines/>
        <w:pageBreakBefore w:val="0"/>
        <w:widowControl/>
        <w:kinsoku/>
        <w:overflowPunct/>
        <w:topLinePunct w:val="0"/>
        <w:bidi w:val="0"/>
        <w:snapToGrid/>
        <w:spacing w:line="288" w:lineRule="auto"/>
        <w:jc w:val="left"/>
        <w:textAlignment w:val="auto"/>
        <w:outlineLvl w:val="1"/>
        <w:rPr>
          <w:rFonts w:hint="eastAsia" w:ascii="宋体" w:hAnsi="宋体" w:eastAsia="宋体" w:cs="宋体"/>
          <w:b/>
          <w:bCs/>
          <w:color w:val="auto"/>
          <w:kern w:val="44"/>
          <w:sz w:val="24"/>
          <w:szCs w:val="24"/>
          <w:highlight w:val="none"/>
          <w:lang w:val="en-US" w:eastAsia="zh-CN" w:bidi="ar-SA"/>
        </w:rPr>
      </w:pPr>
      <w:bookmarkStart w:id="597" w:name="_Toc77255611"/>
      <w:bookmarkStart w:id="598" w:name="_Toc373478386"/>
      <w:bookmarkStart w:id="599" w:name="_Toc11864"/>
      <w:bookmarkStart w:id="600" w:name="_Toc73356682"/>
      <w:bookmarkStart w:id="601" w:name="_Toc389065305"/>
      <w:bookmarkStart w:id="602" w:name="_Toc4568"/>
      <w:bookmarkStart w:id="603" w:name="_Toc351203642"/>
      <w:bookmarkStart w:id="604" w:name="_Toc373227739"/>
      <w:r>
        <w:rPr>
          <w:rFonts w:hint="eastAsia" w:ascii="宋体" w:hAnsi="宋体" w:eastAsia="宋体" w:cs="宋体"/>
          <w:b/>
          <w:bCs/>
          <w:color w:val="auto"/>
          <w:kern w:val="44"/>
          <w:sz w:val="24"/>
          <w:szCs w:val="24"/>
          <w:highlight w:val="none"/>
          <w:lang w:val="en-US" w:eastAsia="zh-CN" w:bidi="ar-SA"/>
        </w:rPr>
        <w:t>1</w:t>
      </w:r>
      <w:bookmarkEnd w:id="545"/>
      <w:bookmarkEnd w:id="546"/>
      <w:bookmarkEnd w:id="547"/>
      <w:bookmarkEnd w:id="548"/>
      <w:bookmarkEnd w:id="549"/>
      <w:bookmarkEnd w:id="550"/>
      <w:bookmarkEnd w:id="551"/>
      <w:bookmarkEnd w:id="552"/>
      <w:bookmarkEnd w:id="553"/>
      <w:bookmarkEnd w:id="554"/>
      <w:bookmarkEnd w:id="555"/>
      <w:bookmarkEnd w:id="556"/>
      <w:bookmarkStart w:id="605" w:name="_Toc292559903"/>
      <w:bookmarkStart w:id="606" w:name="_Toc297216199"/>
      <w:bookmarkStart w:id="607" w:name="_Toc296891021"/>
      <w:bookmarkStart w:id="608" w:name="_Toc304295566"/>
      <w:bookmarkStart w:id="609" w:name="_Toc297123540"/>
      <w:bookmarkStart w:id="610" w:name="_Toc300934989"/>
      <w:bookmarkStart w:id="611" w:name="_Toc297120493"/>
      <w:bookmarkStart w:id="612" w:name="_Toc296891233"/>
      <w:bookmarkStart w:id="613" w:name="_Toc297048379"/>
      <w:bookmarkStart w:id="614" w:name="_Toc296944532"/>
      <w:bookmarkStart w:id="615" w:name="_Toc303539146"/>
      <w:bookmarkStart w:id="616" w:name="_Toc292559398"/>
      <w:bookmarkStart w:id="617" w:name="_Toc296503193"/>
      <w:bookmarkStart w:id="618" w:name="_Toc296347192"/>
      <w:bookmarkStart w:id="619" w:name="_Toc296346694"/>
      <w:bookmarkStart w:id="620" w:name="_Toc312678025"/>
      <w:bookmarkStart w:id="621" w:name="_Toc312677499"/>
      <w:bookmarkStart w:id="622" w:name="_Toc267251440"/>
      <w:bookmarkStart w:id="623" w:name="_Toc267251433"/>
      <w:bookmarkStart w:id="624" w:name="_Toc267251435"/>
      <w:bookmarkStart w:id="625" w:name="_Toc267251439"/>
      <w:bookmarkStart w:id="626" w:name="_Toc267251441"/>
      <w:bookmarkStart w:id="627" w:name="_Toc267251437"/>
      <w:bookmarkStart w:id="628" w:name="_Toc267251442"/>
      <w:r>
        <w:rPr>
          <w:rFonts w:hint="eastAsia" w:ascii="宋体" w:hAnsi="宋体" w:eastAsia="宋体" w:cs="宋体"/>
          <w:b/>
          <w:bCs/>
          <w:color w:val="auto"/>
          <w:kern w:val="44"/>
          <w:sz w:val="24"/>
          <w:szCs w:val="24"/>
          <w:highlight w:val="none"/>
          <w:lang w:val="en-US" w:eastAsia="zh-CN" w:bidi="ar-SA"/>
        </w:rPr>
        <w:t>0. 变更</w:t>
      </w:r>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p>
    <w:bookmarkEnd w:id="620"/>
    <w:bookmarkEnd w:id="621"/>
    <w:p w14:paraId="3A21F1F2">
      <w:pPr>
        <w:keepNext/>
        <w:keepLines/>
        <w:pageBreakBefore w:val="0"/>
        <w:widowControl/>
        <w:kinsoku/>
        <w:overflowPunct/>
        <w:topLinePunct w:val="0"/>
        <w:bidi w:val="0"/>
        <w:snapToGrid/>
        <w:spacing w:line="288" w:lineRule="auto"/>
        <w:jc w:val="both"/>
        <w:textAlignment w:val="auto"/>
        <w:outlineLvl w:val="2"/>
        <w:rPr>
          <w:rFonts w:hint="eastAsia" w:ascii="宋体" w:hAnsi="宋体" w:eastAsia="宋体" w:cs="宋体"/>
          <w:b/>
          <w:bCs/>
          <w:color w:val="auto"/>
          <w:kern w:val="2"/>
          <w:sz w:val="24"/>
          <w:szCs w:val="24"/>
          <w:highlight w:val="none"/>
          <w:lang w:val="en-US" w:eastAsia="zh-CN" w:bidi="ar-SA"/>
        </w:rPr>
      </w:pPr>
      <w:bookmarkStart w:id="629" w:name="_Toc73356683"/>
      <w:bookmarkStart w:id="630" w:name="_Toc373227740"/>
      <w:bookmarkStart w:id="631" w:name="_Toc389065306"/>
      <w:bookmarkStart w:id="632" w:name="_Toc77255612"/>
      <w:bookmarkStart w:id="633" w:name="_Toc22897"/>
      <w:bookmarkStart w:id="634" w:name="_Toc373478387"/>
      <w:bookmarkStart w:id="635" w:name="_Toc13006"/>
      <w:r>
        <w:rPr>
          <w:rFonts w:hint="eastAsia" w:ascii="宋体" w:hAnsi="宋体" w:eastAsia="宋体" w:cs="宋体"/>
          <w:b/>
          <w:bCs/>
          <w:color w:val="auto"/>
          <w:kern w:val="2"/>
          <w:sz w:val="24"/>
          <w:szCs w:val="24"/>
          <w:highlight w:val="none"/>
          <w:lang w:val="en-US" w:eastAsia="zh-CN" w:bidi="ar-SA"/>
        </w:rPr>
        <w:t>1</w:t>
      </w:r>
      <w:bookmarkStart w:id="636" w:name="_Toc296891022"/>
      <w:bookmarkStart w:id="637" w:name="_Toc312677500"/>
      <w:bookmarkStart w:id="638" w:name="_Toc300934990"/>
      <w:bookmarkStart w:id="639" w:name="_Toc296891234"/>
      <w:bookmarkStart w:id="640" w:name="_Toc312678026"/>
      <w:bookmarkStart w:id="641" w:name="_Toc297216200"/>
      <w:bookmarkStart w:id="642" w:name="_Toc296347193"/>
      <w:bookmarkStart w:id="643" w:name="_Toc296944533"/>
      <w:bookmarkStart w:id="644" w:name="_Toc297123541"/>
      <w:bookmarkStart w:id="645" w:name="_Toc292559399"/>
      <w:bookmarkStart w:id="646" w:name="_Toc292559904"/>
      <w:bookmarkStart w:id="647" w:name="_Toc296503194"/>
      <w:bookmarkStart w:id="648" w:name="_Toc297120494"/>
      <w:bookmarkStart w:id="649" w:name="_Toc297048380"/>
      <w:bookmarkStart w:id="650" w:name="_Toc296346695"/>
      <w:bookmarkStart w:id="651" w:name="_Toc303539147"/>
      <w:bookmarkStart w:id="652" w:name="_Toc304295567"/>
      <w:r>
        <w:rPr>
          <w:rFonts w:hint="eastAsia" w:ascii="宋体" w:hAnsi="宋体" w:eastAsia="宋体" w:cs="宋体"/>
          <w:b/>
          <w:bCs/>
          <w:color w:val="auto"/>
          <w:kern w:val="2"/>
          <w:sz w:val="24"/>
          <w:szCs w:val="24"/>
          <w:highlight w:val="none"/>
          <w:lang w:val="en-US" w:eastAsia="zh-CN" w:bidi="ar-SA"/>
        </w:rPr>
        <w:t>0.1 变更的范围</w:t>
      </w:r>
      <w:bookmarkEnd w:id="629"/>
      <w:bookmarkEnd w:id="630"/>
      <w:bookmarkEnd w:id="631"/>
      <w:bookmarkEnd w:id="632"/>
      <w:bookmarkEnd w:id="633"/>
      <w:bookmarkEnd w:id="634"/>
      <w:bookmarkEnd w:id="635"/>
    </w:p>
    <w:p w14:paraId="4DAC40AF">
      <w:pPr>
        <w:keepNext w:val="0"/>
        <w:keepLines w:val="0"/>
        <w:pageBreakBefore w:val="0"/>
        <w:widowControl w:val="0"/>
        <w:suppressLineNumbers w:val="0"/>
        <w:kinsoku/>
        <w:overflowPunct/>
        <w:topLinePunct w:val="0"/>
        <w:bidi w:val="0"/>
        <w:snapToGrid/>
        <w:spacing w:before="0" w:beforeAutospacing="0" w:after="0" w:afterAutospacing="0" w:line="288" w:lineRule="auto"/>
        <w:ind w:left="0" w:right="0" w:firstLine="426"/>
        <w:jc w:val="left"/>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bidi="ar"/>
        </w:rPr>
        <w:t>关于变更的范围的约定：</w:t>
      </w:r>
      <w:r>
        <w:rPr>
          <w:rFonts w:hint="eastAsia" w:ascii="宋体" w:hAnsi="宋体" w:eastAsia="宋体" w:cs="宋体"/>
          <w:color w:val="auto"/>
          <w:kern w:val="2"/>
          <w:sz w:val="24"/>
          <w:szCs w:val="24"/>
          <w:highlight w:val="none"/>
          <w:u w:val="single"/>
          <w:lang w:val="en-US" w:eastAsia="zh-CN" w:bidi="ar"/>
        </w:rPr>
        <w:t>按本合同《通用条款》10.1条相关规定执行</w:t>
      </w:r>
      <w:r>
        <w:rPr>
          <w:rFonts w:hint="eastAsia" w:ascii="宋体" w:hAnsi="宋体" w:eastAsia="宋体" w:cs="宋体"/>
          <w:color w:val="auto"/>
          <w:kern w:val="2"/>
          <w:sz w:val="24"/>
          <w:szCs w:val="24"/>
          <w:highlight w:val="none"/>
          <w:lang w:val="en-US" w:eastAsia="zh-CN" w:bidi="ar"/>
        </w:rPr>
        <w:t>。</w:t>
      </w:r>
    </w:p>
    <w:p w14:paraId="3C9983AB">
      <w:pPr>
        <w:keepNext/>
        <w:keepLines/>
        <w:pageBreakBefore w:val="0"/>
        <w:widowControl/>
        <w:kinsoku/>
        <w:overflowPunct/>
        <w:topLinePunct w:val="0"/>
        <w:bidi w:val="0"/>
        <w:snapToGrid/>
        <w:spacing w:line="288" w:lineRule="auto"/>
        <w:jc w:val="both"/>
        <w:textAlignment w:val="auto"/>
        <w:outlineLvl w:val="2"/>
        <w:rPr>
          <w:rFonts w:hint="eastAsia" w:ascii="宋体" w:hAnsi="宋体" w:eastAsia="宋体" w:cs="宋体"/>
          <w:b/>
          <w:bCs/>
          <w:color w:val="auto"/>
          <w:kern w:val="2"/>
          <w:sz w:val="24"/>
          <w:szCs w:val="24"/>
          <w:highlight w:val="none"/>
          <w:lang w:val="en-US" w:eastAsia="zh-CN" w:bidi="ar-SA"/>
        </w:rPr>
      </w:pPr>
      <w:bookmarkStart w:id="653" w:name="_Toc77255613"/>
      <w:bookmarkStart w:id="654" w:name="_Toc389065307"/>
      <w:bookmarkStart w:id="655" w:name="_Toc373227741"/>
      <w:bookmarkStart w:id="656" w:name="_Toc6269"/>
      <w:bookmarkStart w:id="657" w:name="_Toc373478388"/>
      <w:bookmarkStart w:id="658" w:name="_Toc26921"/>
      <w:bookmarkStart w:id="659" w:name="_Toc73356684"/>
      <w:r>
        <w:rPr>
          <w:rFonts w:hint="eastAsia" w:ascii="宋体" w:hAnsi="宋体" w:eastAsia="宋体" w:cs="宋体"/>
          <w:b/>
          <w:bCs/>
          <w:color w:val="auto"/>
          <w:kern w:val="2"/>
          <w:sz w:val="24"/>
          <w:szCs w:val="24"/>
          <w:highlight w:val="none"/>
          <w:lang w:val="en-US" w:eastAsia="zh-CN" w:bidi="ar-SA"/>
        </w:rPr>
        <w:t>10.3 变更程序</w:t>
      </w:r>
      <w:bookmarkEnd w:id="653"/>
      <w:bookmarkEnd w:id="654"/>
      <w:bookmarkEnd w:id="655"/>
      <w:bookmarkEnd w:id="656"/>
      <w:bookmarkEnd w:id="657"/>
      <w:bookmarkEnd w:id="658"/>
      <w:bookmarkEnd w:id="659"/>
    </w:p>
    <w:p w14:paraId="04E4EB86">
      <w:pPr>
        <w:keepNext w:val="0"/>
        <w:keepLines w:val="0"/>
        <w:pageBreakBefore w:val="0"/>
        <w:widowControl/>
        <w:suppressLineNumbers w:val="0"/>
        <w:kinsoku/>
        <w:wordWrap w:val="0"/>
        <w:overflowPunct/>
        <w:topLinePunct w:val="0"/>
        <w:bidi w:val="0"/>
        <w:snapToGrid/>
        <w:spacing w:before="0" w:beforeAutospacing="0" w:after="0" w:afterAutospacing="0" w:line="288" w:lineRule="auto"/>
        <w:ind w:left="0" w:right="0" w:firstLine="480" w:firstLineChars="200"/>
        <w:jc w:val="both"/>
        <w:textAlignment w:val="auto"/>
        <w:rPr>
          <w:rFonts w:hint="eastAsia" w:ascii="宋体" w:hAnsi="宋体" w:eastAsia="宋体" w:cs="宋体"/>
          <w:color w:val="auto"/>
          <w:kern w:val="2"/>
          <w:sz w:val="24"/>
          <w:szCs w:val="24"/>
          <w:highlight w:val="none"/>
          <w:lang w:val="en-US" w:eastAsia="zh-CN" w:bidi="ar"/>
        </w:rPr>
      </w:pPr>
      <w:bookmarkStart w:id="660" w:name="_Toc373227742"/>
      <w:bookmarkStart w:id="661" w:name="_Toc373478389"/>
      <w:bookmarkStart w:id="662" w:name="_Toc389065308"/>
      <w:r>
        <w:rPr>
          <w:rFonts w:hint="eastAsia" w:ascii="宋体" w:hAnsi="宋体" w:eastAsia="宋体" w:cs="宋体"/>
          <w:color w:val="auto"/>
          <w:kern w:val="2"/>
          <w:sz w:val="24"/>
          <w:szCs w:val="24"/>
          <w:highlight w:val="none"/>
          <w:lang w:val="en-US" w:eastAsia="zh-CN" w:bidi="ar"/>
        </w:rPr>
        <w:t>⑴工程设计变更和签证工程发生后10个工作日内，由建设单位将有关变更文件、签证单审批件、工程联系单、预算书、现场影像等工程资料，并作为进度款支付、事后抽查和工程结算的主要依据。</w:t>
      </w:r>
    </w:p>
    <w:p w14:paraId="4BAC22B6">
      <w:pPr>
        <w:keepNext w:val="0"/>
        <w:keepLines w:val="0"/>
        <w:pageBreakBefore w:val="0"/>
        <w:widowControl/>
        <w:suppressLineNumbers w:val="0"/>
        <w:kinsoku/>
        <w:wordWrap w:val="0"/>
        <w:overflowPunct/>
        <w:topLinePunct w:val="0"/>
        <w:bidi w:val="0"/>
        <w:snapToGrid/>
        <w:spacing w:before="0" w:beforeAutospacing="0" w:after="0" w:afterAutospacing="0" w:line="288" w:lineRule="auto"/>
        <w:ind w:left="0" w:right="0" w:firstLine="504" w:firstLineChars="210"/>
        <w:jc w:val="both"/>
        <w:textAlignment w:val="auto"/>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⑵建设单位在实施项目过程中，若发生单价变动，由建设单位、与施工单位共同商定并签字确认。</w:t>
      </w:r>
    </w:p>
    <w:p w14:paraId="3D021148">
      <w:pPr>
        <w:keepNext w:val="0"/>
        <w:keepLines w:val="0"/>
        <w:pageBreakBefore w:val="0"/>
        <w:widowControl/>
        <w:suppressLineNumbers w:val="0"/>
        <w:kinsoku/>
        <w:wordWrap w:val="0"/>
        <w:overflowPunct/>
        <w:topLinePunct w:val="0"/>
        <w:bidi w:val="0"/>
        <w:snapToGrid/>
        <w:spacing w:before="0" w:beforeAutospacing="0" w:after="0" w:afterAutospacing="0" w:line="288" w:lineRule="auto"/>
        <w:ind w:left="0" w:right="0" w:firstLine="480" w:firstLineChars="200"/>
        <w:jc w:val="both"/>
        <w:textAlignment w:val="auto"/>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⑶承包人应当在合同规定的调整情况发生后14天内，将调整原因，金额以书面形式通知发包人，发包人按第⑴、⑵、⑶、⑷条款的要求初步确认调整金额后将其作为追加合同价款，按不高于55%的比例与工程进度款同期支付。</w:t>
      </w:r>
    </w:p>
    <w:p w14:paraId="0170B524">
      <w:pPr>
        <w:keepNext w:val="0"/>
        <w:keepLines w:val="0"/>
        <w:pageBreakBefore w:val="0"/>
        <w:widowControl/>
        <w:suppressLineNumbers w:val="0"/>
        <w:kinsoku/>
        <w:wordWrap w:val="0"/>
        <w:overflowPunct/>
        <w:topLinePunct w:val="0"/>
        <w:bidi w:val="0"/>
        <w:snapToGrid/>
        <w:spacing w:before="0" w:beforeAutospacing="0" w:after="0" w:afterAutospacing="0" w:line="288" w:lineRule="auto"/>
        <w:ind w:left="0" w:right="0" w:firstLine="480" w:firstLineChars="200"/>
        <w:jc w:val="both"/>
        <w:textAlignment w:val="auto"/>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⑷当合同规定的调整合同价款的调整情况发生后，承包人未在规定时间内通知发包人，或者未在规定时间内提出调整报告，发包人可以根据有关资料，决定是否调整和调整的金额，并书面通知承包人。</w:t>
      </w:r>
    </w:p>
    <w:p w14:paraId="79777930">
      <w:pPr>
        <w:keepNext w:val="0"/>
        <w:keepLines w:val="0"/>
        <w:pageBreakBefore w:val="0"/>
        <w:widowControl/>
        <w:suppressLineNumbers w:val="0"/>
        <w:kinsoku/>
        <w:wordWrap w:val="0"/>
        <w:overflowPunct/>
        <w:topLinePunct w:val="0"/>
        <w:bidi w:val="0"/>
        <w:snapToGrid/>
        <w:spacing w:before="0" w:beforeAutospacing="0" w:after="0" w:afterAutospacing="0" w:line="288" w:lineRule="auto"/>
        <w:ind w:left="0" w:right="0" w:firstLine="480" w:firstLineChars="200"/>
        <w:jc w:val="both"/>
        <w:textAlignment w:val="auto"/>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（5）对现场签证资料手续办理问题，由建设单位、设计单位、施工单位三方对相关工程量进行签章确认，涉及地基处理及地质处理变更工程量的现场确认需增加勘察单位。</w:t>
      </w:r>
    </w:p>
    <w:p w14:paraId="0A89AB35">
      <w:pPr>
        <w:keepNext/>
        <w:keepLines/>
        <w:pageBreakBefore w:val="0"/>
        <w:widowControl/>
        <w:kinsoku/>
        <w:overflowPunct/>
        <w:topLinePunct w:val="0"/>
        <w:bidi w:val="0"/>
        <w:snapToGrid/>
        <w:spacing w:line="288" w:lineRule="auto"/>
        <w:jc w:val="both"/>
        <w:textAlignment w:val="auto"/>
        <w:outlineLvl w:val="2"/>
        <w:rPr>
          <w:rFonts w:hint="eastAsia" w:ascii="宋体" w:hAnsi="宋体" w:eastAsia="宋体" w:cs="宋体"/>
          <w:b/>
          <w:bCs/>
          <w:color w:val="auto"/>
          <w:kern w:val="2"/>
          <w:sz w:val="24"/>
          <w:szCs w:val="24"/>
          <w:highlight w:val="none"/>
          <w:lang w:val="en-US" w:eastAsia="zh-CN" w:bidi="ar-SA"/>
        </w:rPr>
      </w:pPr>
      <w:bookmarkStart w:id="663" w:name="_Toc13901"/>
      <w:bookmarkStart w:id="664" w:name="_Toc73356685"/>
      <w:bookmarkStart w:id="665" w:name="_Toc30656"/>
      <w:bookmarkStart w:id="666" w:name="_Toc77255614"/>
      <w:r>
        <w:rPr>
          <w:rFonts w:hint="eastAsia" w:ascii="宋体" w:hAnsi="宋体" w:eastAsia="宋体" w:cs="宋体"/>
          <w:b/>
          <w:bCs/>
          <w:color w:val="auto"/>
          <w:kern w:val="2"/>
          <w:sz w:val="24"/>
          <w:szCs w:val="24"/>
          <w:highlight w:val="none"/>
          <w:lang w:val="en-US" w:eastAsia="zh-CN" w:bidi="ar-SA"/>
        </w:rPr>
        <w:t>10.4 变更估价</w:t>
      </w:r>
      <w:bookmarkEnd w:id="660"/>
      <w:bookmarkEnd w:id="661"/>
      <w:bookmarkEnd w:id="662"/>
      <w:bookmarkEnd w:id="663"/>
      <w:bookmarkEnd w:id="664"/>
      <w:bookmarkEnd w:id="665"/>
      <w:bookmarkEnd w:id="666"/>
    </w:p>
    <w:p w14:paraId="6FECA160">
      <w:pPr>
        <w:keepNext w:val="0"/>
        <w:keepLines w:val="0"/>
        <w:pageBreakBefore w:val="0"/>
        <w:widowControl w:val="0"/>
        <w:suppressLineNumbers w:val="0"/>
        <w:kinsoku/>
        <w:overflowPunct/>
        <w:topLinePunct w:val="0"/>
        <w:bidi w:val="0"/>
        <w:snapToGrid/>
        <w:spacing w:before="0" w:beforeAutospacing="0" w:after="0" w:afterAutospacing="0" w:line="288" w:lineRule="auto"/>
        <w:ind w:left="0" w:right="0" w:firstLine="480" w:firstLineChars="200"/>
        <w:jc w:val="left"/>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bidi="ar"/>
        </w:rPr>
        <w:t>10.4.1 变更估价原则</w:t>
      </w:r>
    </w:p>
    <w:p w14:paraId="118CDBAD">
      <w:pPr>
        <w:keepNext w:val="0"/>
        <w:keepLines w:val="0"/>
        <w:pageBreakBefore w:val="0"/>
        <w:widowControl/>
        <w:suppressLineNumbers w:val="0"/>
        <w:kinsoku/>
        <w:wordWrap w:val="0"/>
        <w:overflowPunct/>
        <w:topLinePunct w:val="0"/>
        <w:bidi w:val="0"/>
        <w:snapToGrid/>
        <w:spacing w:before="0" w:beforeAutospacing="0" w:after="0" w:afterAutospacing="0" w:line="288" w:lineRule="auto"/>
        <w:ind w:left="0" w:right="0" w:firstLine="504" w:firstLineChars="210"/>
        <w:jc w:val="both"/>
        <w:textAlignment w:val="auto"/>
        <w:rPr>
          <w:rFonts w:hint="eastAsia" w:ascii="宋体" w:hAnsi="宋体" w:eastAsia="宋体" w:cs="宋体"/>
          <w:color w:val="auto"/>
          <w:kern w:val="2"/>
          <w:sz w:val="24"/>
          <w:szCs w:val="24"/>
          <w:highlight w:val="none"/>
          <w:u w:val="single"/>
          <w:lang w:val="en-US" w:eastAsia="zh-CN" w:bidi="ar"/>
        </w:rPr>
      </w:pPr>
      <w:bookmarkStart w:id="667" w:name="_Toc251051742"/>
      <w:r>
        <w:rPr>
          <w:rFonts w:hint="eastAsia" w:ascii="宋体" w:hAnsi="宋体" w:eastAsia="宋体" w:cs="宋体"/>
          <w:color w:val="auto"/>
          <w:kern w:val="2"/>
          <w:sz w:val="24"/>
          <w:szCs w:val="24"/>
          <w:highlight w:val="none"/>
          <w:lang w:val="en-US" w:eastAsia="zh-CN" w:bidi="ar"/>
        </w:rPr>
        <w:t>关于变更估价的约定：</w:t>
      </w:r>
      <w:bookmarkEnd w:id="667"/>
      <w:r>
        <w:rPr>
          <w:rFonts w:hint="eastAsia" w:ascii="宋体" w:hAnsi="宋体" w:eastAsia="宋体" w:cs="宋体"/>
          <w:color w:val="auto"/>
          <w:kern w:val="2"/>
          <w:sz w:val="24"/>
          <w:szCs w:val="24"/>
          <w:highlight w:val="none"/>
          <w:u w:val="single"/>
          <w:lang w:val="en-US" w:eastAsia="zh-CN" w:bidi="ar"/>
        </w:rPr>
        <w:t>工程变更合同价款按以下方法进行：（1）合同中已有相同清单项目的，按合同该清单项目价格进行计算；（2）合同中只有类似清单项目的，参照该类似清单项目价格进行计算（按组价与工程量清单报价思路一致原则，采用：价差调整或等比例调整）；（3）合同中没有适用或类似清单项目的价格计算方法：有定额的套定额，并乘以下浮系数（中标价/经第三方审定的工程招标控制价）计算，其中：材料设备价格按工程量清单的《南宁市建设工程造价信息》相应信息价进行计算，《南宁市建设工程造价信息》没有相应信息价的，由建设单位询价确定；无定额可套的，由建设单位根据市场行情询价后按相关造价法规、编制办法编制确定综合价格。以上约定同时适用于招标工程量清单缺项以及工程量清单项目特征与图纸不符时的价款确定。对于政府及国有资金投资的项目，新增项目的单价必须经南宁市财政审定。</w:t>
      </w:r>
    </w:p>
    <w:p w14:paraId="30425027">
      <w:pPr>
        <w:keepNext w:val="0"/>
        <w:keepLines w:val="0"/>
        <w:pageBreakBefore w:val="0"/>
        <w:widowControl/>
        <w:suppressLineNumbers w:val="0"/>
        <w:kinsoku/>
        <w:wordWrap w:val="0"/>
        <w:overflowPunct/>
        <w:topLinePunct w:val="0"/>
        <w:bidi w:val="0"/>
        <w:snapToGrid/>
        <w:spacing w:before="0" w:beforeAutospacing="0" w:after="0" w:afterAutospacing="0" w:line="288" w:lineRule="auto"/>
        <w:ind w:left="0" w:right="0" w:firstLine="504" w:firstLineChars="210"/>
        <w:jc w:val="both"/>
        <w:textAlignment w:val="auto"/>
        <w:rPr>
          <w:rFonts w:hint="eastAsia" w:ascii="宋体" w:hAnsi="宋体" w:eastAsia="宋体" w:cs="宋体"/>
          <w:color w:val="auto"/>
          <w:kern w:val="2"/>
          <w:sz w:val="24"/>
          <w:szCs w:val="24"/>
          <w:highlight w:val="none"/>
          <w:u w:val="single"/>
          <w:lang w:val="en-US" w:eastAsia="zh-CN" w:bidi="ar"/>
        </w:rPr>
      </w:pPr>
      <w:r>
        <w:rPr>
          <w:rFonts w:hint="eastAsia" w:ascii="宋体" w:hAnsi="宋体" w:eastAsia="宋体" w:cs="宋体"/>
          <w:color w:val="auto"/>
          <w:kern w:val="2"/>
          <w:sz w:val="24"/>
          <w:szCs w:val="24"/>
          <w:highlight w:val="none"/>
          <w:u w:val="single"/>
          <w:lang w:val="en-US" w:eastAsia="zh-CN" w:bidi="ar"/>
        </w:rPr>
        <w:t>工程变更导致实际完成的变更工程量与已标价清单或预算书中列明的该项目工程量有偏差时，其综合单价的确定按专用条款“1.13工程量清单错误的修正”执行。</w:t>
      </w:r>
    </w:p>
    <w:p w14:paraId="1A5914C4">
      <w:pPr>
        <w:keepNext/>
        <w:keepLines/>
        <w:pageBreakBefore w:val="0"/>
        <w:widowControl/>
        <w:kinsoku/>
        <w:overflowPunct/>
        <w:topLinePunct w:val="0"/>
        <w:bidi w:val="0"/>
        <w:snapToGrid/>
        <w:spacing w:line="288" w:lineRule="auto"/>
        <w:jc w:val="both"/>
        <w:textAlignment w:val="auto"/>
        <w:outlineLvl w:val="2"/>
        <w:rPr>
          <w:rFonts w:hint="eastAsia" w:ascii="宋体" w:hAnsi="宋体" w:eastAsia="宋体" w:cs="宋体"/>
          <w:b/>
          <w:bCs/>
          <w:color w:val="auto"/>
          <w:kern w:val="2"/>
          <w:sz w:val="24"/>
          <w:szCs w:val="24"/>
          <w:highlight w:val="none"/>
          <w:lang w:val="en-US" w:eastAsia="zh-CN" w:bidi="ar-SA"/>
        </w:rPr>
      </w:pPr>
      <w:bookmarkStart w:id="668" w:name="_Toc373227743"/>
      <w:bookmarkStart w:id="669" w:name="_Toc2673"/>
      <w:bookmarkStart w:id="670" w:name="_Toc77255615"/>
      <w:bookmarkStart w:id="671" w:name="_Toc11380"/>
      <w:bookmarkStart w:id="672" w:name="_Toc389065309"/>
      <w:bookmarkStart w:id="673" w:name="_Toc73356686"/>
      <w:bookmarkStart w:id="674" w:name="_Toc373478390"/>
      <w:r>
        <w:rPr>
          <w:rFonts w:hint="eastAsia" w:ascii="宋体" w:hAnsi="宋体" w:eastAsia="宋体" w:cs="宋体"/>
          <w:b/>
          <w:bCs/>
          <w:color w:val="auto"/>
          <w:kern w:val="2"/>
          <w:sz w:val="24"/>
          <w:szCs w:val="24"/>
          <w:highlight w:val="none"/>
          <w:lang w:val="en-US" w:eastAsia="zh-CN" w:bidi="ar-SA"/>
        </w:rPr>
        <w:t>1</w:t>
      </w:r>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Start w:id="675" w:name="_Toc296347196"/>
      <w:bookmarkStart w:id="676" w:name="_Toc296891237"/>
      <w:bookmarkStart w:id="677" w:name="_Toc297048383"/>
      <w:bookmarkStart w:id="678" w:name="_Toc297123544"/>
      <w:bookmarkStart w:id="679" w:name="_Toc296944536"/>
      <w:bookmarkStart w:id="680" w:name="_Toc303539150"/>
      <w:bookmarkStart w:id="681" w:name="_Toc292559402"/>
      <w:bookmarkStart w:id="682" w:name="_Toc297216203"/>
      <w:bookmarkStart w:id="683" w:name="_Toc292559907"/>
      <w:bookmarkStart w:id="684" w:name="_Toc296346698"/>
      <w:bookmarkStart w:id="685" w:name="_Toc297120497"/>
      <w:bookmarkStart w:id="686" w:name="_Toc300934993"/>
      <w:bookmarkStart w:id="687" w:name="_Toc296891025"/>
      <w:bookmarkStart w:id="688" w:name="_Toc296503197"/>
      <w:bookmarkStart w:id="689" w:name="_Toc312677503"/>
      <w:bookmarkStart w:id="690" w:name="_Toc304295570"/>
      <w:bookmarkStart w:id="691" w:name="_Toc312678029"/>
      <w:r>
        <w:rPr>
          <w:rFonts w:hint="eastAsia" w:ascii="宋体" w:hAnsi="宋体" w:eastAsia="宋体" w:cs="宋体"/>
          <w:b/>
          <w:bCs/>
          <w:color w:val="auto"/>
          <w:kern w:val="2"/>
          <w:sz w:val="24"/>
          <w:szCs w:val="24"/>
          <w:highlight w:val="none"/>
          <w:lang w:val="en-US" w:eastAsia="zh-CN" w:bidi="ar-SA"/>
        </w:rPr>
        <w:t>0.5 承</w:t>
      </w:r>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Start w:id="692" w:name="_Toc300934994"/>
      <w:bookmarkStart w:id="693" w:name="_Toc296503203"/>
      <w:bookmarkStart w:id="694" w:name="_Toc292559408"/>
      <w:bookmarkStart w:id="695" w:name="_Toc296944542"/>
      <w:bookmarkStart w:id="696" w:name="_Toc296347202"/>
      <w:bookmarkStart w:id="697" w:name="_Toc296346704"/>
      <w:bookmarkStart w:id="698" w:name="_Toc297048389"/>
      <w:bookmarkStart w:id="699" w:name="_Toc297123545"/>
      <w:bookmarkStart w:id="700" w:name="_Toc296891243"/>
      <w:bookmarkStart w:id="701" w:name="_Toc292559913"/>
      <w:bookmarkStart w:id="702" w:name="_Toc297216204"/>
      <w:bookmarkStart w:id="703" w:name="_Toc297120503"/>
      <w:bookmarkStart w:id="704" w:name="_Toc296891031"/>
      <w:bookmarkStart w:id="705" w:name="_Toc303539151"/>
      <w:r>
        <w:rPr>
          <w:rFonts w:hint="eastAsia" w:ascii="宋体" w:hAnsi="宋体" w:eastAsia="宋体" w:cs="宋体"/>
          <w:b/>
          <w:bCs/>
          <w:color w:val="auto"/>
          <w:kern w:val="2"/>
          <w:sz w:val="24"/>
          <w:szCs w:val="24"/>
          <w:highlight w:val="none"/>
          <w:lang w:val="en-US" w:eastAsia="zh-CN" w:bidi="ar-SA"/>
        </w:rPr>
        <w:t>包人的合理化建议</w:t>
      </w:r>
      <w:bookmarkEnd w:id="668"/>
      <w:bookmarkEnd w:id="669"/>
      <w:bookmarkEnd w:id="670"/>
      <w:bookmarkEnd w:id="671"/>
      <w:bookmarkEnd w:id="672"/>
      <w:bookmarkEnd w:id="673"/>
      <w:bookmarkEnd w:id="674"/>
    </w:p>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p w14:paraId="4B709173">
      <w:pPr>
        <w:keepNext w:val="0"/>
        <w:keepLines w:val="0"/>
        <w:pageBreakBefore w:val="0"/>
        <w:widowControl w:val="0"/>
        <w:suppressLineNumbers w:val="0"/>
        <w:kinsoku/>
        <w:overflowPunct/>
        <w:topLinePunct w:val="0"/>
        <w:bidi w:val="0"/>
        <w:snapToGrid/>
        <w:spacing w:before="0" w:beforeAutospacing="0" w:after="0" w:afterAutospacing="0" w:line="288" w:lineRule="auto"/>
        <w:ind w:left="0" w:right="0" w:firstLine="480" w:firstLineChars="200"/>
        <w:jc w:val="left"/>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bidi="ar"/>
        </w:rPr>
        <w:t>发包人审查承包人合理化建议的期限：</w:t>
      </w:r>
      <w:r>
        <w:rPr>
          <w:rFonts w:hint="eastAsia" w:ascii="宋体" w:hAnsi="宋体" w:eastAsia="宋体" w:cs="宋体"/>
          <w:color w:val="auto"/>
          <w:kern w:val="2"/>
          <w:sz w:val="24"/>
          <w:szCs w:val="24"/>
          <w:highlight w:val="none"/>
          <w:u w:val="single"/>
          <w:lang w:val="en-US" w:eastAsia="zh-CN" w:bidi="ar"/>
        </w:rPr>
        <w:t>发包人应在收到承包人提交的合理化建议后7天内审查完毕，发现其中存在技术上的缺陷，应通知承包人修改</w:t>
      </w:r>
      <w:r>
        <w:rPr>
          <w:rFonts w:hint="eastAsia" w:ascii="宋体" w:hAnsi="宋体" w:eastAsia="宋体" w:cs="宋体"/>
          <w:color w:val="auto"/>
          <w:kern w:val="2"/>
          <w:sz w:val="24"/>
          <w:szCs w:val="24"/>
          <w:highlight w:val="none"/>
          <w:lang w:val="en-US" w:eastAsia="zh-CN" w:bidi="ar"/>
        </w:rPr>
        <w:t>。</w:t>
      </w:r>
    </w:p>
    <w:p w14:paraId="0F1C1AB3">
      <w:pPr>
        <w:keepNext w:val="0"/>
        <w:keepLines w:val="0"/>
        <w:pageBreakBefore w:val="0"/>
        <w:widowControl w:val="0"/>
        <w:suppressLineNumbers w:val="0"/>
        <w:kinsoku/>
        <w:overflowPunct/>
        <w:topLinePunct w:val="0"/>
        <w:bidi w:val="0"/>
        <w:snapToGrid/>
        <w:spacing w:before="0" w:beforeAutospacing="0" w:after="0" w:afterAutospacing="0" w:line="288" w:lineRule="auto"/>
        <w:ind w:left="0" w:right="0" w:firstLine="480" w:firstLineChars="200"/>
        <w:jc w:val="left"/>
        <w:textAlignment w:val="auto"/>
        <w:rPr>
          <w:rFonts w:hint="eastAsia" w:ascii="宋体" w:hAnsi="宋体" w:eastAsia="宋体" w:cs="宋体"/>
          <w:color w:val="auto"/>
          <w:sz w:val="24"/>
          <w:szCs w:val="24"/>
          <w:highlight w:val="none"/>
          <w:u w:val="single"/>
          <w:lang w:val="en-US"/>
        </w:rPr>
      </w:pPr>
      <w:r>
        <w:rPr>
          <w:rFonts w:hint="eastAsia" w:ascii="宋体" w:hAnsi="宋体" w:eastAsia="宋体" w:cs="宋体"/>
          <w:color w:val="auto"/>
          <w:kern w:val="2"/>
          <w:sz w:val="24"/>
          <w:szCs w:val="24"/>
          <w:highlight w:val="none"/>
          <w:lang w:val="en-US" w:eastAsia="zh-CN" w:bidi="ar"/>
        </w:rPr>
        <w:t>承</w:t>
      </w:r>
      <w:bookmarkStart w:id="706" w:name="_Toc296346705"/>
      <w:bookmarkStart w:id="707" w:name="_Toc312678030"/>
      <w:bookmarkStart w:id="708" w:name="_Toc292559914"/>
      <w:bookmarkStart w:id="709" w:name="_Toc296347203"/>
      <w:bookmarkStart w:id="710" w:name="_Toc297216205"/>
      <w:bookmarkStart w:id="711" w:name="_Toc297123546"/>
      <w:bookmarkStart w:id="712" w:name="_Toc292559409"/>
      <w:bookmarkStart w:id="713" w:name="_Toc312677504"/>
      <w:bookmarkStart w:id="714" w:name="_Toc297120504"/>
      <w:bookmarkStart w:id="715" w:name="_Toc296891032"/>
      <w:bookmarkStart w:id="716" w:name="_Toc304295571"/>
      <w:bookmarkStart w:id="717" w:name="_Toc296891244"/>
      <w:bookmarkStart w:id="718" w:name="_Toc296503204"/>
      <w:bookmarkStart w:id="719" w:name="_Toc300934995"/>
      <w:bookmarkStart w:id="720" w:name="_Toc297048390"/>
      <w:bookmarkStart w:id="721" w:name="_Toc318581175"/>
      <w:bookmarkStart w:id="722" w:name="_Toc303539152"/>
      <w:bookmarkStart w:id="723" w:name="_Toc296944543"/>
      <w:r>
        <w:rPr>
          <w:rFonts w:hint="eastAsia" w:ascii="宋体" w:hAnsi="宋体" w:eastAsia="宋体" w:cs="宋体"/>
          <w:color w:val="auto"/>
          <w:kern w:val="2"/>
          <w:sz w:val="24"/>
          <w:szCs w:val="24"/>
          <w:highlight w:val="none"/>
          <w:lang w:val="en-US" w:eastAsia="zh-CN" w:bidi="ar"/>
        </w:rPr>
        <w:t>包人提出的合理化建议降低了合同价格或者提高了工程经济效益的奖励的方法和金额为：</w:t>
      </w:r>
      <w:r>
        <w:rPr>
          <w:rFonts w:hint="eastAsia" w:ascii="宋体" w:hAnsi="宋体" w:eastAsia="宋体" w:cs="宋体"/>
          <w:color w:val="auto"/>
          <w:kern w:val="2"/>
          <w:sz w:val="24"/>
          <w:szCs w:val="24"/>
          <w:highlight w:val="none"/>
          <w:u w:val="single"/>
          <w:lang w:val="en-US" w:eastAsia="zh-CN" w:bidi="ar"/>
        </w:rPr>
        <w:t>无.</w:t>
      </w:r>
    </w:p>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p w14:paraId="7720EE22">
      <w:pPr>
        <w:keepNext/>
        <w:keepLines/>
        <w:pageBreakBefore w:val="0"/>
        <w:widowControl/>
        <w:numPr>
          <w:ilvl w:val="0"/>
          <w:numId w:val="5"/>
        </w:numPr>
        <w:kinsoku/>
        <w:overflowPunct/>
        <w:topLinePunct w:val="0"/>
        <w:bidi w:val="0"/>
        <w:snapToGrid/>
        <w:spacing w:line="288" w:lineRule="auto"/>
        <w:ind w:left="0" w:firstLine="0"/>
        <w:jc w:val="left"/>
        <w:textAlignment w:val="auto"/>
        <w:outlineLvl w:val="1"/>
        <w:rPr>
          <w:rFonts w:hint="eastAsia" w:ascii="宋体" w:hAnsi="宋体" w:eastAsia="宋体" w:cs="宋体"/>
          <w:b/>
          <w:bCs/>
          <w:color w:val="auto"/>
          <w:kern w:val="44"/>
          <w:sz w:val="24"/>
          <w:szCs w:val="24"/>
          <w:highlight w:val="none"/>
          <w:lang w:val="en-US" w:eastAsia="zh-CN" w:bidi="ar-SA"/>
        </w:rPr>
      </w:pPr>
      <w:bookmarkStart w:id="724" w:name="_Toc351203643"/>
      <w:bookmarkStart w:id="725" w:name="_Toc24528"/>
      <w:bookmarkStart w:id="726" w:name="_Toc30405"/>
      <w:bookmarkStart w:id="727" w:name="_Toc373478393"/>
      <w:bookmarkStart w:id="728" w:name="_Toc73356687"/>
      <w:bookmarkStart w:id="729" w:name="_Toc389065312"/>
      <w:bookmarkStart w:id="730" w:name="_Toc77255616"/>
      <w:bookmarkStart w:id="731" w:name="_Toc373227746"/>
      <w:r>
        <w:rPr>
          <w:rFonts w:hint="eastAsia" w:ascii="宋体" w:hAnsi="宋体" w:eastAsia="宋体" w:cs="宋体"/>
          <w:b/>
          <w:bCs/>
          <w:color w:val="auto"/>
          <w:kern w:val="44"/>
          <w:sz w:val="24"/>
          <w:szCs w:val="24"/>
          <w:highlight w:val="none"/>
          <w:lang w:val="en-US" w:eastAsia="zh-CN" w:bidi="ar-SA"/>
        </w:rPr>
        <w:t>价格调整</w:t>
      </w:r>
      <w:bookmarkEnd w:id="724"/>
      <w:bookmarkEnd w:id="725"/>
      <w:bookmarkEnd w:id="726"/>
      <w:bookmarkEnd w:id="727"/>
      <w:bookmarkEnd w:id="728"/>
      <w:bookmarkEnd w:id="729"/>
      <w:bookmarkEnd w:id="730"/>
      <w:bookmarkEnd w:id="731"/>
    </w:p>
    <w:p w14:paraId="7EB3CA03">
      <w:pPr>
        <w:keepNext/>
        <w:keepLines/>
        <w:pageBreakBefore w:val="0"/>
        <w:widowControl/>
        <w:kinsoku/>
        <w:overflowPunct/>
        <w:topLinePunct w:val="0"/>
        <w:bidi w:val="0"/>
        <w:snapToGrid/>
        <w:spacing w:line="288" w:lineRule="auto"/>
        <w:jc w:val="both"/>
        <w:textAlignment w:val="auto"/>
        <w:outlineLvl w:val="2"/>
        <w:rPr>
          <w:rFonts w:hint="eastAsia" w:ascii="宋体" w:hAnsi="宋体" w:eastAsia="宋体" w:cs="宋体"/>
          <w:b/>
          <w:bCs/>
          <w:color w:val="auto"/>
          <w:kern w:val="2"/>
          <w:sz w:val="24"/>
          <w:szCs w:val="24"/>
          <w:highlight w:val="none"/>
          <w:lang w:val="en-US" w:eastAsia="zh-CN" w:bidi="ar-SA"/>
        </w:rPr>
      </w:pPr>
      <w:bookmarkStart w:id="732" w:name="_Toc77255617"/>
      <w:bookmarkStart w:id="733" w:name="_Toc373478394"/>
      <w:bookmarkStart w:id="734" w:name="_Toc25915"/>
      <w:bookmarkStart w:id="735" w:name="_Toc389065313"/>
      <w:bookmarkStart w:id="736" w:name="_Toc13958"/>
      <w:bookmarkStart w:id="737" w:name="_Toc73356688"/>
      <w:bookmarkStart w:id="738" w:name="_Toc373227747"/>
      <w:bookmarkStart w:id="739" w:name="_Toc304295577"/>
      <w:bookmarkStart w:id="740" w:name="_Toc300935000"/>
      <w:bookmarkStart w:id="741" w:name="_Toc297048387"/>
      <w:bookmarkStart w:id="742" w:name="_Toc292559406"/>
      <w:bookmarkStart w:id="743" w:name="_Toc296346702"/>
      <w:bookmarkStart w:id="744" w:name="_Toc296891029"/>
      <w:bookmarkStart w:id="745" w:name="_Toc296503201"/>
      <w:bookmarkStart w:id="746" w:name="_Toc297120501"/>
      <w:bookmarkStart w:id="747" w:name="_Toc297123550"/>
      <w:bookmarkStart w:id="748" w:name="_Toc303539157"/>
      <w:bookmarkStart w:id="749" w:name="_Toc312678039"/>
      <w:bookmarkStart w:id="750" w:name="_Toc292559911"/>
      <w:bookmarkStart w:id="751" w:name="_Toc296347200"/>
      <w:bookmarkStart w:id="752" w:name="_Toc297216209"/>
      <w:bookmarkStart w:id="753" w:name="_Toc296944540"/>
      <w:bookmarkStart w:id="754" w:name="_Toc296891241"/>
      <w:r>
        <w:rPr>
          <w:rFonts w:hint="eastAsia" w:ascii="宋体" w:hAnsi="宋体" w:eastAsia="宋体" w:cs="宋体"/>
          <w:b/>
          <w:bCs/>
          <w:color w:val="auto"/>
          <w:kern w:val="2"/>
          <w:sz w:val="24"/>
          <w:szCs w:val="24"/>
          <w:highlight w:val="none"/>
          <w:lang w:val="en-US" w:eastAsia="zh-CN" w:bidi="ar-SA"/>
        </w:rPr>
        <w:t>11.1 市场价格波动引起的调整</w:t>
      </w:r>
      <w:bookmarkEnd w:id="732"/>
      <w:bookmarkEnd w:id="733"/>
      <w:bookmarkEnd w:id="734"/>
      <w:bookmarkEnd w:id="735"/>
      <w:bookmarkEnd w:id="736"/>
      <w:bookmarkEnd w:id="737"/>
      <w:bookmarkEnd w:id="738"/>
    </w:p>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p w14:paraId="7FC6A729">
      <w:pPr>
        <w:keepNext w:val="0"/>
        <w:keepLines w:val="0"/>
        <w:pageBreakBefore w:val="0"/>
        <w:widowControl w:val="0"/>
        <w:suppressLineNumbers w:val="0"/>
        <w:kinsoku/>
        <w:overflowPunct/>
        <w:topLinePunct w:val="0"/>
        <w:bidi w:val="0"/>
        <w:snapToGrid/>
        <w:spacing w:before="0" w:beforeAutospacing="0" w:after="0" w:afterAutospacing="0" w:line="288" w:lineRule="auto"/>
        <w:ind w:left="0" w:right="0" w:firstLine="480" w:firstLineChars="200"/>
        <w:jc w:val="left"/>
        <w:textAlignment w:val="auto"/>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lang w:val="en-US" w:eastAsia="zh-CN" w:bidi="ar"/>
        </w:rPr>
        <w:t>市场价格波动是否调整合同价格的约定：</w:t>
      </w:r>
      <w:r>
        <w:rPr>
          <w:rFonts w:hint="eastAsia" w:ascii="宋体" w:hAnsi="宋体" w:eastAsia="宋体" w:cs="宋体"/>
          <w:color w:val="auto"/>
          <w:kern w:val="2"/>
          <w:sz w:val="24"/>
          <w:szCs w:val="24"/>
          <w:highlight w:val="none"/>
          <w:u w:val="single"/>
          <w:lang w:val="en-US" w:eastAsia="zh-CN" w:bidi="ar"/>
        </w:rPr>
        <w:t>否</w:t>
      </w:r>
      <w:r>
        <w:rPr>
          <w:rFonts w:hint="eastAsia" w:ascii="宋体" w:hAnsi="宋体" w:eastAsia="宋体" w:cs="宋体"/>
          <w:color w:val="auto"/>
          <w:kern w:val="2"/>
          <w:sz w:val="24"/>
          <w:szCs w:val="24"/>
          <w:highlight w:val="none"/>
          <w:lang w:val="en-US" w:eastAsia="zh-CN" w:bidi="ar"/>
        </w:rPr>
        <w:t>。</w:t>
      </w:r>
    </w:p>
    <w:bookmarkEnd w:id="622"/>
    <w:bookmarkEnd w:id="623"/>
    <w:bookmarkEnd w:id="624"/>
    <w:bookmarkEnd w:id="625"/>
    <w:bookmarkEnd w:id="626"/>
    <w:bookmarkEnd w:id="627"/>
    <w:p w14:paraId="4EA9D880">
      <w:pPr>
        <w:keepNext/>
        <w:keepLines/>
        <w:pageBreakBefore w:val="0"/>
        <w:widowControl/>
        <w:kinsoku/>
        <w:overflowPunct/>
        <w:topLinePunct w:val="0"/>
        <w:bidi w:val="0"/>
        <w:snapToGrid/>
        <w:spacing w:line="288" w:lineRule="auto"/>
        <w:jc w:val="left"/>
        <w:textAlignment w:val="auto"/>
        <w:outlineLvl w:val="1"/>
        <w:rPr>
          <w:rFonts w:hint="eastAsia" w:ascii="宋体" w:hAnsi="宋体" w:eastAsia="宋体" w:cs="宋体"/>
          <w:b/>
          <w:bCs/>
          <w:color w:val="auto"/>
          <w:kern w:val="44"/>
          <w:sz w:val="24"/>
          <w:szCs w:val="24"/>
          <w:highlight w:val="none"/>
          <w:lang w:val="en-US" w:eastAsia="zh-CN" w:bidi="ar-SA"/>
        </w:rPr>
      </w:pPr>
      <w:bookmarkStart w:id="755" w:name="_Toc296347204"/>
      <w:bookmarkStart w:id="756" w:name="_Toc292559410"/>
      <w:bookmarkStart w:id="757" w:name="_Toc296503205"/>
      <w:bookmarkStart w:id="758" w:name="_Toc296944544"/>
      <w:bookmarkStart w:id="759" w:name="_Toc297120505"/>
      <w:bookmarkStart w:id="760" w:name="_Toc297048391"/>
      <w:bookmarkStart w:id="761" w:name="_Toc296346706"/>
      <w:bookmarkStart w:id="762" w:name="_Toc296891033"/>
      <w:bookmarkStart w:id="763" w:name="_Toc296891245"/>
      <w:bookmarkStart w:id="764" w:name="_Toc292559915"/>
      <w:bookmarkStart w:id="765" w:name="_Toc28790"/>
      <w:bookmarkStart w:id="766" w:name="_Toc73356689"/>
      <w:bookmarkStart w:id="767" w:name="_Toc373478395"/>
      <w:bookmarkStart w:id="768" w:name="_Toc30327"/>
      <w:bookmarkStart w:id="769" w:name="_Toc77255618"/>
      <w:bookmarkStart w:id="770" w:name="_Toc351203644"/>
      <w:bookmarkStart w:id="771" w:name="_Toc373227748"/>
      <w:bookmarkStart w:id="772" w:name="_Toc303539159"/>
      <w:bookmarkStart w:id="773" w:name="_Toc297216211"/>
      <w:bookmarkStart w:id="774" w:name="_Toc312678040"/>
      <w:bookmarkStart w:id="775" w:name="_Toc297123552"/>
      <w:bookmarkStart w:id="776" w:name="_Toc304295579"/>
      <w:bookmarkStart w:id="777" w:name="_Toc300935002"/>
      <w:r>
        <w:rPr>
          <w:rFonts w:hint="eastAsia" w:ascii="宋体" w:hAnsi="宋体" w:eastAsia="宋体" w:cs="宋体"/>
          <w:b/>
          <w:bCs/>
          <w:color w:val="auto"/>
          <w:kern w:val="44"/>
          <w:sz w:val="24"/>
          <w:szCs w:val="24"/>
          <w:highlight w:val="none"/>
          <w:lang w:val="en-US" w:eastAsia="zh-CN" w:bidi="ar-SA"/>
        </w:rPr>
        <w:t xml:space="preserve">12. </w:t>
      </w:r>
      <w:bookmarkEnd w:id="755"/>
      <w:bookmarkEnd w:id="756"/>
      <w:bookmarkEnd w:id="757"/>
      <w:bookmarkEnd w:id="758"/>
      <w:bookmarkEnd w:id="759"/>
      <w:bookmarkEnd w:id="760"/>
      <w:bookmarkEnd w:id="761"/>
      <w:bookmarkEnd w:id="762"/>
      <w:bookmarkEnd w:id="763"/>
      <w:bookmarkEnd w:id="764"/>
      <w:r>
        <w:rPr>
          <w:rFonts w:hint="eastAsia" w:ascii="宋体" w:hAnsi="宋体" w:eastAsia="宋体" w:cs="宋体"/>
          <w:b/>
          <w:bCs/>
          <w:color w:val="auto"/>
          <w:kern w:val="44"/>
          <w:sz w:val="24"/>
          <w:szCs w:val="24"/>
          <w:highlight w:val="none"/>
          <w:lang w:val="en-US" w:eastAsia="zh-CN" w:bidi="ar-SA"/>
        </w:rPr>
        <w:t>合同价格、计量与支付</w:t>
      </w:r>
      <w:bookmarkEnd w:id="765"/>
      <w:bookmarkEnd w:id="766"/>
      <w:bookmarkEnd w:id="767"/>
      <w:bookmarkEnd w:id="768"/>
      <w:bookmarkEnd w:id="769"/>
      <w:bookmarkEnd w:id="770"/>
      <w:bookmarkEnd w:id="771"/>
    </w:p>
    <w:bookmarkEnd w:id="772"/>
    <w:bookmarkEnd w:id="773"/>
    <w:bookmarkEnd w:id="774"/>
    <w:bookmarkEnd w:id="775"/>
    <w:bookmarkEnd w:id="776"/>
    <w:bookmarkEnd w:id="777"/>
    <w:p w14:paraId="1BB92A6E">
      <w:pPr>
        <w:keepNext/>
        <w:keepLines/>
        <w:pageBreakBefore w:val="0"/>
        <w:widowControl/>
        <w:kinsoku/>
        <w:overflowPunct/>
        <w:topLinePunct w:val="0"/>
        <w:bidi w:val="0"/>
        <w:snapToGrid/>
        <w:spacing w:line="288" w:lineRule="auto"/>
        <w:jc w:val="both"/>
        <w:textAlignment w:val="auto"/>
        <w:outlineLvl w:val="2"/>
        <w:rPr>
          <w:rFonts w:hint="eastAsia" w:ascii="宋体" w:hAnsi="宋体" w:eastAsia="宋体" w:cs="宋体"/>
          <w:b/>
          <w:bCs/>
          <w:color w:val="auto"/>
          <w:kern w:val="2"/>
          <w:sz w:val="24"/>
          <w:szCs w:val="24"/>
          <w:highlight w:val="none"/>
          <w:lang w:val="en-US" w:eastAsia="zh-CN" w:bidi="ar-SA"/>
        </w:rPr>
      </w:pPr>
      <w:bookmarkStart w:id="778" w:name="_Toc267251461"/>
      <w:bookmarkStart w:id="779" w:name="_Toc292559916"/>
      <w:bookmarkStart w:id="780" w:name="_Toc292559411"/>
      <w:bookmarkStart w:id="781" w:name="_Toc296944545"/>
      <w:bookmarkStart w:id="782" w:name="_Toc296347205"/>
      <w:bookmarkStart w:id="783" w:name="_Toc297048392"/>
      <w:bookmarkStart w:id="784" w:name="_Toc296503206"/>
      <w:bookmarkStart w:id="785" w:name="_Toc296891246"/>
      <w:bookmarkStart w:id="786" w:name="_Toc297120506"/>
      <w:bookmarkStart w:id="787" w:name="_Toc296891034"/>
      <w:bookmarkStart w:id="788" w:name="_Toc296346707"/>
      <w:bookmarkStart w:id="789" w:name="_Toc389065314"/>
      <w:bookmarkStart w:id="790" w:name="_Toc373227749"/>
      <w:bookmarkStart w:id="791" w:name="_Toc77255619"/>
      <w:bookmarkStart w:id="792" w:name="_Toc373478396"/>
      <w:bookmarkStart w:id="793" w:name="_Toc2075"/>
      <w:bookmarkStart w:id="794" w:name="_Toc5915"/>
      <w:bookmarkStart w:id="795" w:name="_Toc73356690"/>
      <w:bookmarkStart w:id="796" w:name="_Toc300935003"/>
      <w:bookmarkStart w:id="797" w:name="_Toc297216212"/>
      <w:bookmarkStart w:id="798" w:name="_Toc303539160"/>
      <w:bookmarkStart w:id="799" w:name="_Toc304295580"/>
      <w:bookmarkStart w:id="800" w:name="_Toc312678041"/>
      <w:bookmarkStart w:id="801" w:name="_Toc297123553"/>
      <w:r>
        <w:rPr>
          <w:rFonts w:hint="eastAsia" w:ascii="宋体" w:hAnsi="宋体" w:eastAsia="宋体" w:cs="宋体"/>
          <w:b/>
          <w:bCs/>
          <w:color w:val="auto"/>
          <w:kern w:val="2"/>
          <w:sz w:val="24"/>
          <w:szCs w:val="24"/>
          <w:highlight w:val="none"/>
          <w:lang w:val="en-US" w:eastAsia="zh-CN" w:bidi="ar-SA"/>
        </w:rPr>
        <w:t>12.1 合</w:t>
      </w:r>
      <w:bookmarkEnd w:id="778"/>
      <w:bookmarkEnd w:id="779"/>
      <w:bookmarkEnd w:id="780"/>
      <w:r>
        <w:rPr>
          <w:rFonts w:hint="eastAsia" w:ascii="宋体" w:hAnsi="宋体" w:eastAsia="宋体" w:cs="宋体"/>
          <w:b/>
          <w:bCs/>
          <w:color w:val="auto"/>
          <w:kern w:val="2"/>
          <w:sz w:val="24"/>
          <w:szCs w:val="24"/>
          <w:highlight w:val="none"/>
          <w:lang w:val="en-US" w:eastAsia="zh-CN" w:bidi="ar-SA"/>
        </w:rPr>
        <w:t>同价</w:t>
      </w:r>
      <w:bookmarkEnd w:id="781"/>
      <w:bookmarkEnd w:id="782"/>
      <w:bookmarkEnd w:id="783"/>
      <w:bookmarkEnd w:id="784"/>
      <w:bookmarkEnd w:id="785"/>
      <w:bookmarkEnd w:id="786"/>
      <w:bookmarkEnd w:id="787"/>
      <w:bookmarkEnd w:id="788"/>
      <w:r>
        <w:rPr>
          <w:rFonts w:hint="eastAsia" w:ascii="宋体" w:hAnsi="宋体" w:eastAsia="宋体" w:cs="宋体"/>
          <w:b/>
          <w:bCs/>
          <w:color w:val="auto"/>
          <w:kern w:val="2"/>
          <w:sz w:val="24"/>
          <w:szCs w:val="24"/>
          <w:highlight w:val="none"/>
          <w:lang w:val="en-US" w:eastAsia="zh-CN" w:bidi="ar-SA"/>
        </w:rPr>
        <w:t>格形式</w:t>
      </w:r>
      <w:bookmarkEnd w:id="789"/>
      <w:bookmarkEnd w:id="790"/>
      <w:bookmarkEnd w:id="791"/>
      <w:bookmarkEnd w:id="792"/>
      <w:bookmarkEnd w:id="793"/>
      <w:bookmarkEnd w:id="794"/>
      <w:bookmarkEnd w:id="795"/>
    </w:p>
    <w:bookmarkEnd w:id="628"/>
    <w:bookmarkEnd w:id="796"/>
    <w:bookmarkEnd w:id="797"/>
    <w:bookmarkEnd w:id="798"/>
    <w:bookmarkEnd w:id="799"/>
    <w:bookmarkEnd w:id="800"/>
    <w:bookmarkEnd w:id="801"/>
    <w:p w14:paraId="73BD9B81">
      <w:pPr>
        <w:keepNext w:val="0"/>
        <w:keepLines w:val="0"/>
        <w:pageBreakBefore w:val="0"/>
        <w:widowControl w:val="0"/>
        <w:suppressLineNumbers w:val="0"/>
        <w:kinsoku/>
        <w:wordWrap w:val="0"/>
        <w:overflowPunct/>
        <w:topLinePunct w:val="0"/>
        <w:bidi w:val="0"/>
        <w:snapToGrid/>
        <w:spacing w:before="0" w:beforeAutospacing="0" w:after="0" w:afterAutospacing="0" w:line="288" w:lineRule="auto"/>
        <w:ind w:left="0" w:right="0" w:firstLine="480" w:firstLineChars="200"/>
        <w:jc w:val="left"/>
        <w:textAlignment w:val="auto"/>
        <w:rPr>
          <w:rFonts w:hint="eastAsia" w:ascii="宋体" w:hAnsi="宋体" w:eastAsia="宋体" w:cs="宋体"/>
          <w:color w:val="auto"/>
          <w:sz w:val="24"/>
          <w:szCs w:val="24"/>
          <w:highlight w:val="none"/>
          <w:lang w:val="en-US"/>
        </w:rPr>
      </w:pPr>
      <w:bookmarkStart w:id="802" w:name="_Toc389065315"/>
      <w:bookmarkStart w:id="803" w:name="_Toc373227750"/>
      <w:bookmarkStart w:id="804" w:name="_Toc373478397"/>
      <w:bookmarkStart w:id="805" w:name="_Toc304295581"/>
      <w:bookmarkStart w:id="806" w:name="_Toc297123554"/>
      <w:bookmarkStart w:id="807" w:name="_Toc297216213"/>
      <w:bookmarkStart w:id="808" w:name="_Toc303539161"/>
      <w:bookmarkStart w:id="809" w:name="_Toc300935004"/>
      <w:bookmarkStart w:id="810" w:name="_Toc312678042"/>
      <w:bookmarkStart w:id="811" w:name="_Toc292559412"/>
      <w:bookmarkStart w:id="812" w:name="_Toc296891247"/>
      <w:bookmarkStart w:id="813" w:name="_Toc296891035"/>
      <w:bookmarkStart w:id="814" w:name="_Toc297048393"/>
      <w:bookmarkStart w:id="815" w:name="_Toc297120507"/>
      <w:bookmarkStart w:id="816" w:name="_Toc296944546"/>
      <w:bookmarkStart w:id="817" w:name="_Toc296347206"/>
      <w:bookmarkStart w:id="818" w:name="_Toc292559917"/>
      <w:bookmarkStart w:id="819" w:name="_Toc296346708"/>
      <w:bookmarkStart w:id="820" w:name="_Toc296503207"/>
      <w:bookmarkStart w:id="821" w:name="_Toc373478405"/>
      <w:bookmarkStart w:id="822" w:name="_Toc389065323"/>
      <w:bookmarkStart w:id="823" w:name="_Toc351203646"/>
      <w:bookmarkStart w:id="824" w:name="_Toc373227758"/>
      <w:bookmarkStart w:id="825" w:name="_Toc267251472"/>
      <w:bookmarkStart w:id="826" w:name="_Toc267251473"/>
      <w:bookmarkStart w:id="827" w:name="_Toc267251470"/>
      <w:bookmarkStart w:id="828" w:name="_Toc267251471"/>
      <w:bookmarkStart w:id="829" w:name="_Toc267251474"/>
      <w:bookmarkStart w:id="830" w:name="_Toc267251475"/>
      <w:bookmarkStart w:id="831" w:name="_Toc280868709"/>
      <w:bookmarkStart w:id="832" w:name="_Toc267251476"/>
      <w:r>
        <w:rPr>
          <w:rFonts w:hint="eastAsia" w:ascii="宋体" w:hAnsi="宋体" w:eastAsia="宋体" w:cs="宋体"/>
          <w:color w:val="auto"/>
          <w:kern w:val="2"/>
          <w:sz w:val="24"/>
          <w:szCs w:val="24"/>
          <w:highlight w:val="none"/>
          <w:lang w:val="en-US" w:eastAsia="zh-CN" w:bidi="ar"/>
        </w:rPr>
        <w:t>（1）单价合同。</w:t>
      </w:r>
    </w:p>
    <w:p w14:paraId="02F67C6A">
      <w:pPr>
        <w:keepNext w:val="0"/>
        <w:keepLines w:val="0"/>
        <w:pageBreakBefore w:val="0"/>
        <w:widowControl w:val="0"/>
        <w:suppressLineNumbers w:val="0"/>
        <w:kinsoku/>
        <w:wordWrap w:val="0"/>
        <w:overflowPunct/>
        <w:topLinePunct w:val="0"/>
        <w:bidi w:val="0"/>
        <w:snapToGrid/>
        <w:spacing w:before="0" w:beforeAutospacing="0" w:after="0" w:afterAutospacing="0" w:line="288" w:lineRule="auto"/>
        <w:ind w:left="0" w:right="0" w:firstLine="480" w:firstLineChars="200"/>
        <w:jc w:val="left"/>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bidi="ar"/>
        </w:rPr>
        <w:t>本合同价款采用</w:t>
      </w:r>
      <w:r>
        <w:rPr>
          <w:rFonts w:hint="eastAsia" w:ascii="宋体" w:hAnsi="宋体" w:eastAsia="宋体" w:cs="宋体"/>
          <w:color w:val="auto"/>
          <w:kern w:val="2"/>
          <w:sz w:val="24"/>
          <w:szCs w:val="24"/>
          <w:highlight w:val="none"/>
          <w:u w:val="single"/>
          <w:lang w:val="en-US" w:eastAsia="zh-CN" w:bidi="ar"/>
        </w:rPr>
        <w:t>固定综合单价</w:t>
      </w:r>
      <w:r>
        <w:rPr>
          <w:rFonts w:hint="eastAsia" w:ascii="宋体" w:hAnsi="宋体" w:eastAsia="宋体" w:cs="宋体"/>
          <w:color w:val="auto"/>
          <w:kern w:val="2"/>
          <w:sz w:val="24"/>
          <w:szCs w:val="24"/>
          <w:highlight w:val="none"/>
          <w:lang w:val="en-US" w:eastAsia="zh-CN" w:bidi="ar"/>
        </w:rPr>
        <w:t>方式确定，工程量按实际结算。</w:t>
      </w:r>
    </w:p>
    <w:p w14:paraId="6D74CD03">
      <w:pPr>
        <w:pageBreakBefore w:val="0"/>
        <w:widowControl/>
        <w:kinsoku/>
        <w:wordWrap w:val="0"/>
        <w:overflowPunct/>
        <w:topLinePunct w:val="0"/>
        <w:bidi w:val="0"/>
        <w:snapToGrid/>
        <w:spacing w:line="288" w:lineRule="auto"/>
        <w:ind w:left="0"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综合单价中包括的风险范围：除工程变更、项目特征不符、工程量清单缺项、工程量偏差、《承包人提供主要材料和设备一览表》中约定的材料和设备价格变动风险、政策性调整以外的其他风险。</w:t>
      </w:r>
    </w:p>
    <w:p w14:paraId="4B8FBB80">
      <w:pPr>
        <w:pageBreakBefore w:val="0"/>
        <w:widowControl/>
        <w:kinsoku/>
        <w:wordWrap w:val="0"/>
        <w:overflowPunct/>
        <w:topLinePunct w:val="0"/>
        <w:bidi w:val="0"/>
        <w:snapToGrid/>
        <w:spacing w:line="288" w:lineRule="auto"/>
        <w:ind w:left="0"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风险费用的计算方法：单价采用固定综合单价，风险费用已综合考虑在单价中。</w:t>
      </w:r>
    </w:p>
    <w:p w14:paraId="27B0AA4C">
      <w:pPr>
        <w:pageBreakBefore w:val="0"/>
        <w:kinsoku/>
        <w:overflowPunct/>
        <w:topLinePunct w:val="0"/>
        <w:bidi w:val="0"/>
        <w:snapToGrid/>
        <w:spacing w:line="288" w:lineRule="auto"/>
        <w:textAlignment w:val="auto"/>
        <w:rPr>
          <w:rFonts w:hint="eastAsia" w:ascii="宋体" w:hAnsi="宋体" w:eastAsia="宋体" w:cs="宋体"/>
          <w:color w:val="auto"/>
          <w:sz w:val="24"/>
          <w:szCs w:val="24"/>
          <w:highlight w:val="none"/>
          <w:lang w:val="en-US"/>
        </w:rPr>
      </w:pPr>
      <w:bookmarkStart w:id="833" w:name="_Toc14783"/>
      <w:bookmarkStart w:id="834" w:name="_Toc12693"/>
      <w:r>
        <w:rPr>
          <w:rFonts w:hint="eastAsia" w:ascii="宋体" w:hAnsi="宋体" w:eastAsia="宋体" w:cs="宋体"/>
          <w:color w:val="auto"/>
          <w:sz w:val="24"/>
          <w:szCs w:val="24"/>
          <w:highlight w:val="none"/>
          <w:lang w:eastAsia="zh-CN"/>
        </w:rPr>
        <w:t>①风险范围以外合同价款调整方法：</w:t>
      </w:r>
      <w:bookmarkEnd w:id="833"/>
      <w:bookmarkEnd w:id="834"/>
    </w:p>
    <w:p w14:paraId="329EDEF2">
      <w:pPr>
        <w:pageBreakBefore w:val="0"/>
        <w:widowControl/>
        <w:kinsoku/>
        <w:wordWrap w:val="0"/>
        <w:overflowPunct/>
        <w:topLinePunct w:val="0"/>
        <w:bidi w:val="0"/>
        <w:snapToGrid/>
        <w:spacing w:line="288" w:lineRule="auto"/>
        <w:ind w:left="0"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a.本合同实施期间因工程变更、项目特征不符、工程量清单缺项引起工程项目、工程量变化的，其工程量按实际发生并发包人确认，变更合同价款按下列方法进行：</w:t>
      </w:r>
      <w:r>
        <w:rPr>
          <w:rFonts w:hint="eastAsia" w:ascii="宋体" w:hAnsi="宋体" w:eastAsia="宋体" w:cs="宋体"/>
          <w:color w:val="auto"/>
          <w:kern w:val="2"/>
          <w:sz w:val="24"/>
          <w:szCs w:val="24"/>
          <w:highlight w:val="none"/>
          <w:u w:val="single"/>
          <w:lang w:val="en-US" w:eastAsia="zh-CN" w:bidi="ar-SA"/>
        </w:rPr>
        <w:t>合同中已有相同子目的，按合同该子目价格进行计算；合同中只有类似子目的，参照该类似子目价格进行计算；合同中没有适用或类似子目的价格计算方法：有定额的套定额计算，其中材料价格按施工期间的《南宁建设工程造价信息》相应价格信息（中档价）进行计算，《南宁建设工程造价信息》没有相应价格信息的按市场价计算；无定额可套的，由发包人及承包人根据市场价格协商确定综合价格。</w:t>
      </w:r>
    </w:p>
    <w:p w14:paraId="054C5CB0">
      <w:pPr>
        <w:pageBreakBefore w:val="0"/>
        <w:widowControl/>
        <w:kinsoku/>
        <w:wordWrap w:val="0"/>
        <w:overflowPunct/>
        <w:topLinePunct w:val="0"/>
        <w:bidi w:val="0"/>
        <w:snapToGrid/>
        <w:spacing w:line="288" w:lineRule="auto"/>
        <w:ind w:left="0" w:firstLine="480" w:firstLineChars="2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b.措施项目费调整原则按《(GB50500-2013)建设工程工程量清单计价规范-广西壮族自治区实施细则》第9.3.2款执行。</w:t>
      </w:r>
    </w:p>
    <w:p w14:paraId="64CEACB5">
      <w:pPr>
        <w:pageBreakBefore w:val="0"/>
        <w:widowControl/>
        <w:kinsoku/>
        <w:wordWrap w:val="0"/>
        <w:overflowPunct/>
        <w:topLinePunct w:val="0"/>
        <w:bidi w:val="0"/>
        <w:snapToGrid/>
        <w:spacing w:line="288" w:lineRule="auto"/>
        <w:ind w:left="0"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c.材料和设备价格风险的调整方法：</w:t>
      </w:r>
    </w:p>
    <w:p w14:paraId="4CCF08A3">
      <w:pPr>
        <w:pageBreakBefore w:val="0"/>
        <w:widowControl/>
        <w:kinsoku/>
        <w:wordWrap w:val="0"/>
        <w:overflowPunct/>
        <w:topLinePunct w:val="0"/>
        <w:bidi w:val="0"/>
        <w:snapToGrid/>
        <w:spacing w:line="288" w:lineRule="auto"/>
        <w:ind w:left="0"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基准价格的约定：基准价格按照采购文件约定的材料设备信息价，无信息价的参考招标控制价的材料设备价格。</w:t>
      </w:r>
    </w:p>
    <w:p w14:paraId="467E18B5">
      <w:pPr>
        <w:pageBreakBefore w:val="0"/>
        <w:widowControl/>
        <w:kinsoku/>
        <w:wordWrap w:val="0"/>
        <w:overflowPunct/>
        <w:topLinePunct w:val="0"/>
        <w:bidi w:val="0"/>
        <w:snapToGrid/>
        <w:spacing w:line="288" w:lineRule="auto"/>
        <w:ind w:left="0" w:firstLine="480" w:firstLineChars="2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材料及设备风险的约定：允许调整的主要材料、设备调整方法按11.1中约定方式执行，调整部分仅计差额及相应税金。其余材料、设备不予调整。</w:t>
      </w:r>
    </w:p>
    <w:p w14:paraId="123A1E1E">
      <w:pPr>
        <w:pageBreakBefore w:val="0"/>
        <w:widowControl/>
        <w:kinsoku/>
        <w:wordWrap w:val="0"/>
        <w:overflowPunct/>
        <w:topLinePunct w:val="0"/>
        <w:bidi w:val="0"/>
        <w:snapToGrid/>
        <w:spacing w:line="288" w:lineRule="auto"/>
        <w:ind w:left="0" w:firstLine="480" w:firstLineChars="2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d.措施项目费调整原则按《(GB50500-2013)建设工程工程量清单计价规范-广西壮族自治区实施细则》第9.3.2款执行。</w:t>
      </w:r>
    </w:p>
    <w:p w14:paraId="153EB5FA">
      <w:pPr>
        <w:pageBreakBefore w:val="0"/>
        <w:widowControl/>
        <w:kinsoku/>
        <w:wordWrap w:val="0"/>
        <w:overflowPunct/>
        <w:topLinePunct w:val="0"/>
        <w:bidi w:val="0"/>
        <w:snapToGrid/>
        <w:spacing w:line="288" w:lineRule="auto"/>
        <w:ind w:left="0" w:firstLine="480" w:firstLineChars="2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e.国家和自治区政策性调整有关费用标准的，</w:t>
      </w:r>
      <w:r>
        <w:rPr>
          <w:rFonts w:hint="eastAsia" w:ascii="宋体" w:hAnsi="宋体" w:eastAsia="宋体" w:cs="宋体"/>
          <w:color w:val="auto"/>
          <w:kern w:val="2"/>
          <w:sz w:val="24"/>
          <w:szCs w:val="24"/>
          <w:highlight w:val="none"/>
          <w:u w:val="single"/>
          <w:lang w:val="en-US" w:eastAsia="zh-CN" w:bidi="ar-SA"/>
        </w:rPr>
        <w:t>按文件规定执行</w:t>
      </w:r>
      <w:r>
        <w:rPr>
          <w:rFonts w:hint="eastAsia" w:ascii="宋体" w:hAnsi="宋体" w:eastAsia="宋体" w:cs="宋体"/>
          <w:color w:val="auto"/>
          <w:kern w:val="2"/>
          <w:sz w:val="24"/>
          <w:szCs w:val="24"/>
          <w:highlight w:val="none"/>
          <w:lang w:val="en-US" w:eastAsia="zh-CN" w:bidi="ar-SA"/>
        </w:rPr>
        <w:t>。</w:t>
      </w:r>
    </w:p>
    <w:p w14:paraId="64840615">
      <w:pPr>
        <w:pageBreakBefore w:val="0"/>
        <w:widowControl/>
        <w:kinsoku/>
        <w:wordWrap w:val="0"/>
        <w:overflowPunct/>
        <w:topLinePunct w:val="0"/>
        <w:bidi w:val="0"/>
        <w:snapToGrid/>
        <w:spacing w:line="288" w:lineRule="auto"/>
        <w:ind w:left="0" w:firstLine="480" w:firstLineChars="2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f.无约定的参照我区现行《建设工程工程量清单计价规范》相关规定执行。</w:t>
      </w:r>
    </w:p>
    <w:p w14:paraId="44A4686D">
      <w:pPr>
        <w:pageBreakBefore w:val="0"/>
        <w:widowControl/>
        <w:kinsoku/>
        <w:wordWrap w:val="0"/>
        <w:overflowPunct/>
        <w:topLinePunct w:val="0"/>
        <w:bidi w:val="0"/>
        <w:snapToGrid/>
        <w:spacing w:line="288" w:lineRule="auto"/>
        <w:ind w:left="0" w:firstLine="480" w:firstLineChars="2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u w:val="single"/>
          <w:lang w:val="en-US" w:eastAsia="zh-CN" w:bidi="ar-SA"/>
        </w:rPr>
        <w:t>由于工程变更等原因造成工程总投资超出概算的，未经调概前，一律不予结算和核拨超概部分费用。本工程最终结算评审按招标人审计部门审核为准</w:t>
      </w:r>
      <w:r>
        <w:rPr>
          <w:rFonts w:hint="eastAsia" w:ascii="宋体" w:hAnsi="宋体" w:eastAsia="宋体" w:cs="宋体"/>
          <w:color w:val="auto"/>
          <w:kern w:val="2"/>
          <w:sz w:val="24"/>
          <w:szCs w:val="24"/>
          <w:highlight w:val="none"/>
          <w:lang w:val="en-US" w:eastAsia="zh-CN" w:bidi="ar-SA"/>
        </w:rPr>
        <w:t>。</w:t>
      </w:r>
    </w:p>
    <w:p w14:paraId="42641E2D">
      <w:pPr>
        <w:keepNext w:val="0"/>
        <w:keepLines w:val="0"/>
        <w:pageBreakBefore w:val="0"/>
        <w:widowControl w:val="0"/>
        <w:suppressLineNumbers w:val="0"/>
        <w:kinsoku/>
        <w:wordWrap w:val="0"/>
        <w:overflowPunct/>
        <w:topLinePunct w:val="0"/>
        <w:bidi w:val="0"/>
        <w:snapToGrid/>
        <w:spacing w:before="0" w:beforeAutospacing="0" w:after="0" w:afterAutospacing="0" w:line="288" w:lineRule="auto"/>
        <w:ind w:left="0" w:right="0" w:firstLine="480" w:firstLineChars="200"/>
        <w:jc w:val="left"/>
        <w:textAlignment w:val="auto"/>
        <w:outlineLvl w:val="1"/>
        <w:rPr>
          <w:rFonts w:hint="eastAsia" w:ascii="宋体" w:hAnsi="宋体" w:eastAsia="宋体" w:cs="宋体"/>
          <w:color w:val="auto"/>
          <w:sz w:val="24"/>
          <w:szCs w:val="24"/>
          <w:highlight w:val="none"/>
          <w:lang w:val="en-US"/>
        </w:rPr>
      </w:pPr>
      <w:bookmarkStart w:id="835" w:name="_Toc4681"/>
      <w:r>
        <w:rPr>
          <w:rFonts w:hint="eastAsia" w:ascii="宋体" w:hAnsi="宋体" w:eastAsia="宋体" w:cs="宋体"/>
          <w:color w:val="auto"/>
          <w:kern w:val="2"/>
          <w:sz w:val="24"/>
          <w:szCs w:val="24"/>
          <w:highlight w:val="none"/>
          <w:lang w:val="en-US" w:eastAsia="zh-CN" w:bidi="ar"/>
        </w:rPr>
        <w:t>（2）总价合同。</w:t>
      </w:r>
      <w:bookmarkEnd w:id="835"/>
    </w:p>
    <w:p w14:paraId="0B544DD9">
      <w:pPr>
        <w:keepNext w:val="0"/>
        <w:keepLines w:val="0"/>
        <w:pageBreakBefore w:val="0"/>
        <w:widowControl w:val="0"/>
        <w:suppressLineNumbers w:val="0"/>
        <w:kinsoku/>
        <w:wordWrap w:val="0"/>
        <w:overflowPunct/>
        <w:topLinePunct w:val="0"/>
        <w:bidi w:val="0"/>
        <w:snapToGrid/>
        <w:spacing w:before="0" w:beforeAutospacing="0" w:after="0" w:afterAutospacing="0" w:line="288" w:lineRule="auto"/>
        <w:ind w:left="0" w:right="0" w:firstLine="480" w:firstLineChars="200"/>
        <w:jc w:val="left"/>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bidi="ar"/>
        </w:rPr>
        <w:t>总价包含的风险范围：</w:t>
      </w:r>
      <w:r>
        <w:rPr>
          <w:rFonts w:hint="eastAsia" w:ascii="宋体" w:hAnsi="宋体" w:eastAsia="宋体" w:cs="宋体"/>
          <w:color w:val="auto"/>
          <w:kern w:val="2"/>
          <w:sz w:val="24"/>
          <w:szCs w:val="24"/>
          <w:highlight w:val="none"/>
          <w:u w:val="single"/>
          <w:lang w:val="en-US" w:eastAsia="zh-CN" w:bidi="ar"/>
        </w:rPr>
        <w:t>无</w:t>
      </w:r>
      <w:r>
        <w:rPr>
          <w:rFonts w:hint="eastAsia" w:ascii="宋体" w:hAnsi="宋体" w:eastAsia="宋体" w:cs="宋体"/>
          <w:color w:val="auto"/>
          <w:kern w:val="2"/>
          <w:sz w:val="24"/>
          <w:szCs w:val="24"/>
          <w:highlight w:val="none"/>
          <w:lang w:val="en-US" w:eastAsia="zh-CN" w:bidi="ar"/>
        </w:rPr>
        <w:t>。</w:t>
      </w:r>
    </w:p>
    <w:p w14:paraId="528453C4">
      <w:pPr>
        <w:keepNext w:val="0"/>
        <w:keepLines w:val="0"/>
        <w:pageBreakBefore w:val="0"/>
        <w:widowControl w:val="0"/>
        <w:suppressLineNumbers w:val="0"/>
        <w:kinsoku/>
        <w:wordWrap w:val="0"/>
        <w:overflowPunct/>
        <w:topLinePunct w:val="0"/>
        <w:bidi w:val="0"/>
        <w:snapToGrid/>
        <w:spacing w:before="0" w:beforeAutospacing="0" w:after="0" w:afterAutospacing="0" w:line="288" w:lineRule="auto"/>
        <w:ind w:left="0" w:right="0" w:firstLine="480" w:firstLineChars="200"/>
        <w:jc w:val="left"/>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bidi="ar"/>
        </w:rPr>
        <w:t>风险范围以外合同价格的调整方法：</w:t>
      </w:r>
      <w:r>
        <w:rPr>
          <w:rFonts w:hint="eastAsia" w:ascii="宋体" w:hAnsi="宋体" w:eastAsia="宋体" w:cs="宋体"/>
          <w:color w:val="auto"/>
          <w:kern w:val="2"/>
          <w:sz w:val="24"/>
          <w:szCs w:val="24"/>
          <w:highlight w:val="none"/>
          <w:u w:val="single"/>
          <w:lang w:val="en-US" w:eastAsia="zh-CN" w:bidi="ar"/>
        </w:rPr>
        <w:t>无</w:t>
      </w:r>
      <w:r>
        <w:rPr>
          <w:rFonts w:hint="eastAsia" w:ascii="宋体" w:hAnsi="宋体" w:eastAsia="宋体" w:cs="宋体"/>
          <w:color w:val="auto"/>
          <w:kern w:val="2"/>
          <w:sz w:val="24"/>
          <w:szCs w:val="24"/>
          <w:highlight w:val="none"/>
          <w:lang w:val="en-US" w:eastAsia="zh-CN" w:bidi="ar"/>
        </w:rPr>
        <w:t>。</w:t>
      </w:r>
    </w:p>
    <w:p w14:paraId="20ABB12E">
      <w:pPr>
        <w:keepNext w:val="0"/>
        <w:keepLines w:val="0"/>
        <w:pageBreakBefore w:val="0"/>
        <w:widowControl w:val="0"/>
        <w:suppressLineNumbers w:val="0"/>
        <w:kinsoku/>
        <w:wordWrap w:val="0"/>
        <w:overflowPunct/>
        <w:topLinePunct w:val="0"/>
        <w:bidi w:val="0"/>
        <w:snapToGrid/>
        <w:spacing w:before="0" w:beforeAutospacing="0" w:after="0" w:afterAutospacing="0" w:line="288" w:lineRule="auto"/>
        <w:ind w:left="0" w:right="0" w:firstLine="480" w:firstLineChars="200"/>
        <w:jc w:val="left"/>
        <w:textAlignment w:val="auto"/>
        <w:outlineLvl w:val="1"/>
        <w:rPr>
          <w:rFonts w:hint="eastAsia" w:ascii="宋体" w:hAnsi="宋体" w:eastAsia="宋体" w:cs="宋体"/>
          <w:color w:val="auto"/>
          <w:sz w:val="24"/>
          <w:szCs w:val="24"/>
          <w:highlight w:val="none"/>
          <w:lang w:val="en-US"/>
        </w:rPr>
      </w:pPr>
      <w:bookmarkStart w:id="836" w:name="_Toc31417"/>
      <w:r>
        <w:rPr>
          <w:rFonts w:hint="eastAsia" w:ascii="宋体" w:hAnsi="宋体" w:eastAsia="宋体" w:cs="宋体"/>
          <w:color w:val="auto"/>
          <w:kern w:val="2"/>
          <w:sz w:val="24"/>
          <w:szCs w:val="24"/>
          <w:highlight w:val="none"/>
          <w:lang w:val="en-US" w:eastAsia="zh-CN" w:bidi="ar"/>
        </w:rPr>
        <w:t>（3）其他价格方式：。</w:t>
      </w:r>
      <w:bookmarkEnd w:id="836"/>
    </w:p>
    <w:p w14:paraId="386EB559">
      <w:pPr>
        <w:keepNext/>
        <w:keepLines/>
        <w:pageBreakBefore w:val="0"/>
        <w:widowControl/>
        <w:kinsoku/>
        <w:wordWrap w:val="0"/>
        <w:overflowPunct/>
        <w:topLinePunct w:val="0"/>
        <w:bidi w:val="0"/>
        <w:snapToGrid/>
        <w:spacing w:line="288" w:lineRule="auto"/>
        <w:jc w:val="both"/>
        <w:textAlignment w:val="auto"/>
        <w:outlineLvl w:val="1"/>
        <w:rPr>
          <w:rFonts w:hint="eastAsia" w:ascii="宋体" w:hAnsi="宋体" w:eastAsia="宋体" w:cs="宋体"/>
          <w:b/>
          <w:bCs/>
          <w:color w:val="auto"/>
          <w:kern w:val="2"/>
          <w:sz w:val="24"/>
          <w:szCs w:val="24"/>
          <w:highlight w:val="none"/>
          <w:lang w:val="en-US" w:eastAsia="zh-CN" w:bidi="ar-SA"/>
        </w:rPr>
      </w:pPr>
      <w:bookmarkStart w:id="837" w:name="_Toc4336"/>
      <w:bookmarkStart w:id="838" w:name="_Toc463940150"/>
      <w:bookmarkStart w:id="839" w:name="_Toc480968506"/>
      <w:bookmarkStart w:id="840" w:name="_Toc3731667"/>
      <w:bookmarkStart w:id="841" w:name="_Toc73356691"/>
      <w:bookmarkStart w:id="842" w:name="_Toc77255620"/>
      <w:bookmarkStart w:id="843" w:name="_Toc20134"/>
      <w:bookmarkStart w:id="844" w:name="_Toc432177012"/>
      <w:bookmarkStart w:id="845" w:name="_Toc18954295"/>
      <w:bookmarkStart w:id="846" w:name="_Toc531093178"/>
      <w:bookmarkStart w:id="847" w:name="_Toc3731883"/>
      <w:r>
        <w:rPr>
          <w:rFonts w:hint="eastAsia" w:ascii="宋体" w:hAnsi="宋体" w:eastAsia="宋体" w:cs="宋体"/>
          <w:b/>
          <w:bCs/>
          <w:color w:val="auto"/>
          <w:kern w:val="2"/>
          <w:sz w:val="24"/>
          <w:szCs w:val="24"/>
          <w:highlight w:val="none"/>
          <w:lang w:val="en-US" w:eastAsia="zh-CN" w:bidi="ar-SA"/>
        </w:rPr>
        <w:t>12.2 预付款</w:t>
      </w:r>
      <w:bookmarkEnd w:id="802"/>
      <w:bookmarkEnd w:id="803"/>
      <w:bookmarkEnd w:id="804"/>
      <w:bookmarkEnd w:id="837"/>
      <w:bookmarkEnd w:id="838"/>
      <w:bookmarkEnd w:id="839"/>
      <w:bookmarkEnd w:id="840"/>
      <w:bookmarkEnd w:id="841"/>
      <w:bookmarkEnd w:id="842"/>
      <w:bookmarkEnd w:id="843"/>
      <w:bookmarkEnd w:id="844"/>
      <w:bookmarkEnd w:id="845"/>
      <w:bookmarkEnd w:id="846"/>
      <w:bookmarkEnd w:id="847"/>
    </w:p>
    <w:bookmarkEnd w:id="805"/>
    <w:bookmarkEnd w:id="806"/>
    <w:bookmarkEnd w:id="807"/>
    <w:bookmarkEnd w:id="808"/>
    <w:bookmarkEnd w:id="809"/>
    <w:bookmarkEnd w:id="810"/>
    <w:p w14:paraId="1DBFB565">
      <w:pPr>
        <w:keepNext w:val="0"/>
        <w:keepLines w:val="0"/>
        <w:pageBreakBefore w:val="0"/>
        <w:widowControl w:val="0"/>
        <w:suppressLineNumbers w:val="0"/>
        <w:kinsoku/>
        <w:wordWrap w:val="0"/>
        <w:overflowPunct/>
        <w:topLinePunct w:val="0"/>
        <w:bidi w:val="0"/>
        <w:snapToGrid/>
        <w:spacing w:before="0" w:beforeAutospacing="0" w:after="0" w:afterAutospacing="0" w:line="288" w:lineRule="auto"/>
        <w:ind w:left="0" w:right="0" w:firstLine="480" w:firstLineChars="200"/>
        <w:jc w:val="left"/>
        <w:textAlignment w:val="auto"/>
        <w:outlineLvl w:val="2"/>
        <w:rPr>
          <w:rFonts w:hint="eastAsia" w:ascii="宋体" w:hAnsi="宋体" w:eastAsia="宋体" w:cs="宋体"/>
          <w:color w:val="auto"/>
          <w:sz w:val="24"/>
          <w:szCs w:val="24"/>
          <w:highlight w:val="none"/>
          <w:lang w:val="en-US"/>
        </w:rPr>
      </w:pPr>
      <w:bookmarkStart w:id="848" w:name="_Toc11941"/>
      <w:r>
        <w:rPr>
          <w:rFonts w:hint="eastAsia" w:ascii="宋体" w:hAnsi="宋体" w:eastAsia="宋体" w:cs="宋体"/>
          <w:color w:val="auto"/>
          <w:kern w:val="2"/>
          <w:sz w:val="24"/>
          <w:szCs w:val="24"/>
          <w:highlight w:val="none"/>
          <w:lang w:val="en-US" w:eastAsia="zh-CN" w:bidi="ar"/>
        </w:rPr>
        <w:t>12.2.1 预付款的支付</w:t>
      </w:r>
      <w:bookmarkEnd w:id="848"/>
    </w:p>
    <w:p w14:paraId="256A4144">
      <w:pPr>
        <w:keepNext w:val="0"/>
        <w:keepLines w:val="0"/>
        <w:pageBreakBefore w:val="0"/>
        <w:widowControl w:val="0"/>
        <w:suppressLineNumbers w:val="0"/>
        <w:kinsoku/>
        <w:wordWrap w:val="0"/>
        <w:overflowPunct/>
        <w:topLinePunct w:val="0"/>
        <w:bidi w:val="0"/>
        <w:snapToGrid/>
        <w:spacing w:before="0" w:beforeAutospacing="0" w:after="0" w:afterAutospacing="0" w:line="288" w:lineRule="auto"/>
        <w:ind w:left="0" w:right="0" w:firstLine="480" w:firstLineChars="200"/>
        <w:jc w:val="left"/>
        <w:textAlignment w:val="auto"/>
        <w:rPr>
          <w:rFonts w:hint="eastAsia" w:ascii="宋体" w:hAnsi="宋体" w:eastAsia="宋体" w:cs="宋体"/>
          <w:b/>
          <w:bCs/>
          <w:color w:val="auto"/>
          <w:sz w:val="24"/>
          <w:szCs w:val="24"/>
          <w:highlight w:val="none"/>
          <w:lang w:val="en-US"/>
        </w:rPr>
      </w:pPr>
      <w:r>
        <w:rPr>
          <w:rFonts w:hint="eastAsia" w:ascii="宋体" w:hAnsi="宋体" w:eastAsia="宋体" w:cs="宋体"/>
          <w:color w:val="auto"/>
          <w:kern w:val="2"/>
          <w:sz w:val="24"/>
          <w:szCs w:val="24"/>
          <w:highlight w:val="none"/>
          <w:lang w:val="en-US" w:eastAsia="zh-CN" w:bidi="ar"/>
        </w:rPr>
        <w:t>预付款支付比例或金额：</w:t>
      </w:r>
      <w:r>
        <w:rPr>
          <w:rFonts w:hint="eastAsia" w:ascii="宋体" w:hAnsi="宋体" w:eastAsia="宋体" w:cs="宋体"/>
          <w:b/>
          <w:bCs/>
          <w:color w:val="auto"/>
          <w:kern w:val="2"/>
          <w:sz w:val="24"/>
          <w:szCs w:val="24"/>
          <w:highlight w:val="none"/>
          <w:u w:val="single"/>
          <w:lang w:val="en-US" w:eastAsia="zh-CN" w:bidi="ar"/>
        </w:rPr>
        <w:t>合同总价（扣除暂列金额）的30%</w:t>
      </w:r>
      <w:r>
        <w:rPr>
          <w:rFonts w:hint="eastAsia" w:ascii="宋体" w:hAnsi="宋体" w:eastAsia="宋体" w:cs="宋体"/>
          <w:b/>
          <w:bCs/>
          <w:color w:val="auto"/>
          <w:sz w:val="24"/>
          <w:szCs w:val="24"/>
          <w:highlight w:val="none"/>
          <w:u w:val="single"/>
        </w:rPr>
        <w:t xml:space="preserve"> 【备注：政府投资项目应严格执行工程预付款制度，工程预付款应不低于合同总价（扣除暂列金额）的10%（最高不超过30%，并与工程进度款分期按约定比例抵扣）】</w:t>
      </w:r>
      <w:r>
        <w:rPr>
          <w:rFonts w:hint="eastAsia" w:ascii="宋体" w:hAnsi="宋体" w:eastAsia="宋体" w:cs="宋体"/>
          <w:b/>
          <w:bCs/>
          <w:color w:val="auto"/>
          <w:kern w:val="2"/>
          <w:sz w:val="24"/>
          <w:szCs w:val="24"/>
          <w:highlight w:val="none"/>
          <w:u w:val="none"/>
          <w:lang w:val="en-US" w:eastAsia="zh-CN" w:bidi="ar"/>
        </w:rPr>
        <w:t>。</w:t>
      </w:r>
    </w:p>
    <w:p w14:paraId="7416BA19">
      <w:pPr>
        <w:keepNext w:val="0"/>
        <w:keepLines w:val="0"/>
        <w:pageBreakBefore w:val="0"/>
        <w:widowControl w:val="0"/>
        <w:suppressLineNumbers w:val="0"/>
        <w:kinsoku/>
        <w:wordWrap w:val="0"/>
        <w:overflowPunct/>
        <w:topLinePunct w:val="0"/>
        <w:bidi w:val="0"/>
        <w:snapToGrid/>
        <w:spacing w:before="0" w:beforeAutospacing="0" w:after="0" w:afterAutospacing="0" w:line="288" w:lineRule="auto"/>
        <w:ind w:left="0" w:right="0" w:firstLine="480" w:firstLineChars="200"/>
        <w:jc w:val="left"/>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bidi="ar"/>
        </w:rPr>
        <w:t>预付款支付期限：</w:t>
      </w:r>
      <w:r>
        <w:rPr>
          <w:rFonts w:hint="eastAsia" w:ascii="宋体" w:hAnsi="宋体" w:eastAsia="宋体" w:cs="宋体"/>
          <w:color w:val="auto"/>
          <w:sz w:val="24"/>
          <w:szCs w:val="24"/>
          <w:highlight w:val="none"/>
          <w:u w:val="single"/>
        </w:rPr>
        <w:t>合同签订后</w:t>
      </w:r>
      <w:r>
        <w:rPr>
          <w:rFonts w:hint="eastAsia" w:ascii="宋体" w:hAnsi="宋体" w:eastAsia="宋体" w:cs="宋体"/>
          <w:color w:val="auto"/>
          <w:sz w:val="24"/>
          <w:szCs w:val="24"/>
          <w:highlight w:val="none"/>
          <w:u w:val="single"/>
          <w:lang w:val="en-US" w:eastAsia="zh-CN"/>
        </w:rPr>
        <w:t>30日</w:t>
      </w:r>
      <w:r>
        <w:rPr>
          <w:rFonts w:hint="eastAsia" w:ascii="宋体" w:hAnsi="宋体" w:eastAsia="宋体" w:cs="宋体"/>
          <w:color w:val="auto"/>
          <w:sz w:val="24"/>
          <w:szCs w:val="24"/>
          <w:highlight w:val="none"/>
          <w:u w:val="single"/>
        </w:rPr>
        <w:t>之内</w:t>
      </w:r>
      <w:r>
        <w:rPr>
          <w:rFonts w:hint="eastAsia" w:ascii="宋体" w:hAnsi="宋体" w:eastAsia="宋体" w:cs="宋体"/>
          <w:color w:val="auto"/>
          <w:kern w:val="2"/>
          <w:sz w:val="24"/>
          <w:szCs w:val="24"/>
          <w:highlight w:val="none"/>
          <w:lang w:val="en-US" w:eastAsia="zh-CN" w:bidi="ar"/>
        </w:rPr>
        <w:t>。</w:t>
      </w:r>
    </w:p>
    <w:p w14:paraId="4D141BC9">
      <w:pPr>
        <w:pageBreakBefore w:val="0"/>
        <w:kinsoku/>
        <w:overflowPunct/>
        <w:topLinePunct w:val="0"/>
        <w:bidi w:val="0"/>
        <w:snapToGrid/>
        <w:spacing w:line="288"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预付款扣回的方式：</w:t>
      </w:r>
      <w:r>
        <w:rPr>
          <w:rFonts w:hint="eastAsia" w:ascii="宋体" w:hAnsi="宋体" w:eastAsia="宋体" w:cs="宋体"/>
          <w:color w:val="auto"/>
          <w:sz w:val="24"/>
          <w:szCs w:val="24"/>
          <w:highlight w:val="none"/>
          <w:u w:val="single"/>
        </w:rPr>
        <w:t>进度款达到</w:t>
      </w:r>
      <w:r>
        <w:rPr>
          <w:rFonts w:hint="eastAsia" w:ascii="宋体" w:hAnsi="宋体" w:eastAsia="宋体" w:cs="宋体"/>
          <w:color w:val="auto"/>
          <w:sz w:val="24"/>
          <w:szCs w:val="24"/>
          <w:highlight w:val="none"/>
          <w:u w:val="single"/>
          <w:lang w:val="en-US" w:eastAsia="zh-CN"/>
        </w:rPr>
        <w:t>60</w:t>
      </w:r>
      <w:r>
        <w:rPr>
          <w:rFonts w:hint="eastAsia" w:ascii="宋体" w:hAnsi="宋体" w:eastAsia="宋体" w:cs="宋体"/>
          <w:color w:val="auto"/>
          <w:sz w:val="24"/>
          <w:szCs w:val="24"/>
          <w:highlight w:val="none"/>
          <w:u w:val="single"/>
        </w:rPr>
        <w:t>%作为预付款起扣点，</w:t>
      </w:r>
      <w:r>
        <w:rPr>
          <w:rFonts w:hint="eastAsia" w:ascii="宋体" w:hAnsi="宋体" w:eastAsia="宋体" w:cs="宋体"/>
          <w:color w:val="auto"/>
          <w:sz w:val="24"/>
          <w:szCs w:val="24"/>
          <w:highlight w:val="none"/>
          <w:u w:val="single"/>
          <w:lang w:eastAsia="zh-CN"/>
        </w:rPr>
        <w:t>一次性</w:t>
      </w:r>
      <w:r>
        <w:rPr>
          <w:rFonts w:hint="eastAsia" w:ascii="宋体" w:hAnsi="宋体" w:eastAsia="宋体" w:cs="宋体"/>
          <w:color w:val="auto"/>
          <w:sz w:val="24"/>
          <w:szCs w:val="24"/>
          <w:highlight w:val="none"/>
          <w:u w:val="single"/>
        </w:rPr>
        <w:t>扣回</w:t>
      </w:r>
      <w:r>
        <w:rPr>
          <w:rFonts w:hint="eastAsia" w:ascii="宋体" w:hAnsi="宋体" w:eastAsia="宋体" w:cs="宋体"/>
          <w:color w:val="auto"/>
          <w:sz w:val="24"/>
          <w:szCs w:val="24"/>
          <w:highlight w:val="none"/>
        </w:rPr>
        <w:t>。</w:t>
      </w:r>
    </w:p>
    <w:p w14:paraId="3CCBF479">
      <w:pPr>
        <w:keepNext w:val="0"/>
        <w:keepLines w:val="0"/>
        <w:pageBreakBefore w:val="0"/>
        <w:widowControl/>
        <w:suppressLineNumbers w:val="0"/>
        <w:kinsoku/>
        <w:wordWrap w:val="0"/>
        <w:overflowPunct/>
        <w:topLinePunct w:val="0"/>
        <w:bidi w:val="0"/>
        <w:snapToGrid/>
        <w:spacing w:before="0" w:beforeAutospacing="0" w:after="0" w:afterAutospacing="0" w:line="288" w:lineRule="auto"/>
        <w:ind w:left="0" w:right="0" w:firstLine="480" w:firstLineChars="200"/>
        <w:jc w:val="left"/>
        <w:textAlignment w:val="auto"/>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在颁发工程接收证书前，由于不可抗力或其他原因解除合同时，预付款尚未扣清的，尚未扣清的预付款余额作为承包人的到期应付款。</w:t>
      </w:r>
    </w:p>
    <w:p w14:paraId="7B1153C8">
      <w:pPr>
        <w:keepNext w:val="0"/>
        <w:keepLines w:val="0"/>
        <w:pageBreakBefore w:val="0"/>
        <w:widowControl w:val="0"/>
        <w:suppressLineNumbers w:val="0"/>
        <w:kinsoku/>
        <w:wordWrap w:val="0"/>
        <w:overflowPunct/>
        <w:topLinePunct w:val="0"/>
        <w:bidi w:val="0"/>
        <w:snapToGrid/>
        <w:spacing w:before="0" w:beforeAutospacing="0" w:after="0" w:afterAutospacing="0" w:line="288" w:lineRule="auto"/>
        <w:ind w:left="0" w:right="0" w:firstLine="480" w:firstLineChars="200"/>
        <w:jc w:val="left"/>
        <w:textAlignment w:val="auto"/>
        <w:outlineLvl w:val="2"/>
        <w:rPr>
          <w:rFonts w:hint="eastAsia" w:ascii="宋体" w:hAnsi="宋体" w:eastAsia="宋体" w:cs="宋体"/>
          <w:color w:val="auto"/>
          <w:sz w:val="24"/>
          <w:szCs w:val="24"/>
          <w:highlight w:val="none"/>
          <w:lang w:val="en-US"/>
        </w:rPr>
      </w:pPr>
      <w:bookmarkStart w:id="849" w:name="_Toc1957"/>
      <w:r>
        <w:rPr>
          <w:rFonts w:hint="eastAsia" w:ascii="宋体" w:hAnsi="宋体" w:eastAsia="宋体" w:cs="宋体"/>
          <w:color w:val="auto"/>
          <w:kern w:val="2"/>
          <w:sz w:val="24"/>
          <w:szCs w:val="24"/>
          <w:highlight w:val="none"/>
          <w:lang w:val="en-US" w:eastAsia="zh-CN" w:bidi="ar"/>
        </w:rPr>
        <w:t>12.2.2 预付款担保</w:t>
      </w:r>
      <w:bookmarkEnd w:id="849"/>
    </w:p>
    <w:p w14:paraId="2B3498CB">
      <w:pPr>
        <w:pageBreakBefore w:val="0"/>
        <w:kinsoku/>
        <w:overflowPunct/>
        <w:topLinePunct w:val="0"/>
        <w:bidi w:val="0"/>
        <w:snapToGrid/>
        <w:spacing w:line="288"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承包人提交预付款担保的期限：</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1F6ADDC1">
      <w:pPr>
        <w:pageBreakBefore w:val="0"/>
        <w:kinsoku/>
        <w:overflowPunct/>
        <w:topLinePunct w:val="0"/>
        <w:bidi w:val="0"/>
        <w:snapToGrid/>
        <w:spacing w:line="288"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预付款担保的形式为：</w:t>
      </w:r>
      <w:r>
        <w:rPr>
          <w:rFonts w:hint="eastAsia" w:ascii="宋体" w:hAnsi="宋体" w:eastAsia="宋体" w:cs="宋体"/>
          <w:color w:val="auto"/>
          <w:sz w:val="24"/>
          <w:szCs w:val="24"/>
          <w:highlight w:val="none"/>
          <w:u w:val="none"/>
          <w:lang w:eastAsia="zh-CN"/>
        </w:rPr>
        <w:t>可以是</w:t>
      </w:r>
      <w:r>
        <w:rPr>
          <w:rFonts w:hint="eastAsia" w:ascii="宋体" w:hAnsi="宋体" w:eastAsia="宋体" w:cs="宋体"/>
          <w:color w:val="auto"/>
          <w:sz w:val="24"/>
          <w:szCs w:val="24"/>
          <w:highlight w:val="none"/>
        </w:rPr>
        <w:t>银行转账、电汇或网上支付、保函（银行保函、电子保函、保证保险保函、工程担保保函）等</w:t>
      </w:r>
      <w:r>
        <w:rPr>
          <w:rFonts w:hint="eastAsia" w:ascii="宋体" w:hAnsi="宋体" w:eastAsia="宋体" w:cs="宋体"/>
          <w:color w:val="auto"/>
          <w:sz w:val="24"/>
          <w:szCs w:val="24"/>
          <w:highlight w:val="none"/>
          <w:lang w:eastAsia="zh-CN"/>
        </w:rPr>
        <w:t>形</w:t>
      </w:r>
      <w:r>
        <w:rPr>
          <w:rFonts w:hint="eastAsia" w:ascii="宋体" w:hAnsi="宋体" w:eastAsia="宋体" w:cs="宋体"/>
          <w:color w:val="auto"/>
          <w:sz w:val="24"/>
          <w:szCs w:val="24"/>
          <w:highlight w:val="none"/>
        </w:rPr>
        <w:t>式。</w:t>
      </w:r>
    </w:p>
    <w:bookmarkEnd w:id="811"/>
    <w:bookmarkEnd w:id="812"/>
    <w:bookmarkEnd w:id="813"/>
    <w:bookmarkEnd w:id="814"/>
    <w:bookmarkEnd w:id="815"/>
    <w:bookmarkEnd w:id="816"/>
    <w:bookmarkEnd w:id="817"/>
    <w:bookmarkEnd w:id="818"/>
    <w:bookmarkEnd w:id="819"/>
    <w:bookmarkEnd w:id="820"/>
    <w:p w14:paraId="68614DD5">
      <w:pPr>
        <w:keepNext/>
        <w:keepLines/>
        <w:pageBreakBefore w:val="0"/>
        <w:widowControl/>
        <w:kinsoku/>
        <w:wordWrap w:val="0"/>
        <w:overflowPunct/>
        <w:topLinePunct w:val="0"/>
        <w:bidi w:val="0"/>
        <w:snapToGrid/>
        <w:spacing w:line="288" w:lineRule="auto"/>
        <w:jc w:val="both"/>
        <w:textAlignment w:val="auto"/>
        <w:outlineLvl w:val="1"/>
        <w:rPr>
          <w:rFonts w:hint="eastAsia" w:ascii="宋体" w:hAnsi="宋体" w:eastAsia="宋体" w:cs="宋体"/>
          <w:b/>
          <w:bCs/>
          <w:color w:val="auto"/>
          <w:kern w:val="2"/>
          <w:sz w:val="24"/>
          <w:szCs w:val="24"/>
          <w:highlight w:val="none"/>
          <w:lang w:val="en-US" w:eastAsia="zh-CN" w:bidi="ar-SA"/>
        </w:rPr>
      </w:pPr>
      <w:bookmarkStart w:id="850" w:name="_Toc389065316"/>
      <w:bookmarkStart w:id="851" w:name="_Toc432177013"/>
      <w:bookmarkStart w:id="852" w:name="_Toc373227751"/>
      <w:bookmarkStart w:id="853" w:name="_Toc11448"/>
      <w:bookmarkStart w:id="854" w:name="_Toc531093179"/>
      <w:bookmarkStart w:id="855" w:name="_Toc463940151"/>
      <w:bookmarkStart w:id="856" w:name="_Toc77255621"/>
      <w:bookmarkStart w:id="857" w:name="_Toc3731668"/>
      <w:bookmarkStart w:id="858" w:name="_Toc480968507"/>
      <w:bookmarkStart w:id="859" w:name="_Toc373478398"/>
      <w:bookmarkStart w:id="860" w:name="_Toc19686"/>
      <w:bookmarkStart w:id="861" w:name="_Toc3731884"/>
      <w:bookmarkStart w:id="862" w:name="_Toc73356692"/>
      <w:bookmarkStart w:id="863" w:name="_Toc18954296"/>
      <w:r>
        <w:rPr>
          <w:rFonts w:hint="eastAsia" w:ascii="宋体" w:hAnsi="宋体" w:eastAsia="宋体" w:cs="宋体"/>
          <w:b/>
          <w:bCs/>
          <w:color w:val="auto"/>
          <w:kern w:val="2"/>
          <w:sz w:val="24"/>
          <w:szCs w:val="24"/>
          <w:highlight w:val="none"/>
          <w:lang w:val="en-US" w:eastAsia="zh-CN" w:bidi="ar-SA"/>
        </w:rPr>
        <w:t>12.3 计量</w:t>
      </w:r>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p>
    <w:p w14:paraId="05E91E43">
      <w:pPr>
        <w:keepNext w:val="0"/>
        <w:keepLines w:val="0"/>
        <w:pageBreakBefore w:val="0"/>
        <w:widowControl w:val="0"/>
        <w:suppressLineNumbers w:val="0"/>
        <w:kinsoku/>
        <w:wordWrap w:val="0"/>
        <w:overflowPunct/>
        <w:topLinePunct w:val="0"/>
        <w:bidi w:val="0"/>
        <w:snapToGrid/>
        <w:spacing w:before="0" w:beforeAutospacing="0" w:after="0" w:afterAutospacing="0" w:line="288" w:lineRule="auto"/>
        <w:ind w:left="0" w:right="0" w:firstLine="480" w:firstLineChars="200"/>
        <w:jc w:val="left"/>
        <w:textAlignment w:val="auto"/>
        <w:outlineLvl w:val="2"/>
        <w:rPr>
          <w:rFonts w:hint="eastAsia" w:ascii="宋体" w:hAnsi="宋体" w:eastAsia="宋体" w:cs="宋体"/>
          <w:color w:val="auto"/>
          <w:sz w:val="24"/>
          <w:szCs w:val="24"/>
          <w:highlight w:val="none"/>
          <w:lang w:val="en-US"/>
        </w:rPr>
      </w:pPr>
      <w:bookmarkStart w:id="864" w:name="_Toc6646"/>
      <w:r>
        <w:rPr>
          <w:rFonts w:hint="eastAsia" w:ascii="宋体" w:hAnsi="宋体" w:eastAsia="宋体" w:cs="宋体"/>
          <w:color w:val="auto"/>
          <w:kern w:val="2"/>
          <w:sz w:val="24"/>
          <w:szCs w:val="24"/>
          <w:highlight w:val="none"/>
          <w:lang w:val="en-US" w:eastAsia="zh-CN" w:bidi="ar"/>
        </w:rPr>
        <w:t>12.3.1 计量原则</w:t>
      </w:r>
      <w:bookmarkEnd w:id="864"/>
    </w:p>
    <w:p w14:paraId="2FD79122">
      <w:pPr>
        <w:keepNext w:val="0"/>
        <w:keepLines w:val="0"/>
        <w:pageBreakBefore w:val="0"/>
        <w:widowControl/>
        <w:suppressLineNumbers w:val="0"/>
        <w:kinsoku/>
        <w:wordWrap w:val="0"/>
        <w:overflowPunct/>
        <w:topLinePunct w:val="0"/>
        <w:bidi w:val="0"/>
        <w:snapToGrid/>
        <w:spacing w:before="0" w:beforeAutospacing="0" w:after="0" w:afterAutospacing="0" w:line="288" w:lineRule="auto"/>
        <w:ind w:left="0" w:right="0" w:firstLine="480" w:firstLineChars="200"/>
        <w:jc w:val="left"/>
        <w:textAlignment w:val="auto"/>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工程量计算规则：</w:t>
      </w:r>
      <w:r>
        <w:rPr>
          <w:rFonts w:hint="eastAsia" w:ascii="宋体" w:hAnsi="宋体" w:eastAsia="宋体" w:cs="宋体"/>
          <w:color w:val="auto"/>
          <w:kern w:val="2"/>
          <w:sz w:val="24"/>
          <w:szCs w:val="24"/>
          <w:highlight w:val="none"/>
          <w:u w:val="single"/>
          <w:lang w:val="en-US" w:eastAsia="zh-CN" w:bidi="ar"/>
        </w:rPr>
        <w:t>合格计量，工程的计量均以《建设工程工程量清单计价规范》（GB50500－2013）和及其广西壮族自治区实施细则、《建设工程工程量清单计算规范》（GB50854~50862－2013）及其广西实施细则（修订本）、本工程补充项目清单计算的净值为准。如有不明之处，应以造价管理部门制定的计量方法为准。除合同另有约定外，承包人实际完成的工程量按约定的工程量计算规则和有合同约束力的图纸进行计量。</w:t>
      </w:r>
    </w:p>
    <w:p w14:paraId="75B36A1E">
      <w:pPr>
        <w:keepNext w:val="0"/>
        <w:keepLines w:val="0"/>
        <w:pageBreakBefore w:val="0"/>
        <w:widowControl/>
        <w:suppressLineNumbers w:val="0"/>
        <w:kinsoku/>
        <w:wordWrap w:val="0"/>
        <w:overflowPunct/>
        <w:topLinePunct w:val="0"/>
        <w:bidi w:val="0"/>
        <w:snapToGrid/>
        <w:spacing w:before="0" w:beforeAutospacing="0" w:after="0" w:afterAutospacing="0" w:line="288" w:lineRule="auto"/>
        <w:ind w:left="0" w:right="0" w:firstLine="480" w:firstLineChars="200"/>
        <w:jc w:val="left"/>
        <w:textAlignment w:val="auto"/>
        <w:outlineLvl w:val="2"/>
        <w:rPr>
          <w:rFonts w:hint="eastAsia" w:ascii="宋体" w:hAnsi="宋体" w:eastAsia="宋体" w:cs="宋体"/>
          <w:color w:val="auto"/>
          <w:kern w:val="2"/>
          <w:sz w:val="24"/>
          <w:szCs w:val="24"/>
          <w:highlight w:val="none"/>
          <w:lang w:val="en-US" w:eastAsia="zh-CN" w:bidi="ar"/>
        </w:rPr>
      </w:pPr>
      <w:bookmarkStart w:id="865" w:name="_Toc14028"/>
      <w:bookmarkStart w:id="866" w:name="_Toc3731885"/>
      <w:bookmarkStart w:id="867" w:name="_Toc485629439"/>
      <w:bookmarkStart w:id="868" w:name="_Toc3731669"/>
      <w:r>
        <w:rPr>
          <w:rFonts w:hint="eastAsia" w:ascii="宋体" w:hAnsi="宋体" w:eastAsia="宋体" w:cs="宋体"/>
          <w:color w:val="auto"/>
          <w:kern w:val="2"/>
          <w:sz w:val="24"/>
          <w:szCs w:val="24"/>
          <w:highlight w:val="none"/>
          <w:lang w:val="en-US" w:eastAsia="zh-CN" w:bidi="ar"/>
        </w:rPr>
        <w:t>12.3.2 计量周期</w:t>
      </w:r>
      <w:bookmarkEnd w:id="865"/>
      <w:bookmarkEnd w:id="866"/>
      <w:bookmarkEnd w:id="867"/>
      <w:bookmarkEnd w:id="868"/>
    </w:p>
    <w:p w14:paraId="2BBE0619">
      <w:pPr>
        <w:keepNext w:val="0"/>
        <w:keepLines w:val="0"/>
        <w:pageBreakBefore w:val="0"/>
        <w:widowControl/>
        <w:suppressLineNumbers w:val="0"/>
        <w:kinsoku/>
        <w:wordWrap w:val="0"/>
        <w:overflowPunct/>
        <w:topLinePunct w:val="0"/>
        <w:bidi w:val="0"/>
        <w:snapToGrid/>
        <w:spacing w:before="0" w:beforeAutospacing="0" w:after="0" w:afterAutospacing="0" w:line="288" w:lineRule="auto"/>
        <w:ind w:left="0" w:right="0" w:firstLine="480" w:firstLineChars="200"/>
        <w:jc w:val="left"/>
        <w:textAlignment w:val="auto"/>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关于计量周期的约定：</w:t>
      </w:r>
      <w:r>
        <w:rPr>
          <w:rFonts w:hint="eastAsia" w:ascii="宋体" w:hAnsi="宋体" w:eastAsia="宋体" w:cs="宋体"/>
          <w:color w:val="auto"/>
          <w:kern w:val="2"/>
          <w:sz w:val="24"/>
          <w:szCs w:val="24"/>
          <w:highlight w:val="none"/>
          <w:u w:val="single"/>
          <w:lang w:val="en-US" w:eastAsia="zh-CN" w:bidi="ar"/>
        </w:rPr>
        <w:t>每月20日前，计量期为上个月21日至本月20日</w:t>
      </w:r>
      <w:r>
        <w:rPr>
          <w:rFonts w:hint="eastAsia" w:ascii="宋体" w:hAnsi="宋体" w:eastAsia="宋体" w:cs="宋体"/>
          <w:color w:val="auto"/>
          <w:kern w:val="2"/>
          <w:sz w:val="24"/>
          <w:szCs w:val="24"/>
          <w:highlight w:val="none"/>
          <w:lang w:val="en-US" w:eastAsia="zh-CN" w:bidi="ar"/>
        </w:rPr>
        <w:t>。</w:t>
      </w:r>
    </w:p>
    <w:p w14:paraId="768713D5">
      <w:pPr>
        <w:keepNext w:val="0"/>
        <w:keepLines w:val="0"/>
        <w:pageBreakBefore w:val="0"/>
        <w:widowControl w:val="0"/>
        <w:suppressLineNumbers w:val="0"/>
        <w:kinsoku/>
        <w:wordWrap w:val="0"/>
        <w:overflowPunct/>
        <w:topLinePunct w:val="0"/>
        <w:bidi w:val="0"/>
        <w:snapToGrid/>
        <w:spacing w:before="0" w:beforeAutospacing="0" w:after="0" w:afterAutospacing="0" w:line="288" w:lineRule="auto"/>
        <w:ind w:left="0" w:right="0" w:firstLine="480" w:firstLineChars="200"/>
        <w:jc w:val="left"/>
        <w:textAlignment w:val="auto"/>
        <w:outlineLvl w:val="2"/>
        <w:rPr>
          <w:rFonts w:hint="eastAsia" w:ascii="宋体" w:hAnsi="宋体" w:eastAsia="宋体" w:cs="宋体"/>
          <w:color w:val="auto"/>
          <w:sz w:val="24"/>
          <w:szCs w:val="24"/>
          <w:highlight w:val="none"/>
          <w:lang w:val="en-US"/>
        </w:rPr>
      </w:pPr>
      <w:bookmarkStart w:id="869" w:name="_Toc1228"/>
      <w:r>
        <w:rPr>
          <w:rFonts w:hint="eastAsia" w:ascii="宋体" w:hAnsi="宋体" w:eastAsia="宋体" w:cs="宋体"/>
          <w:color w:val="auto"/>
          <w:kern w:val="2"/>
          <w:sz w:val="24"/>
          <w:szCs w:val="24"/>
          <w:highlight w:val="none"/>
          <w:lang w:val="en-US" w:eastAsia="zh-CN" w:bidi="ar"/>
        </w:rPr>
        <w:t>12.3.3 单价合同的计量</w:t>
      </w:r>
      <w:bookmarkEnd w:id="869"/>
    </w:p>
    <w:p w14:paraId="3FD4792A">
      <w:pPr>
        <w:keepNext w:val="0"/>
        <w:keepLines w:val="0"/>
        <w:pageBreakBefore w:val="0"/>
        <w:widowControl w:val="0"/>
        <w:suppressLineNumbers w:val="0"/>
        <w:kinsoku/>
        <w:wordWrap w:val="0"/>
        <w:overflowPunct/>
        <w:topLinePunct w:val="0"/>
        <w:bidi w:val="0"/>
        <w:snapToGrid/>
        <w:spacing w:before="0" w:beforeAutospacing="0" w:after="0" w:afterAutospacing="0" w:line="288" w:lineRule="auto"/>
        <w:ind w:left="0" w:right="0" w:firstLine="480" w:firstLineChars="200"/>
        <w:jc w:val="left"/>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bidi="ar"/>
        </w:rPr>
        <w:t>关于单价合同计量的约定：</w:t>
      </w:r>
    </w:p>
    <w:p w14:paraId="3EDBA24C">
      <w:pPr>
        <w:keepNext w:val="0"/>
        <w:keepLines w:val="0"/>
        <w:pageBreakBefore w:val="0"/>
        <w:widowControl w:val="0"/>
        <w:suppressLineNumbers w:val="0"/>
        <w:kinsoku/>
        <w:wordWrap w:val="0"/>
        <w:overflowPunct/>
        <w:topLinePunct w:val="0"/>
        <w:bidi w:val="0"/>
        <w:snapToGrid/>
        <w:spacing w:before="0" w:beforeAutospacing="0" w:after="0" w:afterAutospacing="0" w:line="288" w:lineRule="auto"/>
        <w:ind w:left="0" w:right="0" w:firstLine="504" w:firstLineChars="210"/>
        <w:jc w:val="both"/>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bidi="ar"/>
        </w:rPr>
        <w:t>(1) 工程量清单所列的工程量，不能作为承包人按合同履行其责任依据，实际施工中发生的工程量增加或减少并不影响承包人履行合同的责任，工程结算以完成的实际工程量为准。</w:t>
      </w:r>
    </w:p>
    <w:p w14:paraId="53B5EF0A">
      <w:pPr>
        <w:keepNext w:val="0"/>
        <w:keepLines w:val="0"/>
        <w:pageBreakBefore w:val="0"/>
        <w:widowControl w:val="0"/>
        <w:suppressLineNumbers w:val="0"/>
        <w:kinsoku/>
        <w:wordWrap w:val="0"/>
        <w:overflowPunct/>
        <w:topLinePunct w:val="0"/>
        <w:bidi w:val="0"/>
        <w:snapToGrid/>
        <w:spacing w:before="0" w:beforeAutospacing="0" w:after="0" w:afterAutospacing="0" w:line="288" w:lineRule="auto"/>
        <w:ind w:left="0" w:right="0" w:firstLine="504" w:firstLineChars="210"/>
        <w:jc w:val="both"/>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bidi="ar"/>
        </w:rPr>
        <w:t>(2) 除另有规定外，工程师应按照合同通过计量来核实确定已完成的工程量和价款，承包人应得到该价款扣除保留金后的金额。当工程师要对已完工的工程量进行计量时，应适时地通知承包人参加。</w:t>
      </w:r>
    </w:p>
    <w:p w14:paraId="02DDF5F2">
      <w:pPr>
        <w:keepNext w:val="0"/>
        <w:keepLines w:val="0"/>
        <w:pageBreakBefore w:val="0"/>
        <w:widowControl w:val="0"/>
        <w:suppressLineNumbers w:val="0"/>
        <w:kinsoku/>
        <w:wordWrap w:val="0"/>
        <w:overflowPunct/>
        <w:topLinePunct w:val="0"/>
        <w:bidi w:val="0"/>
        <w:snapToGrid/>
        <w:spacing w:before="0" w:beforeAutospacing="0" w:after="0" w:afterAutospacing="0" w:line="288" w:lineRule="auto"/>
        <w:ind w:left="0" w:right="0" w:firstLine="480" w:firstLineChars="200"/>
        <w:jc w:val="left"/>
        <w:textAlignment w:val="auto"/>
        <w:outlineLvl w:val="2"/>
        <w:rPr>
          <w:rFonts w:hint="eastAsia" w:ascii="宋体" w:hAnsi="宋体" w:eastAsia="宋体" w:cs="宋体"/>
          <w:color w:val="auto"/>
          <w:sz w:val="24"/>
          <w:szCs w:val="24"/>
          <w:highlight w:val="none"/>
          <w:lang w:val="en-US"/>
        </w:rPr>
      </w:pPr>
      <w:bookmarkStart w:id="870" w:name="_Toc30386"/>
      <w:r>
        <w:rPr>
          <w:rFonts w:hint="eastAsia" w:ascii="宋体" w:hAnsi="宋体" w:eastAsia="宋体" w:cs="宋体"/>
          <w:color w:val="auto"/>
          <w:kern w:val="2"/>
          <w:sz w:val="24"/>
          <w:szCs w:val="24"/>
          <w:highlight w:val="none"/>
          <w:lang w:val="en-US" w:eastAsia="zh-CN" w:bidi="ar"/>
        </w:rPr>
        <w:t>12.3.4 总价合同的计量</w:t>
      </w:r>
      <w:bookmarkEnd w:id="870"/>
    </w:p>
    <w:p w14:paraId="49258A83">
      <w:pPr>
        <w:keepNext w:val="0"/>
        <w:keepLines w:val="0"/>
        <w:pageBreakBefore w:val="0"/>
        <w:widowControl w:val="0"/>
        <w:suppressLineNumbers w:val="0"/>
        <w:kinsoku/>
        <w:wordWrap w:val="0"/>
        <w:overflowPunct/>
        <w:topLinePunct w:val="0"/>
        <w:bidi w:val="0"/>
        <w:snapToGrid/>
        <w:spacing w:before="0" w:beforeAutospacing="0" w:after="0" w:afterAutospacing="0" w:line="288" w:lineRule="auto"/>
        <w:ind w:left="0" w:right="0" w:firstLine="480" w:firstLineChars="200"/>
        <w:jc w:val="left"/>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bidi="ar"/>
        </w:rPr>
        <w:t>关于总价合同计量的约定：除工程变更外，原图纸范围内的工程量不得按实计量。进度款按支付分解表支付，按通用条款第</w:t>
      </w:r>
      <w:r>
        <w:rPr>
          <w:rFonts w:hint="eastAsia" w:ascii="宋体" w:hAnsi="宋体" w:eastAsia="宋体" w:cs="宋体"/>
          <w:color w:val="auto"/>
          <w:kern w:val="0"/>
          <w:sz w:val="24"/>
          <w:szCs w:val="24"/>
          <w:highlight w:val="none"/>
          <w:lang w:val="en-US" w:eastAsia="zh-CN" w:bidi="ar"/>
        </w:rPr>
        <w:t>12.3.4</w:t>
      </w:r>
      <w:r>
        <w:rPr>
          <w:rFonts w:hint="eastAsia" w:ascii="宋体" w:hAnsi="宋体" w:eastAsia="宋体" w:cs="宋体"/>
          <w:color w:val="auto"/>
          <w:kern w:val="2"/>
          <w:sz w:val="24"/>
          <w:szCs w:val="24"/>
          <w:highlight w:val="none"/>
          <w:lang w:val="en-US" w:eastAsia="zh-CN" w:bidi="ar"/>
        </w:rPr>
        <w:t>项</w:t>
      </w:r>
      <w:r>
        <w:rPr>
          <w:rFonts w:hint="eastAsia" w:ascii="宋体" w:hAnsi="宋体" w:eastAsia="宋体" w:cs="宋体"/>
          <w:color w:val="auto"/>
          <w:kern w:val="0"/>
          <w:sz w:val="24"/>
          <w:szCs w:val="24"/>
          <w:highlight w:val="none"/>
          <w:lang w:val="en-US" w:eastAsia="zh-CN" w:bidi="ar"/>
        </w:rPr>
        <w:t>〔总价合同的计量〕</w:t>
      </w:r>
      <w:r>
        <w:rPr>
          <w:rFonts w:hint="eastAsia" w:ascii="宋体" w:hAnsi="宋体" w:eastAsia="宋体" w:cs="宋体"/>
          <w:color w:val="auto"/>
          <w:kern w:val="2"/>
          <w:sz w:val="24"/>
          <w:szCs w:val="24"/>
          <w:highlight w:val="none"/>
          <w:lang w:val="en-US" w:eastAsia="zh-CN" w:bidi="ar"/>
        </w:rPr>
        <w:t>约定进行计量，但</w:t>
      </w:r>
      <w:r>
        <w:rPr>
          <w:rFonts w:hint="eastAsia" w:ascii="宋体" w:hAnsi="宋体" w:eastAsia="宋体" w:cs="宋体"/>
          <w:color w:val="auto"/>
          <w:kern w:val="0"/>
          <w:sz w:val="24"/>
          <w:szCs w:val="24"/>
          <w:highlight w:val="none"/>
          <w:lang w:val="en-US" w:eastAsia="zh-CN" w:bidi="ar"/>
        </w:rPr>
        <w:t>合同价款按照支付分解表进行支付。</w:t>
      </w:r>
    </w:p>
    <w:p w14:paraId="29581C5F">
      <w:pPr>
        <w:keepNext w:val="0"/>
        <w:keepLines w:val="0"/>
        <w:pageBreakBefore w:val="0"/>
        <w:widowControl w:val="0"/>
        <w:suppressLineNumbers w:val="0"/>
        <w:kinsoku/>
        <w:wordWrap w:val="0"/>
        <w:overflowPunct/>
        <w:topLinePunct w:val="0"/>
        <w:bidi w:val="0"/>
        <w:snapToGrid/>
        <w:spacing w:before="0" w:beforeAutospacing="0" w:after="0" w:afterAutospacing="0" w:line="288" w:lineRule="auto"/>
        <w:ind w:left="0" w:right="0" w:firstLine="480" w:firstLineChars="200"/>
        <w:jc w:val="left"/>
        <w:textAlignment w:val="auto"/>
        <w:outlineLvl w:val="2"/>
        <w:rPr>
          <w:rFonts w:hint="eastAsia" w:ascii="宋体" w:hAnsi="宋体" w:eastAsia="宋体" w:cs="宋体"/>
          <w:color w:val="auto"/>
          <w:sz w:val="24"/>
          <w:szCs w:val="24"/>
          <w:highlight w:val="none"/>
          <w:lang w:val="en-US"/>
        </w:rPr>
      </w:pPr>
      <w:bookmarkStart w:id="871" w:name="_Toc28927"/>
      <w:r>
        <w:rPr>
          <w:rFonts w:hint="eastAsia" w:ascii="宋体" w:hAnsi="宋体" w:eastAsia="宋体" w:cs="宋体"/>
          <w:color w:val="auto"/>
          <w:kern w:val="2"/>
          <w:sz w:val="24"/>
          <w:szCs w:val="24"/>
          <w:highlight w:val="none"/>
          <w:lang w:val="en-US" w:eastAsia="zh-CN" w:bidi="ar"/>
        </w:rPr>
        <w:t>12.3.6 其他价格形式合同的计量</w:t>
      </w:r>
      <w:bookmarkEnd w:id="871"/>
    </w:p>
    <w:p w14:paraId="1B2C8D4B">
      <w:pPr>
        <w:keepNext w:val="0"/>
        <w:keepLines w:val="0"/>
        <w:pageBreakBefore w:val="0"/>
        <w:widowControl w:val="0"/>
        <w:suppressLineNumbers w:val="0"/>
        <w:kinsoku/>
        <w:wordWrap w:val="0"/>
        <w:overflowPunct/>
        <w:topLinePunct w:val="0"/>
        <w:bidi w:val="0"/>
        <w:snapToGrid/>
        <w:spacing w:before="0" w:beforeAutospacing="0" w:after="0" w:afterAutospacing="0" w:line="288" w:lineRule="auto"/>
        <w:ind w:left="0" w:right="0" w:firstLine="480" w:firstLineChars="200"/>
        <w:jc w:val="left"/>
        <w:textAlignment w:val="auto"/>
        <w:rPr>
          <w:rFonts w:hint="eastAsia" w:ascii="宋体" w:hAnsi="宋体" w:eastAsia="宋体" w:cs="宋体"/>
          <w:color w:val="auto"/>
          <w:sz w:val="24"/>
          <w:szCs w:val="24"/>
          <w:highlight w:val="none"/>
          <w:u w:val="single"/>
          <w:lang w:val="en-US"/>
        </w:rPr>
      </w:pPr>
      <w:r>
        <w:rPr>
          <w:rFonts w:hint="eastAsia" w:ascii="宋体" w:hAnsi="宋体" w:eastAsia="宋体" w:cs="宋体"/>
          <w:color w:val="auto"/>
          <w:kern w:val="2"/>
          <w:sz w:val="24"/>
          <w:szCs w:val="24"/>
          <w:highlight w:val="none"/>
          <w:lang w:val="en-US" w:eastAsia="zh-CN" w:bidi="ar"/>
        </w:rPr>
        <w:t>其他价格形式的计量方式和程序：</w:t>
      </w:r>
      <w:r>
        <w:rPr>
          <w:rFonts w:hint="eastAsia" w:ascii="宋体" w:hAnsi="宋体" w:eastAsia="宋体" w:cs="宋体"/>
          <w:color w:val="auto"/>
          <w:kern w:val="2"/>
          <w:sz w:val="24"/>
          <w:szCs w:val="24"/>
          <w:highlight w:val="none"/>
          <w:u w:val="single"/>
          <w:lang w:val="en-US" w:eastAsia="zh-CN" w:bidi="ar"/>
        </w:rPr>
        <w:t>无</w:t>
      </w:r>
      <w:r>
        <w:rPr>
          <w:rFonts w:hint="eastAsia" w:ascii="宋体" w:hAnsi="宋体" w:eastAsia="宋体" w:cs="宋体"/>
          <w:color w:val="auto"/>
          <w:kern w:val="2"/>
          <w:sz w:val="24"/>
          <w:szCs w:val="24"/>
          <w:highlight w:val="none"/>
          <w:lang w:val="en-US" w:eastAsia="zh-CN" w:bidi="ar"/>
        </w:rPr>
        <w:t>。</w:t>
      </w:r>
    </w:p>
    <w:p w14:paraId="622DF2C8">
      <w:pPr>
        <w:keepNext/>
        <w:keepLines/>
        <w:pageBreakBefore w:val="0"/>
        <w:widowControl/>
        <w:kinsoku/>
        <w:wordWrap w:val="0"/>
        <w:overflowPunct/>
        <w:topLinePunct w:val="0"/>
        <w:bidi w:val="0"/>
        <w:snapToGrid/>
        <w:spacing w:line="288" w:lineRule="auto"/>
        <w:jc w:val="both"/>
        <w:textAlignment w:val="auto"/>
        <w:outlineLvl w:val="1"/>
        <w:rPr>
          <w:rFonts w:hint="eastAsia" w:ascii="宋体" w:hAnsi="宋体" w:eastAsia="宋体" w:cs="宋体"/>
          <w:b/>
          <w:bCs/>
          <w:color w:val="auto"/>
          <w:kern w:val="2"/>
          <w:sz w:val="24"/>
          <w:szCs w:val="24"/>
          <w:highlight w:val="none"/>
          <w:lang w:val="en-US" w:eastAsia="zh-CN" w:bidi="ar-SA"/>
        </w:rPr>
      </w:pPr>
      <w:bookmarkStart w:id="872" w:name="_Toc9992"/>
      <w:bookmarkStart w:id="873" w:name="_Toc389065317"/>
      <w:bookmarkStart w:id="874" w:name="_Toc480968508"/>
      <w:bookmarkStart w:id="875" w:name="_Toc432177014"/>
      <w:bookmarkStart w:id="876" w:name="_Toc463940152"/>
      <w:bookmarkStart w:id="877" w:name="_Toc73356693"/>
      <w:bookmarkStart w:id="878" w:name="_Toc18954297"/>
      <w:bookmarkStart w:id="879" w:name="_Toc3731886"/>
      <w:bookmarkStart w:id="880" w:name="_Toc77255622"/>
      <w:bookmarkStart w:id="881" w:name="_Toc373227752"/>
      <w:bookmarkStart w:id="882" w:name="_Toc531093180"/>
      <w:bookmarkStart w:id="883" w:name="_Toc373478399"/>
      <w:bookmarkStart w:id="884" w:name="_Toc3731670"/>
      <w:bookmarkStart w:id="885" w:name="_Toc11267"/>
      <w:r>
        <w:rPr>
          <w:rFonts w:hint="eastAsia" w:ascii="宋体" w:hAnsi="宋体" w:eastAsia="宋体" w:cs="宋体"/>
          <w:b/>
          <w:bCs/>
          <w:color w:val="auto"/>
          <w:kern w:val="2"/>
          <w:sz w:val="24"/>
          <w:szCs w:val="24"/>
          <w:highlight w:val="none"/>
          <w:lang w:val="en-US" w:eastAsia="zh-CN" w:bidi="ar-SA"/>
        </w:rPr>
        <w:t>12.4 工程进度款支付</w:t>
      </w:r>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p>
    <w:p w14:paraId="1453F349">
      <w:pPr>
        <w:keepNext w:val="0"/>
        <w:keepLines w:val="0"/>
        <w:pageBreakBefore w:val="0"/>
        <w:widowControl w:val="0"/>
        <w:suppressLineNumbers w:val="0"/>
        <w:kinsoku/>
        <w:wordWrap w:val="0"/>
        <w:overflowPunct/>
        <w:topLinePunct w:val="0"/>
        <w:bidi w:val="0"/>
        <w:snapToGrid/>
        <w:spacing w:before="0" w:beforeAutospacing="0" w:after="0" w:afterAutospacing="0" w:line="288" w:lineRule="auto"/>
        <w:ind w:left="0" w:right="0" w:firstLine="480" w:firstLineChars="200"/>
        <w:jc w:val="left"/>
        <w:textAlignment w:val="auto"/>
        <w:outlineLvl w:val="2"/>
        <w:rPr>
          <w:rFonts w:hint="eastAsia" w:ascii="宋体" w:hAnsi="宋体" w:eastAsia="宋体" w:cs="宋体"/>
          <w:color w:val="auto"/>
          <w:sz w:val="24"/>
          <w:szCs w:val="24"/>
          <w:highlight w:val="none"/>
          <w:lang w:val="en-US"/>
        </w:rPr>
      </w:pPr>
      <w:bookmarkStart w:id="886" w:name="_Toc5969"/>
      <w:bookmarkStart w:id="887" w:name="_Toc296891251"/>
      <w:bookmarkStart w:id="888" w:name="_Toc296944550"/>
      <w:bookmarkStart w:id="889" w:name="_Toc296347210"/>
      <w:bookmarkStart w:id="890" w:name="_Toc303539163"/>
      <w:bookmarkStart w:id="891" w:name="_Toc297120511"/>
      <w:bookmarkStart w:id="892" w:name="_Toc292559416"/>
      <w:bookmarkStart w:id="893" w:name="_Toc300935006"/>
      <w:bookmarkStart w:id="894" w:name="_Toc297048397"/>
      <w:bookmarkStart w:id="895" w:name="_Toc296891039"/>
      <w:bookmarkStart w:id="896" w:name="_Toc296503211"/>
      <w:bookmarkStart w:id="897" w:name="_Toc296346712"/>
      <w:bookmarkStart w:id="898" w:name="_Toc297123556"/>
      <w:bookmarkStart w:id="899" w:name="_Toc297216215"/>
      <w:bookmarkStart w:id="900" w:name="_Toc292559921"/>
      <w:bookmarkStart w:id="901" w:name="_Toc373478400"/>
      <w:bookmarkStart w:id="902" w:name="_Toc389065318"/>
      <w:bookmarkStart w:id="903" w:name="_Toc373227753"/>
      <w:bookmarkStart w:id="904" w:name="_Toc351203645"/>
      <w:bookmarkStart w:id="905" w:name="_Toc312678053"/>
      <w:bookmarkStart w:id="906" w:name="_Toc297048405"/>
      <w:bookmarkStart w:id="907" w:name="_Toc296944558"/>
      <w:bookmarkStart w:id="908" w:name="_Toc296891047"/>
      <w:bookmarkStart w:id="909" w:name="_Toc297216223"/>
      <w:bookmarkStart w:id="910" w:name="_Toc297120519"/>
      <w:bookmarkStart w:id="911" w:name="_Toc296346720"/>
      <w:bookmarkStart w:id="912" w:name="_Toc296891259"/>
      <w:bookmarkStart w:id="913" w:name="_Toc296503219"/>
      <w:bookmarkStart w:id="914" w:name="_Toc292559424"/>
      <w:bookmarkStart w:id="915" w:name="_Toc292559929"/>
      <w:bookmarkStart w:id="916" w:name="_Toc296347218"/>
      <w:bookmarkStart w:id="917" w:name="_Toc300935015"/>
      <w:bookmarkStart w:id="918" w:name="_Toc297123564"/>
      <w:bookmarkStart w:id="919" w:name="_Toc304295593"/>
      <w:bookmarkStart w:id="920" w:name="_Toc303539172"/>
      <w:r>
        <w:rPr>
          <w:rFonts w:hint="eastAsia" w:ascii="宋体" w:hAnsi="宋体" w:eastAsia="宋体" w:cs="宋体"/>
          <w:color w:val="auto"/>
          <w:kern w:val="2"/>
          <w:sz w:val="24"/>
          <w:szCs w:val="24"/>
          <w:highlight w:val="none"/>
          <w:lang w:val="en-US" w:eastAsia="zh-CN" w:bidi="ar"/>
        </w:rPr>
        <w:t>12.4.1 付款周期：</w:t>
      </w:r>
      <w:r>
        <w:rPr>
          <w:rFonts w:hint="eastAsia" w:ascii="宋体" w:hAnsi="宋体" w:eastAsia="宋体" w:cs="宋体"/>
          <w:color w:val="auto"/>
          <w:kern w:val="2"/>
          <w:sz w:val="24"/>
          <w:szCs w:val="24"/>
          <w:highlight w:val="none"/>
          <w:u w:val="single"/>
          <w:lang w:val="en-US" w:eastAsia="zh-CN" w:bidi="ar"/>
        </w:rPr>
        <w:t>合同工期。</w:t>
      </w:r>
      <w:bookmarkEnd w:id="886"/>
    </w:p>
    <w:p w14:paraId="5F9A3262">
      <w:pPr>
        <w:pageBreakBefore w:val="0"/>
        <w:widowControl w:val="0"/>
        <w:kinsoku/>
        <w:wordWrap/>
        <w:overflowPunct/>
        <w:topLinePunct w:val="0"/>
        <w:bidi w:val="0"/>
        <w:snapToGrid/>
        <w:spacing w:line="288" w:lineRule="auto"/>
        <w:ind w:firstLine="480" w:firstLineChars="200"/>
        <w:textAlignment w:val="auto"/>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lang w:eastAsia="zh-CN"/>
        </w:rPr>
        <w:t>关于付款周期的约定：</w:t>
      </w:r>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Start w:id="921" w:name="_Toc432177015"/>
      <w:bookmarkStart w:id="922" w:name="_Toc480968509"/>
      <w:bookmarkStart w:id="923" w:name="_Toc463940153"/>
      <w:r>
        <w:rPr>
          <w:rFonts w:hint="eastAsia" w:ascii="宋体" w:hAnsi="宋体" w:eastAsia="宋体" w:cs="宋体"/>
          <w:color w:val="auto"/>
          <w:sz w:val="24"/>
          <w:szCs w:val="24"/>
          <w:highlight w:val="none"/>
          <w:lang w:eastAsia="zh-CN"/>
        </w:rPr>
        <w:t>签订合同后</w:t>
      </w:r>
      <w:r>
        <w:rPr>
          <w:rFonts w:hint="eastAsia" w:ascii="宋体" w:hAnsi="宋体" w:eastAsia="宋体" w:cs="宋体"/>
          <w:color w:val="auto"/>
          <w:sz w:val="24"/>
          <w:szCs w:val="24"/>
          <w:highlight w:val="none"/>
          <w:lang w:val="en-US" w:eastAsia="zh-CN"/>
        </w:rPr>
        <w:t>30日内，甲方支付合同</w:t>
      </w:r>
      <w:r>
        <w:rPr>
          <w:rFonts w:hint="eastAsia" w:ascii="宋体" w:hAnsi="宋体" w:eastAsia="宋体" w:cs="宋体"/>
          <w:color w:val="auto"/>
          <w:kern w:val="2"/>
          <w:sz w:val="24"/>
          <w:szCs w:val="24"/>
          <w:highlight w:val="none"/>
          <w:u w:val="single"/>
          <w:lang w:val="en-US" w:eastAsia="zh-CN" w:bidi="ar"/>
        </w:rPr>
        <w:t>总价（扣除暂列金额）30%</w:t>
      </w:r>
      <w:r>
        <w:rPr>
          <w:rFonts w:hint="eastAsia" w:ascii="宋体" w:hAnsi="宋体" w:eastAsia="宋体" w:cs="宋体"/>
          <w:color w:val="auto"/>
          <w:sz w:val="24"/>
          <w:szCs w:val="24"/>
          <w:highlight w:val="none"/>
          <w:u w:val="single"/>
          <w:lang w:eastAsia="zh-CN"/>
        </w:rPr>
        <w:t>的预付款</w:t>
      </w:r>
      <w:r>
        <w:rPr>
          <w:rFonts w:hint="eastAsia" w:ascii="宋体" w:hAnsi="宋体" w:eastAsia="宋体" w:cs="宋体"/>
          <w:color w:val="auto"/>
          <w:sz w:val="24"/>
          <w:szCs w:val="24"/>
          <w:highlight w:val="none"/>
          <w:lang w:eastAsia="zh-CN"/>
        </w:rPr>
        <w:t>，工程款原则上按进度支付，合同内进度款支付限额为已完成工程量的80%，工程变更部分进度款支付限额为已完成工程量的</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lang w:eastAsia="zh-CN"/>
        </w:rPr>
        <w:t>0%。工程完工验收达到质量要求， 结算经相关部门审定后，工程款支付至结算总价的97%（含已支付的）。发包人按工程价款结算总额的 3%（最高不超过3%）预留工程质量保证金，待工程质量保修期满后返还。每次支付款项前，承包人需提供相应金额的增值税发票(质保金发票在合同款支付至97%时一并开具），否则，发包人有权相应顺延当期的付款时间</w:t>
      </w:r>
      <w:r>
        <w:rPr>
          <w:rFonts w:hint="eastAsia" w:ascii="宋体" w:hAnsi="宋体" w:eastAsia="宋体" w:cs="宋体"/>
          <w:color w:val="auto"/>
          <w:sz w:val="24"/>
          <w:szCs w:val="24"/>
          <w:highlight w:val="none"/>
          <w:lang w:val="en-US" w:eastAsia="zh-CN"/>
        </w:rPr>
        <w:t>。</w:t>
      </w:r>
    </w:p>
    <w:p w14:paraId="65F82714">
      <w:pPr>
        <w:keepNext w:val="0"/>
        <w:keepLines w:val="0"/>
        <w:pageBreakBefore w:val="0"/>
        <w:widowControl/>
        <w:suppressLineNumbers w:val="0"/>
        <w:kinsoku/>
        <w:wordWrap w:val="0"/>
        <w:overflowPunct/>
        <w:topLinePunct w:val="0"/>
        <w:bidi w:val="0"/>
        <w:snapToGrid/>
        <w:spacing w:before="0" w:beforeAutospacing="0" w:after="0" w:afterAutospacing="0" w:line="288" w:lineRule="auto"/>
        <w:ind w:left="0" w:right="0" w:firstLine="480" w:firstLineChars="200"/>
        <w:jc w:val="left"/>
        <w:textAlignment w:val="auto"/>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款项往来：银行转账</w:t>
      </w:r>
    </w:p>
    <w:p w14:paraId="58D909BE">
      <w:pPr>
        <w:keepNext w:val="0"/>
        <w:keepLines w:val="0"/>
        <w:pageBreakBefore w:val="0"/>
        <w:widowControl/>
        <w:suppressLineNumbers w:val="0"/>
        <w:kinsoku/>
        <w:wordWrap w:val="0"/>
        <w:overflowPunct/>
        <w:topLinePunct w:val="0"/>
        <w:bidi w:val="0"/>
        <w:snapToGrid/>
        <w:spacing w:before="0" w:beforeAutospacing="0" w:after="0" w:afterAutospacing="0" w:line="288" w:lineRule="auto"/>
        <w:ind w:left="0" w:right="0" w:firstLine="480" w:firstLineChars="200"/>
        <w:jc w:val="left"/>
        <w:textAlignment w:val="auto"/>
        <w:outlineLvl w:val="2"/>
        <w:rPr>
          <w:rFonts w:hint="eastAsia" w:ascii="宋体" w:hAnsi="宋体" w:eastAsia="宋体" w:cs="宋体"/>
          <w:color w:val="auto"/>
          <w:kern w:val="2"/>
          <w:sz w:val="24"/>
          <w:szCs w:val="24"/>
          <w:highlight w:val="none"/>
          <w:lang w:val="en-US" w:eastAsia="zh-CN" w:bidi="ar"/>
        </w:rPr>
      </w:pPr>
      <w:bookmarkStart w:id="924" w:name="_Toc19386"/>
      <w:r>
        <w:rPr>
          <w:rFonts w:hint="eastAsia" w:ascii="宋体" w:hAnsi="宋体" w:eastAsia="宋体" w:cs="宋体"/>
          <w:color w:val="auto"/>
          <w:kern w:val="2"/>
          <w:sz w:val="24"/>
          <w:szCs w:val="24"/>
          <w:highlight w:val="none"/>
          <w:lang w:val="en-US" w:eastAsia="zh-CN" w:bidi="ar"/>
        </w:rPr>
        <w:t>12.4.2 进度付款申请单的编制</w:t>
      </w:r>
      <w:bookmarkEnd w:id="924"/>
    </w:p>
    <w:p w14:paraId="09EC9994">
      <w:pPr>
        <w:keepNext w:val="0"/>
        <w:keepLines w:val="0"/>
        <w:pageBreakBefore w:val="0"/>
        <w:widowControl/>
        <w:suppressLineNumbers w:val="0"/>
        <w:kinsoku/>
        <w:wordWrap w:val="0"/>
        <w:overflowPunct/>
        <w:topLinePunct w:val="0"/>
        <w:bidi w:val="0"/>
        <w:snapToGrid/>
        <w:spacing w:before="0" w:beforeAutospacing="0" w:after="0" w:afterAutospacing="0" w:line="288" w:lineRule="auto"/>
        <w:ind w:left="0" w:right="0" w:firstLine="480" w:firstLineChars="200"/>
        <w:jc w:val="left"/>
        <w:textAlignment w:val="auto"/>
        <w:rPr>
          <w:rFonts w:hint="eastAsia" w:ascii="宋体" w:hAnsi="宋体" w:eastAsia="宋体" w:cs="宋体"/>
          <w:color w:val="auto"/>
          <w:kern w:val="2"/>
          <w:sz w:val="24"/>
          <w:szCs w:val="24"/>
          <w:highlight w:val="none"/>
          <w:u w:val="single"/>
          <w:lang w:val="en-US" w:eastAsia="zh-CN" w:bidi="ar"/>
        </w:rPr>
      </w:pPr>
      <w:r>
        <w:rPr>
          <w:rFonts w:hint="eastAsia" w:ascii="宋体" w:hAnsi="宋体" w:eastAsia="宋体" w:cs="宋体"/>
          <w:color w:val="auto"/>
          <w:kern w:val="2"/>
          <w:sz w:val="24"/>
          <w:szCs w:val="24"/>
          <w:highlight w:val="none"/>
          <w:lang w:val="en-US" w:eastAsia="zh-CN" w:bidi="ar"/>
        </w:rPr>
        <w:t>关于进度付款申请单编制的约定：</w:t>
      </w:r>
      <w:r>
        <w:rPr>
          <w:rFonts w:hint="eastAsia" w:ascii="宋体" w:hAnsi="宋体" w:eastAsia="宋体" w:cs="宋体"/>
          <w:color w:val="auto"/>
          <w:kern w:val="2"/>
          <w:sz w:val="24"/>
          <w:szCs w:val="24"/>
          <w:highlight w:val="none"/>
          <w:u w:val="single"/>
          <w:lang w:val="en-US" w:eastAsia="zh-CN" w:bidi="ar"/>
        </w:rPr>
        <w:t>进度付款周期按12.4.1条执行，付款申请单经发包人确认</w:t>
      </w:r>
      <w:r>
        <w:rPr>
          <w:rFonts w:hint="eastAsia" w:ascii="宋体" w:hAnsi="宋体" w:eastAsia="宋体" w:cs="宋体"/>
          <w:color w:val="auto"/>
          <w:kern w:val="2"/>
          <w:sz w:val="24"/>
          <w:szCs w:val="24"/>
          <w:highlight w:val="none"/>
          <w:lang w:val="en-US" w:eastAsia="zh-CN" w:bidi="ar"/>
        </w:rPr>
        <w:t>。</w:t>
      </w:r>
    </w:p>
    <w:p w14:paraId="45542375">
      <w:pPr>
        <w:keepNext w:val="0"/>
        <w:keepLines w:val="0"/>
        <w:pageBreakBefore w:val="0"/>
        <w:widowControl/>
        <w:suppressLineNumbers w:val="0"/>
        <w:kinsoku/>
        <w:wordWrap w:val="0"/>
        <w:overflowPunct/>
        <w:topLinePunct w:val="0"/>
        <w:bidi w:val="0"/>
        <w:snapToGrid/>
        <w:spacing w:before="0" w:beforeAutospacing="0" w:after="0" w:afterAutospacing="0" w:line="288" w:lineRule="auto"/>
        <w:ind w:left="0" w:right="0" w:firstLine="480" w:firstLineChars="200"/>
        <w:jc w:val="left"/>
        <w:textAlignment w:val="auto"/>
        <w:outlineLvl w:val="2"/>
        <w:rPr>
          <w:rFonts w:hint="eastAsia" w:ascii="宋体" w:hAnsi="宋体" w:eastAsia="宋体" w:cs="宋体"/>
          <w:color w:val="auto"/>
          <w:kern w:val="2"/>
          <w:sz w:val="24"/>
          <w:szCs w:val="24"/>
          <w:highlight w:val="none"/>
          <w:lang w:val="en-US" w:eastAsia="zh-CN" w:bidi="ar"/>
        </w:rPr>
      </w:pPr>
      <w:bookmarkStart w:id="925" w:name="_Toc485629444"/>
      <w:bookmarkStart w:id="926" w:name="_Toc3731671"/>
      <w:bookmarkStart w:id="927" w:name="_Toc3731887"/>
      <w:bookmarkStart w:id="928" w:name="_Toc10599"/>
      <w:r>
        <w:rPr>
          <w:rFonts w:hint="eastAsia" w:ascii="宋体" w:hAnsi="宋体" w:eastAsia="宋体" w:cs="宋体"/>
          <w:color w:val="auto"/>
          <w:kern w:val="2"/>
          <w:sz w:val="24"/>
          <w:szCs w:val="24"/>
          <w:highlight w:val="none"/>
          <w:lang w:val="en-US" w:eastAsia="zh-CN" w:bidi="ar"/>
        </w:rPr>
        <w:t>12.4.3 进度付款申请单的提交</w:t>
      </w:r>
      <w:bookmarkEnd w:id="925"/>
      <w:bookmarkEnd w:id="926"/>
      <w:bookmarkEnd w:id="927"/>
      <w:bookmarkEnd w:id="928"/>
    </w:p>
    <w:p w14:paraId="3B140E5D">
      <w:pPr>
        <w:keepNext w:val="0"/>
        <w:keepLines w:val="0"/>
        <w:pageBreakBefore w:val="0"/>
        <w:widowControl/>
        <w:suppressLineNumbers w:val="0"/>
        <w:kinsoku/>
        <w:wordWrap w:val="0"/>
        <w:overflowPunct/>
        <w:topLinePunct w:val="0"/>
        <w:bidi w:val="0"/>
        <w:snapToGrid/>
        <w:spacing w:before="0" w:beforeAutospacing="0" w:after="0" w:afterAutospacing="0" w:line="288" w:lineRule="auto"/>
        <w:ind w:left="0" w:right="0" w:firstLine="480" w:firstLineChars="200"/>
        <w:jc w:val="left"/>
        <w:textAlignment w:val="auto"/>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（1）单价合同进度付款申请单提交的约定：</w:t>
      </w:r>
      <w:r>
        <w:rPr>
          <w:rFonts w:hint="eastAsia" w:ascii="宋体" w:hAnsi="宋体" w:eastAsia="宋体" w:cs="宋体"/>
          <w:color w:val="auto"/>
          <w:kern w:val="2"/>
          <w:sz w:val="24"/>
          <w:szCs w:val="24"/>
          <w:highlight w:val="none"/>
          <w:u w:val="single"/>
          <w:lang w:val="en-US" w:eastAsia="zh-CN" w:bidi="ar"/>
        </w:rPr>
        <w:t>承包人申请工程进度款时，承包人向发包人提供以下资料：①《工程用款申请书》；②工程量计量报表；③其他需要补充说明的材料</w:t>
      </w:r>
    </w:p>
    <w:p w14:paraId="73C1F5E7">
      <w:pPr>
        <w:keepNext w:val="0"/>
        <w:keepLines w:val="0"/>
        <w:pageBreakBefore w:val="0"/>
        <w:widowControl/>
        <w:suppressLineNumbers w:val="0"/>
        <w:kinsoku/>
        <w:wordWrap w:val="0"/>
        <w:overflowPunct/>
        <w:topLinePunct w:val="0"/>
        <w:bidi w:val="0"/>
        <w:snapToGrid/>
        <w:spacing w:before="0" w:beforeAutospacing="0" w:after="0" w:afterAutospacing="0" w:line="288" w:lineRule="auto"/>
        <w:ind w:left="0" w:right="0" w:firstLine="480" w:firstLineChars="200"/>
        <w:jc w:val="left"/>
        <w:textAlignment w:val="auto"/>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（2）总价合同进度付款申请单提交的约定：</w:t>
      </w:r>
      <w:r>
        <w:rPr>
          <w:rFonts w:hint="eastAsia" w:ascii="宋体" w:hAnsi="宋体" w:eastAsia="宋体" w:cs="宋体"/>
          <w:color w:val="auto"/>
          <w:kern w:val="2"/>
          <w:sz w:val="24"/>
          <w:szCs w:val="24"/>
          <w:highlight w:val="none"/>
          <w:u w:val="single"/>
          <w:lang w:val="en-US" w:eastAsia="zh-CN" w:bidi="ar"/>
        </w:rPr>
        <w:t>无</w:t>
      </w:r>
      <w:r>
        <w:rPr>
          <w:rFonts w:hint="eastAsia" w:ascii="宋体" w:hAnsi="宋体" w:eastAsia="宋体" w:cs="宋体"/>
          <w:color w:val="auto"/>
          <w:kern w:val="2"/>
          <w:sz w:val="24"/>
          <w:szCs w:val="24"/>
          <w:highlight w:val="none"/>
          <w:lang w:val="en-US" w:eastAsia="zh-CN" w:bidi="ar"/>
        </w:rPr>
        <w:t>。</w:t>
      </w:r>
    </w:p>
    <w:p w14:paraId="0607A5BF">
      <w:pPr>
        <w:keepNext w:val="0"/>
        <w:keepLines w:val="0"/>
        <w:pageBreakBefore w:val="0"/>
        <w:widowControl/>
        <w:suppressLineNumbers w:val="0"/>
        <w:kinsoku/>
        <w:wordWrap w:val="0"/>
        <w:overflowPunct/>
        <w:topLinePunct w:val="0"/>
        <w:bidi w:val="0"/>
        <w:snapToGrid/>
        <w:spacing w:before="0" w:beforeAutospacing="0" w:after="0" w:afterAutospacing="0" w:line="288" w:lineRule="auto"/>
        <w:ind w:left="0" w:right="0" w:firstLine="480" w:firstLineChars="200"/>
        <w:jc w:val="left"/>
        <w:textAlignment w:val="auto"/>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（3）其他价格形式合同进度付款申请单提交的约定：</w:t>
      </w:r>
      <w:r>
        <w:rPr>
          <w:rFonts w:hint="eastAsia" w:ascii="宋体" w:hAnsi="宋体" w:eastAsia="宋体" w:cs="宋体"/>
          <w:color w:val="auto"/>
          <w:kern w:val="2"/>
          <w:sz w:val="24"/>
          <w:szCs w:val="24"/>
          <w:highlight w:val="none"/>
          <w:u w:val="single"/>
          <w:lang w:val="en-US" w:eastAsia="zh-CN" w:bidi="ar"/>
        </w:rPr>
        <w:t>无</w:t>
      </w:r>
      <w:r>
        <w:rPr>
          <w:rFonts w:hint="eastAsia" w:ascii="宋体" w:hAnsi="宋体" w:eastAsia="宋体" w:cs="宋体"/>
          <w:color w:val="auto"/>
          <w:kern w:val="2"/>
          <w:sz w:val="24"/>
          <w:szCs w:val="24"/>
          <w:highlight w:val="none"/>
          <w:lang w:val="en-US" w:eastAsia="zh-CN" w:bidi="ar"/>
        </w:rPr>
        <w:t>。</w:t>
      </w:r>
    </w:p>
    <w:p w14:paraId="288F468C">
      <w:pPr>
        <w:keepNext w:val="0"/>
        <w:keepLines w:val="0"/>
        <w:pageBreakBefore w:val="0"/>
        <w:widowControl/>
        <w:suppressLineNumbers w:val="0"/>
        <w:kinsoku/>
        <w:wordWrap w:val="0"/>
        <w:overflowPunct/>
        <w:topLinePunct w:val="0"/>
        <w:bidi w:val="0"/>
        <w:snapToGrid/>
        <w:spacing w:before="0" w:beforeAutospacing="0" w:after="0" w:afterAutospacing="0" w:line="288" w:lineRule="auto"/>
        <w:ind w:left="0" w:right="0" w:firstLine="480" w:firstLineChars="200"/>
        <w:jc w:val="left"/>
        <w:textAlignment w:val="auto"/>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（4）甲方每次向乙方付款前，乙方应提前向甲方开具等额增值税专用发票。</w:t>
      </w:r>
    </w:p>
    <w:p w14:paraId="0AF177CE">
      <w:pPr>
        <w:keepNext w:val="0"/>
        <w:keepLines w:val="0"/>
        <w:pageBreakBefore w:val="0"/>
        <w:widowControl/>
        <w:suppressLineNumbers w:val="0"/>
        <w:kinsoku/>
        <w:wordWrap w:val="0"/>
        <w:overflowPunct/>
        <w:topLinePunct w:val="0"/>
        <w:bidi w:val="0"/>
        <w:snapToGrid/>
        <w:spacing w:before="0" w:beforeAutospacing="0" w:after="0" w:afterAutospacing="0" w:line="288" w:lineRule="auto"/>
        <w:ind w:left="0" w:right="0" w:firstLine="480" w:firstLineChars="200"/>
        <w:jc w:val="left"/>
        <w:textAlignment w:val="auto"/>
        <w:outlineLvl w:val="2"/>
        <w:rPr>
          <w:rFonts w:hint="eastAsia" w:ascii="宋体" w:hAnsi="宋体" w:eastAsia="宋体" w:cs="宋体"/>
          <w:color w:val="auto"/>
          <w:kern w:val="2"/>
          <w:sz w:val="24"/>
          <w:szCs w:val="24"/>
          <w:highlight w:val="none"/>
          <w:lang w:val="en-US" w:eastAsia="zh-CN" w:bidi="ar"/>
        </w:rPr>
      </w:pPr>
      <w:bookmarkStart w:id="929" w:name="_Toc16282"/>
      <w:r>
        <w:rPr>
          <w:rFonts w:hint="eastAsia" w:ascii="宋体" w:hAnsi="宋体" w:eastAsia="宋体" w:cs="宋体"/>
          <w:color w:val="auto"/>
          <w:kern w:val="2"/>
          <w:sz w:val="24"/>
          <w:szCs w:val="24"/>
          <w:highlight w:val="none"/>
          <w:lang w:val="en-US" w:eastAsia="zh-CN" w:bidi="ar"/>
        </w:rPr>
        <w:t>12.4.4 进度款审核和支付</w:t>
      </w:r>
      <w:bookmarkEnd w:id="929"/>
    </w:p>
    <w:p w14:paraId="23F73DD6">
      <w:pPr>
        <w:keepNext w:val="0"/>
        <w:keepLines w:val="0"/>
        <w:pageBreakBefore w:val="0"/>
        <w:widowControl/>
        <w:suppressLineNumbers w:val="0"/>
        <w:kinsoku/>
        <w:wordWrap w:val="0"/>
        <w:overflowPunct/>
        <w:topLinePunct w:val="0"/>
        <w:bidi w:val="0"/>
        <w:snapToGrid/>
        <w:spacing w:before="0" w:beforeAutospacing="0" w:after="0" w:afterAutospacing="0" w:line="288" w:lineRule="auto"/>
        <w:ind w:left="0" w:right="0" w:firstLine="480" w:firstLineChars="200"/>
        <w:jc w:val="left"/>
        <w:textAlignment w:val="auto"/>
        <w:rPr>
          <w:rFonts w:hint="eastAsia" w:ascii="宋体" w:hAnsi="宋体" w:eastAsia="宋体" w:cs="宋体"/>
          <w:color w:val="auto"/>
          <w:kern w:val="2"/>
          <w:sz w:val="24"/>
          <w:szCs w:val="24"/>
          <w:highlight w:val="none"/>
          <w:u w:val="single"/>
          <w:lang w:val="en-US" w:eastAsia="zh-CN" w:bidi="ar"/>
        </w:rPr>
      </w:pPr>
      <w:r>
        <w:rPr>
          <w:rFonts w:hint="eastAsia" w:ascii="宋体" w:hAnsi="宋体" w:eastAsia="宋体" w:cs="宋体"/>
          <w:color w:val="auto"/>
          <w:kern w:val="2"/>
          <w:sz w:val="24"/>
          <w:szCs w:val="24"/>
          <w:highlight w:val="none"/>
          <w:lang w:val="en-US" w:eastAsia="zh-CN" w:bidi="ar"/>
        </w:rPr>
        <w:t>发包人完成审批并签发进度款支付证书的期限：</w:t>
      </w:r>
      <w:r>
        <w:rPr>
          <w:rFonts w:hint="eastAsia" w:ascii="宋体" w:hAnsi="宋体" w:eastAsia="宋体" w:cs="宋体"/>
          <w:color w:val="auto"/>
          <w:kern w:val="2"/>
          <w:sz w:val="24"/>
          <w:szCs w:val="24"/>
          <w:highlight w:val="none"/>
          <w:u w:val="single"/>
          <w:lang w:val="en-US" w:eastAsia="zh-CN" w:bidi="ar"/>
        </w:rPr>
        <w:t>收到资料后20个工作日内完成审批并签发进度款支付证书；发包人逾期未完成审批且未提出异议的，视为已签发进度款支付证书</w:t>
      </w:r>
      <w:r>
        <w:rPr>
          <w:rFonts w:hint="eastAsia" w:ascii="宋体" w:hAnsi="宋体" w:eastAsia="宋体" w:cs="宋体"/>
          <w:color w:val="auto"/>
          <w:kern w:val="2"/>
          <w:sz w:val="24"/>
          <w:szCs w:val="24"/>
          <w:highlight w:val="none"/>
          <w:lang w:val="en-US" w:eastAsia="zh-CN" w:bidi="ar"/>
        </w:rPr>
        <w:t>。</w:t>
      </w:r>
    </w:p>
    <w:p w14:paraId="24E6BA2A">
      <w:pPr>
        <w:keepNext w:val="0"/>
        <w:keepLines w:val="0"/>
        <w:pageBreakBefore w:val="0"/>
        <w:widowControl/>
        <w:suppressLineNumbers w:val="0"/>
        <w:kinsoku/>
        <w:wordWrap w:val="0"/>
        <w:overflowPunct/>
        <w:topLinePunct w:val="0"/>
        <w:bidi w:val="0"/>
        <w:snapToGrid/>
        <w:spacing w:before="0" w:beforeAutospacing="0" w:after="0" w:afterAutospacing="0" w:line="288" w:lineRule="auto"/>
        <w:ind w:left="0" w:right="0" w:firstLine="480" w:firstLineChars="200"/>
        <w:jc w:val="left"/>
        <w:textAlignment w:val="auto"/>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（2）发包人支付进度款的期限：</w:t>
      </w:r>
      <w:r>
        <w:rPr>
          <w:rFonts w:hint="eastAsia" w:ascii="宋体" w:hAnsi="宋体" w:eastAsia="宋体" w:cs="宋体"/>
          <w:color w:val="auto"/>
          <w:kern w:val="2"/>
          <w:sz w:val="24"/>
          <w:szCs w:val="24"/>
          <w:highlight w:val="none"/>
          <w:u w:val="single"/>
          <w:lang w:val="en-US" w:eastAsia="zh-CN" w:bidi="ar"/>
        </w:rPr>
        <w:t>发包人按月完成审批并签发进度款支付证书，进度款的支付按本专用条款12.4.1的约定支付，支付时间为签发支付证书后30个工作日内</w:t>
      </w:r>
      <w:r>
        <w:rPr>
          <w:rFonts w:hint="eastAsia" w:ascii="宋体" w:hAnsi="宋体" w:eastAsia="宋体" w:cs="宋体"/>
          <w:color w:val="auto"/>
          <w:kern w:val="2"/>
          <w:sz w:val="24"/>
          <w:szCs w:val="24"/>
          <w:highlight w:val="none"/>
          <w:lang w:val="en-US" w:eastAsia="zh-CN" w:bidi="ar"/>
        </w:rPr>
        <w:t>。</w:t>
      </w:r>
    </w:p>
    <w:p w14:paraId="7DBE8F8D">
      <w:pPr>
        <w:keepNext w:val="0"/>
        <w:keepLines w:val="0"/>
        <w:pageBreakBefore w:val="0"/>
        <w:widowControl/>
        <w:suppressLineNumbers w:val="0"/>
        <w:kinsoku/>
        <w:wordWrap w:val="0"/>
        <w:overflowPunct/>
        <w:topLinePunct w:val="0"/>
        <w:bidi w:val="0"/>
        <w:snapToGrid/>
        <w:spacing w:before="0" w:beforeAutospacing="0" w:after="0" w:afterAutospacing="0" w:line="288" w:lineRule="auto"/>
        <w:ind w:left="0" w:right="0" w:firstLine="600" w:firstLineChars="250"/>
        <w:jc w:val="left"/>
        <w:textAlignment w:val="auto"/>
        <w:rPr>
          <w:rFonts w:hint="eastAsia" w:ascii="宋体" w:hAnsi="宋体" w:eastAsia="宋体" w:cs="宋体"/>
          <w:color w:val="auto"/>
          <w:kern w:val="2"/>
          <w:sz w:val="24"/>
          <w:szCs w:val="24"/>
          <w:highlight w:val="none"/>
          <w:u w:val="single"/>
          <w:lang w:val="en-US" w:eastAsia="zh-CN" w:bidi="ar"/>
        </w:rPr>
      </w:pPr>
      <w:r>
        <w:rPr>
          <w:rFonts w:hint="eastAsia" w:ascii="宋体" w:hAnsi="宋体" w:eastAsia="宋体" w:cs="宋体"/>
          <w:color w:val="auto"/>
          <w:kern w:val="2"/>
          <w:sz w:val="24"/>
          <w:szCs w:val="24"/>
          <w:highlight w:val="none"/>
          <w:lang w:val="en-US" w:eastAsia="zh-CN" w:bidi="ar"/>
        </w:rPr>
        <w:t>发包人逾期支付进度款的违约金的计算方式：</w:t>
      </w:r>
      <w:r>
        <w:rPr>
          <w:rFonts w:hint="eastAsia" w:ascii="宋体" w:hAnsi="宋体" w:eastAsia="宋体" w:cs="宋体"/>
          <w:color w:val="auto"/>
          <w:kern w:val="2"/>
          <w:sz w:val="24"/>
          <w:szCs w:val="24"/>
          <w:highlight w:val="none"/>
          <w:u w:val="single"/>
          <w:lang w:val="en-US" w:eastAsia="zh-CN" w:bidi="ar"/>
        </w:rPr>
        <w:t>无。</w:t>
      </w:r>
    </w:p>
    <w:p w14:paraId="2F18450F">
      <w:pPr>
        <w:keepNext w:val="0"/>
        <w:keepLines w:val="0"/>
        <w:pageBreakBefore w:val="0"/>
        <w:widowControl/>
        <w:suppressLineNumbers w:val="0"/>
        <w:kinsoku/>
        <w:wordWrap w:val="0"/>
        <w:overflowPunct/>
        <w:topLinePunct w:val="0"/>
        <w:bidi w:val="0"/>
        <w:snapToGrid/>
        <w:spacing w:before="0" w:beforeAutospacing="0" w:after="0" w:afterAutospacing="0" w:line="288" w:lineRule="auto"/>
        <w:ind w:left="0" w:right="0" w:firstLine="600" w:firstLineChars="250"/>
        <w:jc w:val="left"/>
        <w:textAlignment w:val="auto"/>
        <w:rPr>
          <w:rFonts w:hint="eastAsia" w:ascii="宋体" w:hAnsi="宋体" w:eastAsia="宋体" w:cs="宋体"/>
          <w:color w:val="auto"/>
          <w:kern w:val="2"/>
          <w:sz w:val="24"/>
          <w:szCs w:val="24"/>
          <w:highlight w:val="none"/>
          <w:u w:val="single"/>
          <w:lang w:val="en-US" w:eastAsia="zh-CN" w:bidi="ar"/>
        </w:rPr>
      </w:pPr>
      <w:r>
        <w:rPr>
          <w:rFonts w:hint="eastAsia" w:ascii="宋体" w:hAnsi="宋体" w:eastAsia="宋体" w:cs="宋体"/>
          <w:color w:val="auto"/>
          <w:kern w:val="2"/>
          <w:sz w:val="24"/>
          <w:szCs w:val="24"/>
          <w:highlight w:val="none"/>
          <w:lang w:val="en-US" w:eastAsia="zh-CN" w:bidi="ar"/>
        </w:rPr>
        <w:t>进度款支付方式：</w:t>
      </w:r>
      <w:r>
        <w:rPr>
          <w:rFonts w:hint="eastAsia" w:ascii="宋体" w:hAnsi="宋体" w:eastAsia="宋体" w:cs="宋体"/>
          <w:b/>
          <w:bCs/>
          <w:color w:val="auto"/>
          <w:kern w:val="2"/>
          <w:sz w:val="24"/>
          <w:szCs w:val="24"/>
          <w:highlight w:val="none"/>
          <w:u w:val="single"/>
          <w:lang w:val="en-US" w:eastAsia="zh-CN" w:bidi="ar"/>
        </w:rPr>
        <w:t>银行转账</w:t>
      </w:r>
      <w:r>
        <w:rPr>
          <w:rFonts w:hint="eastAsia" w:ascii="宋体" w:hAnsi="宋体" w:eastAsia="宋体" w:cs="宋体"/>
          <w:color w:val="auto"/>
          <w:kern w:val="2"/>
          <w:sz w:val="24"/>
          <w:szCs w:val="24"/>
          <w:highlight w:val="none"/>
          <w:lang w:val="en-US" w:eastAsia="zh-CN" w:bidi="ar"/>
        </w:rPr>
        <w:t>。</w:t>
      </w:r>
    </w:p>
    <w:p w14:paraId="01C07A7F">
      <w:pPr>
        <w:keepNext w:val="0"/>
        <w:keepLines w:val="0"/>
        <w:pageBreakBefore w:val="0"/>
        <w:widowControl/>
        <w:suppressLineNumbers w:val="0"/>
        <w:kinsoku/>
        <w:wordWrap w:val="0"/>
        <w:overflowPunct/>
        <w:topLinePunct w:val="0"/>
        <w:bidi w:val="0"/>
        <w:snapToGrid/>
        <w:spacing w:before="0" w:beforeAutospacing="0" w:after="0" w:afterAutospacing="0" w:line="288" w:lineRule="auto"/>
        <w:ind w:left="0" w:right="0" w:firstLine="600" w:firstLineChars="250"/>
        <w:jc w:val="left"/>
        <w:textAlignment w:val="auto"/>
        <w:outlineLvl w:val="2"/>
        <w:rPr>
          <w:rFonts w:hint="eastAsia" w:ascii="宋体" w:hAnsi="宋体" w:eastAsia="宋体" w:cs="宋体"/>
          <w:color w:val="auto"/>
          <w:kern w:val="2"/>
          <w:sz w:val="24"/>
          <w:szCs w:val="24"/>
          <w:highlight w:val="none"/>
          <w:lang w:val="en-US" w:eastAsia="zh-CN" w:bidi="ar"/>
        </w:rPr>
      </w:pPr>
      <w:bookmarkStart w:id="930" w:name="_Toc20354"/>
      <w:r>
        <w:rPr>
          <w:rFonts w:hint="eastAsia" w:ascii="宋体" w:hAnsi="宋体" w:eastAsia="宋体" w:cs="宋体"/>
          <w:color w:val="auto"/>
          <w:kern w:val="2"/>
          <w:sz w:val="24"/>
          <w:szCs w:val="24"/>
          <w:highlight w:val="none"/>
          <w:lang w:val="en-US" w:eastAsia="zh-CN" w:bidi="ar"/>
        </w:rPr>
        <w:t>12.4.6 支付分解表的编制</w:t>
      </w:r>
      <w:bookmarkEnd w:id="930"/>
    </w:p>
    <w:p w14:paraId="772B7509">
      <w:pPr>
        <w:keepNext w:val="0"/>
        <w:keepLines w:val="0"/>
        <w:pageBreakBefore w:val="0"/>
        <w:widowControl/>
        <w:suppressLineNumbers w:val="0"/>
        <w:kinsoku/>
        <w:wordWrap w:val="0"/>
        <w:overflowPunct/>
        <w:topLinePunct w:val="0"/>
        <w:bidi w:val="0"/>
        <w:snapToGrid/>
        <w:spacing w:before="0" w:beforeAutospacing="0" w:after="0" w:afterAutospacing="0" w:line="288" w:lineRule="auto"/>
        <w:ind w:left="0" w:right="0" w:firstLine="480" w:firstLineChars="200"/>
        <w:jc w:val="left"/>
        <w:textAlignment w:val="auto"/>
        <w:outlineLvl w:val="1"/>
        <w:rPr>
          <w:rFonts w:hint="eastAsia" w:ascii="宋体" w:hAnsi="宋体" w:eastAsia="宋体" w:cs="宋体"/>
          <w:color w:val="auto"/>
          <w:kern w:val="2"/>
          <w:sz w:val="24"/>
          <w:szCs w:val="24"/>
          <w:highlight w:val="none"/>
          <w:u w:val="single"/>
          <w:lang w:val="en-US" w:eastAsia="zh-CN" w:bidi="ar"/>
        </w:rPr>
      </w:pPr>
      <w:bookmarkStart w:id="931" w:name="_Toc18359"/>
      <w:r>
        <w:rPr>
          <w:rFonts w:hint="eastAsia" w:ascii="宋体" w:hAnsi="宋体" w:eastAsia="宋体" w:cs="宋体"/>
          <w:color w:val="auto"/>
          <w:kern w:val="2"/>
          <w:sz w:val="24"/>
          <w:szCs w:val="24"/>
          <w:highlight w:val="none"/>
          <w:lang w:val="en-US" w:eastAsia="zh-CN" w:bidi="ar"/>
        </w:rPr>
        <w:t>2、总价合同支付分解表的编制与审批：</w:t>
      </w:r>
      <w:r>
        <w:rPr>
          <w:rFonts w:hint="eastAsia" w:ascii="宋体" w:hAnsi="宋体" w:eastAsia="宋体" w:cs="宋体"/>
          <w:color w:val="auto"/>
          <w:kern w:val="2"/>
          <w:sz w:val="24"/>
          <w:szCs w:val="24"/>
          <w:highlight w:val="none"/>
          <w:u w:val="single"/>
          <w:lang w:val="en-US" w:eastAsia="zh-CN" w:bidi="ar"/>
        </w:rPr>
        <w:t>无</w:t>
      </w:r>
      <w:r>
        <w:rPr>
          <w:rFonts w:hint="eastAsia" w:ascii="宋体" w:hAnsi="宋体" w:eastAsia="宋体" w:cs="宋体"/>
          <w:color w:val="auto"/>
          <w:kern w:val="2"/>
          <w:sz w:val="24"/>
          <w:szCs w:val="24"/>
          <w:highlight w:val="none"/>
          <w:lang w:val="en-US" w:eastAsia="zh-CN" w:bidi="ar"/>
        </w:rPr>
        <w:t>。</w:t>
      </w:r>
      <w:bookmarkEnd w:id="931"/>
    </w:p>
    <w:p w14:paraId="12704F20">
      <w:pPr>
        <w:keepNext w:val="0"/>
        <w:keepLines w:val="0"/>
        <w:pageBreakBefore w:val="0"/>
        <w:widowControl/>
        <w:suppressLineNumbers w:val="0"/>
        <w:kinsoku/>
        <w:wordWrap w:val="0"/>
        <w:overflowPunct/>
        <w:topLinePunct w:val="0"/>
        <w:bidi w:val="0"/>
        <w:snapToGrid/>
        <w:spacing w:before="0" w:beforeAutospacing="0" w:after="0" w:afterAutospacing="0" w:line="288" w:lineRule="auto"/>
        <w:ind w:left="0" w:right="0" w:firstLine="600" w:firstLineChars="250"/>
        <w:jc w:val="left"/>
        <w:textAlignment w:val="auto"/>
        <w:rPr>
          <w:rFonts w:hint="eastAsia" w:ascii="宋体" w:hAnsi="宋体" w:eastAsia="宋体" w:cs="宋体"/>
          <w:color w:val="auto"/>
          <w:kern w:val="2"/>
          <w:sz w:val="24"/>
          <w:szCs w:val="24"/>
          <w:highlight w:val="none"/>
          <w:u w:val="single"/>
          <w:lang w:val="en-US" w:eastAsia="zh-CN" w:bidi="ar"/>
        </w:rPr>
      </w:pPr>
      <w:r>
        <w:rPr>
          <w:rFonts w:hint="eastAsia" w:ascii="宋体" w:hAnsi="宋体" w:eastAsia="宋体" w:cs="宋体"/>
          <w:color w:val="auto"/>
          <w:kern w:val="2"/>
          <w:sz w:val="24"/>
          <w:szCs w:val="24"/>
          <w:highlight w:val="none"/>
          <w:lang w:val="en-US" w:eastAsia="zh-CN" w:bidi="ar"/>
        </w:rPr>
        <w:t>3、单价合同的总价项目支付分解表的编制与审批：总价项目不采用支付分解表的方式计算，而按《建设工程工程量清单计价规范（GB50500-2013）广西壮族自治区实施细则》的规定执行。</w:t>
      </w:r>
    </w:p>
    <w:p w14:paraId="26615654">
      <w:pPr>
        <w:keepNext/>
        <w:keepLines/>
        <w:pageBreakBefore w:val="0"/>
        <w:widowControl/>
        <w:kinsoku/>
        <w:wordWrap w:val="0"/>
        <w:overflowPunct/>
        <w:topLinePunct w:val="0"/>
        <w:bidi w:val="0"/>
        <w:snapToGrid/>
        <w:spacing w:line="288" w:lineRule="auto"/>
        <w:jc w:val="left"/>
        <w:textAlignment w:val="auto"/>
        <w:outlineLvl w:val="1"/>
        <w:rPr>
          <w:rFonts w:hint="eastAsia" w:ascii="宋体" w:hAnsi="宋体" w:eastAsia="宋体" w:cs="宋体"/>
          <w:b/>
          <w:bCs/>
          <w:color w:val="auto"/>
          <w:kern w:val="44"/>
          <w:sz w:val="24"/>
          <w:szCs w:val="24"/>
          <w:highlight w:val="none"/>
          <w:lang w:val="en-US" w:eastAsia="zh-CN" w:bidi="ar-SA"/>
        </w:rPr>
      </w:pPr>
      <w:bookmarkStart w:id="932" w:name="_Toc18689"/>
      <w:bookmarkStart w:id="933" w:name="_Toc12931"/>
      <w:bookmarkStart w:id="934" w:name="_Toc531093181"/>
      <w:bookmarkStart w:id="935" w:name="_Toc3731672"/>
      <w:bookmarkStart w:id="936" w:name="_Toc3731888"/>
      <w:bookmarkStart w:id="937" w:name="_Toc77255623"/>
      <w:bookmarkStart w:id="938" w:name="_Toc18954298"/>
      <w:bookmarkStart w:id="939" w:name="_Toc73356694"/>
      <w:r>
        <w:rPr>
          <w:rFonts w:hint="eastAsia" w:ascii="宋体" w:hAnsi="宋体" w:eastAsia="宋体" w:cs="宋体"/>
          <w:b/>
          <w:bCs/>
          <w:color w:val="auto"/>
          <w:kern w:val="44"/>
          <w:sz w:val="24"/>
          <w:szCs w:val="24"/>
          <w:highlight w:val="none"/>
          <w:lang w:val="en-US" w:eastAsia="zh-CN" w:bidi="ar-SA"/>
        </w:rPr>
        <w:t>13. 验收和工程试车</w:t>
      </w:r>
      <w:bookmarkEnd w:id="901"/>
      <w:bookmarkEnd w:id="902"/>
      <w:bookmarkEnd w:id="903"/>
      <w:bookmarkEnd w:id="904"/>
      <w:bookmarkEnd w:id="921"/>
      <w:bookmarkEnd w:id="922"/>
      <w:bookmarkEnd w:id="923"/>
      <w:bookmarkEnd w:id="932"/>
      <w:bookmarkEnd w:id="933"/>
      <w:bookmarkEnd w:id="934"/>
      <w:bookmarkEnd w:id="935"/>
      <w:bookmarkEnd w:id="936"/>
      <w:bookmarkEnd w:id="937"/>
      <w:bookmarkEnd w:id="938"/>
      <w:bookmarkEnd w:id="939"/>
    </w:p>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p w14:paraId="43984F8D">
      <w:pPr>
        <w:keepNext/>
        <w:keepLines/>
        <w:pageBreakBefore w:val="0"/>
        <w:widowControl/>
        <w:kinsoku/>
        <w:wordWrap w:val="0"/>
        <w:overflowPunct/>
        <w:topLinePunct w:val="0"/>
        <w:bidi w:val="0"/>
        <w:snapToGrid/>
        <w:spacing w:line="288" w:lineRule="auto"/>
        <w:jc w:val="both"/>
        <w:textAlignment w:val="auto"/>
        <w:outlineLvl w:val="2"/>
        <w:rPr>
          <w:rFonts w:hint="eastAsia" w:ascii="宋体" w:hAnsi="宋体" w:eastAsia="宋体" w:cs="宋体"/>
          <w:b/>
          <w:bCs/>
          <w:color w:val="auto"/>
          <w:kern w:val="2"/>
          <w:sz w:val="24"/>
          <w:szCs w:val="24"/>
          <w:highlight w:val="none"/>
          <w:lang w:val="en-US" w:eastAsia="zh-CN" w:bidi="ar-SA"/>
        </w:rPr>
      </w:pPr>
      <w:bookmarkStart w:id="940" w:name="_Toc8787"/>
      <w:bookmarkStart w:id="941" w:name="_Toc24364"/>
      <w:bookmarkStart w:id="942" w:name="_Toc373227754"/>
      <w:bookmarkStart w:id="943" w:name="_Toc389065319"/>
      <w:bookmarkStart w:id="944" w:name="_Toc531093182"/>
      <w:bookmarkStart w:id="945" w:name="_Toc73356695"/>
      <w:bookmarkStart w:id="946" w:name="_Toc3731673"/>
      <w:bookmarkStart w:id="947" w:name="_Toc18954299"/>
      <w:bookmarkStart w:id="948" w:name="_Toc373478401"/>
      <w:bookmarkStart w:id="949" w:name="_Toc3731889"/>
      <w:bookmarkStart w:id="950" w:name="_Toc432177016"/>
      <w:bookmarkStart w:id="951" w:name="_Toc77255624"/>
      <w:bookmarkStart w:id="952" w:name="_Toc480968510"/>
      <w:bookmarkStart w:id="953" w:name="_Toc463940154"/>
      <w:r>
        <w:rPr>
          <w:rFonts w:hint="eastAsia" w:ascii="宋体" w:hAnsi="宋体" w:eastAsia="宋体" w:cs="宋体"/>
          <w:b/>
          <w:bCs/>
          <w:color w:val="auto"/>
          <w:kern w:val="2"/>
          <w:sz w:val="24"/>
          <w:szCs w:val="24"/>
          <w:highlight w:val="none"/>
          <w:lang w:val="en-US" w:eastAsia="zh-CN" w:bidi="ar-SA"/>
        </w:rPr>
        <w:t>13.1 分部分项工程验收</w:t>
      </w:r>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p>
    <w:p w14:paraId="10CED35F">
      <w:pPr>
        <w:keepNext w:val="0"/>
        <w:keepLines w:val="0"/>
        <w:pageBreakBefore w:val="0"/>
        <w:widowControl w:val="0"/>
        <w:suppressLineNumbers w:val="0"/>
        <w:kinsoku/>
        <w:wordWrap w:val="0"/>
        <w:overflowPunct/>
        <w:topLinePunct w:val="0"/>
        <w:bidi w:val="0"/>
        <w:snapToGrid/>
        <w:spacing w:before="0" w:beforeAutospacing="0" w:after="0" w:afterAutospacing="0" w:line="288" w:lineRule="auto"/>
        <w:ind w:left="0" w:right="0" w:firstLine="480" w:firstLineChars="200"/>
        <w:jc w:val="left"/>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bidi="ar"/>
        </w:rPr>
        <w:t>13.1.2发包人不能按时进行验收时，应提前</w:t>
      </w:r>
      <w:r>
        <w:rPr>
          <w:rFonts w:hint="eastAsia" w:ascii="宋体" w:hAnsi="宋体" w:eastAsia="宋体" w:cs="宋体"/>
          <w:color w:val="auto"/>
          <w:kern w:val="2"/>
          <w:sz w:val="24"/>
          <w:szCs w:val="24"/>
          <w:highlight w:val="none"/>
          <w:u w:val="single"/>
          <w:lang w:val="en-US" w:eastAsia="zh-CN" w:bidi="ar"/>
        </w:rPr>
        <w:t>24</w:t>
      </w:r>
      <w:r>
        <w:rPr>
          <w:rFonts w:hint="eastAsia" w:ascii="宋体" w:hAnsi="宋体" w:eastAsia="宋体" w:cs="宋体"/>
          <w:color w:val="auto"/>
          <w:kern w:val="2"/>
          <w:sz w:val="24"/>
          <w:szCs w:val="24"/>
          <w:highlight w:val="none"/>
          <w:lang w:val="en-US" w:eastAsia="zh-CN" w:bidi="ar"/>
        </w:rPr>
        <w:t>小时提交书面延期要求。</w:t>
      </w:r>
    </w:p>
    <w:p w14:paraId="1C3E2B38">
      <w:pPr>
        <w:keepNext w:val="0"/>
        <w:keepLines w:val="0"/>
        <w:pageBreakBefore w:val="0"/>
        <w:widowControl w:val="0"/>
        <w:suppressLineNumbers w:val="0"/>
        <w:kinsoku/>
        <w:wordWrap w:val="0"/>
        <w:overflowPunct/>
        <w:topLinePunct w:val="0"/>
        <w:bidi w:val="0"/>
        <w:snapToGrid/>
        <w:spacing w:before="0" w:beforeAutospacing="0" w:after="0" w:afterAutospacing="0" w:line="288" w:lineRule="auto"/>
        <w:ind w:left="0" w:right="0" w:firstLine="480" w:firstLineChars="200"/>
        <w:jc w:val="left"/>
        <w:textAlignment w:val="auto"/>
        <w:rPr>
          <w:rFonts w:hint="eastAsia" w:ascii="宋体" w:hAnsi="宋体" w:eastAsia="宋体" w:cs="宋体"/>
          <w:b/>
          <w:bCs/>
          <w:color w:val="auto"/>
          <w:sz w:val="24"/>
          <w:szCs w:val="24"/>
          <w:highlight w:val="none"/>
          <w:lang w:val="en-US"/>
        </w:rPr>
      </w:pPr>
      <w:r>
        <w:rPr>
          <w:rFonts w:hint="eastAsia" w:ascii="宋体" w:hAnsi="宋体" w:eastAsia="宋体" w:cs="宋体"/>
          <w:color w:val="auto"/>
          <w:kern w:val="2"/>
          <w:sz w:val="24"/>
          <w:szCs w:val="24"/>
          <w:highlight w:val="none"/>
          <w:lang w:val="en-US" w:eastAsia="zh-CN" w:bidi="ar"/>
        </w:rPr>
        <w:t>关于延期最长不得超过：</w:t>
      </w:r>
      <w:r>
        <w:rPr>
          <w:rFonts w:hint="eastAsia" w:ascii="宋体" w:hAnsi="宋体" w:eastAsia="宋体" w:cs="宋体"/>
          <w:color w:val="auto"/>
          <w:kern w:val="2"/>
          <w:sz w:val="24"/>
          <w:szCs w:val="24"/>
          <w:highlight w:val="none"/>
          <w:u w:val="single"/>
          <w:lang w:val="en-US" w:eastAsia="zh-CN" w:bidi="ar"/>
        </w:rPr>
        <w:t>48</w:t>
      </w:r>
      <w:r>
        <w:rPr>
          <w:rFonts w:hint="eastAsia" w:ascii="宋体" w:hAnsi="宋体" w:eastAsia="宋体" w:cs="宋体"/>
          <w:color w:val="auto"/>
          <w:kern w:val="2"/>
          <w:sz w:val="24"/>
          <w:szCs w:val="24"/>
          <w:highlight w:val="none"/>
          <w:lang w:val="en-US" w:eastAsia="zh-CN" w:bidi="ar"/>
        </w:rPr>
        <w:t>小时。</w:t>
      </w:r>
    </w:p>
    <w:p w14:paraId="1666E64D">
      <w:pPr>
        <w:keepNext/>
        <w:keepLines/>
        <w:pageBreakBefore w:val="0"/>
        <w:widowControl/>
        <w:kinsoku/>
        <w:wordWrap w:val="0"/>
        <w:overflowPunct/>
        <w:topLinePunct w:val="0"/>
        <w:bidi w:val="0"/>
        <w:snapToGrid/>
        <w:spacing w:line="288" w:lineRule="auto"/>
        <w:jc w:val="both"/>
        <w:textAlignment w:val="auto"/>
        <w:outlineLvl w:val="2"/>
        <w:rPr>
          <w:rFonts w:hint="eastAsia" w:ascii="宋体" w:hAnsi="宋体" w:eastAsia="宋体" w:cs="宋体"/>
          <w:b/>
          <w:bCs/>
          <w:color w:val="auto"/>
          <w:kern w:val="2"/>
          <w:sz w:val="24"/>
          <w:szCs w:val="24"/>
          <w:highlight w:val="none"/>
          <w:lang w:val="en-US" w:eastAsia="zh-CN" w:bidi="ar-SA"/>
        </w:rPr>
      </w:pPr>
      <w:bookmarkStart w:id="954" w:name="_Toc21923"/>
      <w:bookmarkStart w:id="955" w:name="_Toc373227755"/>
      <w:bookmarkStart w:id="956" w:name="_Toc3731674"/>
      <w:bookmarkStart w:id="957" w:name="_Toc463940155"/>
      <w:bookmarkStart w:id="958" w:name="_Toc389065320"/>
      <w:bookmarkStart w:id="959" w:name="_Toc373478402"/>
      <w:bookmarkStart w:id="960" w:name="_Toc480968511"/>
      <w:bookmarkStart w:id="961" w:name="_Toc531093183"/>
      <w:bookmarkStart w:id="962" w:name="_Toc77255625"/>
      <w:bookmarkStart w:id="963" w:name="_Toc73356696"/>
      <w:bookmarkStart w:id="964" w:name="_Toc28151"/>
      <w:bookmarkStart w:id="965" w:name="_Toc3731890"/>
      <w:bookmarkStart w:id="966" w:name="_Toc432177017"/>
      <w:bookmarkStart w:id="967" w:name="_Toc18954300"/>
      <w:bookmarkStart w:id="968" w:name="_Toc292559933"/>
      <w:bookmarkStart w:id="969" w:name="_Toc297216224"/>
      <w:bookmarkStart w:id="970" w:name="_Toc292559428"/>
      <w:bookmarkStart w:id="971" w:name="_Toc296347222"/>
      <w:bookmarkStart w:id="972" w:name="_Toc312678056"/>
      <w:bookmarkStart w:id="973" w:name="_Toc297120523"/>
      <w:bookmarkStart w:id="974" w:name="_Toc296891263"/>
      <w:bookmarkStart w:id="975" w:name="_Toc296944562"/>
      <w:bookmarkStart w:id="976" w:name="_Toc296503223"/>
      <w:bookmarkStart w:id="977" w:name="_Toc303539173"/>
      <w:bookmarkStart w:id="978" w:name="_Toc304295596"/>
      <w:bookmarkStart w:id="979" w:name="_Toc300935016"/>
      <w:bookmarkStart w:id="980" w:name="_Toc297123565"/>
      <w:bookmarkStart w:id="981" w:name="_Toc297048409"/>
      <w:bookmarkStart w:id="982" w:name="_Toc296891051"/>
      <w:bookmarkStart w:id="983" w:name="_Toc296346724"/>
      <w:r>
        <w:rPr>
          <w:rFonts w:hint="eastAsia" w:ascii="宋体" w:hAnsi="宋体" w:eastAsia="宋体" w:cs="宋体"/>
          <w:b/>
          <w:bCs/>
          <w:color w:val="auto"/>
          <w:kern w:val="2"/>
          <w:sz w:val="24"/>
          <w:szCs w:val="24"/>
          <w:highlight w:val="none"/>
          <w:lang w:val="en-US" w:eastAsia="zh-CN" w:bidi="ar-SA"/>
        </w:rPr>
        <w:t>13.2 竣工验收</w:t>
      </w:r>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p>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p w14:paraId="26B61DB2">
      <w:pPr>
        <w:keepNext w:val="0"/>
        <w:keepLines w:val="0"/>
        <w:pageBreakBefore w:val="0"/>
        <w:widowControl/>
        <w:suppressLineNumbers w:val="0"/>
        <w:kinsoku/>
        <w:wordWrap w:val="0"/>
        <w:overflowPunct/>
        <w:topLinePunct w:val="0"/>
        <w:bidi w:val="0"/>
        <w:snapToGrid/>
        <w:spacing w:before="0" w:beforeAutospacing="0" w:after="0" w:afterAutospacing="0" w:line="288" w:lineRule="auto"/>
        <w:ind w:left="0" w:right="0" w:firstLine="480" w:firstLineChars="200"/>
        <w:jc w:val="left"/>
        <w:textAlignment w:val="auto"/>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13.2.1竣工验收条件</w:t>
      </w:r>
    </w:p>
    <w:p w14:paraId="4AFF1A55">
      <w:pPr>
        <w:keepNext w:val="0"/>
        <w:keepLines w:val="0"/>
        <w:pageBreakBefore w:val="0"/>
        <w:widowControl/>
        <w:suppressLineNumbers w:val="0"/>
        <w:kinsoku/>
        <w:wordWrap w:val="0"/>
        <w:overflowPunct/>
        <w:topLinePunct w:val="0"/>
        <w:bidi w:val="0"/>
        <w:snapToGrid/>
        <w:spacing w:before="0" w:beforeAutospacing="0" w:after="0" w:afterAutospacing="0" w:line="288" w:lineRule="auto"/>
        <w:ind w:left="0" w:right="0" w:firstLine="480" w:firstLineChars="200"/>
        <w:jc w:val="both"/>
        <w:textAlignment w:val="auto"/>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(3) 承包人负责整理和提交的竣工验收资料应当符合工程所在地建设行政主管部门和(或)城市建设档案管理机构有关施工资料的要求，具体内容包括：</w:t>
      </w:r>
      <w:r>
        <w:rPr>
          <w:rFonts w:hint="eastAsia" w:ascii="宋体" w:hAnsi="宋体" w:eastAsia="宋体" w:cs="宋体"/>
          <w:color w:val="auto"/>
          <w:kern w:val="2"/>
          <w:sz w:val="24"/>
          <w:szCs w:val="24"/>
          <w:highlight w:val="none"/>
          <w:u w:val="single"/>
          <w:lang w:val="en-US" w:eastAsia="zh-CN" w:bidi="ar"/>
        </w:rPr>
        <w:t>按通用合同条款13.2执行</w:t>
      </w:r>
      <w:r>
        <w:rPr>
          <w:rFonts w:hint="eastAsia" w:ascii="宋体" w:hAnsi="宋体" w:eastAsia="宋体" w:cs="宋体"/>
          <w:color w:val="auto"/>
          <w:kern w:val="2"/>
          <w:sz w:val="24"/>
          <w:szCs w:val="24"/>
          <w:highlight w:val="none"/>
          <w:lang w:val="en-US" w:eastAsia="zh-CN" w:bidi="ar"/>
        </w:rPr>
        <w:t>。</w:t>
      </w:r>
    </w:p>
    <w:p w14:paraId="54E9528F">
      <w:pPr>
        <w:keepNext w:val="0"/>
        <w:keepLines w:val="0"/>
        <w:pageBreakBefore w:val="0"/>
        <w:widowControl/>
        <w:suppressLineNumbers w:val="0"/>
        <w:kinsoku/>
        <w:wordWrap w:val="0"/>
        <w:overflowPunct/>
        <w:topLinePunct w:val="0"/>
        <w:bidi w:val="0"/>
        <w:snapToGrid/>
        <w:spacing w:before="0" w:beforeAutospacing="0" w:after="0" w:afterAutospacing="0" w:line="288" w:lineRule="auto"/>
        <w:ind w:left="0" w:right="0" w:firstLine="480" w:firstLineChars="200"/>
        <w:jc w:val="both"/>
        <w:textAlignment w:val="auto"/>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竣工验收资料的份数：</w:t>
      </w:r>
      <w:r>
        <w:rPr>
          <w:rFonts w:hint="eastAsia" w:ascii="宋体" w:hAnsi="宋体" w:eastAsia="宋体" w:cs="宋体"/>
          <w:color w:val="auto"/>
          <w:kern w:val="2"/>
          <w:sz w:val="24"/>
          <w:szCs w:val="24"/>
          <w:highlight w:val="none"/>
          <w:u w:val="single"/>
          <w:lang w:val="en-US" w:eastAsia="zh-CN" w:bidi="ar"/>
        </w:rPr>
        <w:t>一式六份</w:t>
      </w:r>
      <w:r>
        <w:rPr>
          <w:rFonts w:hint="eastAsia" w:ascii="宋体" w:hAnsi="宋体" w:eastAsia="宋体" w:cs="宋体"/>
          <w:color w:val="auto"/>
          <w:kern w:val="2"/>
          <w:sz w:val="24"/>
          <w:szCs w:val="24"/>
          <w:highlight w:val="none"/>
          <w:lang w:val="en-US" w:eastAsia="zh-CN" w:bidi="ar"/>
        </w:rPr>
        <w:t>。</w:t>
      </w:r>
    </w:p>
    <w:p w14:paraId="14C49102">
      <w:pPr>
        <w:keepNext w:val="0"/>
        <w:keepLines w:val="0"/>
        <w:pageBreakBefore w:val="0"/>
        <w:widowControl/>
        <w:suppressLineNumbers w:val="0"/>
        <w:kinsoku/>
        <w:wordWrap w:val="0"/>
        <w:overflowPunct/>
        <w:topLinePunct w:val="0"/>
        <w:bidi w:val="0"/>
        <w:snapToGrid/>
        <w:spacing w:before="0" w:beforeAutospacing="0" w:after="0" w:afterAutospacing="0" w:line="288" w:lineRule="auto"/>
        <w:ind w:left="0" w:right="0" w:firstLine="480" w:firstLineChars="200"/>
        <w:jc w:val="left"/>
        <w:textAlignment w:val="auto"/>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承包人提供竣工图的约定：</w:t>
      </w:r>
      <w:r>
        <w:rPr>
          <w:rFonts w:hint="eastAsia" w:ascii="宋体" w:hAnsi="宋体" w:eastAsia="宋体" w:cs="宋体"/>
          <w:color w:val="auto"/>
          <w:kern w:val="2"/>
          <w:sz w:val="24"/>
          <w:szCs w:val="24"/>
          <w:highlight w:val="none"/>
          <w:u w:val="single"/>
          <w:lang w:val="en-US" w:eastAsia="zh-CN" w:bidi="ar"/>
        </w:rPr>
        <w:t>竣工验收正式通过后5天，提供竣工图的数量分别为4套。</w:t>
      </w:r>
    </w:p>
    <w:p w14:paraId="3C7C6316">
      <w:pPr>
        <w:keepNext w:val="0"/>
        <w:keepLines w:val="0"/>
        <w:pageBreakBefore w:val="0"/>
        <w:widowControl/>
        <w:suppressLineNumbers w:val="0"/>
        <w:kinsoku/>
        <w:wordWrap w:val="0"/>
        <w:overflowPunct/>
        <w:topLinePunct w:val="0"/>
        <w:bidi w:val="0"/>
        <w:snapToGrid/>
        <w:spacing w:before="0" w:beforeAutospacing="0" w:after="0" w:afterAutospacing="0" w:line="288" w:lineRule="auto"/>
        <w:ind w:left="0" w:right="0" w:firstLine="480" w:firstLineChars="200"/>
        <w:jc w:val="left"/>
        <w:textAlignment w:val="auto"/>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13.2.2竣工验收程序</w:t>
      </w:r>
    </w:p>
    <w:p w14:paraId="5CFA0CC7">
      <w:pPr>
        <w:keepNext w:val="0"/>
        <w:keepLines w:val="0"/>
        <w:pageBreakBefore w:val="0"/>
        <w:widowControl/>
        <w:suppressLineNumbers w:val="0"/>
        <w:kinsoku/>
        <w:wordWrap w:val="0"/>
        <w:overflowPunct/>
        <w:topLinePunct w:val="0"/>
        <w:bidi w:val="0"/>
        <w:snapToGrid/>
        <w:spacing w:before="0" w:beforeAutospacing="0" w:after="0" w:afterAutospacing="0" w:line="288" w:lineRule="auto"/>
        <w:ind w:left="0" w:right="0" w:firstLine="480" w:firstLineChars="200"/>
        <w:jc w:val="left"/>
        <w:textAlignment w:val="auto"/>
        <w:rPr>
          <w:rFonts w:hint="eastAsia" w:ascii="宋体" w:hAnsi="宋体" w:eastAsia="宋体" w:cs="宋体"/>
          <w:color w:val="auto"/>
          <w:kern w:val="2"/>
          <w:sz w:val="24"/>
          <w:szCs w:val="24"/>
          <w:highlight w:val="none"/>
          <w:u w:val="single"/>
          <w:lang w:val="en-US" w:eastAsia="zh-CN" w:bidi="ar"/>
        </w:rPr>
      </w:pPr>
      <w:r>
        <w:rPr>
          <w:rFonts w:hint="eastAsia" w:ascii="宋体" w:hAnsi="宋体" w:eastAsia="宋体" w:cs="宋体"/>
          <w:color w:val="auto"/>
          <w:kern w:val="0"/>
          <w:sz w:val="24"/>
          <w:szCs w:val="24"/>
          <w:highlight w:val="none"/>
          <w:lang w:val="en-US" w:eastAsia="zh-CN" w:bidi="ar"/>
        </w:rPr>
        <w:t>关于竣工验收程序的约定：</w:t>
      </w:r>
      <w:r>
        <w:rPr>
          <w:rFonts w:hint="eastAsia" w:ascii="宋体" w:hAnsi="宋体" w:eastAsia="宋体" w:cs="宋体"/>
          <w:color w:val="auto"/>
          <w:kern w:val="2"/>
          <w:sz w:val="24"/>
          <w:szCs w:val="24"/>
          <w:highlight w:val="none"/>
          <w:u w:val="single"/>
          <w:lang w:val="en-US" w:eastAsia="zh-CN" w:bidi="ar"/>
        </w:rPr>
        <w:t>执行通用条款13.2.2条执行</w:t>
      </w:r>
      <w:r>
        <w:rPr>
          <w:rFonts w:hint="eastAsia" w:ascii="宋体" w:hAnsi="宋体" w:eastAsia="宋体" w:cs="宋体"/>
          <w:color w:val="auto"/>
          <w:kern w:val="2"/>
          <w:sz w:val="24"/>
          <w:szCs w:val="24"/>
          <w:highlight w:val="none"/>
          <w:lang w:val="en-US" w:eastAsia="zh-CN" w:bidi="ar"/>
        </w:rPr>
        <w:t>。</w:t>
      </w:r>
    </w:p>
    <w:p w14:paraId="7281E707">
      <w:pPr>
        <w:keepNext w:val="0"/>
        <w:keepLines w:val="0"/>
        <w:pageBreakBefore w:val="0"/>
        <w:widowControl/>
        <w:suppressLineNumbers w:val="0"/>
        <w:kinsoku/>
        <w:wordWrap w:val="0"/>
        <w:overflowPunct/>
        <w:topLinePunct w:val="0"/>
        <w:bidi w:val="0"/>
        <w:snapToGrid/>
        <w:spacing w:before="0" w:beforeAutospacing="0" w:after="0" w:afterAutospacing="0" w:line="288" w:lineRule="auto"/>
        <w:ind w:left="0" w:right="0" w:firstLine="480" w:firstLineChars="200"/>
        <w:jc w:val="left"/>
        <w:textAlignment w:val="auto"/>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承包人负责办理相关审批、验收手续，保证所有工程设备符合国家电气规范、设计要求；并负责整个项目通过南宁市供电部门验收。验收时配电房远程抄表需要的无线信号由施工单位负责，费用含在报价里，由承包人负责。</w:t>
      </w:r>
    </w:p>
    <w:p w14:paraId="432CC768">
      <w:pPr>
        <w:keepNext w:val="0"/>
        <w:keepLines w:val="0"/>
        <w:pageBreakBefore w:val="0"/>
        <w:widowControl/>
        <w:suppressLineNumbers w:val="0"/>
        <w:kinsoku/>
        <w:wordWrap w:val="0"/>
        <w:overflowPunct/>
        <w:topLinePunct w:val="0"/>
        <w:bidi w:val="0"/>
        <w:snapToGrid/>
        <w:spacing w:before="0" w:beforeAutospacing="0" w:after="0" w:afterAutospacing="0" w:line="288" w:lineRule="auto"/>
        <w:ind w:left="0" w:right="0"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13.2.3竣工验收标准：</w:t>
      </w:r>
      <w:r>
        <w:rPr>
          <w:rFonts w:hint="eastAsia" w:ascii="宋体" w:hAnsi="宋体" w:eastAsia="宋体" w:cs="宋体"/>
          <w:color w:val="auto"/>
          <w:kern w:val="2"/>
          <w:sz w:val="24"/>
          <w:szCs w:val="24"/>
          <w:highlight w:val="none"/>
          <w:u w:val="single"/>
          <w:lang w:val="en-US" w:eastAsia="zh-CN" w:bidi="ar"/>
        </w:rPr>
        <w:t>经发包方完成工程实体及资料验收后，在保修期满前进行移交</w:t>
      </w:r>
    </w:p>
    <w:p w14:paraId="7D893BDD">
      <w:pPr>
        <w:keepNext w:val="0"/>
        <w:keepLines w:val="0"/>
        <w:pageBreakBefore w:val="0"/>
        <w:widowControl/>
        <w:suppressLineNumbers w:val="0"/>
        <w:kinsoku/>
        <w:wordWrap w:val="0"/>
        <w:overflowPunct/>
        <w:topLinePunct w:val="0"/>
        <w:bidi w:val="0"/>
        <w:snapToGrid/>
        <w:spacing w:before="0" w:beforeAutospacing="0" w:after="0" w:afterAutospacing="0" w:line="288" w:lineRule="auto"/>
        <w:ind w:left="0" w:right="0" w:firstLine="480" w:firstLineChars="200"/>
        <w:jc w:val="left"/>
        <w:textAlignment w:val="auto"/>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13.2.4移交、接收全部与部分工程</w:t>
      </w:r>
    </w:p>
    <w:p w14:paraId="229D0BC7">
      <w:pPr>
        <w:keepNext w:val="0"/>
        <w:keepLines w:val="0"/>
        <w:pageBreakBefore w:val="0"/>
        <w:widowControl/>
        <w:suppressLineNumbers w:val="0"/>
        <w:kinsoku/>
        <w:wordWrap w:val="0"/>
        <w:overflowPunct/>
        <w:topLinePunct w:val="0"/>
        <w:bidi w:val="0"/>
        <w:snapToGrid/>
        <w:spacing w:before="0" w:beforeAutospacing="0" w:after="0" w:afterAutospacing="0" w:line="288" w:lineRule="auto"/>
        <w:ind w:left="0" w:right="0"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承包人向发包人移交工程的期限：</w:t>
      </w:r>
      <w:r>
        <w:rPr>
          <w:rFonts w:hint="eastAsia" w:ascii="宋体" w:hAnsi="宋体" w:eastAsia="宋体" w:cs="宋体"/>
          <w:color w:val="auto"/>
          <w:kern w:val="2"/>
          <w:sz w:val="24"/>
          <w:szCs w:val="24"/>
          <w:highlight w:val="none"/>
          <w:u w:val="single"/>
          <w:lang w:val="en-US" w:eastAsia="zh-CN" w:bidi="ar"/>
        </w:rPr>
        <w:t>颁发工程接收证书7天内</w:t>
      </w:r>
      <w:r>
        <w:rPr>
          <w:rFonts w:hint="eastAsia" w:ascii="宋体" w:hAnsi="宋体" w:eastAsia="宋体" w:cs="宋体"/>
          <w:color w:val="auto"/>
          <w:kern w:val="2"/>
          <w:sz w:val="24"/>
          <w:szCs w:val="24"/>
          <w:highlight w:val="none"/>
          <w:lang w:val="en-US" w:eastAsia="zh-CN" w:bidi="ar"/>
        </w:rPr>
        <w:t>。</w:t>
      </w:r>
    </w:p>
    <w:p w14:paraId="40C4F7F1">
      <w:pPr>
        <w:keepNext w:val="0"/>
        <w:keepLines w:val="0"/>
        <w:pageBreakBefore w:val="0"/>
        <w:widowControl/>
        <w:suppressLineNumbers w:val="0"/>
        <w:kinsoku/>
        <w:wordWrap w:val="0"/>
        <w:overflowPunct/>
        <w:topLinePunct w:val="0"/>
        <w:bidi w:val="0"/>
        <w:snapToGrid/>
        <w:spacing w:before="0" w:beforeAutospacing="0" w:after="0" w:afterAutospacing="0" w:line="288" w:lineRule="auto"/>
        <w:ind w:left="0" w:right="0" w:firstLine="480" w:firstLineChars="200"/>
        <w:jc w:val="left"/>
        <w:textAlignment w:val="auto"/>
        <w:rPr>
          <w:rFonts w:hint="eastAsia" w:ascii="宋体" w:hAnsi="宋体" w:eastAsia="宋体" w:cs="宋体"/>
          <w:color w:val="auto"/>
          <w:kern w:val="2"/>
          <w:sz w:val="24"/>
          <w:szCs w:val="24"/>
          <w:highlight w:val="none"/>
          <w:u w:val="single"/>
          <w:lang w:val="en-US" w:eastAsia="zh-CN" w:bidi="ar"/>
        </w:rPr>
      </w:pPr>
      <w:r>
        <w:rPr>
          <w:rFonts w:hint="eastAsia" w:ascii="宋体" w:hAnsi="宋体" w:eastAsia="宋体" w:cs="宋体"/>
          <w:color w:val="auto"/>
          <w:kern w:val="0"/>
          <w:sz w:val="24"/>
          <w:szCs w:val="24"/>
          <w:highlight w:val="none"/>
          <w:lang w:val="en-US" w:eastAsia="zh-CN" w:bidi="ar"/>
        </w:rPr>
        <w:t>发包人未按本合同约定接收全部或部分工程的，违约金的计算方法为：无</w:t>
      </w:r>
      <w:r>
        <w:rPr>
          <w:rFonts w:hint="eastAsia" w:ascii="宋体" w:hAnsi="宋体" w:eastAsia="宋体" w:cs="宋体"/>
          <w:color w:val="auto"/>
          <w:kern w:val="2"/>
          <w:sz w:val="24"/>
          <w:szCs w:val="24"/>
          <w:highlight w:val="none"/>
          <w:lang w:val="en-US" w:eastAsia="zh-CN" w:bidi="ar"/>
        </w:rPr>
        <w:t>。</w:t>
      </w:r>
    </w:p>
    <w:p w14:paraId="2E26FC5D">
      <w:pPr>
        <w:keepNext w:val="0"/>
        <w:keepLines w:val="0"/>
        <w:pageBreakBefore w:val="0"/>
        <w:widowControl/>
        <w:suppressLineNumbers w:val="0"/>
        <w:kinsoku/>
        <w:wordWrap w:val="0"/>
        <w:overflowPunct/>
        <w:topLinePunct w:val="0"/>
        <w:bidi w:val="0"/>
        <w:snapToGrid/>
        <w:spacing w:before="0" w:beforeAutospacing="0" w:after="0" w:afterAutospacing="0" w:line="288" w:lineRule="auto"/>
        <w:ind w:left="0" w:right="0" w:firstLine="480" w:firstLineChars="200"/>
        <w:jc w:val="left"/>
        <w:textAlignment w:val="auto"/>
        <w:rPr>
          <w:rFonts w:hint="eastAsia" w:ascii="宋体" w:hAnsi="宋体" w:eastAsia="宋体" w:cs="宋体"/>
          <w:color w:val="auto"/>
          <w:kern w:val="2"/>
          <w:sz w:val="24"/>
          <w:szCs w:val="24"/>
          <w:highlight w:val="none"/>
          <w:u w:val="single"/>
          <w:lang w:val="en-US" w:eastAsia="zh-CN" w:bidi="ar"/>
        </w:rPr>
      </w:pPr>
      <w:r>
        <w:rPr>
          <w:rFonts w:hint="eastAsia" w:ascii="宋体" w:hAnsi="宋体" w:eastAsia="宋体" w:cs="宋体"/>
          <w:color w:val="auto"/>
          <w:kern w:val="2"/>
          <w:sz w:val="24"/>
          <w:szCs w:val="24"/>
          <w:highlight w:val="none"/>
          <w:lang w:val="en-US" w:eastAsia="zh-CN" w:bidi="ar"/>
        </w:rPr>
        <w:t>承包人未按时移交工程的，违约金的计算方法为：</w:t>
      </w:r>
      <w:r>
        <w:rPr>
          <w:rFonts w:hint="eastAsia" w:ascii="宋体" w:hAnsi="宋体" w:eastAsia="宋体" w:cs="宋体"/>
          <w:color w:val="auto"/>
          <w:kern w:val="2"/>
          <w:sz w:val="24"/>
          <w:szCs w:val="24"/>
          <w:highlight w:val="none"/>
          <w:u w:val="single"/>
          <w:lang w:val="en-US" w:eastAsia="zh-CN" w:bidi="ar"/>
        </w:rPr>
        <w:t xml:space="preserve"> 每超一天向发包人支付合同价款万分之四的误期赔偿费，限额为合同价的5%</w:t>
      </w:r>
      <w:r>
        <w:rPr>
          <w:rFonts w:hint="eastAsia" w:ascii="宋体" w:hAnsi="宋体" w:eastAsia="宋体" w:cs="宋体"/>
          <w:color w:val="auto"/>
          <w:kern w:val="2"/>
          <w:sz w:val="24"/>
          <w:szCs w:val="24"/>
          <w:highlight w:val="none"/>
          <w:lang w:val="en-US" w:eastAsia="zh-CN" w:bidi="ar"/>
        </w:rPr>
        <w:t>。</w:t>
      </w:r>
    </w:p>
    <w:p w14:paraId="1D39FB15">
      <w:pPr>
        <w:keepNext/>
        <w:keepLines/>
        <w:pageBreakBefore w:val="0"/>
        <w:widowControl/>
        <w:suppressLineNumbers w:val="0"/>
        <w:kinsoku/>
        <w:wordWrap w:val="0"/>
        <w:overflowPunct/>
        <w:topLinePunct w:val="0"/>
        <w:bidi w:val="0"/>
        <w:snapToGrid/>
        <w:spacing w:before="0" w:beforeAutospacing="0" w:after="0" w:afterAutospacing="0" w:line="288" w:lineRule="auto"/>
        <w:ind w:left="0" w:right="0"/>
        <w:jc w:val="both"/>
        <w:textAlignment w:val="auto"/>
        <w:outlineLvl w:val="2"/>
        <w:rPr>
          <w:rFonts w:hint="eastAsia" w:ascii="宋体" w:hAnsi="宋体" w:eastAsia="宋体" w:cs="宋体"/>
          <w:b/>
          <w:bCs/>
          <w:color w:val="auto"/>
          <w:kern w:val="44"/>
          <w:sz w:val="24"/>
          <w:szCs w:val="24"/>
          <w:highlight w:val="none"/>
          <w:lang w:val="en-US" w:eastAsia="zh-CN" w:bidi="ar"/>
        </w:rPr>
      </w:pPr>
      <w:bookmarkStart w:id="984" w:name="_Toc18954301"/>
      <w:bookmarkStart w:id="985" w:name="_Toc3731675"/>
      <w:bookmarkStart w:id="986" w:name="_Toc485629448"/>
      <w:bookmarkStart w:id="987" w:name="_Toc3731891"/>
      <w:bookmarkStart w:id="988" w:name="_Toc531093184"/>
      <w:bookmarkStart w:id="989" w:name="_Toc73356697"/>
      <w:bookmarkStart w:id="990" w:name="_Toc77255626"/>
      <w:bookmarkStart w:id="991" w:name="_Toc1563"/>
      <w:bookmarkStart w:id="992" w:name="_Toc373743673"/>
      <w:bookmarkStart w:id="993" w:name="_Toc30382"/>
      <w:bookmarkStart w:id="994" w:name="_Toc406360358"/>
      <w:r>
        <w:rPr>
          <w:rFonts w:hint="eastAsia" w:ascii="宋体" w:hAnsi="宋体" w:eastAsia="宋体" w:cs="宋体"/>
          <w:b/>
          <w:bCs/>
          <w:color w:val="auto"/>
          <w:kern w:val="44"/>
          <w:sz w:val="24"/>
          <w:szCs w:val="24"/>
          <w:highlight w:val="none"/>
          <w:lang w:val="en-US" w:eastAsia="zh-CN" w:bidi="ar"/>
        </w:rPr>
        <w:t>13.3 工程试车</w:t>
      </w:r>
      <w:bookmarkEnd w:id="984"/>
      <w:bookmarkEnd w:id="985"/>
      <w:bookmarkEnd w:id="986"/>
      <w:bookmarkEnd w:id="987"/>
      <w:bookmarkEnd w:id="988"/>
      <w:bookmarkEnd w:id="989"/>
      <w:bookmarkEnd w:id="990"/>
      <w:bookmarkEnd w:id="991"/>
      <w:bookmarkEnd w:id="992"/>
      <w:bookmarkEnd w:id="993"/>
      <w:bookmarkEnd w:id="994"/>
    </w:p>
    <w:p w14:paraId="431A035E">
      <w:pPr>
        <w:keepNext w:val="0"/>
        <w:keepLines w:val="0"/>
        <w:pageBreakBefore w:val="0"/>
        <w:widowControl/>
        <w:suppressLineNumbers w:val="0"/>
        <w:kinsoku/>
        <w:wordWrap w:val="0"/>
        <w:overflowPunct/>
        <w:topLinePunct w:val="0"/>
        <w:bidi w:val="0"/>
        <w:snapToGrid/>
        <w:spacing w:before="0" w:beforeAutospacing="0" w:after="0" w:afterAutospacing="0" w:line="288" w:lineRule="auto"/>
        <w:ind w:left="0" w:right="0"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13.3.1 试车程序</w:t>
      </w:r>
    </w:p>
    <w:p w14:paraId="7DA280D9">
      <w:pPr>
        <w:keepNext w:val="0"/>
        <w:keepLines w:val="0"/>
        <w:pageBreakBefore w:val="0"/>
        <w:widowControl/>
        <w:suppressLineNumbers w:val="0"/>
        <w:kinsoku/>
        <w:wordWrap w:val="0"/>
        <w:overflowPunct/>
        <w:topLinePunct w:val="0"/>
        <w:bidi w:val="0"/>
        <w:snapToGrid/>
        <w:spacing w:before="0" w:beforeAutospacing="0" w:after="0" w:afterAutospacing="0" w:line="288" w:lineRule="auto"/>
        <w:ind w:left="0" w:right="0" w:firstLine="480" w:firstLineChars="200"/>
        <w:jc w:val="left"/>
        <w:textAlignment w:val="auto"/>
        <w:rPr>
          <w:rFonts w:hint="eastAsia" w:ascii="宋体" w:hAnsi="宋体" w:eastAsia="宋体" w:cs="宋体"/>
          <w:color w:val="auto"/>
          <w:kern w:val="2"/>
          <w:sz w:val="24"/>
          <w:szCs w:val="24"/>
          <w:highlight w:val="none"/>
          <w:u w:val="single"/>
          <w:lang w:val="en-US" w:eastAsia="zh-CN" w:bidi="ar"/>
        </w:rPr>
      </w:pPr>
      <w:r>
        <w:rPr>
          <w:rFonts w:hint="eastAsia" w:ascii="宋体" w:hAnsi="宋体" w:eastAsia="宋体" w:cs="宋体"/>
          <w:color w:val="auto"/>
          <w:kern w:val="0"/>
          <w:sz w:val="24"/>
          <w:szCs w:val="24"/>
          <w:highlight w:val="none"/>
          <w:lang w:val="en-US" w:eastAsia="zh-CN" w:bidi="ar"/>
        </w:rPr>
        <w:t>工程试车内容：</w:t>
      </w:r>
      <w:r>
        <w:rPr>
          <w:rFonts w:hint="eastAsia" w:ascii="宋体" w:hAnsi="宋体" w:eastAsia="宋体" w:cs="宋体"/>
          <w:color w:val="auto"/>
          <w:kern w:val="2"/>
          <w:sz w:val="24"/>
          <w:szCs w:val="24"/>
          <w:highlight w:val="none"/>
          <w:u w:val="single"/>
          <w:lang w:val="en-US" w:eastAsia="zh-CN" w:bidi="ar"/>
        </w:rPr>
        <w:t>按通用合同条款13.3.1执行</w:t>
      </w:r>
      <w:r>
        <w:rPr>
          <w:rFonts w:hint="eastAsia" w:ascii="宋体" w:hAnsi="宋体" w:eastAsia="宋体" w:cs="宋体"/>
          <w:color w:val="auto"/>
          <w:kern w:val="2"/>
          <w:sz w:val="24"/>
          <w:szCs w:val="24"/>
          <w:highlight w:val="none"/>
          <w:lang w:val="en-US" w:eastAsia="zh-CN" w:bidi="ar"/>
        </w:rPr>
        <w:t>。</w:t>
      </w:r>
    </w:p>
    <w:p w14:paraId="2BD02893">
      <w:pPr>
        <w:keepNext w:val="0"/>
        <w:keepLines w:val="0"/>
        <w:pageBreakBefore w:val="0"/>
        <w:widowControl/>
        <w:suppressLineNumbers w:val="0"/>
        <w:kinsoku/>
        <w:wordWrap w:val="0"/>
        <w:overflowPunct/>
        <w:topLinePunct w:val="0"/>
        <w:bidi w:val="0"/>
        <w:snapToGrid/>
        <w:spacing w:before="0" w:beforeAutospacing="0" w:after="0" w:afterAutospacing="0" w:line="288" w:lineRule="auto"/>
        <w:ind w:left="0" w:right="0"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（1）单机无负荷试车费用由</w:t>
      </w:r>
      <w:r>
        <w:rPr>
          <w:rFonts w:hint="eastAsia" w:ascii="宋体" w:hAnsi="宋体" w:eastAsia="宋体" w:cs="宋体"/>
          <w:color w:val="auto"/>
          <w:kern w:val="2"/>
          <w:sz w:val="24"/>
          <w:szCs w:val="24"/>
          <w:highlight w:val="none"/>
          <w:u w:val="single"/>
          <w:lang w:val="en-US" w:eastAsia="zh-CN" w:bidi="ar"/>
        </w:rPr>
        <w:t>承包人</w:t>
      </w:r>
      <w:r>
        <w:rPr>
          <w:rFonts w:hint="eastAsia" w:ascii="宋体" w:hAnsi="宋体" w:eastAsia="宋体" w:cs="宋体"/>
          <w:color w:val="auto"/>
          <w:kern w:val="0"/>
          <w:sz w:val="24"/>
          <w:szCs w:val="24"/>
          <w:highlight w:val="none"/>
          <w:lang w:val="en-US" w:eastAsia="zh-CN" w:bidi="ar"/>
        </w:rPr>
        <w:t>承担；</w:t>
      </w:r>
    </w:p>
    <w:p w14:paraId="1D0AA18F">
      <w:pPr>
        <w:keepNext w:val="0"/>
        <w:keepLines w:val="0"/>
        <w:pageBreakBefore w:val="0"/>
        <w:widowControl/>
        <w:suppressLineNumbers w:val="0"/>
        <w:kinsoku/>
        <w:wordWrap w:val="0"/>
        <w:overflowPunct/>
        <w:topLinePunct w:val="0"/>
        <w:bidi w:val="0"/>
        <w:snapToGrid/>
        <w:spacing w:before="0" w:beforeAutospacing="0" w:after="0" w:afterAutospacing="0" w:line="288" w:lineRule="auto"/>
        <w:ind w:left="0" w:right="0"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（2）无负荷联动试车费用由</w:t>
      </w:r>
      <w:r>
        <w:rPr>
          <w:rFonts w:hint="eastAsia" w:ascii="宋体" w:hAnsi="宋体" w:eastAsia="宋体" w:cs="宋体"/>
          <w:color w:val="auto"/>
          <w:kern w:val="2"/>
          <w:sz w:val="24"/>
          <w:szCs w:val="24"/>
          <w:highlight w:val="none"/>
          <w:u w:val="single"/>
          <w:lang w:val="en-US" w:eastAsia="zh-CN" w:bidi="ar"/>
        </w:rPr>
        <w:t>承包人</w:t>
      </w:r>
      <w:r>
        <w:rPr>
          <w:rFonts w:hint="eastAsia" w:ascii="宋体" w:hAnsi="宋体" w:eastAsia="宋体" w:cs="宋体"/>
          <w:color w:val="auto"/>
          <w:kern w:val="0"/>
          <w:sz w:val="24"/>
          <w:szCs w:val="24"/>
          <w:highlight w:val="none"/>
          <w:lang w:val="en-US" w:eastAsia="zh-CN" w:bidi="ar"/>
        </w:rPr>
        <w:t>承担。</w:t>
      </w:r>
    </w:p>
    <w:p w14:paraId="60246A6C">
      <w:pPr>
        <w:keepNext w:val="0"/>
        <w:keepLines w:val="0"/>
        <w:pageBreakBefore w:val="0"/>
        <w:widowControl/>
        <w:suppressLineNumbers w:val="0"/>
        <w:kinsoku/>
        <w:wordWrap w:val="0"/>
        <w:overflowPunct/>
        <w:topLinePunct w:val="0"/>
        <w:bidi w:val="0"/>
        <w:snapToGrid/>
        <w:spacing w:before="0" w:beforeAutospacing="0" w:after="0" w:afterAutospacing="0" w:line="288" w:lineRule="auto"/>
        <w:ind w:left="0" w:right="0"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13.3.3 投料试车</w:t>
      </w:r>
    </w:p>
    <w:p w14:paraId="0342D16B">
      <w:pPr>
        <w:keepNext w:val="0"/>
        <w:keepLines w:val="0"/>
        <w:pageBreakBefore w:val="0"/>
        <w:widowControl/>
        <w:suppressLineNumbers w:val="0"/>
        <w:kinsoku/>
        <w:wordWrap w:val="0"/>
        <w:overflowPunct/>
        <w:topLinePunct w:val="0"/>
        <w:bidi w:val="0"/>
        <w:snapToGrid/>
        <w:spacing w:before="0" w:beforeAutospacing="0" w:after="0" w:afterAutospacing="0" w:line="288" w:lineRule="auto"/>
        <w:ind w:left="0" w:right="0" w:firstLine="480" w:firstLineChars="200"/>
        <w:jc w:val="left"/>
        <w:textAlignment w:val="auto"/>
        <w:rPr>
          <w:rFonts w:hint="eastAsia" w:ascii="宋体" w:hAnsi="宋体" w:eastAsia="宋体" w:cs="宋体"/>
          <w:color w:val="auto"/>
          <w:kern w:val="2"/>
          <w:sz w:val="24"/>
          <w:szCs w:val="24"/>
          <w:highlight w:val="none"/>
          <w:u w:val="single"/>
          <w:lang w:val="en-US" w:eastAsia="zh-CN" w:bidi="ar"/>
        </w:rPr>
      </w:pPr>
      <w:r>
        <w:rPr>
          <w:rFonts w:hint="eastAsia" w:ascii="宋体" w:hAnsi="宋体" w:eastAsia="宋体" w:cs="宋体"/>
          <w:color w:val="auto"/>
          <w:kern w:val="0"/>
          <w:sz w:val="24"/>
          <w:szCs w:val="24"/>
          <w:highlight w:val="none"/>
          <w:lang w:val="en-US" w:eastAsia="zh-CN" w:bidi="ar"/>
        </w:rPr>
        <w:t>关于投料试车相关事项的约定：</w:t>
      </w:r>
      <w:r>
        <w:rPr>
          <w:rFonts w:hint="eastAsia" w:ascii="宋体" w:hAnsi="宋体" w:eastAsia="宋体" w:cs="宋体"/>
          <w:color w:val="auto"/>
          <w:kern w:val="2"/>
          <w:sz w:val="24"/>
          <w:szCs w:val="24"/>
          <w:highlight w:val="none"/>
          <w:u w:val="single"/>
          <w:lang w:val="en-US" w:eastAsia="zh-CN" w:bidi="ar"/>
        </w:rPr>
        <w:t>投料试运行应在工程竣工验收后由发包人负责，如发包人要求在工程竣工验收前进行或需要承包人配合时，应征得承包人同意，另行签订补充协议</w:t>
      </w:r>
      <w:r>
        <w:rPr>
          <w:rFonts w:hint="eastAsia" w:ascii="宋体" w:hAnsi="宋体" w:eastAsia="宋体" w:cs="宋体"/>
          <w:color w:val="auto"/>
          <w:kern w:val="2"/>
          <w:sz w:val="24"/>
          <w:szCs w:val="24"/>
          <w:highlight w:val="none"/>
          <w:lang w:val="en-US" w:eastAsia="zh-CN" w:bidi="ar"/>
        </w:rPr>
        <w:t>。</w:t>
      </w:r>
    </w:p>
    <w:p w14:paraId="6CC7EA19">
      <w:pPr>
        <w:keepNext/>
        <w:keepLines/>
        <w:pageBreakBefore w:val="0"/>
        <w:widowControl/>
        <w:suppressLineNumbers w:val="0"/>
        <w:kinsoku/>
        <w:wordWrap w:val="0"/>
        <w:overflowPunct/>
        <w:topLinePunct w:val="0"/>
        <w:bidi w:val="0"/>
        <w:snapToGrid/>
        <w:spacing w:before="0" w:beforeAutospacing="0" w:after="0" w:afterAutospacing="0" w:line="288" w:lineRule="auto"/>
        <w:ind w:left="0" w:right="0"/>
        <w:jc w:val="both"/>
        <w:textAlignment w:val="auto"/>
        <w:outlineLvl w:val="2"/>
        <w:rPr>
          <w:rFonts w:hint="eastAsia" w:ascii="宋体" w:hAnsi="宋体" w:eastAsia="宋体" w:cs="宋体"/>
          <w:b/>
          <w:bCs/>
          <w:color w:val="auto"/>
          <w:kern w:val="44"/>
          <w:sz w:val="24"/>
          <w:szCs w:val="24"/>
          <w:highlight w:val="none"/>
          <w:lang w:val="en-US" w:eastAsia="zh-CN" w:bidi="ar"/>
        </w:rPr>
      </w:pPr>
      <w:bookmarkStart w:id="995" w:name="_Toc3731676"/>
      <w:bookmarkStart w:id="996" w:name="_Toc406360359"/>
      <w:bookmarkStart w:id="997" w:name="_Toc594"/>
      <w:bookmarkStart w:id="998" w:name="_Toc73356698"/>
      <w:bookmarkStart w:id="999" w:name="_Toc18954302"/>
      <w:bookmarkStart w:id="1000" w:name="_Toc23943"/>
      <w:bookmarkStart w:id="1001" w:name="_Toc485629449"/>
      <w:bookmarkStart w:id="1002" w:name="_Toc77255627"/>
      <w:bookmarkStart w:id="1003" w:name="_Toc3731892"/>
      <w:bookmarkStart w:id="1004" w:name="_Toc373743674"/>
      <w:bookmarkStart w:id="1005" w:name="_Toc531093185"/>
      <w:r>
        <w:rPr>
          <w:rFonts w:hint="eastAsia" w:ascii="宋体" w:hAnsi="宋体" w:eastAsia="宋体" w:cs="宋体"/>
          <w:b/>
          <w:bCs/>
          <w:color w:val="auto"/>
          <w:kern w:val="44"/>
          <w:sz w:val="24"/>
          <w:szCs w:val="24"/>
          <w:highlight w:val="none"/>
          <w:lang w:val="en-US" w:eastAsia="zh-CN" w:bidi="ar"/>
        </w:rPr>
        <w:t>13.6 竣工退场</w:t>
      </w:r>
      <w:bookmarkEnd w:id="995"/>
      <w:bookmarkEnd w:id="996"/>
      <w:bookmarkEnd w:id="997"/>
      <w:bookmarkEnd w:id="998"/>
      <w:bookmarkEnd w:id="999"/>
      <w:bookmarkEnd w:id="1000"/>
      <w:bookmarkEnd w:id="1001"/>
      <w:bookmarkEnd w:id="1002"/>
      <w:bookmarkEnd w:id="1003"/>
      <w:bookmarkEnd w:id="1004"/>
      <w:bookmarkEnd w:id="1005"/>
    </w:p>
    <w:p w14:paraId="643F70C6">
      <w:pPr>
        <w:pageBreakBefore w:val="0"/>
        <w:kinsoku/>
        <w:overflowPunct/>
        <w:topLinePunct w:val="0"/>
        <w:bidi w:val="0"/>
        <w:snapToGrid/>
        <w:spacing w:line="288" w:lineRule="auto"/>
        <w:textAlignment w:val="auto"/>
        <w:rPr>
          <w:rFonts w:hint="eastAsia" w:ascii="宋体" w:hAnsi="宋体" w:eastAsia="宋体" w:cs="宋体"/>
          <w:color w:val="auto"/>
          <w:sz w:val="24"/>
          <w:szCs w:val="24"/>
          <w:highlight w:val="none"/>
          <w:lang w:val="en-US"/>
        </w:rPr>
      </w:pPr>
      <w:bookmarkStart w:id="1006" w:name="_Toc28534"/>
      <w:bookmarkStart w:id="1007" w:name="_Toc29693"/>
      <w:r>
        <w:rPr>
          <w:rFonts w:hint="eastAsia" w:ascii="宋体" w:hAnsi="宋体" w:eastAsia="宋体" w:cs="宋体"/>
          <w:color w:val="auto"/>
          <w:sz w:val="24"/>
          <w:szCs w:val="24"/>
          <w:highlight w:val="none"/>
          <w:lang w:val="en-US"/>
        </w:rPr>
        <w:t xml:space="preserve">13.6.1 </w:t>
      </w:r>
      <w:r>
        <w:rPr>
          <w:rFonts w:hint="eastAsia" w:ascii="宋体" w:hAnsi="宋体" w:eastAsia="宋体" w:cs="宋体"/>
          <w:color w:val="auto"/>
          <w:sz w:val="24"/>
          <w:szCs w:val="24"/>
          <w:highlight w:val="none"/>
          <w:lang w:eastAsia="zh-CN"/>
        </w:rPr>
        <w:t>竣工退场</w:t>
      </w:r>
      <w:bookmarkEnd w:id="1006"/>
      <w:bookmarkEnd w:id="1007"/>
    </w:p>
    <w:p w14:paraId="7BBE8056">
      <w:pPr>
        <w:keepNext w:val="0"/>
        <w:keepLines w:val="0"/>
        <w:pageBreakBefore w:val="0"/>
        <w:widowControl/>
        <w:suppressLineNumbers w:val="0"/>
        <w:kinsoku/>
        <w:wordWrap w:val="0"/>
        <w:overflowPunct/>
        <w:topLinePunct w:val="0"/>
        <w:bidi w:val="0"/>
        <w:snapToGrid/>
        <w:spacing w:before="0" w:beforeAutospacing="0" w:after="0" w:afterAutospacing="0" w:line="288" w:lineRule="auto"/>
        <w:ind w:left="0" w:right="0"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颁发工程接收证书后，承包人应按以下要求对施工现场进行清理：</w:t>
      </w:r>
    </w:p>
    <w:p w14:paraId="124894E5">
      <w:pPr>
        <w:keepNext w:val="0"/>
        <w:keepLines w:val="0"/>
        <w:pageBreakBefore w:val="0"/>
        <w:widowControl/>
        <w:suppressLineNumbers w:val="0"/>
        <w:kinsoku/>
        <w:wordWrap w:val="0"/>
        <w:overflowPunct/>
        <w:topLinePunct w:val="0"/>
        <w:bidi w:val="0"/>
        <w:snapToGrid/>
        <w:spacing w:before="0" w:beforeAutospacing="0" w:after="0" w:afterAutospacing="0" w:line="288" w:lineRule="auto"/>
        <w:ind w:left="0" w:right="0"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（1）施工现场内残留的垃圾已全部清除出场；</w:t>
      </w:r>
    </w:p>
    <w:p w14:paraId="4AF7270E">
      <w:pPr>
        <w:keepNext w:val="0"/>
        <w:keepLines w:val="0"/>
        <w:pageBreakBefore w:val="0"/>
        <w:widowControl/>
        <w:suppressLineNumbers w:val="0"/>
        <w:kinsoku/>
        <w:wordWrap w:val="0"/>
        <w:overflowPunct/>
        <w:topLinePunct w:val="0"/>
        <w:bidi w:val="0"/>
        <w:snapToGrid/>
        <w:spacing w:before="0" w:beforeAutospacing="0" w:after="0" w:afterAutospacing="0" w:line="288" w:lineRule="auto"/>
        <w:ind w:left="0" w:right="0"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（2）临时工程已拆除，场地已进行清理、平整或复原；</w:t>
      </w:r>
    </w:p>
    <w:p w14:paraId="311DE896">
      <w:pPr>
        <w:keepNext w:val="0"/>
        <w:keepLines w:val="0"/>
        <w:pageBreakBefore w:val="0"/>
        <w:widowControl/>
        <w:suppressLineNumbers w:val="0"/>
        <w:kinsoku/>
        <w:wordWrap w:val="0"/>
        <w:overflowPunct/>
        <w:topLinePunct w:val="0"/>
        <w:bidi w:val="0"/>
        <w:snapToGrid/>
        <w:spacing w:before="0" w:beforeAutospacing="0" w:after="0" w:afterAutospacing="0" w:line="288" w:lineRule="auto"/>
        <w:ind w:left="0" w:right="0"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（3）按合同约定应撤离的人员、承包人施工设备和剩余的材料，包括废弃的施工设备和材料，已按计划撤离施工现场；</w:t>
      </w:r>
    </w:p>
    <w:p w14:paraId="0A4C48CD">
      <w:pPr>
        <w:keepNext w:val="0"/>
        <w:keepLines w:val="0"/>
        <w:pageBreakBefore w:val="0"/>
        <w:widowControl/>
        <w:suppressLineNumbers w:val="0"/>
        <w:kinsoku/>
        <w:wordWrap w:val="0"/>
        <w:overflowPunct/>
        <w:topLinePunct w:val="0"/>
        <w:bidi w:val="0"/>
        <w:snapToGrid/>
        <w:spacing w:before="0" w:beforeAutospacing="0" w:after="0" w:afterAutospacing="0" w:line="288" w:lineRule="auto"/>
        <w:ind w:left="0" w:right="0"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（4）施工现场周边及其附近道路、河道的施工堆积物，已全部清理；</w:t>
      </w:r>
    </w:p>
    <w:p w14:paraId="5EB85495">
      <w:pPr>
        <w:keepNext w:val="0"/>
        <w:keepLines w:val="0"/>
        <w:pageBreakBefore w:val="0"/>
        <w:widowControl/>
        <w:suppressLineNumbers w:val="0"/>
        <w:kinsoku/>
        <w:wordWrap w:val="0"/>
        <w:overflowPunct/>
        <w:topLinePunct w:val="0"/>
        <w:bidi w:val="0"/>
        <w:snapToGrid/>
        <w:spacing w:before="0" w:beforeAutospacing="0" w:after="0" w:afterAutospacing="0" w:line="288" w:lineRule="auto"/>
        <w:ind w:left="0" w:right="0"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（5）施工现场其他场地清理工作已全部完成。</w:t>
      </w:r>
    </w:p>
    <w:p w14:paraId="18E03B79">
      <w:pPr>
        <w:keepNext w:val="0"/>
        <w:keepLines w:val="0"/>
        <w:pageBreakBefore w:val="0"/>
        <w:widowControl/>
        <w:suppressLineNumbers w:val="0"/>
        <w:kinsoku/>
        <w:wordWrap w:val="0"/>
        <w:overflowPunct/>
        <w:topLinePunct w:val="0"/>
        <w:bidi w:val="0"/>
        <w:snapToGrid/>
        <w:spacing w:before="0" w:beforeAutospacing="0" w:after="0" w:afterAutospacing="0" w:line="288" w:lineRule="auto"/>
        <w:ind w:left="0" w:right="0"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施工现场的竣工退场费由承包人承担，费用在投标报价中综合考虑。承包人应在专用合同条款约定的期限内完成竣工退场，逾期未完成的，发包人有权出售或另行处理承包人遗留的物品，由此支出的费用由承包人承担，发包人出售承包人遗留物品所得款项在扣除必要费用后应返还承包人。</w:t>
      </w:r>
    </w:p>
    <w:p w14:paraId="66AF7731">
      <w:pPr>
        <w:keepNext w:val="0"/>
        <w:keepLines w:val="0"/>
        <w:pageBreakBefore w:val="0"/>
        <w:widowControl/>
        <w:suppressLineNumbers w:val="0"/>
        <w:kinsoku/>
        <w:wordWrap w:val="0"/>
        <w:overflowPunct/>
        <w:topLinePunct w:val="0"/>
        <w:bidi w:val="0"/>
        <w:snapToGrid/>
        <w:spacing w:before="0" w:beforeAutospacing="0" w:after="0" w:afterAutospacing="0" w:line="288" w:lineRule="auto"/>
        <w:ind w:left="0" w:right="0"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地表还原</w:t>
      </w:r>
    </w:p>
    <w:p w14:paraId="2964C4E7">
      <w:pPr>
        <w:keepNext w:val="0"/>
        <w:keepLines w:val="0"/>
        <w:pageBreakBefore w:val="0"/>
        <w:widowControl/>
        <w:suppressLineNumbers w:val="0"/>
        <w:kinsoku/>
        <w:wordWrap w:val="0"/>
        <w:overflowPunct/>
        <w:topLinePunct w:val="0"/>
        <w:bidi w:val="0"/>
        <w:snapToGrid/>
        <w:spacing w:before="0" w:beforeAutospacing="0" w:after="0" w:afterAutospacing="0" w:line="288" w:lineRule="auto"/>
        <w:ind w:left="0" w:right="0"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承包人应按发包人要求恢复临时占地及清理场地，承包人未按发包人的要求恢复临时占地，或者场地清理未达到合同约定要求的，发包人有权委托其他人恢复或清理，所发生的费用由承包人承担。</w:t>
      </w:r>
    </w:p>
    <w:p w14:paraId="38496EB5">
      <w:pPr>
        <w:keepNext w:val="0"/>
        <w:keepLines w:val="0"/>
        <w:pageBreakBefore w:val="0"/>
        <w:widowControl/>
        <w:suppressLineNumbers w:val="0"/>
        <w:kinsoku/>
        <w:wordWrap w:val="0"/>
        <w:overflowPunct/>
        <w:topLinePunct w:val="0"/>
        <w:bidi w:val="0"/>
        <w:snapToGrid/>
        <w:spacing w:before="0" w:beforeAutospacing="0" w:after="0" w:afterAutospacing="0" w:line="288" w:lineRule="auto"/>
        <w:ind w:left="0" w:right="0"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人员撤离</w:t>
      </w:r>
    </w:p>
    <w:p w14:paraId="50589BBE">
      <w:pPr>
        <w:keepNext w:val="0"/>
        <w:keepLines w:val="0"/>
        <w:pageBreakBefore w:val="0"/>
        <w:widowControl/>
        <w:suppressLineNumbers w:val="0"/>
        <w:kinsoku/>
        <w:wordWrap w:val="0"/>
        <w:overflowPunct/>
        <w:topLinePunct w:val="0"/>
        <w:bidi w:val="0"/>
        <w:snapToGrid/>
        <w:spacing w:before="0" w:beforeAutospacing="0" w:after="0" w:afterAutospacing="0" w:line="288" w:lineRule="auto"/>
        <w:ind w:left="0" w:right="0"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除了经工程师同意需在缺陷责任期内继续工作和使用的人员、施工设备和临时工程外，承包人应按专用合同条件约定和发包人的要求将其余的人员、施工设备和临时工程撤离施工现场或拆除。除专用合同条件另有约定外，缺陷责任期满时，承包人的人员和施工设备应全部撤离施工现场。</w:t>
      </w:r>
    </w:p>
    <w:p w14:paraId="2457D3B7">
      <w:pPr>
        <w:keepNext/>
        <w:keepLines/>
        <w:pageBreakBefore w:val="0"/>
        <w:widowControl/>
        <w:kinsoku/>
        <w:overflowPunct/>
        <w:topLinePunct w:val="0"/>
        <w:bidi w:val="0"/>
        <w:snapToGrid/>
        <w:spacing w:line="288" w:lineRule="auto"/>
        <w:jc w:val="left"/>
        <w:textAlignment w:val="auto"/>
        <w:outlineLvl w:val="1"/>
        <w:rPr>
          <w:rFonts w:hint="eastAsia" w:ascii="宋体" w:hAnsi="宋体" w:eastAsia="宋体" w:cs="宋体"/>
          <w:b/>
          <w:bCs/>
          <w:color w:val="auto"/>
          <w:kern w:val="44"/>
          <w:sz w:val="24"/>
          <w:szCs w:val="24"/>
          <w:highlight w:val="none"/>
          <w:lang w:val="en-US" w:eastAsia="zh-CN" w:bidi="ar-SA"/>
        </w:rPr>
      </w:pPr>
      <w:bookmarkStart w:id="1008" w:name="_Toc73356699"/>
      <w:bookmarkStart w:id="1009" w:name="_Toc77255628"/>
      <w:bookmarkStart w:id="1010" w:name="_Toc14598"/>
      <w:bookmarkStart w:id="1011" w:name="_Toc3947"/>
      <w:r>
        <w:rPr>
          <w:rFonts w:hint="eastAsia" w:ascii="宋体" w:hAnsi="宋体" w:eastAsia="宋体" w:cs="宋体"/>
          <w:b/>
          <w:bCs/>
          <w:color w:val="auto"/>
          <w:kern w:val="44"/>
          <w:sz w:val="24"/>
          <w:szCs w:val="24"/>
          <w:highlight w:val="none"/>
          <w:lang w:val="en-US" w:eastAsia="zh-CN" w:bidi="ar-SA"/>
        </w:rPr>
        <w:t>14. 竣工结算</w:t>
      </w:r>
      <w:bookmarkEnd w:id="821"/>
      <w:bookmarkEnd w:id="822"/>
      <w:bookmarkEnd w:id="823"/>
      <w:bookmarkEnd w:id="824"/>
      <w:bookmarkEnd w:id="1008"/>
      <w:bookmarkEnd w:id="1009"/>
      <w:bookmarkEnd w:id="1010"/>
      <w:bookmarkEnd w:id="1011"/>
    </w:p>
    <w:p w14:paraId="14C22AED">
      <w:pPr>
        <w:keepNext/>
        <w:keepLines/>
        <w:pageBreakBefore w:val="0"/>
        <w:widowControl/>
        <w:kinsoku/>
        <w:overflowPunct/>
        <w:topLinePunct w:val="0"/>
        <w:bidi w:val="0"/>
        <w:snapToGrid/>
        <w:spacing w:line="288" w:lineRule="auto"/>
        <w:jc w:val="both"/>
        <w:textAlignment w:val="auto"/>
        <w:outlineLvl w:val="2"/>
        <w:rPr>
          <w:rFonts w:hint="eastAsia" w:ascii="宋体" w:hAnsi="宋体" w:eastAsia="宋体" w:cs="宋体"/>
          <w:b/>
          <w:bCs/>
          <w:color w:val="auto"/>
          <w:kern w:val="2"/>
          <w:sz w:val="24"/>
          <w:szCs w:val="24"/>
          <w:highlight w:val="none"/>
          <w:lang w:val="en-US" w:eastAsia="zh-CN" w:bidi="ar-SA"/>
        </w:rPr>
      </w:pPr>
      <w:bookmarkStart w:id="1012" w:name="_Toc18032"/>
      <w:bookmarkStart w:id="1013" w:name="_Toc8516"/>
      <w:bookmarkStart w:id="1014" w:name="_Toc373227759"/>
      <w:bookmarkStart w:id="1015" w:name="_Toc389065324"/>
      <w:bookmarkStart w:id="1016" w:name="_Toc73356700"/>
      <w:bookmarkStart w:id="1017" w:name="_Toc77255629"/>
      <w:bookmarkStart w:id="1018" w:name="_Toc373478406"/>
      <w:r>
        <w:rPr>
          <w:rFonts w:hint="eastAsia" w:ascii="宋体" w:hAnsi="宋体" w:eastAsia="宋体" w:cs="宋体"/>
          <w:b/>
          <w:bCs/>
          <w:color w:val="auto"/>
          <w:kern w:val="2"/>
          <w:sz w:val="24"/>
          <w:szCs w:val="24"/>
          <w:highlight w:val="none"/>
          <w:lang w:val="en-US" w:eastAsia="zh-CN" w:bidi="ar-SA"/>
        </w:rPr>
        <w:t>14.1 竣工付款申请</w:t>
      </w:r>
      <w:bookmarkEnd w:id="1012"/>
      <w:bookmarkEnd w:id="1013"/>
      <w:bookmarkEnd w:id="1014"/>
      <w:bookmarkEnd w:id="1015"/>
      <w:bookmarkEnd w:id="1016"/>
      <w:bookmarkEnd w:id="1017"/>
      <w:bookmarkEnd w:id="1018"/>
    </w:p>
    <w:p w14:paraId="2EF09B28">
      <w:pPr>
        <w:keepNext w:val="0"/>
        <w:keepLines w:val="0"/>
        <w:pageBreakBefore w:val="0"/>
        <w:widowControl w:val="0"/>
        <w:suppressLineNumbers w:val="0"/>
        <w:kinsoku/>
        <w:overflowPunct/>
        <w:topLinePunct w:val="0"/>
        <w:bidi w:val="0"/>
        <w:snapToGrid/>
        <w:spacing w:before="0" w:beforeAutospacing="0" w:after="0" w:afterAutospacing="0" w:line="288" w:lineRule="auto"/>
        <w:ind w:left="0" w:right="0" w:firstLine="480" w:firstLineChars="200"/>
        <w:jc w:val="left"/>
        <w:textAlignment w:val="auto"/>
        <w:rPr>
          <w:rFonts w:hint="eastAsia" w:ascii="宋体" w:hAnsi="宋体" w:eastAsia="宋体" w:cs="宋体"/>
          <w:color w:val="auto"/>
          <w:sz w:val="24"/>
          <w:szCs w:val="24"/>
          <w:highlight w:val="none"/>
          <w:lang w:val="en-US"/>
        </w:rPr>
      </w:pPr>
      <w:bookmarkStart w:id="1019" w:name="_Toc373478407"/>
      <w:bookmarkStart w:id="1020" w:name="_Toc373227760"/>
      <w:bookmarkStart w:id="1021" w:name="_Toc389065325"/>
      <w:r>
        <w:rPr>
          <w:rFonts w:hint="eastAsia" w:ascii="宋体" w:hAnsi="宋体" w:eastAsia="宋体" w:cs="宋体"/>
          <w:color w:val="auto"/>
          <w:kern w:val="2"/>
          <w:sz w:val="24"/>
          <w:szCs w:val="24"/>
          <w:highlight w:val="none"/>
          <w:lang w:val="en-US" w:eastAsia="zh-CN" w:bidi="ar"/>
        </w:rPr>
        <w:t>承包人提交竣工付款申请单的期限：</w:t>
      </w:r>
      <w:r>
        <w:rPr>
          <w:rFonts w:hint="eastAsia" w:ascii="宋体" w:hAnsi="宋体" w:eastAsia="宋体" w:cs="宋体"/>
          <w:color w:val="auto"/>
          <w:kern w:val="2"/>
          <w:sz w:val="24"/>
          <w:szCs w:val="24"/>
          <w:highlight w:val="none"/>
          <w:u w:val="single"/>
          <w:lang w:val="en-US" w:eastAsia="zh-CN" w:bidi="ar"/>
        </w:rPr>
        <w:t>按通用合同条款14.1条执行</w:t>
      </w:r>
      <w:r>
        <w:rPr>
          <w:rFonts w:hint="eastAsia" w:ascii="宋体" w:hAnsi="宋体" w:eastAsia="宋体" w:cs="宋体"/>
          <w:color w:val="auto"/>
          <w:kern w:val="2"/>
          <w:sz w:val="24"/>
          <w:szCs w:val="24"/>
          <w:highlight w:val="none"/>
          <w:lang w:val="en-US" w:eastAsia="zh-CN" w:bidi="ar"/>
        </w:rPr>
        <w:t>。</w:t>
      </w:r>
    </w:p>
    <w:p w14:paraId="63803652">
      <w:pPr>
        <w:keepNext w:val="0"/>
        <w:keepLines w:val="0"/>
        <w:pageBreakBefore w:val="0"/>
        <w:widowControl/>
        <w:suppressLineNumbers w:val="0"/>
        <w:kinsoku/>
        <w:wordWrap w:val="0"/>
        <w:overflowPunct/>
        <w:topLinePunct w:val="0"/>
        <w:bidi w:val="0"/>
        <w:snapToGrid/>
        <w:spacing w:before="0" w:beforeAutospacing="0" w:after="0" w:afterAutospacing="0" w:line="288" w:lineRule="auto"/>
        <w:ind w:left="0" w:right="0" w:firstLine="480" w:firstLineChars="200"/>
        <w:jc w:val="left"/>
        <w:textAlignment w:val="auto"/>
        <w:rPr>
          <w:rFonts w:hint="eastAsia" w:ascii="宋体" w:hAnsi="宋体" w:eastAsia="宋体" w:cs="宋体"/>
          <w:color w:val="auto"/>
          <w:kern w:val="2"/>
          <w:sz w:val="24"/>
          <w:szCs w:val="24"/>
          <w:highlight w:val="none"/>
          <w:u w:val="single"/>
          <w:lang w:val="en-US" w:eastAsia="zh-CN" w:bidi="ar"/>
        </w:rPr>
      </w:pPr>
      <w:r>
        <w:rPr>
          <w:rFonts w:hint="eastAsia" w:ascii="宋体" w:hAnsi="宋体" w:eastAsia="宋体" w:cs="宋体"/>
          <w:color w:val="auto"/>
          <w:kern w:val="2"/>
          <w:sz w:val="24"/>
          <w:szCs w:val="24"/>
          <w:highlight w:val="none"/>
          <w:lang w:val="en-US" w:eastAsia="zh-CN" w:bidi="ar"/>
        </w:rPr>
        <w:t>竣工付款申请单应包括的内容：</w:t>
      </w:r>
      <w:r>
        <w:rPr>
          <w:rFonts w:hint="eastAsia" w:ascii="宋体" w:hAnsi="宋体" w:eastAsia="宋体" w:cs="宋体"/>
          <w:color w:val="auto"/>
          <w:kern w:val="2"/>
          <w:sz w:val="24"/>
          <w:szCs w:val="24"/>
          <w:highlight w:val="none"/>
          <w:u w:val="single"/>
          <w:lang w:val="en-US" w:eastAsia="zh-CN" w:bidi="ar"/>
        </w:rPr>
        <w:t>按通用条款14.1条执行。</w:t>
      </w:r>
    </w:p>
    <w:p w14:paraId="4964B617">
      <w:pPr>
        <w:keepNext w:val="0"/>
        <w:keepLines w:val="0"/>
        <w:pageBreakBefore w:val="0"/>
        <w:widowControl/>
        <w:suppressLineNumbers w:val="0"/>
        <w:kinsoku/>
        <w:wordWrap w:val="0"/>
        <w:overflowPunct/>
        <w:topLinePunct w:val="0"/>
        <w:bidi w:val="0"/>
        <w:snapToGrid/>
        <w:spacing w:before="0" w:beforeAutospacing="0" w:after="0" w:afterAutospacing="0" w:line="288" w:lineRule="auto"/>
        <w:ind w:left="0" w:right="0" w:firstLine="480" w:firstLineChars="200"/>
        <w:jc w:val="left"/>
        <w:textAlignment w:val="auto"/>
        <w:rPr>
          <w:rFonts w:hint="eastAsia" w:ascii="宋体" w:hAnsi="宋体" w:eastAsia="宋体" w:cs="宋体"/>
          <w:color w:val="auto"/>
          <w:kern w:val="2"/>
          <w:sz w:val="24"/>
          <w:szCs w:val="24"/>
          <w:highlight w:val="none"/>
          <w:lang w:val="en-US" w:eastAsia="zh-CN" w:bidi="ar"/>
        </w:rPr>
      </w:pPr>
      <w:bookmarkStart w:id="1022" w:name="_Toc73356701"/>
      <w:r>
        <w:rPr>
          <w:rFonts w:hint="eastAsia" w:ascii="宋体" w:hAnsi="宋体" w:eastAsia="宋体" w:cs="宋体"/>
          <w:color w:val="auto"/>
          <w:kern w:val="2"/>
          <w:sz w:val="24"/>
          <w:szCs w:val="24"/>
          <w:highlight w:val="none"/>
          <w:lang w:val="en-US" w:eastAsia="zh-CN" w:bidi="ar"/>
        </w:rPr>
        <w:t>检验试验费：送检应由发包人签字认可，检验试验费由发包人支付。如送检的检验试验项目，未经发包人签字认可的，由此产生的检验试验费由承包人支付。</w:t>
      </w:r>
      <w:bookmarkEnd w:id="1022"/>
    </w:p>
    <w:p w14:paraId="701BF736">
      <w:pPr>
        <w:pageBreakBefore w:val="0"/>
        <w:kinsoku/>
        <w:overflowPunct/>
        <w:topLinePunct w:val="0"/>
        <w:bidi w:val="0"/>
        <w:snapToGrid/>
        <w:spacing w:line="288" w:lineRule="auto"/>
        <w:textAlignment w:val="auto"/>
        <w:rPr>
          <w:rFonts w:hint="eastAsia" w:ascii="宋体" w:hAnsi="宋体" w:eastAsia="宋体" w:cs="宋体"/>
          <w:color w:val="auto"/>
          <w:sz w:val="24"/>
          <w:szCs w:val="24"/>
          <w:highlight w:val="none"/>
          <w:lang w:eastAsia="zh-CN"/>
        </w:rPr>
      </w:pPr>
      <w:bookmarkStart w:id="1023" w:name="_Toc77255630"/>
      <w:bookmarkStart w:id="1024" w:name="_Toc24317"/>
      <w:bookmarkStart w:id="1025" w:name="_Toc73356702"/>
      <w:r>
        <w:rPr>
          <w:rFonts w:hint="eastAsia" w:ascii="宋体" w:hAnsi="宋体" w:eastAsia="宋体" w:cs="宋体"/>
          <w:color w:val="auto"/>
          <w:sz w:val="24"/>
          <w:szCs w:val="24"/>
          <w:highlight w:val="none"/>
          <w:lang w:eastAsia="zh-CN"/>
        </w:rPr>
        <w:t>14.2 竣工结算审核</w:t>
      </w:r>
      <w:bookmarkEnd w:id="1019"/>
      <w:bookmarkEnd w:id="1020"/>
      <w:bookmarkEnd w:id="1021"/>
      <w:bookmarkEnd w:id="1023"/>
      <w:bookmarkEnd w:id="1024"/>
      <w:bookmarkEnd w:id="1025"/>
    </w:p>
    <w:p w14:paraId="7C8FD9A1">
      <w:pPr>
        <w:keepNext w:val="0"/>
        <w:keepLines w:val="0"/>
        <w:pageBreakBefore w:val="0"/>
        <w:widowControl w:val="0"/>
        <w:suppressLineNumbers w:val="0"/>
        <w:kinsoku/>
        <w:overflowPunct/>
        <w:topLinePunct w:val="0"/>
        <w:bidi w:val="0"/>
        <w:snapToGrid/>
        <w:spacing w:before="0" w:beforeAutospacing="0" w:after="0" w:afterAutospacing="0" w:line="288" w:lineRule="auto"/>
        <w:ind w:left="0" w:right="0" w:firstLine="480" w:firstLineChars="200"/>
        <w:jc w:val="left"/>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bidi="ar"/>
        </w:rPr>
        <w:t>发包人审批竣工付款申请单的期限：</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3081"/>
        <w:gridCol w:w="5352"/>
      </w:tblGrid>
      <w:tr w14:paraId="1B67F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tcBorders>
              <w:top w:val="single" w:color="auto" w:sz="4" w:space="0"/>
              <w:left w:val="single" w:color="auto" w:sz="4" w:space="0"/>
              <w:bottom w:val="single" w:color="auto" w:sz="4" w:space="0"/>
              <w:right w:val="single" w:color="auto" w:sz="4" w:space="0"/>
            </w:tcBorders>
            <w:noWrap w:val="0"/>
            <w:vAlign w:val="center"/>
          </w:tcPr>
          <w:p w14:paraId="61C35232">
            <w:pPr>
              <w:keepNext w:val="0"/>
              <w:keepLines w:val="0"/>
              <w:pageBreakBefore w:val="0"/>
              <w:widowControl w:val="0"/>
              <w:suppressLineNumbers w:val="0"/>
              <w:kinsoku/>
              <w:overflowPunct/>
              <w:topLinePunct w:val="0"/>
              <w:bidi w:val="0"/>
              <w:snapToGrid/>
              <w:spacing w:before="0" w:beforeAutospacing="0" w:after="0" w:afterAutospacing="0" w:line="288" w:lineRule="auto"/>
              <w:ind w:left="0" w:right="0"/>
              <w:jc w:val="both"/>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序号</w:t>
            </w:r>
          </w:p>
        </w:tc>
        <w:tc>
          <w:tcPr>
            <w:tcW w:w="3081" w:type="dxa"/>
            <w:tcBorders>
              <w:top w:val="single" w:color="auto" w:sz="4" w:space="0"/>
              <w:left w:val="single" w:color="auto" w:sz="4" w:space="0"/>
              <w:bottom w:val="single" w:color="auto" w:sz="4" w:space="0"/>
              <w:right w:val="single" w:color="auto" w:sz="4" w:space="0"/>
            </w:tcBorders>
            <w:noWrap w:val="0"/>
            <w:vAlign w:val="center"/>
          </w:tcPr>
          <w:p w14:paraId="41914DFC">
            <w:pPr>
              <w:keepNext w:val="0"/>
              <w:keepLines w:val="0"/>
              <w:pageBreakBefore w:val="0"/>
              <w:widowControl w:val="0"/>
              <w:suppressLineNumbers w:val="0"/>
              <w:kinsoku/>
              <w:overflowPunct/>
              <w:topLinePunct w:val="0"/>
              <w:bidi w:val="0"/>
              <w:snapToGrid/>
              <w:spacing w:before="0" w:beforeAutospacing="0" w:after="0" w:afterAutospacing="0" w:line="288" w:lineRule="auto"/>
              <w:ind w:left="0" w:right="0" w:firstLine="31" w:firstLineChars="13"/>
              <w:jc w:val="center"/>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工程竣工结算报告金额</w:t>
            </w:r>
          </w:p>
        </w:tc>
        <w:tc>
          <w:tcPr>
            <w:tcW w:w="5352" w:type="dxa"/>
            <w:tcBorders>
              <w:top w:val="single" w:color="auto" w:sz="4" w:space="0"/>
              <w:left w:val="single" w:color="auto" w:sz="4" w:space="0"/>
              <w:bottom w:val="single" w:color="auto" w:sz="4" w:space="0"/>
              <w:right w:val="single" w:color="auto" w:sz="4" w:space="0"/>
            </w:tcBorders>
            <w:noWrap w:val="0"/>
            <w:vAlign w:val="center"/>
          </w:tcPr>
          <w:p w14:paraId="348A2540">
            <w:pPr>
              <w:keepNext w:val="0"/>
              <w:keepLines w:val="0"/>
              <w:pageBreakBefore w:val="0"/>
              <w:widowControl w:val="0"/>
              <w:suppressLineNumbers w:val="0"/>
              <w:kinsoku/>
              <w:overflowPunct/>
              <w:topLinePunct w:val="0"/>
              <w:bidi w:val="0"/>
              <w:snapToGrid/>
              <w:spacing w:before="0" w:beforeAutospacing="0" w:after="0" w:afterAutospacing="0" w:line="288" w:lineRule="auto"/>
              <w:ind w:left="0" w:right="0" w:firstLine="504" w:firstLineChars="210"/>
              <w:jc w:val="center"/>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发包人审查时间</w:t>
            </w:r>
          </w:p>
        </w:tc>
      </w:tr>
      <w:tr w14:paraId="45085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tcBorders>
              <w:top w:val="single" w:color="auto" w:sz="4" w:space="0"/>
              <w:left w:val="single" w:color="auto" w:sz="4" w:space="0"/>
              <w:bottom w:val="single" w:color="auto" w:sz="4" w:space="0"/>
              <w:right w:val="single" w:color="auto" w:sz="4" w:space="0"/>
            </w:tcBorders>
            <w:noWrap w:val="0"/>
            <w:vAlign w:val="center"/>
          </w:tcPr>
          <w:p w14:paraId="4D99EA05">
            <w:pPr>
              <w:keepNext w:val="0"/>
              <w:keepLines w:val="0"/>
              <w:pageBreakBefore w:val="0"/>
              <w:widowControl w:val="0"/>
              <w:suppressLineNumbers w:val="0"/>
              <w:kinsoku/>
              <w:overflowPunct/>
              <w:topLinePunct w:val="0"/>
              <w:bidi w:val="0"/>
              <w:snapToGrid/>
              <w:spacing w:before="0" w:beforeAutospacing="0" w:after="0" w:afterAutospacing="0" w:line="288" w:lineRule="auto"/>
              <w:ind w:left="0" w:right="0"/>
              <w:jc w:val="center"/>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1</w:t>
            </w:r>
          </w:p>
        </w:tc>
        <w:tc>
          <w:tcPr>
            <w:tcW w:w="3081" w:type="dxa"/>
            <w:tcBorders>
              <w:top w:val="single" w:color="auto" w:sz="4" w:space="0"/>
              <w:left w:val="single" w:color="auto" w:sz="4" w:space="0"/>
              <w:bottom w:val="single" w:color="auto" w:sz="4" w:space="0"/>
              <w:right w:val="single" w:color="auto" w:sz="4" w:space="0"/>
            </w:tcBorders>
            <w:noWrap w:val="0"/>
            <w:vAlign w:val="center"/>
          </w:tcPr>
          <w:p w14:paraId="6E350330">
            <w:pPr>
              <w:keepNext w:val="0"/>
              <w:keepLines w:val="0"/>
              <w:pageBreakBefore w:val="0"/>
              <w:widowControl w:val="0"/>
              <w:suppressLineNumbers w:val="0"/>
              <w:kinsoku/>
              <w:overflowPunct/>
              <w:topLinePunct w:val="0"/>
              <w:bidi w:val="0"/>
              <w:snapToGrid/>
              <w:spacing w:before="0" w:beforeAutospacing="0" w:after="0" w:afterAutospacing="0" w:line="288" w:lineRule="auto"/>
              <w:ind w:left="0" w:right="0" w:firstLine="31" w:firstLineChars="13"/>
              <w:jc w:val="center"/>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500</w:t>
            </w:r>
            <w:r>
              <w:rPr>
                <w:rFonts w:hint="eastAsia" w:ascii="宋体" w:hAnsi="宋体" w:eastAsia="宋体" w:cs="宋体"/>
                <w:color w:val="auto"/>
                <w:sz w:val="24"/>
                <w:szCs w:val="24"/>
                <w:highlight w:val="none"/>
              </w:rPr>
              <w:t>万元以下</w:t>
            </w:r>
          </w:p>
        </w:tc>
        <w:tc>
          <w:tcPr>
            <w:tcW w:w="5352" w:type="dxa"/>
            <w:tcBorders>
              <w:top w:val="single" w:color="auto" w:sz="4" w:space="0"/>
              <w:left w:val="single" w:color="auto" w:sz="4" w:space="0"/>
              <w:bottom w:val="single" w:color="auto" w:sz="4" w:space="0"/>
              <w:right w:val="single" w:color="auto" w:sz="4" w:space="0"/>
            </w:tcBorders>
            <w:noWrap w:val="0"/>
            <w:vAlign w:val="center"/>
          </w:tcPr>
          <w:p w14:paraId="33BA774A">
            <w:pPr>
              <w:keepNext w:val="0"/>
              <w:keepLines w:val="0"/>
              <w:pageBreakBefore w:val="0"/>
              <w:widowControl w:val="0"/>
              <w:suppressLineNumbers w:val="0"/>
              <w:kinsoku/>
              <w:overflowPunct/>
              <w:topLinePunct w:val="0"/>
              <w:bidi w:val="0"/>
              <w:snapToGrid/>
              <w:spacing w:before="0" w:beforeAutospacing="0" w:after="0" w:afterAutospacing="0" w:line="288" w:lineRule="auto"/>
              <w:ind w:left="0" w:right="0"/>
              <w:jc w:val="both"/>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从接到竣工结算报告和完整的竣工结算资料之日起</w:t>
            </w:r>
            <w:r>
              <w:rPr>
                <w:rFonts w:hint="eastAsia" w:ascii="宋体" w:hAnsi="宋体" w:eastAsia="宋体" w:cs="宋体"/>
                <w:color w:val="auto"/>
                <w:sz w:val="24"/>
                <w:szCs w:val="24"/>
                <w:highlight w:val="none"/>
                <w:lang w:val="en-US"/>
              </w:rPr>
              <w:t>20</w:t>
            </w:r>
            <w:r>
              <w:rPr>
                <w:rFonts w:hint="eastAsia" w:ascii="宋体" w:hAnsi="宋体" w:eastAsia="宋体" w:cs="宋体"/>
                <w:color w:val="auto"/>
                <w:sz w:val="24"/>
                <w:szCs w:val="24"/>
                <w:highlight w:val="none"/>
              </w:rPr>
              <w:t>天</w:t>
            </w:r>
          </w:p>
        </w:tc>
      </w:tr>
      <w:tr w14:paraId="64551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tcBorders>
              <w:top w:val="single" w:color="auto" w:sz="4" w:space="0"/>
              <w:left w:val="single" w:color="auto" w:sz="4" w:space="0"/>
              <w:bottom w:val="single" w:color="auto" w:sz="4" w:space="0"/>
              <w:right w:val="single" w:color="auto" w:sz="4" w:space="0"/>
            </w:tcBorders>
            <w:noWrap w:val="0"/>
            <w:vAlign w:val="center"/>
          </w:tcPr>
          <w:p w14:paraId="06ACA413">
            <w:pPr>
              <w:keepNext w:val="0"/>
              <w:keepLines w:val="0"/>
              <w:pageBreakBefore w:val="0"/>
              <w:widowControl w:val="0"/>
              <w:suppressLineNumbers w:val="0"/>
              <w:kinsoku/>
              <w:overflowPunct/>
              <w:topLinePunct w:val="0"/>
              <w:bidi w:val="0"/>
              <w:snapToGrid/>
              <w:spacing w:before="0" w:beforeAutospacing="0" w:after="0" w:afterAutospacing="0" w:line="288" w:lineRule="auto"/>
              <w:ind w:left="0" w:right="0"/>
              <w:jc w:val="center"/>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2</w:t>
            </w:r>
          </w:p>
        </w:tc>
        <w:tc>
          <w:tcPr>
            <w:tcW w:w="3081" w:type="dxa"/>
            <w:tcBorders>
              <w:top w:val="single" w:color="auto" w:sz="4" w:space="0"/>
              <w:left w:val="single" w:color="auto" w:sz="4" w:space="0"/>
              <w:bottom w:val="single" w:color="auto" w:sz="4" w:space="0"/>
              <w:right w:val="single" w:color="auto" w:sz="4" w:space="0"/>
            </w:tcBorders>
            <w:noWrap w:val="0"/>
            <w:vAlign w:val="center"/>
          </w:tcPr>
          <w:p w14:paraId="19B8E657">
            <w:pPr>
              <w:keepNext w:val="0"/>
              <w:keepLines w:val="0"/>
              <w:pageBreakBefore w:val="0"/>
              <w:widowControl w:val="0"/>
              <w:suppressLineNumbers w:val="0"/>
              <w:kinsoku/>
              <w:overflowPunct/>
              <w:topLinePunct w:val="0"/>
              <w:bidi w:val="0"/>
              <w:snapToGrid/>
              <w:spacing w:before="0" w:beforeAutospacing="0" w:after="0" w:afterAutospacing="0" w:line="288" w:lineRule="auto"/>
              <w:ind w:left="0" w:right="0" w:firstLine="31" w:firstLineChars="13"/>
              <w:jc w:val="center"/>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500</w:t>
            </w:r>
            <w:r>
              <w:rPr>
                <w:rFonts w:hint="eastAsia" w:ascii="宋体" w:hAnsi="宋体" w:eastAsia="宋体" w:cs="宋体"/>
                <w:color w:val="auto"/>
                <w:sz w:val="24"/>
                <w:szCs w:val="24"/>
                <w:highlight w:val="none"/>
              </w:rPr>
              <w:t>万元</w:t>
            </w:r>
            <w:r>
              <w:rPr>
                <w:rFonts w:hint="eastAsia" w:ascii="宋体" w:hAnsi="宋体" w:eastAsia="宋体" w:cs="宋体"/>
                <w:color w:val="auto"/>
                <w:sz w:val="24"/>
                <w:szCs w:val="24"/>
                <w:highlight w:val="none"/>
                <w:lang w:val="en-US"/>
              </w:rPr>
              <w:t>-2000</w:t>
            </w:r>
            <w:r>
              <w:rPr>
                <w:rFonts w:hint="eastAsia" w:ascii="宋体" w:hAnsi="宋体" w:eastAsia="宋体" w:cs="宋体"/>
                <w:color w:val="auto"/>
                <w:sz w:val="24"/>
                <w:szCs w:val="24"/>
                <w:highlight w:val="none"/>
              </w:rPr>
              <w:t>万元</w:t>
            </w:r>
          </w:p>
        </w:tc>
        <w:tc>
          <w:tcPr>
            <w:tcW w:w="5352" w:type="dxa"/>
            <w:tcBorders>
              <w:top w:val="single" w:color="auto" w:sz="4" w:space="0"/>
              <w:left w:val="single" w:color="auto" w:sz="4" w:space="0"/>
              <w:bottom w:val="single" w:color="auto" w:sz="4" w:space="0"/>
              <w:right w:val="single" w:color="auto" w:sz="4" w:space="0"/>
            </w:tcBorders>
            <w:noWrap w:val="0"/>
            <w:vAlign w:val="center"/>
          </w:tcPr>
          <w:p w14:paraId="611C9976">
            <w:pPr>
              <w:keepNext w:val="0"/>
              <w:keepLines w:val="0"/>
              <w:pageBreakBefore w:val="0"/>
              <w:widowControl w:val="0"/>
              <w:suppressLineNumbers w:val="0"/>
              <w:kinsoku/>
              <w:overflowPunct/>
              <w:topLinePunct w:val="0"/>
              <w:bidi w:val="0"/>
              <w:snapToGrid/>
              <w:spacing w:before="0" w:beforeAutospacing="0" w:after="0" w:afterAutospacing="0" w:line="288" w:lineRule="auto"/>
              <w:ind w:left="0" w:right="0"/>
              <w:jc w:val="both"/>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从接到竣工结算报告和完整的竣工结算资料之日起</w:t>
            </w:r>
            <w:r>
              <w:rPr>
                <w:rFonts w:hint="eastAsia" w:ascii="宋体" w:hAnsi="宋体" w:eastAsia="宋体" w:cs="宋体"/>
                <w:color w:val="auto"/>
                <w:sz w:val="24"/>
                <w:szCs w:val="24"/>
                <w:highlight w:val="none"/>
                <w:lang w:val="en-US"/>
              </w:rPr>
              <w:t>30</w:t>
            </w:r>
            <w:r>
              <w:rPr>
                <w:rFonts w:hint="eastAsia" w:ascii="宋体" w:hAnsi="宋体" w:eastAsia="宋体" w:cs="宋体"/>
                <w:color w:val="auto"/>
                <w:sz w:val="24"/>
                <w:szCs w:val="24"/>
                <w:highlight w:val="none"/>
              </w:rPr>
              <w:t>天</w:t>
            </w:r>
          </w:p>
        </w:tc>
      </w:tr>
      <w:tr w14:paraId="20635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tcBorders>
              <w:top w:val="single" w:color="auto" w:sz="4" w:space="0"/>
              <w:left w:val="single" w:color="auto" w:sz="4" w:space="0"/>
              <w:bottom w:val="single" w:color="auto" w:sz="4" w:space="0"/>
              <w:right w:val="single" w:color="auto" w:sz="4" w:space="0"/>
            </w:tcBorders>
            <w:noWrap w:val="0"/>
            <w:vAlign w:val="center"/>
          </w:tcPr>
          <w:p w14:paraId="55F35C7D">
            <w:pPr>
              <w:keepNext w:val="0"/>
              <w:keepLines w:val="0"/>
              <w:pageBreakBefore w:val="0"/>
              <w:widowControl w:val="0"/>
              <w:suppressLineNumbers w:val="0"/>
              <w:kinsoku/>
              <w:overflowPunct/>
              <w:topLinePunct w:val="0"/>
              <w:bidi w:val="0"/>
              <w:snapToGrid/>
              <w:spacing w:before="0" w:beforeAutospacing="0" w:after="0" w:afterAutospacing="0" w:line="288" w:lineRule="auto"/>
              <w:ind w:left="0" w:right="0"/>
              <w:jc w:val="center"/>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3</w:t>
            </w:r>
          </w:p>
        </w:tc>
        <w:tc>
          <w:tcPr>
            <w:tcW w:w="3081" w:type="dxa"/>
            <w:tcBorders>
              <w:top w:val="single" w:color="auto" w:sz="4" w:space="0"/>
              <w:left w:val="single" w:color="auto" w:sz="4" w:space="0"/>
              <w:bottom w:val="single" w:color="auto" w:sz="4" w:space="0"/>
              <w:right w:val="single" w:color="auto" w:sz="4" w:space="0"/>
            </w:tcBorders>
            <w:noWrap w:val="0"/>
            <w:vAlign w:val="center"/>
          </w:tcPr>
          <w:p w14:paraId="7E5D2FD3">
            <w:pPr>
              <w:keepNext w:val="0"/>
              <w:keepLines w:val="0"/>
              <w:pageBreakBefore w:val="0"/>
              <w:widowControl w:val="0"/>
              <w:suppressLineNumbers w:val="0"/>
              <w:kinsoku/>
              <w:overflowPunct/>
              <w:topLinePunct w:val="0"/>
              <w:bidi w:val="0"/>
              <w:snapToGrid/>
              <w:spacing w:before="0" w:beforeAutospacing="0" w:after="0" w:afterAutospacing="0" w:line="288" w:lineRule="auto"/>
              <w:ind w:left="0" w:right="0" w:firstLine="31" w:firstLineChars="13"/>
              <w:jc w:val="center"/>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2000</w:t>
            </w:r>
            <w:r>
              <w:rPr>
                <w:rFonts w:hint="eastAsia" w:ascii="宋体" w:hAnsi="宋体" w:eastAsia="宋体" w:cs="宋体"/>
                <w:color w:val="auto"/>
                <w:sz w:val="24"/>
                <w:szCs w:val="24"/>
                <w:highlight w:val="none"/>
              </w:rPr>
              <w:t>万元</w:t>
            </w:r>
            <w:r>
              <w:rPr>
                <w:rFonts w:hint="eastAsia" w:ascii="宋体" w:hAnsi="宋体" w:eastAsia="宋体" w:cs="宋体"/>
                <w:color w:val="auto"/>
                <w:sz w:val="24"/>
                <w:szCs w:val="24"/>
                <w:highlight w:val="none"/>
                <w:lang w:val="en-US"/>
              </w:rPr>
              <w:t>-5000</w:t>
            </w:r>
            <w:r>
              <w:rPr>
                <w:rFonts w:hint="eastAsia" w:ascii="宋体" w:hAnsi="宋体" w:eastAsia="宋体" w:cs="宋体"/>
                <w:color w:val="auto"/>
                <w:sz w:val="24"/>
                <w:szCs w:val="24"/>
                <w:highlight w:val="none"/>
              </w:rPr>
              <w:t>万元</w:t>
            </w:r>
          </w:p>
        </w:tc>
        <w:tc>
          <w:tcPr>
            <w:tcW w:w="5352" w:type="dxa"/>
            <w:tcBorders>
              <w:top w:val="single" w:color="auto" w:sz="4" w:space="0"/>
              <w:left w:val="single" w:color="auto" w:sz="4" w:space="0"/>
              <w:bottom w:val="single" w:color="auto" w:sz="4" w:space="0"/>
              <w:right w:val="single" w:color="auto" w:sz="4" w:space="0"/>
            </w:tcBorders>
            <w:noWrap w:val="0"/>
            <w:vAlign w:val="center"/>
          </w:tcPr>
          <w:p w14:paraId="2CBEC73E">
            <w:pPr>
              <w:keepNext w:val="0"/>
              <w:keepLines w:val="0"/>
              <w:pageBreakBefore w:val="0"/>
              <w:widowControl w:val="0"/>
              <w:suppressLineNumbers w:val="0"/>
              <w:kinsoku/>
              <w:overflowPunct/>
              <w:topLinePunct w:val="0"/>
              <w:bidi w:val="0"/>
              <w:snapToGrid/>
              <w:spacing w:before="0" w:beforeAutospacing="0" w:after="0" w:afterAutospacing="0" w:line="288" w:lineRule="auto"/>
              <w:ind w:left="0" w:right="0"/>
              <w:jc w:val="both"/>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从接到竣工结算报告和完整的竣工结算资料之日起</w:t>
            </w:r>
            <w:r>
              <w:rPr>
                <w:rFonts w:hint="eastAsia" w:ascii="宋体" w:hAnsi="宋体" w:eastAsia="宋体" w:cs="宋体"/>
                <w:color w:val="auto"/>
                <w:sz w:val="24"/>
                <w:szCs w:val="24"/>
                <w:highlight w:val="none"/>
                <w:lang w:val="en-US"/>
              </w:rPr>
              <w:t>45</w:t>
            </w:r>
            <w:r>
              <w:rPr>
                <w:rFonts w:hint="eastAsia" w:ascii="宋体" w:hAnsi="宋体" w:eastAsia="宋体" w:cs="宋体"/>
                <w:color w:val="auto"/>
                <w:sz w:val="24"/>
                <w:szCs w:val="24"/>
                <w:highlight w:val="none"/>
              </w:rPr>
              <w:t>天</w:t>
            </w:r>
          </w:p>
        </w:tc>
      </w:tr>
      <w:tr w14:paraId="2A270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tcBorders>
              <w:top w:val="single" w:color="auto" w:sz="4" w:space="0"/>
              <w:left w:val="single" w:color="auto" w:sz="4" w:space="0"/>
              <w:bottom w:val="single" w:color="auto" w:sz="4" w:space="0"/>
              <w:right w:val="single" w:color="auto" w:sz="4" w:space="0"/>
            </w:tcBorders>
            <w:noWrap w:val="0"/>
            <w:vAlign w:val="center"/>
          </w:tcPr>
          <w:p w14:paraId="75D97C60">
            <w:pPr>
              <w:keepNext w:val="0"/>
              <w:keepLines w:val="0"/>
              <w:pageBreakBefore w:val="0"/>
              <w:widowControl w:val="0"/>
              <w:suppressLineNumbers w:val="0"/>
              <w:kinsoku/>
              <w:overflowPunct/>
              <w:topLinePunct w:val="0"/>
              <w:bidi w:val="0"/>
              <w:snapToGrid/>
              <w:spacing w:before="0" w:beforeAutospacing="0" w:after="0" w:afterAutospacing="0" w:line="288" w:lineRule="auto"/>
              <w:ind w:left="0" w:right="0"/>
              <w:jc w:val="center"/>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4</w:t>
            </w:r>
          </w:p>
        </w:tc>
        <w:tc>
          <w:tcPr>
            <w:tcW w:w="3081" w:type="dxa"/>
            <w:tcBorders>
              <w:top w:val="single" w:color="auto" w:sz="4" w:space="0"/>
              <w:left w:val="single" w:color="auto" w:sz="4" w:space="0"/>
              <w:bottom w:val="single" w:color="auto" w:sz="4" w:space="0"/>
              <w:right w:val="single" w:color="auto" w:sz="4" w:space="0"/>
            </w:tcBorders>
            <w:noWrap w:val="0"/>
            <w:vAlign w:val="center"/>
          </w:tcPr>
          <w:p w14:paraId="39A94B82">
            <w:pPr>
              <w:keepNext w:val="0"/>
              <w:keepLines w:val="0"/>
              <w:pageBreakBefore w:val="0"/>
              <w:widowControl w:val="0"/>
              <w:suppressLineNumbers w:val="0"/>
              <w:kinsoku/>
              <w:overflowPunct/>
              <w:topLinePunct w:val="0"/>
              <w:bidi w:val="0"/>
              <w:snapToGrid/>
              <w:spacing w:before="0" w:beforeAutospacing="0" w:after="0" w:afterAutospacing="0" w:line="288" w:lineRule="auto"/>
              <w:ind w:left="0" w:right="0" w:firstLine="31" w:firstLineChars="13"/>
              <w:jc w:val="center"/>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5000</w:t>
            </w:r>
            <w:r>
              <w:rPr>
                <w:rFonts w:hint="eastAsia" w:ascii="宋体" w:hAnsi="宋体" w:eastAsia="宋体" w:cs="宋体"/>
                <w:color w:val="auto"/>
                <w:sz w:val="24"/>
                <w:szCs w:val="24"/>
                <w:highlight w:val="none"/>
              </w:rPr>
              <w:t>万元以上</w:t>
            </w:r>
          </w:p>
        </w:tc>
        <w:tc>
          <w:tcPr>
            <w:tcW w:w="5352" w:type="dxa"/>
            <w:tcBorders>
              <w:top w:val="single" w:color="auto" w:sz="4" w:space="0"/>
              <w:left w:val="single" w:color="auto" w:sz="4" w:space="0"/>
              <w:bottom w:val="single" w:color="auto" w:sz="4" w:space="0"/>
              <w:right w:val="single" w:color="auto" w:sz="4" w:space="0"/>
            </w:tcBorders>
            <w:noWrap w:val="0"/>
            <w:vAlign w:val="center"/>
          </w:tcPr>
          <w:p w14:paraId="301065D8">
            <w:pPr>
              <w:keepNext w:val="0"/>
              <w:keepLines w:val="0"/>
              <w:pageBreakBefore w:val="0"/>
              <w:widowControl w:val="0"/>
              <w:suppressLineNumbers w:val="0"/>
              <w:kinsoku/>
              <w:overflowPunct/>
              <w:topLinePunct w:val="0"/>
              <w:bidi w:val="0"/>
              <w:snapToGrid/>
              <w:spacing w:before="0" w:beforeAutospacing="0" w:after="0" w:afterAutospacing="0" w:line="288" w:lineRule="auto"/>
              <w:ind w:left="0" w:right="0"/>
              <w:jc w:val="both"/>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从接到竣工结算报告和完整的竣工结算资料之日起</w:t>
            </w:r>
            <w:r>
              <w:rPr>
                <w:rFonts w:hint="eastAsia" w:ascii="宋体" w:hAnsi="宋体" w:eastAsia="宋体" w:cs="宋体"/>
                <w:color w:val="auto"/>
                <w:sz w:val="24"/>
                <w:szCs w:val="24"/>
                <w:highlight w:val="none"/>
                <w:lang w:val="en-US"/>
              </w:rPr>
              <w:t>60</w:t>
            </w:r>
            <w:r>
              <w:rPr>
                <w:rFonts w:hint="eastAsia" w:ascii="宋体" w:hAnsi="宋体" w:eastAsia="宋体" w:cs="宋体"/>
                <w:color w:val="auto"/>
                <w:sz w:val="24"/>
                <w:szCs w:val="24"/>
                <w:highlight w:val="none"/>
              </w:rPr>
              <w:t>天</w:t>
            </w:r>
          </w:p>
        </w:tc>
      </w:tr>
      <w:tr w14:paraId="1C52E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tcBorders>
              <w:top w:val="single" w:color="auto" w:sz="4" w:space="0"/>
              <w:left w:val="single" w:color="auto" w:sz="4" w:space="0"/>
              <w:bottom w:val="single" w:color="auto" w:sz="4" w:space="0"/>
              <w:right w:val="single" w:color="auto" w:sz="4" w:space="0"/>
            </w:tcBorders>
            <w:noWrap w:val="0"/>
            <w:vAlign w:val="center"/>
          </w:tcPr>
          <w:p w14:paraId="544DD334">
            <w:pPr>
              <w:keepNext w:val="0"/>
              <w:keepLines w:val="0"/>
              <w:pageBreakBefore w:val="0"/>
              <w:widowControl w:val="0"/>
              <w:suppressLineNumbers w:val="0"/>
              <w:kinsoku/>
              <w:overflowPunct/>
              <w:topLinePunct w:val="0"/>
              <w:bidi w:val="0"/>
              <w:snapToGrid/>
              <w:spacing w:before="0" w:beforeAutospacing="0" w:after="0" w:afterAutospacing="0" w:line="288" w:lineRule="auto"/>
              <w:ind w:left="0" w:right="0"/>
              <w:jc w:val="center"/>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5</w:t>
            </w:r>
          </w:p>
        </w:tc>
        <w:tc>
          <w:tcPr>
            <w:tcW w:w="3081" w:type="dxa"/>
            <w:tcBorders>
              <w:top w:val="single" w:color="auto" w:sz="4" w:space="0"/>
              <w:left w:val="single" w:color="auto" w:sz="4" w:space="0"/>
              <w:bottom w:val="single" w:color="auto" w:sz="4" w:space="0"/>
              <w:right w:val="single" w:color="auto" w:sz="4" w:space="0"/>
            </w:tcBorders>
            <w:noWrap w:val="0"/>
            <w:vAlign w:val="center"/>
          </w:tcPr>
          <w:p w14:paraId="20E3F496">
            <w:pPr>
              <w:keepNext w:val="0"/>
              <w:keepLines w:val="0"/>
              <w:pageBreakBefore w:val="0"/>
              <w:widowControl w:val="0"/>
              <w:suppressLineNumbers w:val="0"/>
              <w:kinsoku/>
              <w:overflowPunct/>
              <w:topLinePunct w:val="0"/>
              <w:bidi w:val="0"/>
              <w:snapToGrid/>
              <w:spacing w:before="0" w:beforeAutospacing="0" w:after="0" w:afterAutospacing="0" w:line="288" w:lineRule="auto"/>
              <w:ind w:left="0" w:right="0" w:firstLine="31" w:firstLineChars="13"/>
              <w:jc w:val="center"/>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5000</w:t>
            </w:r>
            <w:r>
              <w:rPr>
                <w:rFonts w:hint="eastAsia" w:ascii="宋体" w:hAnsi="宋体" w:eastAsia="宋体" w:cs="宋体"/>
                <w:color w:val="auto"/>
                <w:sz w:val="24"/>
                <w:szCs w:val="24"/>
                <w:highlight w:val="none"/>
              </w:rPr>
              <w:t>万以上每增加</w:t>
            </w:r>
            <w:r>
              <w:rPr>
                <w:rFonts w:hint="eastAsia" w:ascii="宋体" w:hAnsi="宋体" w:eastAsia="宋体" w:cs="宋体"/>
                <w:color w:val="auto"/>
                <w:sz w:val="24"/>
                <w:szCs w:val="24"/>
                <w:highlight w:val="none"/>
                <w:lang w:val="en-US"/>
              </w:rPr>
              <w:t>0.5</w:t>
            </w:r>
            <w:r>
              <w:rPr>
                <w:rFonts w:hint="eastAsia" w:ascii="宋体" w:hAnsi="宋体" w:eastAsia="宋体" w:cs="宋体"/>
                <w:color w:val="auto"/>
                <w:sz w:val="24"/>
                <w:szCs w:val="24"/>
                <w:highlight w:val="none"/>
              </w:rPr>
              <w:t>亿</w:t>
            </w:r>
            <w:r>
              <w:rPr>
                <w:rFonts w:hint="eastAsia" w:ascii="宋体" w:hAnsi="宋体" w:eastAsia="宋体" w:cs="宋体"/>
                <w:color w:val="auto"/>
                <w:sz w:val="24"/>
                <w:szCs w:val="24"/>
                <w:highlight w:val="none"/>
                <w:lang w:val="en-US"/>
              </w:rPr>
              <w:t>(</w:t>
            </w:r>
            <w:r>
              <w:rPr>
                <w:rFonts w:hint="eastAsia" w:ascii="宋体" w:hAnsi="宋体" w:eastAsia="宋体" w:cs="宋体"/>
                <w:color w:val="auto"/>
                <w:sz w:val="24"/>
                <w:szCs w:val="24"/>
                <w:highlight w:val="none"/>
              </w:rPr>
              <w:t>不足</w:t>
            </w:r>
            <w:r>
              <w:rPr>
                <w:rFonts w:hint="eastAsia" w:ascii="宋体" w:hAnsi="宋体" w:eastAsia="宋体" w:cs="宋体"/>
                <w:color w:val="auto"/>
                <w:sz w:val="24"/>
                <w:szCs w:val="24"/>
                <w:highlight w:val="none"/>
                <w:lang w:val="en-US"/>
              </w:rPr>
              <w:t>0.5</w:t>
            </w:r>
            <w:r>
              <w:rPr>
                <w:rFonts w:hint="eastAsia" w:ascii="宋体" w:hAnsi="宋体" w:eastAsia="宋体" w:cs="宋体"/>
                <w:color w:val="auto"/>
                <w:sz w:val="24"/>
                <w:szCs w:val="24"/>
                <w:highlight w:val="none"/>
              </w:rPr>
              <w:t>亿不增加</w:t>
            </w:r>
            <w:r>
              <w:rPr>
                <w:rFonts w:hint="eastAsia" w:ascii="宋体" w:hAnsi="宋体" w:eastAsia="宋体" w:cs="宋体"/>
                <w:color w:val="auto"/>
                <w:sz w:val="24"/>
                <w:szCs w:val="24"/>
                <w:highlight w:val="none"/>
                <w:lang w:val="en-US"/>
              </w:rPr>
              <w:t>)</w:t>
            </w:r>
          </w:p>
        </w:tc>
        <w:tc>
          <w:tcPr>
            <w:tcW w:w="5352" w:type="dxa"/>
            <w:tcBorders>
              <w:top w:val="single" w:color="auto" w:sz="4" w:space="0"/>
              <w:left w:val="single" w:color="auto" w:sz="4" w:space="0"/>
              <w:bottom w:val="single" w:color="auto" w:sz="4" w:space="0"/>
              <w:right w:val="single" w:color="auto" w:sz="4" w:space="0"/>
            </w:tcBorders>
            <w:noWrap w:val="0"/>
            <w:vAlign w:val="center"/>
          </w:tcPr>
          <w:p w14:paraId="3ED9DEA5">
            <w:pPr>
              <w:keepNext w:val="0"/>
              <w:keepLines w:val="0"/>
              <w:pageBreakBefore w:val="0"/>
              <w:widowControl w:val="0"/>
              <w:suppressLineNumbers w:val="0"/>
              <w:kinsoku/>
              <w:overflowPunct/>
              <w:topLinePunct w:val="0"/>
              <w:bidi w:val="0"/>
              <w:snapToGrid/>
              <w:spacing w:before="0" w:beforeAutospacing="0" w:after="0" w:afterAutospacing="0" w:line="288" w:lineRule="auto"/>
              <w:ind w:left="0" w:right="0" w:firstLine="504" w:firstLineChars="210"/>
              <w:jc w:val="center"/>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增加</w:t>
            </w:r>
            <w:r>
              <w:rPr>
                <w:rFonts w:hint="eastAsia" w:ascii="宋体" w:hAnsi="宋体" w:eastAsia="宋体" w:cs="宋体"/>
                <w:color w:val="auto"/>
                <w:sz w:val="24"/>
                <w:szCs w:val="24"/>
                <w:highlight w:val="none"/>
                <w:lang w:val="en-US"/>
              </w:rPr>
              <w:t>10</w:t>
            </w:r>
            <w:r>
              <w:rPr>
                <w:rFonts w:hint="eastAsia" w:ascii="宋体" w:hAnsi="宋体" w:eastAsia="宋体" w:cs="宋体"/>
                <w:color w:val="auto"/>
                <w:sz w:val="24"/>
                <w:szCs w:val="24"/>
                <w:highlight w:val="none"/>
              </w:rPr>
              <w:t>天</w:t>
            </w:r>
          </w:p>
        </w:tc>
      </w:tr>
    </w:tbl>
    <w:p w14:paraId="33B7CA95">
      <w:pPr>
        <w:keepNext w:val="0"/>
        <w:keepLines w:val="0"/>
        <w:pageBreakBefore w:val="0"/>
        <w:widowControl w:val="0"/>
        <w:suppressLineNumbers w:val="0"/>
        <w:kinsoku/>
        <w:overflowPunct/>
        <w:topLinePunct w:val="0"/>
        <w:bidi w:val="0"/>
        <w:snapToGrid/>
        <w:spacing w:before="0" w:beforeAutospacing="0" w:after="0" w:afterAutospacing="0" w:line="288" w:lineRule="auto"/>
        <w:ind w:left="63" w:right="63" w:firstLine="480" w:firstLineChars="200"/>
        <w:jc w:val="left"/>
        <w:textAlignment w:val="auto"/>
        <w:rPr>
          <w:rFonts w:hint="eastAsia" w:ascii="宋体" w:hAnsi="宋体" w:eastAsia="宋体" w:cs="宋体"/>
          <w:color w:val="auto"/>
          <w:kern w:val="2"/>
          <w:sz w:val="24"/>
          <w:szCs w:val="24"/>
          <w:highlight w:val="none"/>
          <w:lang w:val="en-US" w:eastAsia="zh-CN" w:bidi="ar"/>
        </w:rPr>
      </w:pPr>
      <w:bookmarkStart w:id="1026" w:name="_Toc373227761"/>
      <w:bookmarkStart w:id="1027" w:name="_Toc373478408"/>
      <w:bookmarkStart w:id="1028" w:name="_Toc389065326"/>
      <w:r>
        <w:rPr>
          <w:rFonts w:hint="eastAsia" w:ascii="宋体" w:hAnsi="宋体" w:eastAsia="宋体" w:cs="宋体"/>
          <w:color w:val="auto"/>
          <w:kern w:val="2"/>
          <w:sz w:val="24"/>
          <w:szCs w:val="24"/>
          <w:highlight w:val="none"/>
          <w:lang w:val="en-US" w:eastAsia="zh-CN" w:bidi="ar-SA"/>
        </w:rPr>
        <w:t>因承包人提供的结算资料不完整而需要补充或承包人不按时对账耽误时间时，审查时间应相应顺延。</w:t>
      </w:r>
    </w:p>
    <w:p w14:paraId="13CD2A21">
      <w:pPr>
        <w:keepNext w:val="0"/>
        <w:keepLines w:val="0"/>
        <w:pageBreakBefore w:val="0"/>
        <w:widowControl w:val="0"/>
        <w:suppressLineNumbers w:val="0"/>
        <w:kinsoku/>
        <w:overflowPunct/>
        <w:topLinePunct w:val="0"/>
        <w:bidi w:val="0"/>
        <w:snapToGrid/>
        <w:spacing w:before="0" w:beforeAutospacing="0" w:after="0" w:afterAutospacing="0" w:line="288" w:lineRule="auto"/>
        <w:ind w:left="63" w:right="63" w:firstLine="480" w:firstLineChars="200"/>
        <w:jc w:val="left"/>
        <w:textAlignment w:val="auto"/>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SA"/>
        </w:rPr>
        <w:t>发包人完成竣工付款的期限：</w:t>
      </w:r>
      <w:r>
        <w:rPr>
          <w:rFonts w:hint="eastAsia" w:ascii="宋体" w:hAnsi="宋体" w:eastAsia="宋体" w:cs="宋体"/>
          <w:b/>
          <w:bCs/>
          <w:color w:val="auto"/>
          <w:kern w:val="2"/>
          <w:sz w:val="24"/>
          <w:szCs w:val="24"/>
          <w:highlight w:val="none"/>
          <w:u w:val="single"/>
          <w:lang w:val="en-US" w:eastAsia="zh-CN" w:bidi="ar-SA"/>
        </w:rPr>
        <w:t xml:space="preserve">  </w:t>
      </w:r>
      <w:r>
        <w:rPr>
          <w:rFonts w:hint="eastAsia" w:ascii="宋体" w:hAnsi="宋体" w:eastAsia="宋体" w:cs="宋体"/>
          <w:b/>
          <w:bCs/>
          <w:color w:val="auto"/>
          <w:kern w:val="2"/>
          <w:sz w:val="24"/>
          <w:szCs w:val="24"/>
          <w:highlight w:val="none"/>
          <w:u w:val="single"/>
          <w:lang w:val="en-US" w:eastAsia="zh-CN" w:bidi="ar"/>
        </w:rPr>
        <w:t>按合同付款约定执行</w:t>
      </w:r>
      <w:r>
        <w:rPr>
          <w:rFonts w:hint="eastAsia" w:ascii="宋体" w:hAnsi="宋体" w:eastAsia="宋体" w:cs="宋体"/>
          <w:b/>
          <w:bCs/>
          <w:color w:val="auto"/>
          <w:kern w:val="2"/>
          <w:sz w:val="24"/>
          <w:szCs w:val="24"/>
          <w:highlight w:val="none"/>
          <w:u w:val="single"/>
          <w:lang w:val="en-US" w:eastAsia="zh-CN" w:bidi="ar-SA"/>
        </w:rPr>
        <w:t xml:space="preserve">  </w:t>
      </w:r>
      <w:r>
        <w:rPr>
          <w:rFonts w:hint="eastAsia" w:ascii="宋体" w:hAnsi="宋体" w:eastAsia="宋体" w:cs="宋体"/>
          <w:color w:val="auto"/>
          <w:kern w:val="2"/>
          <w:sz w:val="24"/>
          <w:szCs w:val="24"/>
          <w:highlight w:val="none"/>
          <w:lang w:val="en-US" w:eastAsia="zh-CN" w:bidi="ar-SA"/>
        </w:rPr>
        <w:t>。</w:t>
      </w:r>
    </w:p>
    <w:p w14:paraId="46BE622B">
      <w:pPr>
        <w:keepNext w:val="0"/>
        <w:keepLines w:val="0"/>
        <w:pageBreakBefore w:val="0"/>
        <w:widowControl w:val="0"/>
        <w:suppressLineNumbers w:val="0"/>
        <w:kinsoku/>
        <w:overflowPunct/>
        <w:topLinePunct w:val="0"/>
        <w:bidi w:val="0"/>
        <w:snapToGrid/>
        <w:spacing w:before="0" w:beforeAutospacing="0" w:after="0" w:afterAutospacing="0" w:line="288" w:lineRule="auto"/>
        <w:ind w:left="63" w:right="63" w:firstLine="480" w:firstLineChars="200"/>
        <w:jc w:val="left"/>
        <w:textAlignment w:val="auto"/>
        <w:rPr>
          <w:rFonts w:hint="eastAsia" w:ascii="宋体" w:hAnsi="宋体" w:eastAsia="宋体" w:cs="宋体"/>
          <w:color w:val="auto"/>
          <w:kern w:val="2"/>
          <w:sz w:val="24"/>
          <w:szCs w:val="24"/>
          <w:highlight w:val="none"/>
          <w:u w:val="single"/>
          <w:lang w:val="en-US" w:eastAsia="zh-CN" w:bidi="ar"/>
        </w:rPr>
      </w:pPr>
      <w:r>
        <w:rPr>
          <w:rFonts w:hint="eastAsia" w:ascii="宋体" w:hAnsi="宋体" w:eastAsia="宋体" w:cs="宋体"/>
          <w:color w:val="auto"/>
          <w:kern w:val="2"/>
          <w:sz w:val="24"/>
          <w:szCs w:val="24"/>
          <w:highlight w:val="none"/>
          <w:lang w:val="en-US" w:eastAsia="zh-CN" w:bidi="ar-SA"/>
        </w:rPr>
        <w:t>关于竣工付款证书异议部分复核的方式和程序：</w:t>
      </w:r>
      <w:r>
        <w:rPr>
          <w:rFonts w:hint="eastAsia" w:ascii="宋体" w:hAnsi="宋体" w:eastAsia="宋体" w:cs="宋体"/>
          <w:color w:val="auto"/>
          <w:kern w:val="2"/>
          <w:sz w:val="24"/>
          <w:szCs w:val="24"/>
          <w:highlight w:val="none"/>
          <w:u w:val="single"/>
          <w:lang w:val="en-US" w:eastAsia="zh-CN" w:bidi="ar"/>
        </w:rPr>
        <w:t>按通用合同条款执行</w:t>
      </w:r>
      <w:r>
        <w:rPr>
          <w:rFonts w:hint="eastAsia" w:ascii="宋体" w:hAnsi="宋体" w:eastAsia="宋体" w:cs="宋体"/>
          <w:color w:val="auto"/>
          <w:kern w:val="2"/>
          <w:sz w:val="24"/>
          <w:szCs w:val="24"/>
          <w:highlight w:val="none"/>
          <w:u w:val="single"/>
          <w:lang w:val="en-US" w:eastAsia="zh-CN" w:bidi="ar-SA"/>
        </w:rPr>
        <w:t xml:space="preserve"> </w:t>
      </w:r>
      <w:r>
        <w:rPr>
          <w:rFonts w:hint="eastAsia" w:ascii="宋体" w:hAnsi="宋体" w:eastAsia="宋体" w:cs="宋体"/>
          <w:color w:val="auto"/>
          <w:kern w:val="2"/>
          <w:sz w:val="24"/>
          <w:szCs w:val="24"/>
          <w:highlight w:val="none"/>
          <w:lang w:val="en-US" w:eastAsia="zh-CN" w:bidi="ar-SA"/>
        </w:rPr>
        <w:t>。</w:t>
      </w:r>
    </w:p>
    <w:p w14:paraId="5F575952">
      <w:pPr>
        <w:pageBreakBefore w:val="0"/>
        <w:kinsoku/>
        <w:overflowPunct/>
        <w:topLinePunct w:val="0"/>
        <w:bidi w:val="0"/>
        <w:snapToGrid/>
        <w:spacing w:line="288" w:lineRule="auto"/>
        <w:ind w:left="-105" w:leftChars="-50" w:right="-105" w:rightChars="-5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14.2.2本工程竣工结算如超过招标控制价的10%（含10%），需报</w:t>
      </w:r>
      <w:r>
        <w:rPr>
          <w:rFonts w:hint="eastAsia" w:ascii="宋体" w:hAnsi="宋体" w:eastAsia="宋体" w:cs="宋体"/>
          <w:color w:val="auto"/>
          <w:sz w:val="24"/>
          <w:szCs w:val="24"/>
          <w:highlight w:val="none"/>
          <w:lang w:eastAsia="zh-CN"/>
        </w:rPr>
        <w:t>发包人审计</w:t>
      </w:r>
      <w:r>
        <w:rPr>
          <w:rFonts w:hint="eastAsia" w:ascii="宋体" w:hAnsi="宋体" w:eastAsia="宋体" w:cs="宋体"/>
          <w:color w:val="auto"/>
          <w:sz w:val="24"/>
          <w:szCs w:val="24"/>
          <w:highlight w:val="none"/>
        </w:rPr>
        <w:t>部门审定，承包人所编制的工程竣工资料经发包人审核后，承包人所遗漏的与工程造价有关的签证不再作为结算审核依据，按自动放弃处理。</w:t>
      </w:r>
    </w:p>
    <w:p w14:paraId="06B03991">
      <w:pPr>
        <w:pageBreakBefore w:val="0"/>
        <w:kinsoku/>
        <w:overflowPunct/>
        <w:topLinePunct w:val="0"/>
        <w:bidi w:val="0"/>
        <w:snapToGrid/>
        <w:spacing w:line="288" w:lineRule="auto"/>
        <w:ind w:left="-105" w:leftChars="-50" w:right="-105" w:rightChars="-5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14.2.3工程结算造价经发包人与承包人共同核对后，由发包人委托具有工程造价审核资质的中介机构进行审核，若承包人报送的工程结算总价过高，造成该结算审减率超过5%（含5%）以上的，承包人按以下方式承担审核费用：</w:t>
      </w:r>
    </w:p>
    <w:p w14:paraId="3DB23952">
      <w:pPr>
        <w:pageBreakBefore w:val="0"/>
        <w:kinsoku/>
        <w:overflowPunct/>
        <w:topLinePunct w:val="0"/>
        <w:bidi w:val="0"/>
        <w:snapToGrid/>
        <w:spacing w:line="288" w:lineRule="auto"/>
        <w:ind w:left="-105" w:leftChars="-50" w:right="-105" w:rightChars="-5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1.签约合同金额&lt;1亿元的，承包人承担：全部审核费用，审核费用由发包人从工程结算款中扣除；</w:t>
      </w:r>
    </w:p>
    <w:p w14:paraId="23CB976E">
      <w:pPr>
        <w:pageBreakBefore w:val="0"/>
        <w:kinsoku/>
        <w:overflowPunct/>
        <w:topLinePunct w:val="0"/>
        <w:bidi w:val="0"/>
        <w:snapToGrid/>
        <w:spacing w:line="288" w:lineRule="auto"/>
        <w:ind w:left="-105" w:leftChars="-50" w:right="-105" w:rightChars="-5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2.签约合同金额≥1亿元的，承包人承担：全部审核费用×超出5%部分的比例，审核费用由发包人从承包人工程结算款中扣除。</w:t>
      </w:r>
    </w:p>
    <w:p w14:paraId="60041E3C">
      <w:pPr>
        <w:pageBreakBefore w:val="0"/>
        <w:kinsoku/>
        <w:overflowPunct/>
        <w:topLinePunct w:val="0"/>
        <w:bidi w:val="0"/>
        <w:snapToGrid/>
        <w:spacing w:line="288" w:lineRule="auto"/>
        <w:ind w:left="-105" w:leftChars="-50" w:right="-105" w:rightChars="-5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以上：审减率=（送审造价-审定造价）/送审造价*100%</w:t>
      </w:r>
    </w:p>
    <w:p w14:paraId="1FD4112D">
      <w:pPr>
        <w:pageBreakBefore w:val="0"/>
        <w:kinsoku/>
        <w:overflowPunct/>
        <w:topLinePunct w:val="0"/>
        <w:bidi w:val="0"/>
        <w:snapToGrid/>
        <w:spacing w:line="288" w:lineRule="auto"/>
        <w:ind w:left="-105" w:leftChars="-50" w:right="-105" w:rightChars="-5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审核费用包含审核基本费和审核效益费</w:t>
      </w:r>
    </w:p>
    <w:p w14:paraId="4671C23A">
      <w:pPr>
        <w:keepNext w:val="0"/>
        <w:keepLines w:val="0"/>
        <w:pageBreakBefore w:val="0"/>
        <w:widowControl/>
        <w:suppressLineNumbers w:val="0"/>
        <w:kinsoku/>
        <w:wordWrap w:val="0"/>
        <w:overflowPunct/>
        <w:topLinePunct w:val="0"/>
        <w:bidi w:val="0"/>
        <w:snapToGrid/>
        <w:spacing w:before="0" w:beforeAutospacing="0" w:after="0" w:afterAutospacing="0" w:line="288" w:lineRule="auto"/>
        <w:ind w:left="0" w:right="0" w:firstLine="480" w:firstLineChars="200"/>
        <w:jc w:val="left"/>
        <w:textAlignment w:val="auto"/>
        <w:rPr>
          <w:rFonts w:hint="eastAsia" w:ascii="宋体" w:hAnsi="宋体" w:eastAsia="宋体" w:cs="宋体"/>
          <w:color w:val="auto"/>
          <w:kern w:val="2"/>
          <w:sz w:val="24"/>
          <w:szCs w:val="24"/>
          <w:highlight w:val="none"/>
          <w:u w:val="single"/>
          <w:lang w:val="en-US" w:eastAsia="zh-CN" w:bidi="ar"/>
        </w:rPr>
      </w:pPr>
    </w:p>
    <w:p w14:paraId="12CD8452">
      <w:pPr>
        <w:keepNext/>
        <w:keepLines/>
        <w:pageBreakBefore w:val="0"/>
        <w:widowControl/>
        <w:kinsoku/>
        <w:overflowPunct/>
        <w:topLinePunct w:val="0"/>
        <w:bidi w:val="0"/>
        <w:snapToGrid/>
        <w:spacing w:line="288" w:lineRule="auto"/>
        <w:jc w:val="both"/>
        <w:textAlignment w:val="auto"/>
        <w:outlineLvl w:val="2"/>
        <w:rPr>
          <w:rFonts w:hint="eastAsia" w:ascii="宋体" w:hAnsi="宋体" w:eastAsia="宋体" w:cs="宋体"/>
          <w:b/>
          <w:bCs/>
          <w:color w:val="auto"/>
          <w:kern w:val="2"/>
          <w:sz w:val="24"/>
          <w:szCs w:val="24"/>
          <w:highlight w:val="none"/>
          <w:lang w:val="en-US" w:eastAsia="zh-CN" w:bidi="ar-SA"/>
        </w:rPr>
      </w:pPr>
      <w:bookmarkStart w:id="1029" w:name="_Toc77255631"/>
      <w:bookmarkStart w:id="1030" w:name="_Toc11510"/>
      <w:bookmarkStart w:id="1031" w:name="_Toc73356703"/>
      <w:bookmarkStart w:id="1032" w:name="_Toc21254"/>
      <w:r>
        <w:rPr>
          <w:rFonts w:hint="eastAsia" w:ascii="宋体" w:hAnsi="宋体" w:eastAsia="宋体" w:cs="宋体"/>
          <w:b/>
          <w:bCs/>
          <w:color w:val="auto"/>
          <w:kern w:val="2"/>
          <w:sz w:val="24"/>
          <w:szCs w:val="24"/>
          <w:highlight w:val="none"/>
          <w:lang w:val="en-US" w:eastAsia="zh-CN" w:bidi="ar-SA"/>
        </w:rPr>
        <w:t>14.4 最终结清</w:t>
      </w:r>
      <w:bookmarkEnd w:id="1026"/>
      <w:bookmarkEnd w:id="1027"/>
      <w:bookmarkEnd w:id="1028"/>
      <w:bookmarkEnd w:id="1029"/>
      <w:bookmarkEnd w:id="1030"/>
      <w:bookmarkEnd w:id="1031"/>
      <w:bookmarkEnd w:id="1032"/>
    </w:p>
    <w:p w14:paraId="627F8193">
      <w:pPr>
        <w:keepNext w:val="0"/>
        <w:keepLines w:val="0"/>
        <w:pageBreakBefore w:val="0"/>
        <w:widowControl w:val="0"/>
        <w:suppressLineNumbers w:val="0"/>
        <w:kinsoku/>
        <w:overflowPunct/>
        <w:topLinePunct w:val="0"/>
        <w:bidi w:val="0"/>
        <w:snapToGrid/>
        <w:spacing w:before="0" w:beforeAutospacing="0" w:after="0" w:afterAutospacing="0" w:line="288" w:lineRule="auto"/>
        <w:ind w:left="0" w:right="0" w:firstLine="480" w:firstLineChars="200"/>
        <w:jc w:val="left"/>
        <w:textAlignment w:val="auto"/>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lang w:val="en-US" w:eastAsia="zh-CN" w:bidi="ar"/>
        </w:rPr>
        <w:t>14.4.1 最终结清申请单</w:t>
      </w:r>
    </w:p>
    <w:p w14:paraId="53F9EF38">
      <w:pPr>
        <w:keepNext w:val="0"/>
        <w:keepLines w:val="0"/>
        <w:pageBreakBefore w:val="0"/>
        <w:widowControl w:val="0"/>
        <w:suppressLineNumbers w:val="0"/>
        <w:kinsoku/>
        <w:overflowPunct/>
        <w:topLinePunct w:val="0"/>
        <w:bidi w:val="0"/>
        <w:snapToGrid/>
        <w:spacing w:before="0" w:beforeAutospacing="0" w:after="0" w:afterAutospacing="0" w:line="288" w:lineRule="auto"/>
        <w:ind w:left="0" w:right="0" w:firstLine="480" w:firstLineChars="200"/>
        <w:jc w:val="left"/>
        <w:textAlignment w:val="auto"/>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lang w:val="en-US" w:eastAsia="zh-CN" w:bidi="ar"/>
        </w:rPr>
        <w:t>承包人提交最终结清申请单的份数：</w:t>
      </w:r>
      <w:r>
        <w:rPr>
          <w:rFonts w:hint="eastAsia" w:ascii="宋体" w:hAnsi="宋体" w:eastAsia="宋体" w:cs="宋体"/>
          <w:color w:val="auto"/>
          <w:kern w:val="2"/>
          <w:sz w:val="24"/>
          <w:szCs w:val="24"/>
          <w:highlight w:val="none"/>
          <w:u w:val="single"/>
          <w:lang w:val="en-US" w:eastAsia="zh-CN" w:bidi="ar"/>
        </w:rPr>
        <w:t>一式四份</w:t>
      </w:r>
      <w:r>
        <w:rPr>
          <w:rFonts w:hint="eastAsia" w:ascii="宋体" w:hAnsi="宋体" w:eastAsia="宋体" w:cs="宋体"/>
          <w:color w:val="auto"/>
          <w:kern w:val="2"/>
          <w:sz w:val="24"/>
          <w:szCs w:val="24"/>
          <w:highlight w:val="none"/>
          <w:lang w:val="en-US" w:eastAsia="zh-CN" w:bidi="ar"/>
        </w:rPr>
        <w:t>。</w:t>
      </w:r>
    </w:p>
    <w:p w14:paraId="13BC73CA">
      <w:pPr>
        <w:keepNext w:val="0"/>
        <w:keepLines w:val="0"/>
        <w:pageBreakBefore w:val="0"/>
        <w:widowControl w:val="0"/>
        <w:suppressLineNumbers w:val="0"/>
        <w:kinsoku/>
        <w:overflowPunct/>
        <w:topLinePunct w:val="0"/>
        <w:bidi w:val="0"/>
        <w:snapToGrid/>
        <w:spacing w:before="0" w:beforeAutospacing="0" w:after="0" w:afterAutospacing="0" w:line="288" w:lineRule="auto"/>
        <w:ind w:left="0" w:right="0" w:firstLine="480" w:firstLineChars="200"/>
        <w:jc w:val="left"/>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kern w:val="0"/>
          <w:sz w:val="24"/>
          <w:szCs w:val="24"/>
          <w:highlight w:val="none"/>
          <w:lang w:val="en-US" w:eastAsia="zh-CN" w:bidi="ar"/>
        </w:rPr>
        <w:t>承包人提交最终结算申请单的期限：</w:t>
      </w:r>
      <w:r>
        <w:rPr>
          <w:rFonts w:hint="eastAsia" w:ascii="宋体" w:hAnsi="宋体" w:eastAsia="宋体" w:cs="宋体"/>
          <w:color w:val="auto"/>
          <w:kern w:val="2"/>
          <w:sz w:val="24"/>
          <w:szCs w:val="24"/>
          <w:highlight w:val="none"/>
          <w:u w:val="single"/>
          <w:lang w:val="en-US" w:eastAsia="zh-CN" w:bidi="ar"/>
        </w:rPr>
        <w:t>缺陷责任期终止证书签发后14天内</w:t>
      </w:r>
      <w:r>
        <w:rPr>
          <w:rFonts w:hint="eastAsia" w:ascii="宋体" w:hAnsi="宋体" w:eastAsia="宋体" w:cs="宋体"/>
          <w:color w:val="auto"/>
          <w:kern w:val="2"/>
          <w:sz w:val="24"/>
          <w:szCs w:val="24"/>
          <w:highlight w:val="none"/>
          <w:lang w:val="en-US" w:eastAsia="zh-CN" w:bidi="ar"/>
        </w:rPr>
        <w:t xml:space="preserve">。 </w:t>
      </w:r>
    </w:p>
    <w:p w14:paraId="69B89600">
      <w:pPr>
        <w:pageBreakBefore w:val="0"/>
        <w:kinsoku/>
        <w:overflowPunct/>
        <w:topLinePunct w:val="0"/>
        <w:bidi w:val="0"/>
        <w:snapToGrid/>
        <w:spacing w:line="288" w:lineRule="auto"/>
        <w:textAlignment w:val="auto"/>
        <w:rPr>
          <w:rFonts w:hint="eastAsia" w:ascii="宋体" w:hAnsi="宋体" w:eastAsia="宋体" w:cs="宋体"/>
          <w:color w:val="auto"/>
          <w:sz w:val="24"/>
          <w:szCs w:val="24"/>
          <w:highlight w:val="none"/>
          <w:lang w:val="en-US"/>
        </w:rPr>
      </w:pPr>
      <w:bookmarkStart w:id="1033" w:name="_Toc19147"/>
      <w:bookmarkStart w:id="1034" w:name="_Toc26583"/>
      <w:r>
        <w:rPr>
          <w:rFonts w:hint="eastAsia" w:ascii="宋体" w:hAnsi="宋体" w:eastAsia="宋体" w:cs="宋体"/>
          <w:color w:val="auto"/>
          <w:sz w:val="24"/>
          <w:szCs w:val="24"/>
          <w:highlight w:val="none"/>
          <w:lang w:val="en-US" w:eastAsia="zh-CN"/>
        </w:rPr>
        <w:t>14.4.2 最终结清证书和支付</w:t>
      </w:r>
      <w:bookmarkEnd w:id="1033"/>
      <w:bookmarkEnd w:id="1034"/>
    </w:p>
    <w:p w14:paraId="5421C36F">
      <w:pPr>
        <w:keepNext w:val="0"/>
        <w:keepLines w:val="0"/>
        <w:pageBreakBefore w:val="0"/>
        <w:widowControl/>
        <w:suppressLineNumbers w:val="0"/>
        <w:kinsoku/>
        <w:wordWrap w:val="0"/>
        <w:overflowPunct/>
        <w:topLinePunct w:val="0"/>
        <w:bidi w:val="0"/>
        <w:snapToGrid/>
        <w:spacing w:before="0" w:beforeAutospacing="0" w:after="0" w:afterAutospacing="0" w:line="288" w:lineRule="auto"/>
        <w:ind w:left="0" w:right="0" w:firstLine="480" w:firstLineChars="200"/>
        <w:jc w:val="left"/>
        <w:textAlignment w:val="auto"/>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（1）发包人完成最终结清申请单的审批并颁发最终结清证书的期限：</w:t>
      </w:r>
      <w:r>
        <w:rPr>
          <w:rFonts w:hint="eastAsia" w:ascii="宋体" w:hAnsi="宋体" w:eastAsia="宋体" w:cs="宋体"/>
          <w:color w:val="auto"/>
          <w:kern w:val="2"/>
          <w:sz w:val="24"/>
          <w:szCs w:val="24"/>
          <w:highlight w:val="none"/>
          <w:u w:val="single"/>
          <w:lang w:val="en-US" w:eastAsia="zh-CN" w:bidi="ar"/>
        </w:rPr>
        <w:t>执行通用条款14.4.2条</w:t>
      </w:r>
      <w:r>
        <w:rPr>
          <w:rFonts w:hint="eastAsia" w:ascii="宋体" w:hAnsi="宋体" w:eastAsia="宋体" w:cs="宋体"/>
          <w:color w:val="auto"/>
          <w:kern w:val="2"/>
          <w:sz w:val="24"/>
          <w:szCs w:val="24"/>
          <w:highlight w:val="none"/>
          <w:lang w:val="en-US" w:eastAsia="zh-CN" w:bidi="ar"/>
        </w:rPr>
        <w:t>。</w:t>
      </w:r>
    </w:p>
    <w:p w14:paraId="0196D213">
      <w:pPr>
        <w:keepNext w:val="0"/>
        <w:keepLines w:val="0"/>
        <w:pageBreakBefore w:val="0"/>
        <w:widowControl/>
        <w:suppressLineNumbers w:val="0"/>
        <w:kinsoku/>
        <w:wordWrap w:val="0"/>
        <w:overflowPunct/>
        <w:topLinePunct w:val="0"/>
        <w:bidi w:val="0"/>
        <w:snapToGrid/>
        <w:spacing w:before="0" w:beforeAutospacing="0" w:after="0" w:afterAutospacing="0" w:line="288" w:lineRule="auto"/>
        <w:ind w:left="0" w:right="0" w:firstLine="480" w:firstLineChars="200"/>
        <w:jc w:val="left"/>
        <w:textAlignment w:val="auto"/>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（2）发包人完成支付的期限：</w:t>
      </w:r>
      <w:bookmarkEnd w:id="825"/>
      <w:bookmarkEnd w:id="826"/>
      <w:bookmarkEnd w:id="827"/>
      <w:bookmarkEnd w:id="828"/>
      <w:bookmarkEnd w:id="829"/>
      <w:bookmarkEnd w:id="830"/>
      <w:bookmarkEnd w:id="831"/>
      <w:bookmarkEnd w:id="832"/>
      <w:bookmarkStart w:id="1035" w:name="_Toc351203647"/>
      <w:bookmarkStart w:id="1036" w:name="_Toc389065327"/>
      <w:bookmarkStart w:id="1037" w:name="_Toc373227762"/>
      <w:bookmarkStart w:id="1038" w:name="_Toc373478409"/>
      <w:bookmarkStart w:id="1039" w:name="_Toc267251483"/>
      <w:bookmarkStart w:id="1040" w:name="_Toc267251482"/>
      <w:bookmarkStart w:id="1041" w:name="_Toc267251484"/>
      <w:bookmarkStart w:id="1042" w:name="_Toc267251489"/>
      <w:bookmarkStart w:id="1043" w:name="_Toc267251486"/>
      <w:bookmarkStart w:id="1044" w:name="_Toc267251485"/>
      <w:bookmarkStart w:id="1045" w:name="_Toc267251490"/>
      <w:bookmarkStart w:id="1046" w:name="_Toc267251488"/>
      <w:bookmarkStart w:id="1047" w:name="_Toc267251499"/>
      <w:bookmarkStart w:id="1048" w:name="_Toc267251514"/>
      <w:bookmarkStart w:id="1049" w:name="_Toc267251507"/>
      <w:bookmarkStart w:id="1050" w:name="_Toc267251506"/>
      <w:bookmarkStart w:id="1051" w:name="_Toc267251501"/>
      <w:bookmarkStart w:id="1052" w:name="_Toc267251508"/>
      <w:bookmarkStart w:id="1053" w:name="_Toc267251502"/>
      <w:bookmarkStart w:id="1054" w:name="_Toc267251495"/>
      <w:bookmarkStart w:id="1055" w:name="_Toc267251498"/>
      <w:bookmarkStart w:id="1056" w:name="_Toc267251493"/>
      <w:bookmarkStart w:id="1057" w:name="_Toc267251504"/>
      <w:bookmarkStart w:id="1058" w:name="_Toc267251494"/>
      <w:bookmarkStart w:id="1059" w:name="_Toc267251509"/>
      <w:bookmarkStart w:id="1060" w:name="_Toc267251492"/>
      <w:bookmarkStart w:id="1061" w:name="_Toc267251496"/>
      <w:bookmarkStart w:id="1062" w:name="_Toc267251513"/>
      <w:bookmarkStart w:id="1063" w:name="_Toc267251491"/>
      <w:bookmarkStart w:id="1064" w:name="_Toc267251511"/>
      <w:bookmarkStart w:id="1065" w:name="_Toc267251497"/>
      <w:bookmarkStart w:id="1066" w:name="_Toc267251510"/>
      <w:bookmarkStart w:id="1067" w:name="_Toc267251503"/>
      <w:bookmarkStart w:id="1068" w:name="_Toc267251515"/>
      <w:r>
        <w:rPr>
          <w:rFonts w:hint="eastAsia" w:ascii="宋体" w:hAnsi="宋体" w:eastAsia="宋体" w:cs="宋体"/>
          <w:color w:val="auto"/>
          <w:kern w:val="2"/>
          <w:sz w:val="24"/>
          <w:szCs w:val="24"/>
          <w:highlight w:val="none"/>
          <w:u w:val="single"/>
          <w:lang w:val="en-US" w:eastAsia="zh-CN" w:bidi="ar"/>
        </w:rPr>
        <w:t>执行通用条款14.4.2条</w:t>
      </w:r>
      <w:r>
        <w:rPr>
          <w:rFonts w:hint="eastAsia" w:ascii="宋体" w:hAnsi="宋体" w:eastAsia="宋体" w:cs="宋体"/>
          <w:color w:val="auto"/>
          <w:kern w:val="2"/>
          <w:sz w:val="24"/>
          <w:szCs w:val="24"/>
          <w:highlight w:val="none"/>
          <w:lang w:val="en-US" w:eastAsia="zh-CN" w:bidi="ar"/>
        </w:rPr>
        <w:t>。</w:t>
      </w:r>
    </w:p>
    <w:p w14:paraId="2806F4AD">
      <w:pPr>
        <w:keepNext w:val="0"/>
        <w:keepLines w:val="0"/>
        <w:pageBreakBefore w:val="0"/>
        <w:widowControl w:val="0"/>
        <w:suppressLineNumbers w:val="0"/>
        <w:kinsoku/>
        <w:overflowPunct/>
        <w:topLinePunct w:val="0"/>
        <w:bidi w:val="0"/>
        <w:snapToGrid/>
        <w:spacing w:before="0" w:beforeAutospacing="0" w:after="0" w:afterAutospacing="0" w:line="288" w:lineRule="auto"/>
        <w:ind w:left="0" w:right="0"/>
        <w:jc w:val="left"/>
        <w:textAlignment w:val="auto"/>
        <w:outlineLvl w:val="1"/>
        <w:rPr>
          <w:rFonts w:hint="eastAsia" w:ascii="宋体" w:hAnsi="宋体" w:eastAsia="宋体" w:cs="宋体"/>
          <w:b/>
          <w:bCs/>
          <w:color w:val="auto"/>
          <w:sz w:val="24"/>
          <w:szCs w:val="24"/>
          <w:highlight w:val="none"/>
          <w:lang w:val="en-US"/>
        </w:rPr>
      </w:pPr>
      <w:bookmarkStart w:id="1069" w:name="_Toc6329"/>
      <w:bookmarkStart w:id="1070" w:name="_Toc17022"/>
      <w:r>
        <w:rPr>
          <w:rFonts w:hint="eastAsia" w:ascii="宋体" w:hAnsi="宋体" w:eastAsia="宋体" w:cs="宋体"/>
          <w:b/>
          <w:bCs/>
          <w:color w:val="auto"/>
          <w:kern w:val="2"/>
          <w:sz w:val="24"/>
          <w:szCs w:val="24"/>
          <w:highlight w:val="none"/>
          <w:lang w:val="en-US" w:eastAsia="zh-CN" w:bidi="ar"/>
        </w:rPr>
        <w:t>15. 缺陷责任期与保修</w:t>
      </w:r>
      <w:bookmarkEnd w:id="1035"/>
      <w:bookmarkEnd w:id="1036"/>
      <w:bookmarkEnd w:id="1037"/>
      <w:bookmarkEnd w:id="1038"/>
      <w:bookmarkEnd w:id="1069"/>
      <w:bookmarkEnd w:id="1070"/>
    </w:p>
    <w:p w14:paraId="1DCD51A6">
      <w:pPr>
        <w:keepNext/>
        <w:keepLines/>
        <w:pageBreakBefore w:val="0"/>
        <w:widowControl/>
        <w:kinsoku/>
        <w:overflowPunct/>
        <w:topLinePunct w:val="0"/>
        <w:bidi w:val="0"/>
        <w:snapToGrid/>
        <w:spacing w:line="288" w:lineRule="auto"/>
        <w:jc w:val="both"/>
        <w:textAlignment w:val="auto"/>
        <w:outlineLvl w:val="2"/>
        <w:rPr>
          <w:rFonts w:hint="eastAsia" w:ascii="宋体" w:hAnsi="宋体" w:eastAsia="宋体" w:cs="宋体"/>
          <w:b/>
          <w:bCs/>
          <w:color w:val="auto"/>
          <w:kern w:val="2"/>
          <w:sz w:val="24"/>
          <w:szCs w:val="24"/>
          <w:highlight w:val="none"/>
          <w:lang w:val="en-US" w:eastAsia="zh-CN" w:bidi="ar-SA"/>
        </w:rPr>
      </w:pPr>
      <w:bookmarkStart w:id="1071" w:name="_Toc73356704"/>
      <w:bookmarkStart w:id="1072" w:name="_Toc77255632"/>
      <w:bookmarkStart w:id="1073" w:name="_Toc373478410"/>
      <w:bookmarkStart w:id="1074" w:name="_Toc373227763"/>
      <w:bookmarkStart w:id="1075" w:name="_Toc28287"/>
      <w:bookmarkStart w:id="1076" w:name="_Toc4743"/>
      <w:bookmarkStart w:id="1077" w:name="_Toc389065328"/>
      <w:r>
        <w:rPr>
          <w:rFonts w:hint="eastAsia" w:ascii="宋体" w:hAnsi="宋体" w:eastAsia="宋体" w:cs="宋体"/>
          <w:b/>
          <w:bCs/>
          <w:color w:val="auto"/>
          <w:kern w:val="2"/>
          <w:sz w:val="24"/>
          <w:szCs w:val="24"/>
          <w:highlight w:val="none"/>
          <w:lang w:val="en-US" w:eastAsia="zh-CN" w:bidi="ar-SA"/>
        </w:rPr>
        <w:t>15.2 缺陷责任期</w:t>
      </w:r>
      <w:bookmarkEnd w:id="1039"/>
      <w:bookmarkEnd w:id="1071"/>
      <w:bookmarkEnd w:id="1072"/>
      <w:bookmarkEnd w:id="1073"/>
      <w:bookmarkEnd w:id="1074"/>
      <w:bookmarkEnd w:id="1075"/>
      <w:bookmarkEnd w:id="1076"/>
      <w:bookmarkEnd w:id="1077"/>
    </w:p>
    <w:p w14:paraId="6E0F8B25">
      <w:pPr>
        <w:keepNext w:val="0"/>
        <w:keepLines w:val="0"/>
        <w:pageBreakBefore w:val="0"/>
        <w:widowControl w:val="0"/>
        <w:suppressLineNumbers w:val="0"/>
        <w:kinsoku/>
        <w:overflowPunct/>
        <w:topLinePunct w:val="0"/>
        <w:bidi w:val="0"/>
        <w:snapToGrid/>
        <w:spacing w:before="0" w:beforeAutospacing="0" w:after="0" w:afterAutospacing="0" w:line="288" w:lineRule="auto"/>
        <w:ind w:left="0" w:right="0" w:firstLine="480" w:firstLineChars="200"/>
        <w:jc w:val="left"/>
        <w:textAlignment w:val="auto"/>
        <w:rPr>
          <w:rFonts w:hint="eastAsia" w:ascii="宋体" w:hAnsi="宋体" w:eastAsia="宋体" w:cs="宋体"/>
          <w:color w:val="auto"/>
          <w:sz w:val="24"/>
          <w:szCs w:val="24"/>
          <w:highlight w:val="none"/>
          <w:u w:val="single"/>
          <w:lang w:val="en-US"/>
        </w:rPr>
      </w:pPr>
      <w:r>
        <w:rPr>
          <w:rFonts w:hint="eastAsia" w:ascii="宋体" w:hAnsi="宋体" w:eastAsia="宋体" w:cs="宋体"/>
          <w:color w:val="auto"/>
          <w:kern w:val="2"/>
          <w:sz w:val="24"/>
          <w:szCs w:val="24"/>
          <w:highlight w:val="none"/>
          <w:lang w:val="en-US" w:eastAsia="zh-CN" w:bidi="ar"/>
        </w:rPr>
        <w:t>缺陷责任期的具体期限：1年。</w:t>
      </w:r>
    </w:p>
    <w:p w14:paraId="03BEE623">
      <w:pPr>
        <w:pageBreakBefore w:val="0"/>
        <w:kinsoku/>
        <w:overflowPunct/>
        <w:topLinePunct w:val="0"/>
        <w:bidi w:val="0"/>
        <w:snapToGrid/>
        <w:spacing w:line="288" w:lineRule="auto"/>
        <w:textAlignment w:val="auto"/>
        <w:rPr>
          <w:rFonts w:hint="eastAsia" w:ascii="宋体" w:hAnsi="宋体" w:eastAsia="宋体" w:cs="宋体"/>
          <w:color w:val="auto"/>
          <w:sz w:val="24"/>
          <w:szCs w:val="24"/>
          <w:highlight w:val="none"/>
          <w:lang w:eastAsia="zh-CN"/>
        </w:rPr>
      </w:pPr>
      <w:bookmarkStart w:id="1078" w:name="_Toc23838"/>
      <w:bookmarkStart w:id="1079" w:name="_Toc389065329"/>
      <w:bookmarkStart w:id="1080" w:name="_Toc373227764"/>
      <w:bookmarkStart w:id="1081" w:name="_Toc77255633"/>
      <w:bookmarkStart w:id="1082" w:name="_Toc73356705"/>
      <w:bookmarkStart w:id="1083" w:name="_Toc373478411"/>
      <w:bookmarkStart w:id="1084" w:name="_Toc12398"/>
      <w:r>
        <w:rPr>
          <w:rFonts w:hint="eastAsia" w:ascii="宋体" w:hAnsi="宋体" w:eastAsia="宋体" w:cs="宋体"/>
          <w:color w:val="auto"/>
          <w:sz w:val="24"/>
          <w:szCs w:val="24"/>
          <w:highlight w:val="none"/>
          <w:lang w:eastAsia="zh-CN"/>
        </w:rPr>
        <w:t>15.3 质量保证金</w:t>
      </w:r>
      <w:bookmarkEnd w:id="1078"/>
      <w:bookmarkEnd w:id="1079"/>
      <w:bookmarkEnd w:id="1080"/>
      <w:bookmarkEnd w:id="1081"/>
      <w:bookmarkEnd w:id="1082"/>
      <w:bookmarkEnd w:id="1083"/>
      <w:bookmarkEnd w:id="1084"/>
    </w:p>
    <w:bookmarkEnd w:id="1040"/>
    <w:bookmarkEnd w:id="1041"/>
    <w:p w14:paraId="6BB1C1F8">
      <w:pPr>
        <w:keepNext w:val="0"/>
        <w:keepLines w:val="0"/>
        <w:pageBreakBefore w:val="0"/>
        <w:widowControl w:val="0"/>
        <w:suppressLineNumbers w:val="0"/>
        <w:kinsoku/>
        <w:overflowPunct/>
        <w:topLinePunct w:val="0"/>
        <w:bidi w:val="0"/>
        <w:snapToGrid/>
        <w:spacing w:before="0" w:beforeAutospacing="0" w:after="0" w:afterAutospacing="0" w:line="288" w:lineRule="auto"/>
        <w:ind w:left="0" w:right="0" w:firstLine="480" w:firstLineChars="200"/>
        <w:jc w:val="left"/>
        <w:textAlignment w:val="auto"/>
        <w:rPr>
          <w:rFonts w:hint="eastAsia" w:ascii="宋体" w:hAnsi="宋体" w:eastAsia="宋体" w:cs="宋体"/>
          <w:color w:val="auto"/>
          <w:sz w:val="24"/>
          <w:szCs w:val="24"/>
          <w:highlight w:val="none"/>
          <w:lang w:val="en-US"/>
        </w:rPr>
      </w:pPr>
      <w:bookmarkStart w:id="1085" w:name="_Toc77255634"/>
      <w:bookmarkStart w:id="1086" w:name="_Toc73356706"/>
      <w:bookmarkStart w:id="1087" w:name="_Toc373478412"/>
      <w:bookmarkStart w:id="1088" w:name="_Toc389065330"/>
      <w:bookmarkStart w:id="1089" w:name="_Toc373227765"/>
      <w:r>
        <w:rPr>
          <w:rFonts w:hint="eastAsia" w:ascii="宋体" w:hAnsi="宋体" w:eastAsia="宋体" w:cs="宋体"/>
          <w:color w:val="auto"/>
          <w:kern w:val="2"/>
          <w:sz w:val="24"/>
          <w:szCs w:val="24"/>
          <w:highlight w:val="none"/>
          <w:lang w:val="en-US" w:eastAsia="zh-CN" w:bidi="ar"/>
        </w:rPr>
        <w:t>关于是否扣留质量保证金的约定：</w:t>
      </w:r>
      <w:r>
        <w:rPr>
          <w:rFonts w:hint="eastAsia" w:ascii="宋体" w:hAnsi="宋体" w:eastAsia="宋体" w:cs="宋体"/>
          <w:color w:val="auto"/>
          <w:kern w:val="2"/>
          <w:sz w:val="24"/>
          <w:szCs w:val="24"/>
          <w:highlight w:val="none"/>
          <w:u w:val="single"/>
          <w:lang w:val="en-US" w:eastAsia="zh-CN" w:bidi="ar"/>
        </w:rPr>
        <w:t>是</w:t>
      </w:r>
      <w:r>
        <w:rPr>
          <w:rFonts w:hint="eastAsia" w:ascii="宋体" w:hAnsi="宋体" w:eastAsia="宋体" w:cs="宋体"/>
          <w:color w:val="auto"/>
          <w:kern w:val="2"/>
          <w:sz w:val="24"/>
          <w:szCs w:val="24"/>
          <w:highlight w:val="none"/>
          <w:lang w:val="en-US" w:eastAsia="zh-CN" w:bidi="ar"/>
        </w:rPr>
        <w:t>。</w:t>
      </w:r>
    </w:p>
    <w:p w14:paraId="3F8F055F">
      <w:pPr>
        <w:pageBreakBefore w:val="0"/>
        <w:kinsoku/>
        <w:overflowPunct/>
        <w:topLinePunct w:val="0"/>
        <w:bidi w:val="0"/>
        <w:snapToGrid/>
        <w:spacing w:line="288" w:lineRule="auto"/>
        <w:textAlignment w:val="auto"/>
        <w:rPr>
          <w:rFonts w:hint="eastAsia" w:ascii="宋体" w:hAnsi="宋体" w:eastAsia="宋体" w:cs="宋体"/>
          <w:color w:val="auto"/>
          <w:sz w:val="24"/>
          <w:szCs w:val="24"/>
          <w:highlight w:val="none"/>
          <w:lang w:val="en-US"/>
        </w:rPr>
      </w:pPr>
      <w:bookmarkStart w:id="1090" w:name="_Toc2764"/>
      <w:bookmarkStart w:id="1091" w:name="_Toc25267"/>
      <w:r>
        <w:rPr>
          <w:rFonts w:hint="eastAsia" w:ascii="宋体" w:hAnsi="宋体" w:eastAsia="宋体" w:cs="宋体"/>
          <w:color w:val="auto"/>
          <w:sz w:val="24"/>
          <w:szCs w:val="24"/>
          <w:highlight w:val="none"/>
          <w:lang w:val="en-US" w:eastAsia="zh-CN"/>
        </w:rPr>
        <w:t>15.3.1 承包人提供质量保证金的方式</w:t>
      </w:r>
      <w:bookmarkEnd w:id="1090"/>
      <w:bookmarkEnd w:id="1091"/>
    </w:p>
    <w:p w14:paraId="5772BE23">
      <w:pPr>
        <w:keepNext w:val="0"/>
        <w:keepLines w:val="0"/>
        <w:pageBreakBefore w:val="0"/>
        <w:widowControl w:val="0"/>
        <w:suppressLineNumbers w:val="0"/>
        <w:kinsoku/>
        <w:overflowPunct/>
        <w:topLinePunct w:val="0"/>
        <w:bidi w:val="0"/>
        <w:snapToGrid/>
        <w:spacing w:before="0" w:beforeAutospacing="0" w:after="0" w:afterAutospacing="0" w:line="288" w:lineRule="auto"/>
        <w:ind w:left="0" w:right="0" w:firstLine="480" w:firstLineChars="200"/>
        <w:jc w:val="left"/>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bidi="ar"/>
        </w:rPr>
        <w:t>质量保证金采用以下第</w:t>
      </w:r>
      <w:r>
        <w:rPr>
          <w:rFonts w:hint="eastAsia" w:ascii="宋体" w:hAnsi="宋体" w:eastAsia="宋体" w:cs="宋体"/>
          <w:color w:val="auto"/>
          <w:kern w:val="2"/>
          <w:sz w:val="24"/>
          <w:szCs w:val="24"/>
          <w:highlight w:val="none"/>
          <w:u w:val="single"/>
          <w:lang w:val="en-US" w:eastAsia="zh-CN" w:bidi="ar"/>
        </w:rPr>
        <w:t xml:space="preserve">  2   </w:t>
      </w:r>
      <w:r>
        <w:rPr>
          <w:rFonts w:hint="eastAsia" w:ascii="宋体" w:hAnsi="宋体" w:eastAsia="宋体" w:cs="宋体"/>
          <w:color w:val="auto"/>
          <w:kern w:val="2"/>
          <w:sz w:val="24"/>
          <w:szCs w:val="24"/>
          <w:highlight w:val="none"/>
          <w:lang w:val="en-US" w:eastAsia="zh-CN" w:bidi="ar"/>
        </w:rPr>
        <w:t>种方式：</w:t>
      </w:r>
    </w:p>
    <w:p w14:paraId="3E300A77">
      <w:pPr>
        <w:keepNext w:val="0"/>
        <w:keepLines w:val="0"/>
        <w:pageBreakBefore w:val="0"/>
        <w:widowControl w:val="0"/>
        <w:suppressLineNumbers w:val="0"/>
        <w:kinsoku/>
        <w:wordWrap w:val="0"/>
        <w:overflowPunct/>
        <w:topLinePunct w:val="0"/>
        <w:bidi w:val="0"/>
        <w:snapToGrid/>
        <w:spacing w:before="0" w:beforeAutospacing="0" w:after="0" w:afterAutospacing="0" w:line="288" w:lineRule="auto"/>
        <w:ind w:left="0" w:right="0" w:firstLine="480" w:firstLineChars="200"/>
        <w:jc w:val="both"/>
        <w:textAlignment w:val="auto"/>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lang w:val="en-US" w:eastAsia="zh-CN" w:bidi="ar"/>
        </w:rPr>
        <w:t>（1）质量保证金保函，保证金额为：</w:t>
      </w:r>
    </w:p>
    <w:p w14:paraId="62F6EE8A">
      <w:pPr>
        <w:keepNext w:val="0"/>
        <w:keepLines w:val="0"/>
        <w:pageBreakBefore w:val="0"/>
        <w:widowControl/>
        <w:suppressLineNumbers w:val="0"/>
        <w:kinsoku/>
        <w:wordWrap w:val="0"/>
        <w:overflowPunct/>
        <w:topLinePunct w:val="0"/>
        <w:autoSpaceDE w:val="0"/>
        <w:autoSpaceDN w:val="0"/>
        <w:bidi w:val="0"/>
        <w:adjustRightInd w:val="0"/>
        <w:snapToGrid/>
        <w:spacing w:before="0" w:beforeAutospacing="0" w:after="0" w:afterAutospacing="0" w:line="288" w:lineRule="auto"/>
        <w:ind w:left="0" w:right="0"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（2）</w:t>
      </w:r>
      <w:r>
        <w:rPr>
          <w:rFonts w:hint="eastAsia" w:ascii="宋体" w:hAnsi="宋体" w:eastAsia="宋体" w:cs="宋体"/>
          <w:color w:val="auto"/>
          <w:kern w:val="2"/>
          <w:sz w:val="24"/>
          <w:szCs w:val="24"/>
          <w:highlight w:val="none"/>
          <w:lang w:val="en-US" w:eastAsia="zh-CN" w:bidi="ar-SA"/>
        </w:rPr>
        <w:t>发包人按工程价款结算总额的</w:t>
      </w:r>
      <w:r>
        <w:rPr>
          <w:rFonts w:hint="eastAsia" w:ascii="宋体" w:hAnsi="宋体" w:eastAsia="宋体" w:cs="宋体"/>
          <w:color w:val="auto"/>
          <w:kern w:val="2"/>
          <w:sz w:val="24"/>
          <w:szCs w:val="24"/>
          <w:highlight w:val="none"/>
          <w:u w:val="single"/>
          <w:lang w:val="en-US" w:eastAsia="zh-CN" w:bidi="ar-SA"/>
        </w:rPr>
        <w:t xml:space="preserve"> 3 </w:t>
      </w:r>
      <w:r>
        <w:rPr>
          <w:rFonts w:hint="eastAsia" w:ascii="宋体" w:hAnsi="宋体" w:eastAsia="宋体" w:cs="宋体"/>
          <w:color w:val="auto"/>
          <w:kern w:val="2"/>
          <w:sz w:val="24"/>
          <w:szCs w:val="24"/>
          <w:highlight w:val="none"/>
          <w:lang w:val="en-US" w:eastAsia="zh-CN" w:bidi="ar-SA"/>
        </w:rPr>
        <w:t>%（不得超过3%）预留工程质量保证金，待缺陷责任期满后返还，是否付息及利息计算方式为：</w:t>
      </w:r>
      <w:r>
        <w:rPr>
          <w:rFonts w:hint="eastAsia" w:ascii="宋体" w:hAnsi="宋体" w:eastAsia="宋体" w:cs="宋体"/>
          <w:color w:val="auto"/>
          <w:kern w:val="2"/>
          <w:sz w:val="24"/>
          <w:szCs w:val="24"/>
          <w:highlight w:val="none"/>
          <w:u w:val="single"/>
          <w:lang w:val="en-US" w:eastAsia="zh-CN" w:bidi="ar-SA"/>
        </w:rPr>
        <w:t xml:space="preserve">无息返还 </w:t>
      </w:r>
      <w:r>
        <w:rPr>
          <w:rFonts w:hint="eastAsia" w:ascii="宋体" w:hAnsi="宋体" w:eastAsia="宋体" w:cs="宋体"/>
          <w:color w:val="auto"/>
          <w:kern w:val="0"/>
          <w:sz w:val="24"/>
          <w:szCs w:val="24"/>
          <w:highlight w:val="none"/>
          <w:lang w:val="en-US" w:eastAsia="zh-CN" w:bidi="ar-SA"/>
        </w:rPr>
        <w:t>；</w:t>
      </w:r>
    </w:p>
    <w:p w14:paraId="065CE963">
      <w:pPr>
        <w:keepNext w:val="0"/>
        <w:keepLines w:val="0"/>
        <w:pageBreakBefore w:val="0"/>
        <w:widowControl w:val="0"/>
        <w:suppressLineNumbers w:val="0"/>
        <w:kinsoku/>
        <w:wordWrap w:val="0"/>
        <w:overflowPunct/>
        <w:topLinePunct w:val="0"/>
        <w:bidi w:val="0"/>
        <w:snapToGrid/>
        <w:spacing w:before="0" w:beforeAutospacing="0" w:after="0" w:afterAutospacing="0" w:line="288" w:lineRule="auto"/>
        <w:ind w:left="0" w:right="0" w:firstLine="480" w:firstLineChars="200"/>
        <w:jc w:val="both"/>
        <w:textAlignment w:val="auto"/>
        <w:rPr>
          <w:rFonts w:hint="eastAsia" w:ascii="宋体" w:hAnsi="宋体" w:eastAsia="宋体" w:cs="宋体"/>
          <w:b/>
          <w:bCs/>
          <w:color w:val="auto"/>
          <w:sz w:val="24"/>
          <w:szCs w:val="24"/>
          <w:highlight w:val="none"/>
          <w:u w:val="none"/>
          <w:lang w:val="en-US"/>
        </w:rPr>
      </w:pPr>
      <w:r>
        <w:rPr>
          <w:rFonts w:hint="eastAsia" w:ascii="宋体" w:hAnsi="宋体" w:eastAsia="宋体" w:cs="宋体"/>
          <w:color w:val="auto"/>
          <w:kern w:val="0"/>
          <w:sz w:val="24"/>
          <w:szCs w:val="24"/>
          <w:highlight w:val="none"/>
          <w:lang w:val="en-US" w:eastAsia="zh-CN" w:bidi="ar"/>
        </w:rPr>
        <w:t>（3）其他方式：</w:t>
      </w:r>
      <w:r>
        <w:rPr>
          <w:rFonts w:hint="eastAsia" w:ascii="宋体" w:hAnsi="宋体" w:eastAsia="宋体" w:cs="宋体"/>
          <w:color w:val="auto"/>
          <w:kern w:val="0"/>
          <w:sz w:val="24"/>
          <w:szCs w:val="24"/>
          <w:highlight w:val="none"/>
          <w:u w:val="single"/>
          <w:lang w:val="en-US" w:eastAsia="zh-CN" w:bidi="ar"/>
        </w:rPr>
        <w:t xml:space="preserve">     </w:t>
      </w:r>
      <w:r>
        <w:rPr>
          <w:rFonts w:hint="eastAsia" w:ascii="宋体" w:hAnsi="宋体" w:eastAsia="宋体" w:cs="宋体"/>
          <w:color w:val="auto"/>
          <w:kern w:val="0"/>
          <w:sz w:val="24"/>
          <w:szCs w:val="24"/>
          <w:highlight w:val="none"/>
          <w:lang w:val="en-US" w:eastAsia="zh-CN" w:bidi="ar"/>
        </w:rPr>
        <w:t>。</w:t>
      </w:r>
    </w:p>
    <w:p w14:paraId="661A8D14">
      <w:pPr>
        <w:pageBreakBefore w:val="0"/>
        <w:kinsoku/>
        <w:overflowPunct/>
        <w:topLinePunct w:val="0"/>
        <w:bidi w:val="0"/>
        <w:snapToGrid/>
        <w:spacing w:line="288" w:lineRule="auto"/>
        <w:textAlignment w:val="auto"/>
        <w:rPr>
          <w:rFonts w:hint="eastAsia" w:ascii="宋体" w:hAnsi="宋体" w:eastAsia="宋体" w:cs="宋体"/>
          <w:color w:val="auto"/>
          <w:sz w:val="24"/>
          <w:szCs w:val="24"/>
          <w:highlight w:val="none"/>
          <w:lang w:val="en-US"/>
        </w:rPr>
      </w:pPr>
      <w:bookmarkStart w:id="1092" w:name="_Toc26355"/>
      <w:bookmarkStart w:id="1093" w:name="_Toc24107"/>
      <w:r>
        <w:rPr>
          <w:rFonts w:hint="eastAsia" w:ascii="宋体" w:hAnsi="宋体" w:eastAsia="宋体" w:cs="宋体"/>
          <w:color w:val="auto"/>
          <w:sz w:val="24"/>
          <w:szCs w:val="24"/>
          <w:highlight w:val="none"/>
          <w:lang w:val="en-US" w:eastAsia="zh-CN"/>
        </w:rPr>
        <w:t>15.3.2 质量保证金的扣留</w:t>
      </w:r>
      <w:bookmarkEnd w:id="1092"/>
      <w:bookmarkEnd w:id="1093"/>
    </w:p>
    <w:p w14:paraId="2F101E54">
      <w:pPr>
        <w:keepNext w:val="0"/>
        <w:keepLines w:val="0"/>
        <w:pageBreakBefore w:val="0"/>
        <w:widowControl w:val="0"/>
        <w:suppressLineNumbers w:val="0"/>
        <w:kinsoku/>
        <w:overflowPunct/>
        <w:topLinePunct w:val="0"/>
        <w:bidi w:val="0"/>
        <w:snapToGrid/>
        <w:spacing w:before="0" w:beforeAutospacing="0" w:after="0" w:afterAutospacing="0" w:line="288" w:lineRule="auto"/>
        <w:ind w:left="0" w:right="0" w:firstLine="480" w:firstLineChars="200"/>
        <w:jc w:val="left"/>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bidi="ar"/>
        </w:rPr>
        <w:t>质量保证金的扣留采取以下第</w:t>
      </w:r>
      <w:r>
        <w:rPr>
          <w:rFonts w:hint="eastAsia" w:ascii="宋体" w:hAnsi="宋体" w:eastAsia="宋体" w:cs="宋体"/>
          <w:color w:val="auto"/>
          <w:kern w:val="2"/>
          <w:sz w:val="24"/>
          <w:szCs w:val="24"/>
          <w:highlight w:val="none"/>
          <w:u w:val="single"/>
          <w:lang w:val="en-US" w:eastAsia="zh-CN" w:bidi="ar"/>
        </w:rPr>
        <w:t xml:space="preserve">   2  </w:t>
      </w:r>
      <w:r>
        <w:rPr>
          <w:rFonts w:hint="eastAsia" w:ascii="宋体" w:hAnsi="宋体" w:eastAsia="宋体" w:cs="宋体"/>
          <w:color w:val="auto"/>
          <w:kern w:val="2"/>
          <w:sz w:val="24"/>
          <w:szCs w:val="24"/>
          <w:highlight w:val="none"/>
          <w:lang w:val="en-US" w:eastAsia="zh-CN" w:bidi="ar"/>
        </w:rPr>
        <w:t>种方式：</w:t>
      </w:r>
    </w:p>
    <w:p w14:paraId="3F271DF4">
      <w:pPr>
        <w:keepNext w:val="0"/>
        <w:keepLines w:val="0"/>
        <w:pageBreakBefore w:val="0"/>
        <w:widowControl/>
        <w:suppressLineNumbers w:val="0"/>
        <w:kinsoku/>
        <w:wordWrap w:val="0"/>
        <w:overflowPunct/>
        <w:topLinePunct w:val="0"/>
        <w:autoSpaceDE w:val="0"/>
        <w:autoSpaceDN w:val="0"/>
        <w:bidi w:val="0"/>
        <w:adjustRightInd w:val="0"/>
        <w:snapToGrid/>
        <w:spacing w:before="0" w:beforeAutospacing="0" w:after="0" w:afterAutospacing="0" w:line="288" w:lineRule="auto"/>
        <w:ind w:left="0" w:right="0"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（1）在支付工程进度款时逐次扣留，在此情形下，质量保证金的计算基数不包括预付款的支付、扣回以及价格调整的金额；</w:t>
      </w:r>
    </w:p>
    <w:p w14:paraId="6B04E9EB">
      <w:pPr>
        <w:keepNext w:val="0"/>
        <w:keepLines w:val="0"/>
        <w:pageBreakBefore w:val="0"/>
        <w:widowControl/>
        <w:suppressLineNumbers w:val="0"/>
        <w:kinsoku/>
        <w:wordWrap w:val="0"/>
        <w:overflowPunct/>
        <w:topLinePunct w:val="0"/>
        <w:autoSpaceDE w:val="0"/>
        <w:autoSpaceDN w:val="0"/>
        <w:bidi w:val="0"/>
        <w:adjustRightInd w:val="0"/>
        <w:snapToGrid/>
        <w:spacing w:before="0" w:beforeAutospacing="0" w:after="0" w:afterAutospacing="0" w:line="288" w:lineRule="auto"/>
        <w:ind w:left="0" w:right="0"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（2）工程竣工结算时一次性扣留质量保证金；</w:t>
      </w:r>
    </w:p>
    <w:p w14:paraId="4A69EDC1">
      <w:pPr>
        <w:keepNext w:val="0"/>
        <w:keepLines w:val="0"/>
        <w:pageBreakBefore w:val="0"/>
        <w:widowControl w:val="0"/>
        <w:suppressLineNumbers w:val="0"/>
        <w:kinsoku/>
        <w:wordWrap w:val="0"/>
        <w:overflowPunct/>
        <w:topLinePunct w:val="0"/>
        <w:bidi w:val="0"/>
        <w:snapToGrid/>
        <w:spacing w:before="0" w:beforeAutospacing="0" w:after="0" w:afterAutospacing="0" w:line="288" w:lineRule="auto"/>
        <w:ind w:left="0" w:right="0" w:firstLine="480" w:firstLineChars="200"/>
        <w:jc w:val="both"/>
        <w:textAlignment w:val="auto"/>
        <w:rPr>
          <w:rFonts w:hint="eastAsia" w:ascii="宋体" w:hAnsi="宋体" w:eastAsia="宋体" w:cs="宋体"/>
          <w:color w:val="auto"/>
          <w:sz w:val="24"/>
          <w:szCs w:val="24"/>
          <w:highlight w:val="none"/>
          <w:u w:val="single"/>
          <w:lang w:val="en-US"/>
        </w:rPr>
      </w:pPr>
      <w:r>
        <w:rPr>
          <w:rFonts w:hint="eastAsia" w:ascii="宋体" w:hAnsi="宋体" w:eastAsia="宋体" w:cs="宋体"/>
          <w:color w:val="auto"/>
          <w:kern w:val="0"/>
          <w:sz w:val="24"/>
          <w:szCs w:val="24"/>
          <w:highlight w:val="none"/>
          <w:lang w:val="en-US" w:eastAsia="zh-CN" w:bidi="ar"/>
        </w:rPr>
        <w:t>（3）其他扣留方式:</w:t>
      </w:r>
      <w:r>
        <w:rPr>
          <w:rFonts w:hint="eastAsia" w:ascii="宋体" w:hAnsi="宋体" w:eastAsia="宋体" w:cs="宋体"/>
          <w:color w:val="auto"/>
          <w:kern w:val="2"/>
          <w:sz w:val="24"/>
          <w:szCs w:val="24"/>
          <w:highlight w:val="none"/>
          <w:u w:val="single"/>
          <w:lang w:val="en-US" w:eastAsia="zh-CN" w:bidi="ar"/>
        </w:rPr>
        <w:t>/</w:t>
      </w:r>
      <w:r>
        <w:rPr>
          <w:rFonts w:hint="eastAsia" w:ascii="宋体" w:hAnsi="宋体" w:eastAsia="宋体" w:cs="宋体"/>
          <w:b/>
          <w:bCs/>
          <w:color w:val="auto"/>
          <w:kern w:val="2"/>
          <w:sz w:val="24"/>
          <w:szCs w:val="24"/>
          <w:highlight w:val="none"/>
          <w:u w:val="single"/>
          <w:lang w:val="en-US" w:eastAsia="zh-CN" w:bidi="ar"/>
        </w:rPr>
        <w:t>。</w:t>
      </w:r>
    </w:p>
    <w:p w14:paraId="5B09579D">
      <w:pPr>
        <w:keepNext w:val="0"/>
        <w:keepLines w:val="0"/>
        <w:pageBreakBefore w:val="0"/>
        <w:widowControl w:val="0"/>
        <w:suppressLineNumbers w:val="0"/>
        <w:kinsoku/>
        <w:overflowPunct/>
        <w:topLinePunct w:val="0"/>
        <w:bidi w:val="0"/>
        <w:snapToGrid/>
        <w:spacing w:before="0" w:beforeAutospacing="0" w:after="0" w:afterAutospacing="0" w:line="288" w:lineRule="auto"/>
        <w:ind w:left="0" w:right="0" w:firstLine="480" w:firstLineChars="200"/>
        <w:jc w:val="left"/>
        <w:textAlignment w:val="auto"/>
        <w:rPr>
          <w:rFonts w:hint="eastAsia" w:ascii="宋体" w:hAnsi="宋体" w:eastAsia="宋体" w:cs="宋体"/>
          <w:color w:val="auto"/>
          <w:kern w:val="0"/>
          <w:sz w:val="24"/>
          <w:szCs w:val="24"/>
          <w:highlight w:val="none"/>
          <w:u w:val="single"/>
          <w:lang w:val="en-US"/>
        </w:rPr>
      </w:pPr>
      <w:r>
        <w:rPr>
          <w:rFonts w:hint="eastAsia" w:ascii="宋体" w:hAnsi="宋体" w:eastAsia="宋体" w:cs="宋体"/>
          <w:color w:val="auto"/>
          <w:kern w:val="2"/>
          <w:sz w:val="24"/>
          <w:szCs w:val="24"/>
          <w:highlight w:val="none"/>
          <w:lang w:val="en-US" w:eastAsia="zh-CN" w:bidi="ar"/>
        </w:rPr>
        <w:t>关于质量保证金的补充约定：</w:t>
      </w:r>
      <w:r>
        <w:rPr>
          <w:rFonts w:hint="eastAsia" w:ascii="宋体" w:hAnsi="宋体" w:eastAsia="宋体" w:cs="宋体"/>
          <w:color w:val="auto"/>
          <w:kern w:val="2"/>
          <w:sz w:val="24"/>
          <w:szCs w:val="24"/>
          <w:highlight w:val="none"/>
          <w:u w:val="single"/>
          <w:lang w:val="en-US" w:eastAsia="zh-CN" w:bidi="ar"/>
        </w:rPr>
        <w:t>/</w:t>
      </w:r>
      <w:r>
        <w:rPr>
          <w:rFonts w:hint="eastAsia" w:ascii="宋体" w:hAnsi="宋体" w:eastAsia="宋体" w:cs="宋体"/>
          <w:b/>
          <w:bCs/>
          <w:color w:val="auto"/>
          <w:kern w:val="2"/>
          <w:sz w:val="24"/>
          <w:szCs w:val="24"/>
          <w:highlight w:val="none"/>
          <w:u w:val="single"/>
          <w:lang w:val="en-US" w:eastAsia="zh-CN" w:bidi="ar"/>
        </w:rPr>
        <w:t>。</w:t>
      </w:r>
    </w:p>
    <w:p w14:paraId="16206349">
      <w:pPr>
        <w:keepNext/>
        <w:keepLines/>
        <w:pageBreakBefore w:val="0"/>
        <w:widowControl/>
        <w:kinsoku/>
        <w:overflowPunct/>
        <w:topLinePunct w:val="0"/>
        <w:bidi w:val="0"/>
        <w:snapToGrid/>
        <w:spacing w:line="288" w:lineRule="auto"/>
        <w:jc w:val="both"/>
        <w:textAlignment w:val="auto"/>
        <w:outlineLvl w:val="2"/>
        <w:rPr>
          <w:rFonts w:hint="eastAsia" w:ascii="宋体" w:hAnsi="宋体" w:eastAsia="宋体" w:cs="宋体"/>
          <w:b/>
          <w:bCs/>
          <w:color w:val="auto"/>
          <w:kern w:val="2"/>
          <w:sz w:val="24"/>
          <w:szCs w:val="24"/>
          <w:highlight w:val="none"/>
          <w:lang w:val="en-US" w:eastAsia="zh-CN" w:bidi="ar-SA"/>
        </w:rPr>
      </w:pPr>
      <w:bookmarkStart w:id="1094" w:name="_Toc21080"/>
      <w:r>
        <w:rPr>
          <w:rFonts w:hint="eastAsia" w:ascii="宋体" w:hAnsi="宋体" w:eastAsia="宋体" w:cs="宋体"/>
          <w:b/>
          <w:bCs/>
          <w:color w:val="auto"/>
          <w:kern w:val="2"/>
          <w:sz w:val="24"/>
          <w:szCs w:val="24"/>
          <w:highlight w:val="none"/>
          <w:lang w:val="en-US" w:eastAsia="zh-CN" w:bidi="ar-SA"/>
        </w:rPr>
        <w:t>15.4 保修</w:t>
      </w:r>
      <w:bookmarkEnd w:id="1085"/>
      <w:bookmarkEnd w:id="1086"/>
      <w:bookmarkEnd w:id="1087"/>
      <w:bookmarkEnd w:id="1088"/>
      <w:bookmarkEnd w:id="1089"/>
      <w:bookmarkEnd w:id="1094"/>
    </w:p>
    <w:bookmarkEnd w:id="1042"/>
    <w:bookmarkEnd w:id="1043"/>
    <w:bookmarkEnd w:id="1044"/>
    <w:bookmarkEnd w:id="1045"/>
    <w:bookmarkEnd w:id="1046"/>
    <w:p w14:paraId="317E172A">
      <w:pPr>
        <w:keepNext w:val="0"/>
        <w:keepLines w:val="0"/>
        <w:pageBreakBefore w:val="0"/>
        <w:widowControl/>
        <w:suppressLineNumbers w:val="0"/>
        <w:kinsoku/>
        <w:wordWrap w:val="0"/>
        <w:overflowPunct/>
        <w:topLinePunct w:val="0"/>
        <w:bidi w:val="0"/>
        <w:snapToGrid/>
        <w:spacing w:before="0" w:beforeAutospacing="0" w:after="0" w:afterAutospacing="0" w:line="288" w:lineRule="auto"/>
        <w:ind w:left="0" w:right="0" w:firstLine="468" w:firstLineChars="195"/>
        <w:jc w:val="left"/>
        <w:textAlignment w:val="auto"/>
        <w:rPr>
          <w:rFonts w:hint="eastAsia" w:ascii="宋体" w:hAnsi="宋体" w:eastAsia="宋体" w:cs="宋体"/>
          <w:color w:val="auto"/>
          <w:kern w:val="2"/>
          <w:sz w:val="24"/>
          <w:szCs w:val="24"/>
          <w:highlight w:val="none"/>
          <w:lang w:val="en-US" w:eastAsia="zh-CN" w:bidi="ar"/>
        </w:rPr>
      </w:pPr>
      <w:bookmarkStart w:id="1095" w:name="_Toc373227766"/>
      <w:bookmarkStart w:id="1096" w:name="_Toc373478413"/>
      <w:bookmarkStart w:id="1097" w:name="_Toc351203648"/>
      <w:bookmarkStart w:id="1098" w:name="_Toc389065331"/>
      <w:bookmarkStart w:id="1099" w:name="_Toc280868718"/>
      <w:bookmarkStart w:id="1100" w:name="_Toc280868717"/>
      <w:r>
        <w:rPr>
          <w:rFonts w:hint="eastAsia" w:ascii="宋体" w:hAnsi="宋体" w:eastAsia="宋体" w:cs="宋体"/>
          <w:color w:val="auto"/>
          <w:kern w:val="2"/>
          <w:sz w:val="24"/>
          <w:szCs w:val="24"/>
          <w:highlight w:val="none"/>
          <w:lang w:val="en-US" w:eastAsia="zh-CN" w:bidi="ar"/>
        </w:rPr>
        <w:t>15.4.1 保修责任</w:t>
      </w:r>
    </w:p>
    <w:p w14:paraId="21757692">
      <w:pPr>
        <w:keepNext w:val="0"/>
        <w:keepLines w:val="0"/>
        <w:pageBreakBefore w:val="0"/>
        <w:widowControl/>
        <w:suppressLineNumbers w:val="0"/>
        <w:kinsoku/>
        <w:wordWrap w:val="0"/>
        <w:overflowPunct/>
        <w:topLinePunct w:val="0"/>
        <w:bidi w:val="0"/>
        <w:snapToGrid/>
        <w:spacing w:before="0" w:beforeAutospacing="0" w:after="0" w:afterAutospacing="0" w:line="288" w:lineRule="auto"/>
        <w:ind w:left="0" w:right="0" w:firstLine="468" w:firstLineChars="195"/>
        <w:jc w:val="left"/>
        <w:textAlignment w:val="auto"/>
        <w:rPr>
          <w:rFonts w:hint="eastAsia" w:ascii="宋体" w:hAnsi="宋体" w:eastAsia="宋体" w:cs="宋体"/>
          <w:color w:val="auto"/>
          <w:kern w:val="0"/>
          <w:sz w:val="24"/>
          <w:szCs w:val="24"/>
          <w:highlight w:val="none"/>
          <w:u w:val="single"/>
          <w:lang w:val="en-US" w:eastAsia="zh-CN" w:bidi="ar"/>
        </w:rPr>
      </w:pPr>
      <w:r>
        <w:rPr>
          <w:rFonts w:hint="eastAsia" w:ascii="宋体" w:hAnsi="宋体" w:eastAsia="宋体" w:cs="宋体"/>
          <w:color w:val="auto"/>
          <w:kern w:val="2"/>
          <w:sz w:val="24"/>
          <w:szCs w:val="24"/>
          <w:highlight w:val="none"/>
          <w:lang w:val="en-US" w:eastAsia="zh-CN" w:bidi="ar"/>
        </w:rPr>
        <w:t>工程保修期为：</w:t>
      </w:r>
      <w:r>
        <w:rPr>
          <w:rFonts w:hint="eastAsia" w:ascii="宋体" w:hAnsi="宋体" w:eastAsia="宋体" w:cs="宋体"/>
          <w:color w:val="auto"/>
          <w:kern w:val="0"/>
          <w:sz w:val="24"/>
          <w:szCs w:val="24"/>
          <w:highlight w:val="none"/>
          <w:u w:val="single"/>
          <w:lang w:val="en-US" w:eastAsia="zh-CN" w:bidi="ar"/>
        </w:rPr>
        <w:t>见工程质量保修书</w:t>
      </w:r>
      <w:r>
        <w:rPr>
          <w:rFonts w:hint="eastAsia" w:ascii="宋体" w:hAnsi="宋体" w:eastAsia="宋体" w:cs="宋体"/>
          <w:color w:val="auto"/>
          <w:kern w:val="0"/>
          <w:sz w:val="24"/>
          <w:szCs w:val="24"/>
          <w:highlight w:val="none"/>
          <w:lang w:val="en-US" w:eastAsia="zh-CN" w:bidi="ar"/>
        </w:rPr>
        <w:t>。</w:t>
      </w:r>
    </w:p>
    <w:p w14:paraId="7114DF87">
      <w:pPr>
        <w:pageBreakBefore w:val="0"/>
        <w:kinsoku/>
        <w:overflowPunct/>
        <w:topLinePunct w:val="0"/>
        <w:bidi w:val="0"/>
        <w:snapToGrid/>
        <w:spacing w:line="288" w:lineRule="auto"/>
        <w:textAlignment w:val="auto"/>
        <w:rPr>
          <w:rFonts w:hint="eastAsia" w:ascii="宋体" w:hAnsi="宋体" w:eastAsia="宋体" w:cs="宋体"/>
          <w:color w:val="auto"/>
          <w:sz w:val="24"/>
          <w:szCs w:val="24"/>
          <w:highlight w:val="none"/>
          <w:lang w:val="en-US"/>
        </w:rPr>
      </w:pPr>
      <w:bookmarkStart w:id="1101" w:name="_Toc10687"/>
      <w:bookmarkStart w:id="1102" w:name="_Toc5190"/>
      <w:r>
        <w:rPr>
          <w:rFonts w:hint="eastAsia" w:ascii="宋体" w:hAnsi="宋体" w:eastAsia="宋体" w:cs="宋体"/>
          <w:color w:val="auto"/>
          <w:sz w:val="24"/>
          <w:szCs w:val="24"/>
          <w:highlight w:val="none"/>
          <w:lang w:val="en-US"/>
        </w:rPr>
        <w:t xml:space="preserve">15.4.3 </w:t>
      </w:r>
      <w:r>
        <w:rPr>
          <w:rFonts w:hint="eastAsia" w:ascii="宋体" w:hAnsi="宋体" w:eastAsia="宋体" w:cs="宋体"/>
          <w:color w:val="auto"/>
          <w:sz w:val="24"/>
          <w:szCs w:val="24"/>
          <w:highlight w:val="none"/>
          <w:lang w:eastAsia="zh-CN"/>
        </w:rPr>
        <w:t>修复通知</w:t>
      </w:r>
      <w:bookmarkEnd w:id="1101"/>
      <w:bookmarkEnd w:id="1102"/>
    </w:p>
    <w:p w14:paraId="221FC402">
      <w:pPr>
        <w:keepNext w:val="0"/>
        <w:keepLines w:val="0"/>
        <w:pageBreakBefore w:val="0"/>
        <w:widowControl/>
        <w:suppressLineNumbers w:val="0"/>
        <w:kinsoku/>
        <w:wordWrap w:val="0"/>
        <w:overflowPunct/>
        <w:topLinePunct w:val="0"/>
        <w:bidi w:val="0"/>
        <w:snapToGrid/>
        <w:spacing w:before="0" w:beforeAutospacing="0" w:after="0" w:afterAutospacing="0" w:line="288" w:lineRule="auto"/>
        <w:ind w:left="0" w:right="0" w:firstLine="468" w:firstLineChars="195"/>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承包人收到保修通知并到达工程现场的合理时间：</w:t>
      </w:r>
      <w:r>
        <w:rPr>
          <w:rFonts w:hint="eastAsia" w:ascii="宋体" w:hAnsi="宋体" w:eastAsia="宋体" w:cs="宋体"/>
          <w:color w:val="auto"/>
          <w:kern w:val="0"/>
          <w:sz w:val="24"/>
          <w:szCs w:val="24"/>
          <w:highlight w:val="none"/>
          <w:u w:val="single"/>
          <w:lang w:val="en-US" w:eastAsia="zh-CN" w:bidi="ar"/>
        </w:rPr>
        <w:t>收到通知后24小时内</w:t>
      </w:r>
      <w:r>
        <w:rPr>
          <w:rFonts w:hint="eastAsia" w:ascii="宋体" w:hAnsi="宋体" w:eastAsia="宋体" w:cs="宋体"/>
          <w:color w:val="auto"/>
          <w:kern w:val="0"/>
          <w:sz w:val="24"/>
          <w:szCs w:val="24"/>
          <w:highlight w:val="none"/>
          <w:lang w:val="en-US" w:eastAsia="zh-CN" w:bidi="ar"/>
        </w:rPr>
        <w:t>。</w:t>
      </w:r>
    </w:p>
    <w:p w14:paraId="0A71E48C">
      <w:pPr>
        <w:keepNext w:val="0"/>
        <w:keepLines w:val="0"/>
        <w:pageBreakBefore w:val="0"/>
        <w:widowControl w:val="0"/>
        <w:suppressLineNumbers w:val="0"/>
        <w:kinsoku/>
        <w:wordWrap w:val="0"/>
        <w:overflowPunct/>
        <w:topLinePunct w:val="0"/>
        <w:bidi w:val="0"/>
        <w:snapToGrid/>
        <w:spacing w:before="0" w:beforeAutospacing="0" w:after="0" w:afterAutospacing="0" w:line="288" w:lineRule="auto"/>
        <w:ind w:left="0" w:right="0" w:firstLine="480" w:firstLineChars="200"/>
        <w:jc w:val="left"/>
        <w:textAlignment w:val="auto"/>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lang w:val="en-US" w:eastAsia="zh-CN" w:bidi="ar"/>
        </w:rPr>
        <w:t>15.4.4 未能修复</w:t>
      </w:r>
    </w:p>
    <w:p w14:paraId="77673FCA">
      <w:pPr>
        <w:keepNext w:val="0"/>
        <w:keepLines w:val="0"/>
        <w:pageBreakBefore w:val="0"/>
        <w:widowControl w:val="0"/>
        <w:suppressLineNumbers w:val="0"/>
        <w:kinsoku/>
        <w:wordWrap w:val="0"/>
        <w:overflowPunct/>
        <w:topLinePunct w:val="0"/>
        <w:bidi w:val="0"/>
        <w:snapToGrid/>
        <w:spacing w:before="0" w:beforeAutospacing="0" w:after="0" w:afterAutospacing="0" w:line="288" w:lineRule="auto"/>
        <w:ind w:left="0" w:right="0" w:firstLine="480" w:firstLineChars="200"/>
        <w:jc w:val="left"/>
        <w:textAlignment w:val="auto"/>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lang w:val="en-US" w:eastAsia="zh-CN" w:bidi="ar"/>
        </w:rPr>
        <w:t>因承包人原因造成工程的缺陷或损坏，承包人拒绝维修或未能在合理期限内修复缺陷或损坏，且经发包人书面催告后仍未修复的，发包人有权自行修复或委托第三方修复，所需费用由承包人承担，且承包人应按所需费用的20%支付违约金给发包人。但修复范围超出缺陷或损坏范围的，超出范围部分的修复费用由发包人承担。</w:t>
      </w:r>
    </w:p>
    <w:p w14:paraId="65E99A93">
      <w:pPr>
        <w:keepNext w:val="0"/>
        <w:keepLines w:val="0"/>
        <w:pageBreakBefore w:val="0"/>
        <w:widowControl w:val="0"/>
        <w:suppressLineNumbers w:val="0"/>
        <w:kinsoku/>
        <w:wordWrap w:val="0"/>
        <w:overflowPunct/>
        <w:topLinePunct w:val="0"/>
        <w:bidi w:val="0"/>
        <w:snapToGrid/>
        <w:spacing w:before="0" w:beforeAutospacing="0" w:after="0" w:afterAutospacing="0" w:line="288" w:lineRule="auto"/>
        <w:ind w:left="0" w:right="0" w:firstLine="480" w:firstLineChars="200"/>
        <w:jc w:val="left"/>
        <w:textAlignment w:val="auto"/>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lang w:val="en-US" w:eastAsia="zh-CN" w:bidi="ar"/>
        </w:rPr>
        <w:t>发包人有权从质保金中直接扣付以上费用，若质保金不足以扣付以上费用的，发包人有权另行向承包人索赔。</w:t>
      </w:r>
    </w:p>
    <w:p w14:paraId="09DA8498">
      <w:pPr>
        <w:keepNext w:val="0"/>
        <w:keepLines w:val="0"/>
        <w:pageBreakBefore w:val="0"/>
        <w:widowControl w:val="0"/>
        <w:suppressLineNumbers w:val="0"/>
        <w:kinsoku/>
        <w:wordWrap w:val="0"/>
        <w:overflowPunct/>
        <w:topLinePunct w:val="0"/>
        <w:bidi w:val="0"/>
        <w:snapToGrid/>
        <w:spacing w:before="0" w:beforeAutospacing="0" w:after="0" w:afterAutospacing="0" w:line="288" w:lineRule="auto"/>
        <w:ind w:left="0" w:right="0" w:firstLine="480" w:firstLineChars="200"/>
        <w:jc w:val="left"/>
        <w:textAlignment w:val="auto"/>
        <w:rPr>
          <w:rFonts w:hint="eastAsia" w:ascii="宋体" w:hAnsi="宋体" w:eastAsia="宋体" w:cs="宋体"/>
          <w:color w:val="auto"/>
          <w:kern w:val="0"/>
          <w:sz w:val="24"/>
          <w:szCs w:val="24"/>
          <w:highlight w:val="none"/>
          <w:lang w:val="en-US"/>
        </w:rPr>
      </w:pPr>
    </w:p>
    <w:p w14:paraId="73FED2ED">
      <w:pPr>
        <w:keepNext/>
        <w:keepLines/>
        <w:pageBreakBefore w:val="0"/>
        <w:widowControl/>
        <w:kinsoku/>
        <w:overflowPunct/>
        <w:topLinePunct w:val="0"/>
        <w:bidi w:val="0"/>
        <w:snapToGrid/>
        <w:spacing w:line="288" w:lineRule="auto"/>
        <w:jc w:val="left"/>
        <w:textAlignment w:val="auto"/>
        <w:outlineLvl w:val="1"/>
        <w:rPr>
          <w:rFonts w:hint="eastAsia" w:ascii="宋体" w:hAnsi="宋体" w:eastAsia="宋体" w:cs="宋体"/>
          <w:b/>
          <w:bCs/>
          <w:color w:val="auto"/>
          <w:kern w:val="44"/>
          <w:sz w:val="24"/>
          <w:szCs w:val="24"/>
          <w:highlight w:val="none"/>
          <w:lang w:val="en-US" w:eastAsia="zh-CN" w:bidi="ar-SA"/>
        </w:rPr>
      </w:pPr>
      <w:bookmarkStart w:id="1103" w:name="_Toc77255635"/>
      <w:bookmarkStart w:id="1104" w:name="_Toc73356707"/>
      <w:bookmarkStart w:id="1105" w:name="_Toc4273"/>
      <w:bookmarkStart w:id="1106" w:name="_Toc5913"/>
      <w:r>
        <w:rPr>
          <w:rFonts w:hint="eastAsia" w:ascii="宋体" w:hAnsi="宋体" w:eastAsia="宋体" w:cs="宋体"/>
          <w:b/>
          <w:bCs/>
          <w:color w:val="auto"/>
          <w:kern w:val="44"/>
          <w:sz w:val="24"/>
          <w:szCs w:val="24"/>
          <w:highlight w:val="none"/>
          <w:lang w:val="en-US" w:eastAsia="zh-CN" w:bidi="ar-SA"/>
        </w:rPr>
        <w:t>16. 违约</w:t>
      </w:r>
      <w:bookmarkEnd w:id="1095"/>
      <w:bookmarkEnd w:id="1096"/>
      <w:bookmarkEnd w:id="1097"/>
      <w:bookmarkEnd w:id="1098"/>
      <w:bookmarkEnd w:id="1103"/>
      <w:bookmarkEnd w:id="1104"/>
      <w:bookmarkEnd w:id="1105"/>
      <w:bookmarkEnd w:id="1106"/>
    </w:p>
    <w:p w14:paraId="763265DC">
      <w:pPr>
        <w:keepNext/>
        <w:keepLines/>
        <w:pageBreakBefore w:val="0"/>
        <w:widowControl/>
        <w:kinsoku/>
        <w:overflowPunct/>
        <w:topLinePunct w:val="0"/>
        <w:bidi w:val="0"/>
        <w:snapToGrid/>
        <w:spacing w:line="288" w:lineRule="auto"/>
        <w:jc w:val="both"/>
        <w:textAlignment w:val="auto"/>
        <w:outlineLvl w:val="2"/>
        <w:rPr>
          <w:rFonts w:hint="eastAsia" w:ascii="宋体" w:hAnsi="宋体" w:eastAsia="宋体" w:cs="宋体"/>
          <w:b/>
          <w:bCs/>
          <w:color w:val="auto"/>
          <w:kern w:val="2"/>
          <w:sz w:val="24"/>
          <w:szCs w:val="24"/>
          <w:highlight w:val="none"/>
          <w:lang w:val="en-US" w:eastAsia="zh-CN" w:bidi="ar-SA"/>
        </w:rPr>
      </w:pPr>
      <w:bookmarkStart w:id="1107" w:name="_Toc14741"/>
      <w:bookmarkStart w:id="1108" w:name="_Toc373227767"/>
      <w:bookmarkStart w:id="1109" w:name="_Toc73356708"/>
      <w:bookmarkStart w:id="1110" w:name="_Toc373478414"/>
      <w:bookmarkStart w:id="1111" w:name="_Toc389065332"/>
      <w:bookmarkStart w:id="1112" w:name="_Toc77255636"/>
      <w:bookmarkStart w:id="1113" w:name="_Toc30203"/>
      <w:r>
        <w:rPr>
          <w:rFonts w:hint="eastAsia" w:ascii="宋体" w:hAnsi="宋体" w:eastAsia="宋体" w:cs="宋体"/>
          <w:b/>
          <w:bCs/>
          <w:color w:val="auto"/>
          <w:kern w:val="2"/>
          <w:sz w:val="24"/>
          <w:szCs w:val="24"/>
          <w:highlight w:val="none"/>
          <w:lang w:val="en-US" w:eastAsia="zh-CN" w:bidi="ar-SA"/>
        </w:rPr>
        <w:t>16.1 发包人违约</w:t>
      </w:r>
      <w:bookmarkEnd w:id="1107"/>
      <w:bookmarkEnd w:id="1108"/>
      <w:bookmarkEnd w:id="1109"/>
      <w:bookmarkEnd w:id="1110"/>
      <w:bookmarkEnd w:id="1111"/>
      <w:bookmarkEnd w:id="1112"/>
      <w:bookmarkEnd w:id="1113"/>
    </w:p>
    <w:p w14:paraId="64C79F69">
      <w:pPr>
        <w:keepNext w:val="0"/>
        <w:keepLines w:val="0"/>
        <w:pageBreakBefore w:val="0"/>
        <w:widowControl w:val="0"/>
        <w:suppressLineNumbers w:val="0"/>
        <w:kinsoku/>
        <w:overflowPunct/>
        <w:topLinePunct w:val="0"/>
        <w:bidi w:val="0"/>
        <w:snapToGrid/>
        <w:spacing w:before="0" w:beforeAutospacing="0" w:after="0" w:afterAutospacing="0" w:line="288" w:lineRule="auto"/>
        <w:ind w:left="0" w:right="0" w:firstLine="480" w:firstLineChars="200"/>
        <w:jc w:val="left"/>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bidi="ar"/>
        </w:rPr>
        <w:t>16.1.1发包人违约的情形</w:t>
      </w:r>
    </w:p>
    <w:p w14:paraId="31E1B1B3">
      <w:pPr>
        <w:keepNext w:val="0"/>
        <w:keepLines w:val="0"/>
        <w:pageBreakBefore w:val="0"/>
        <w:widowControl/>
        <w:suppressLineNumbers w:val="0"/>
        <w:kinsoku/>
        <w:wordWrap w:val="0"/>
        <w:overflowPunct/>
        <w:topLinePunct w:val="0"/>
        <w:bidi w:val="0"/>
        <w:snapToGrid/>
        <w:spacing w:before="0" w:beforeAutospacing="0" w:after="0" w:afterAutospacing="0" w:line="288" w:lineRule="auto"/>
        <w:ind w:left="0" w:right="0" w:firstLine="480" w:firstLineChars="200"/>
        <w:jc w:val="left"/>
        <w:textAlignment w:val="auto"/>
        <w:rPr>
          <w:rFonts w:hint="eastAsia" w:ascii="宋体" w:hAnsi="宋体" w:eastAsia="宋体" w:cs="宋体"/>
          <w:color w:val="auto"/>
          <w:kern w:val="0"/>
          <w:sz w:val="24"/>
          <w:szCs w:val="24"/>
          <w:highlight w:val="none"/>
          <w:u w:val="single"/>
          <w:lang w:val="en-US" w:eastAsia="zh-CN" w:bidi="ar"/>
        </w:rPr>
      </w:pPr>
      <w:r>
        <w:rPr>
          <w:rFonts w:hint="eastAsia" w:ascii="宋体" w:hAnsi="宋体" w:eastAsia="宋体" w:cs="宋体"/>
          <w:color w:val="auto"/>
          <w:kern w:val="0"/>
          <w:sz w:val="24"/>
          <w:szCs w:val="24"/>
          <w:highlight w:val="none"/>
          <w:lang w:val="en-US" w:eastAsia="zh-CN" w:bidi="ar"/>
        </w:rPr>
        <w:t>发包人违约的其他情形：</w:t>
      </w:r>
      <w:r>
        <w:rPr>
          <w:rFonts w:hint="eastAsia" w:ascii="宋体" w:hAnsi="宋体" w:eastAsia="宋体" w:cs="宋体"/>
          <w:color w:val="auto"/>
          <w:kern w:val="0"/>
          <w:sz w:val="24"/>
          <w:szCs w:val="24"/>
          <w:highlight w:val="none"/>
          <w:u w:val="single"/>
          <w:lang w:val="en-US" w:eastAsia="zh-CN" w:bidi="ar"/>
        </w:rPr>
        <w:t>（1）未按国家相关规定取得项目所需批文和许可，导致承包人进场施工后被迫暂停施工；（2）未能在计划开工日期前7天内下达开工通知；（3）未能按合同约定支付工程款；（4）自行实施被取消的工作或转由他人实施的；（5）提供的材料、工程设备的规格、数量或质量不符合合同约定，或因交货日期延误或交货地点变更等情况的；（6）违反合同约定（如迟延支付工程款等）造成暂停施工的；（7）无正当理由没有在约定期限内发出复工指示；（8）明确表示或者以其行为表明不履行合同主要义务的；（9）未能按照合同约定履行其他义务的</w:t>
      </w:r>
      <w:r>
        <w:rPr>
          <w:rFonts w:hint="eastAsia" w:ascii="宋体" w:hAnsi="宋体" w:eastAsia="宋体" w:cs="宋体"/>
          <w:color w:val="auto"/>
          <w:kern w:val="0"/>
          <w:sz w:val="24"/>
          <w:szCs w:val="24"/>
          <w:highlight w:val="none"/>
          <w:lang w:val="en-US" w:eastAsia="zh-CN" w:bidi="ar"/>
        </w:rPr>
        <w:t>。</w:t>
      </w:r>
    </w:p>
    <w:p w14:paraId="52EE8640">
      <w:pPr>
        <w:pageBreakBefore w:val="0"/>
        <w:kinsoku/>
        <w:overflowPunct/>
        <w:topLinePunct w:val="0"/>
        <w:bidi w:val="0"/>
        <w:snapToGrid/>
        <w:spacing w:line="288" w:lineRule="auto"/>
        <w:textAlignment w:val="auto"/>
        <w:rPr>
          <w:rFonts w:hint="eastAsia" w:ascii="宋体" w:hAnsi="宋体" w:eastAsia="宋体" w:cs="宋体"/>
          <w:color w:val="auto"/>
          <w:sz w:val="24"/>
          <w:szCs w:val="24"/>
          <w:highlight w:val="none"/>
          <w:lang w:val="en-US"/>
        </w:rPr>
      </w:pPr>
      <w:bookmarkStart w:id="1114" w:name="_Toc11632"/>
      <w:bookmarkStart w:id="1115" w:name="_Toc30255"/>
      <w:r>
        <w:rPr>
          <w:rFonts w:hint="eastAsia" w:ascii="宋体" w:hAnsi="宋体" w:eastAsia="宋体" w:cs="宋体"/>
          <w:color w:val="auto"/>
          <w:sz w:val="24"/>
          <w:szCs w:val="24"/>
          <w:highlight w:val="none"/>
          <w:lang w:val="en-US" w:eastAsia="zh-CN"/>
        </w:rPr>
        <w:t>16.1.2 发包人违约的责任</w:t>
      </w:r>
      <w:bookmarkEnd w:id="1114"/>
      <w:bookmarkEnd w:id="1115"/>
    </w:p>
    <w:p w14:paraId="495817B8">
      <w:pPr>
        <w:keepNext w:val="0"/>
        <w:keepLines w:val="0"/>
        <w:pageBreakBefore w:val="0"/>
        <w:widowControl w:val="0"/>
        <w:suppressLineNumbers w:val="0"/>
        <w:kinsoku/>
        <w:overflowPunct/>
        <w:topLinePunct w:val="0"/>
        <w:bidi w:val="0"/>
        <w:snapToGrid/>
        <w:spacing w:before="0" w:beforeAutospacing="0" w:after="0" w:afterAutospacing="0" w:line="288" w:lineRule="auto"/>
        <w:ind w:left="0" w:right="0" w:firstLine="480" w:firstLineChars="200"/>
        <w:jc w:val="left"/>
        <w:textAlignment w:val="auto"/>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lang w:val="en-US" w:eastAsia="zh-CN" w:bidi="ar"/>
        </w:rPr>
        <w:t>发包人违约责任的承担方式和计算方法：</w:t>
      </w:r>
    </w:p>
    <w:p w14:paraId="125D7DE6">
      <w:pPr>
        <w:keepNext w:val="0"/>
        <w:keepLines w:val="0"/>
        <w:pageBreakBefore w:val="0"/>
        <w:widowControl w:val="0"/>
        <w:suppressLineNumbers w:val="0"/>
        <w:kinsoku/>
        <w:overflowPunct/>
        <w:topLinePunct w:val="0"/>
        <w:bidi w:val="0"/>
        <w:snapToGrid/>
        <w:spacing w:before="0" w:beforeAutospacing="0" w:after="0" w:afterAutospacing="0" w:line="288" w:lineRule="auto"/>
        <w:ind w:left="0" w:right="0" w:firstLine="480" w:firstLineChars="200"/>
        <w:jc w:val="left"/>
        <w:textAlignment w:val="auto"/>
        <w:rPr>
          <w:rFonts w:hint="eastAsia" w:ascii="宋体" w:hAnsi="宋体" w:eastAsia="宋体" w:cs="宋体"/>
          <w:color w:val="auto"/>
          <w:kern w:val="0"/>
          <w:sz w:val="24"/>
          <w:szCs w:val="24"/>
          <w:highlight w:val="none"/>
          <w:u w:val="single"/>
          <w:lang w:val="en-US"/>
        </w:rPr>
      </w:pPr>
      <w:r>
        <w:rPr>
          <w:rFonts w:hint="eastAsia" w:ascii="宋体" w:hAnsi="宋体" w:eastAsia="宋体" w:cs="宋体"/>
          <w:color w:val="auto"/>
          <w:kern w:val="0"/>
          <w:sz w:val="24"/>
          <w:szCs w:val="24"/>
          <w:highlight w:val="none"/>
          <w:lang w:val="en-US" w:eastAsia="zh-CN" w:bidi="ar"/>
        </w:rPr>
        <w:t>（1）因发包人原因未能在计划开工日期前7天内下达开工通知的违约责任：</w:t>
      </w:r>
      <w:r>
        <w:rPr>
          <w:rFonts w:hint="eastAsia" w:ascii="宋体" w:hAnsi="宋体" w:eastAsia="宋体" w:cs="宋体"/>
          <w:color w:val="auto"/>
          <w:kern w:val="0"/>
          <w:sz w:val="24"/>
          <w:szCs w:val="24"/>
          <w:highlight w:val="none"/>
          <w:u w:val="single"/>
          <w:lang w:val="en-US" w:eastAsia="zh-CN" w:bidi="ar"/>
        </w:rPr>
        <w:t>双方另行协商</w:t>
      </w:r>
      <w:r>
        <w:rPr>
          <w:rFonts w:hint="eastAsia" w:ascii="宋体" w:hAnsi="宋体" w:eastAsia="宋体" w:cs="宋体"/>
          <w:color w:val="auto"/>
          <w:kern w:val="0"/>
          <w:sz w:val="24"/>
          <w:szCs w:val="24"/>
          <w:highlight w:val="none"/>
          <w:lang w:val="en-US" w:eastAsia="zh-CN" w:bidi="ar"/>
        </w:rPr>
        <w:t>。</w:t>
      </w:r>
    </w:p>
    <w:p w14:paraId="415DA0A8">
      <w:pPr>
        <w:keepNext w:val="0"/>
        <w:keepLines w:val="0"/>
        <w:pageBreakBefore w:val="0"/>
        <w:widowControl/>
        <w:suppressLineNumbers w:val="0"/>
        <w:kinsoku/>
        <w:wordWrap w:val="0"/>
        <w:overflowPunct/>
        <w:topLinePunct w:val="0"/>
        <w:bidi w:val="0"/>
        <w:snapToGrid/>
        <w:spacing w:before="0" w:beforeAutospacing="0" w:after="0" w:afterAutospacing="0" w:line="288" w:lineRule="auto"/>
        <w:ind w:left="0" w:right="0"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（2）因发包人原因未能按合同约定支付合同价款的违约责任：</w:t>
      </w:r>
      <w:r>
        <w:rPr>
          <w:rFonts w:hint="eastAsia" w:ascii="宋体" w:hAnsi="宋体" w:eastAsia="宋体" w:cs="宋体"/>
          <w:b/>
          <w:bCs/>
          <w:color w:val="auto"/>
          <w:kern w:val="0"/>
          <w:sz w:val="24"/>
          <w:szCs w:val="24"/>
          <w:highlight w:val="none"/>
          <w:u w:val="single"/>
          <w:lang w:val="en-US" w:eastAsia="zh-CN" w:bidi="ar"/>
        </w:rPr>
        <w:t>承包人与发包人签订延期付款协议，延期付款协议须经承包人认可</w:t>
      </w:r>
      <w:r>
        <w:rPr>
          <w:rFonts w:hint="eastAsia" w:ascii="宋体" w:hAnsi="宋体" w:eastAsia="宋体" w:cs="宋体"/>
          <w:color w:val="auto"/>
          <w:kern w:val="0"/>
          <w:sz w:val="24"/>
          <w:szCs w:val="24"/>
          <w:highlight w:val="none"/>
          <w:lang w:val="en-US" w:eastAsia="zh-CN" w:bidi="ar"/>
        </w:rPr>
        <w:t>。</w:t>
      </w:r>
    </w:p>
    <w:p w14:paraId="75B33792">
      <w:pPr>
        <w:keepNext w:val="0"/>
        <w:keepLines w:val="0"/>
        <w:pageBreakBefore w:val="0"/>
        <w:widowControl w:val="0"/>
        <w:suppressLineNumbers w:val="0"/>
        <w:kinsoku/>
        <w:overflowPunct/>
        <w:topLinePunct w:val="0"/>
        <w:bidi w:val="0"/>
        <w:snapToGrid/>
        <w:spacing w:before="0" w:beforeAutospacing="0" w:after="0" w:afterAutospacing="0" w:line="288" w:lineRule="auto"/>
        <w:ind w:left="0" w:right="0" w:firstLine="480" w:firstLineChars="200"/>
        <w:jc w:val="left"/>
        <w:textAlignment w:val="auto"/>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lang w:val="en-US" w:eastAsia="zh-CN" w:bidi="ar"/>
        </w:rPr>
        <w:t>（3）发包人违反第10.1款〔变更的范围〕第（2）项约定，自行实施被取消的工作或转由他人实施的违约责任：</w:t>
      </w:r>
      <w:r>
        <w:rPr>
          <w:rFonts w:hint="eastAsia" w:ascii="宋体" w:hAnsi="宋体" w:eastAsia="宋体" w:cs="宋体"/>
          <w:color w:val="auto"/>
          <w:kern w:val="0"/>
          <w:sz w:val="24"/>
          <w:szCs w:val="24"/>
          <w:highlight w:val="none"/>
          <w:u w:val="single"/>
          <w:lang w:val="en-US" w:eastAsia="zh-CN" w:bidi="ar"/>
        </w:rPr>
        <w:t>双方另行协商</w:t>
      </w:r>
      <w:r>
        <w:rPr>
          <w:rFonts w:hint="eastAsia" w:ascii="宋体" w:hAnsi="宋体" w:eastAsia="宋体" w:cs="宋体"/>
          <w:color w:val="auto"/>
          <w:kern w:val="0"/>
          <w:sz w:val="24"/>
          <w:szCs w:val="24"/>
          <w:highlight w:val="none"/>
          <w:lang w:val="en-US" w:eastAsia="zh-CN" w:bidi="ar"/>
        </w:rPr>
        <w:t>。</w:t>
      </w:r>
    </w:p>
    <w:p w14:paraId="7B2172EA">
      <w:pPr>
        <w:keepNext w:val="0"/>
        <w:keepLines w:val="0"/>
        <w:pageBreakBefore w:val="0"/>
        <w:widowControl/>
        <w:suppressLineNumbers w:val="0"/>
        <w:kinsoku/>
        <w:wordWrap w:val="0"/>
        <w:overflowPunct/>
        <w:topLinePunct w:val="0"/>
        <w:bidi w:val="0"/>
        <w:snapToGrid/>
        <w:spacing w:before="0" w:beforeAutospacing="0" w:after="0" w:afterAutospacing="0" w:line="288" w:lineRule="auto"/>
        <w:ind w:left="0" w:right="0"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（4）发包人提供的材料、工程设备的规格、数量或质量不符合合同约定，或因发包人原因导致交货日期延误或交货地点变更等情况的违约责任：</w:t>
      </w:r>
      <w:r>
        <w:rPr>
          <w:rFonts w:hint="eastAsia" w:ascii="宋体" w:hAnsi="宋体" w:eastAsia="宋体" w:cs="宋体"/>
          <w:color w:val="auto"/>
          <w:kern w:val="0"/>
          <w:sz w:val="24"/>
          <w:szCs w:val="24"/>
          <w:highlight w:val="none"/>
          <w:u w:val="single"/>
          <w:lang w:val="en-US" w:eastAsia="zh-CN" w:bidi="ar"/>
        </w:rPr>
        <w:t>发包人承担承包人因暂停施工所导致的工程费用的增加（须经发包人确认），包括但不限于承包人施工人员管理费、工人误工费、机械设备和内外脚手架的闲置租金费、材料损耗费及其他发生的费用等，且工期相应顺延（须经发包人确认）</w:t>
      </w:r>
      <w:r>
        <w:rPr>
          <w:rFonts w:hint="eastAsia" w:ascii="宋体" w:hAnsi="宋体" w:eastAsia="宋体" w:cs="宋体"/>
          <w:color w:val="auto"/>
          <w:kern w:val="0"/>
          <w:sz w:val="24"/>
          <w:szCs w:val="24"/>
          <w:highlight w:val="none"/>
          <w:lang w:val="en-US" w:eastAsia="zh-CN" w:bidi="ar"/>
        </w:rPr>
        <w:t>。</w:t>
      </w:r>
    </w:p>
    <w:p w14:paraId="3AA9DE9D">
      <w:pPr>
        <w:keepNext w:val="0"/>
        <w:keepLines w:val="0"/>
        <w:pageBreakBefore w:val="0"/>
        <w:widowControl/>
        <w:suppressLineNumbers w:val="0"/>
        <w:kinsoku/>
        <w:wordWrap w:val="0"/>
        <w:overflowPunct/>
        <w:topLinePunct w:val="0"/>
        <w:bidi w:val="0"/>
        <w:snapToGrid/>
        <w:spacing w:before="0" w:beforeAutospacing="0" w:after="0" w:afterAutospacing="0" w:line="288" w:lineRule="auto"/>
        <w:ind w:left="0" w:right="0" w:firstLine="480" w:firstLineChars="200"/>
        <w:jc w:val="left"/>
        <w:textAlignment w:val="auto"/>
        <w:rPr>
          <w:rFonts w:hint="eastAsia" w:ascii="宋体" w:hAnsi="宋体" w:eastAsia="宋体" w:cs="宋体"/>
          <w:color w:val="auto"/>
          <w:kern w:val="0"/>
          <w:sz w:val="24"/>
          <w:szCs w:val="24"/>
          <w:highlight w:val="none"/>
          <w:u w:val="single"/>
          <w:lang w:val="en-US" w:eastAsia="zh-CN" w:bidi="ar"/>
        </w:rPr>
      </w:pPr>
      <w:r>
        <w:rPr>
          <w:rFonts w:hint="eastAsia" w:ascii="宋体" w:hAnsi="宋体" w:eastAsia="宋体" w:cs="宋体"/>
          <w:color w:val="auto"/>
          <w:kern w:val="0"/>
          <w:sz w:val="24"/>
          <w:szCs w:val="24"/>
          <w:highlight w:val="none"/>
          <w:lang w:val="en-US" w:eastAsia="zh-CN" w:bidi="ar"/>
        </w:rPr>
        <w:t>（5）因发包人违反合同约定造成暂停施工的违约责任：</w:t>
      </w:r>
      <w:r>
        <w:rPr>
          <w:rFonts w:hint="eastAsia" w:ascii="宋体" w:hAnsi="宋体" w:eastAsia="宋体" w:cs="宋体"/>
          <w:color w:val="auto"/>
          <w:kern w:val="0"/>
          <w:sz w:val="24"/>
          <w:szCs w:val="24"/>
          <w:highlight w:val="none"/>
          <w:u w:val="single"/>
          <w:lang w:val="en-US" w:eastAsia="zh-CN" w:bidi="ar"/>
        </w:rPr>
        <w:t>发包人承担承包人因暂停施工所导致的工程费用的增加（须经发包人确认），包括但不限于承包人施工人员管理费、工人误工费、机械设备和内外脚手架的闲置租金费、材料损耗费及其他发生的费用等，且工期相应顺延（须经发包人确认）</w:t>
      </w:r>
      <w:r>
        <w:rPr>
          <w:rFonts w:hint="eastAsia" w:ascii="宋体" w:hAnsi="宋体" w:eastAsia="宋体" w:cs="宋体"/>
          <w:color w:val="auto"/>
          <w:kern w:val="0"/>
          <w:sz w:val="24"/>
          <w:szCs w:val="24"/>
          <w:highlight w:val="none"/>
          <w:lang w:val="en-US" w:eastAsia="zh-CN" w:bidi="ar"/>
        </w:rPr>
        <w:t>。</w:t>
      </w:r>
    </w:p>
    <w:p w14:paraId="17E652C6">
      <w:pPr>
        <w:keepNext w:val="0"/>
        <w:keepLines w:val="0"/>
        <w:pageBreakBefore w:val="0"/>
        <w:widowControl/>
        <w:suppressLineNumbers w:val="0"/>
        <w:kinsoku/>
        <w:wordWrap w:val="0"/>
        <w:overflowPunct/>
        <w:topLinePunct w:val="0"/>
        <w:bidi w:val="0"/>
        <w:snapToGrid/>
        <w:spacing w:before="0" w:beforeAutospacing="0" w:after="0" w:afterAutospacing="0" w:line="288" w:lineRule="auto"/>
        <w:ind w:left="0" w:right="0"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（6）发包人无正当理由没有在约定期限内发出复工指示，导致承包人无法复工超过84天的违约责任：</w:t>
      </w:r>
      <w:r>
        <w:rPr>
          <w:rFonts w:hint="eastAsia" w:ascii="宋体" w:hAnsi="宋体" w:eastAsia="宋体" w:cs="宋体"/>
          <w:color w:val="auto"/>
          <w:kern w:val="0"/>
          <w:sz w:val="24"/>
          <w:szCs w:val="24"/>
          <w:highlight w:val="none"/>
          <w:u w:val="single"/>
          <w:lang w:val="en-US" w:eastAsia="zh-CN" w:bidi="ar"/>
        </w:rPr>
        <w:t>承包人享有解除合同的权利，发包人应赔偿由此给承包人造成的全部经济损失</w:t>
      </w:r>
      <w:r>
        <w:rPr>
          <w:rFonts w:hint="eastAsia" w:ascii="宋体" w:hAnsi="宋体" w:eastAsia="宋体" w:cs="宋体"/>
          <w:color w:val="auto"/>
          <w:kern w:val="0"/>
          <w:sz w:val="24"/>
          <w:szCs w:val="24"/>
          <w:highlight w:val="none"/>
          <w:lang w:val="en-US" w:eastAsia="zh-CN" w:bidi="ar"/>
        </w:rPr>
        <w:t>。</w:t>
      </w:r>
    </w:p>
    <w:p w14:paraId="6C9018EB">
      <w:pPr>
        <w:keepNext w:val="0"/>
        <w:keepLines w:val="0"/>
        <w:pageBreakBefore w:val="0"/>
        <w:widowControl/>
        <w:suppressLineNumbers w:val="0"/>
        <w:kinsoku/>
        <w:wordWrap w:val="0"/>
        <w:overflowPunct/>
        <w:topLinePunct w:val="0"/>
        <w:bidi w:val="0"/>
        <w:snapToGrid/>
        <w:spacing w:before="0" w:beforeAutospacing="0" w:after="0" w:afterAutospacing="0" w:line="288" w:lineRule="auto"/>
        <w:ind w:left="0" w:right="0"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（7）其他：</w:t>
      </w:r>
      <w:r>
        <w:rPr>
          <w:rFonts w:hint="eastAsia" w:ascii="宋体" w:hAnsi="宋体" w:eastAsia="宋体" w:cs="宋体"/>
          <w:color w:val="auto"/>
          <w:kern w:val="0"/>
          <w:sz w:val="24"/>
          <w:szCs w:val="24"/>
          <w:highlight w:val="none"/>
          <w:u w:val="single"/>
          <w:lang w:val="en-US" w:eastAsia="zh-CN" w:bidi="ar"/>
        </w:rPr>
        <w:t>非承包人原因造成工程停工且工程停工连续超过84天时，承包人有权选择单方解除本合同，发包人应赔偿由此给承包人造成的全部经济损失。如因国家和地方重大政策调整、地方政府强制规定要求造成的停工，发包人同意顺延工期和双方另行协商</w:t>
      </w:r>
      <w:r>
        <w:rPr>
          <w:rFonts w:hint="eastAsia" w:ascii="宋体" w:hAnsi="宋体" w:eastAsia="宋体" w:cs="宋体"/>
          <w:color w:val="auto"/>
          <w:kern w:val="0"/>
          <w:sz w:val="24"/>
          <w:szCs w:val="24"/>
          <w:highlight w:val="none"/>
          <w:lang w:val="en-US" w:eastAsia="zh-CN" w:bidi="ar"/>
        </w:rPr>
        <w:t>。</w:t>
      </w:r>
    </w:p>
    <w:p w14:paraId="341D92F8">
      <w:pPr>
        <w:keepNext w:val="0"/>
        <w:keepLines w:val="0"/>
        <w:pageBreakBefore w:val="0"/>
        <w:widowControl w:val="0"/>
        <w:suppressLineNumbers w:val="0"/>
        <w:kinsoku/>
        <w:overflowPunct/>
        <w:topLinePunct w:val="0"/>
        <w:bidi w:val="0"/>
        <w:snapToGrid/>
        <w:spacing w:before="0" w:beforeAutospacing="0" w:after="0" w:afterAutospacing="0" w:line="288" w:lineRule="auto"/>
        <w:ind w:left="0" w:right="0" w:firstLine="480" w:firstLineChars="200"/>
        <w:jc w:val="left"/>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bidi="ar"/>
        </w:rPr>
        <w:t>16.1.3 因发包人违约解除合同</w:t>
      </w:r>
    </w:p>
    <w:p w14:paraId="3846A72C">
      <w:pPr>
        <w:keepNext w:val="0"/>
        <w:keepLines w:val="0"/>
        <w:pageBreakBefore w:val="0"/>
        <w:widowControl w:val="0"/>
        <w:suppressLineNumbers w:val="0"/>
        <w:kinsoku/>
        <w:overflowPunct/>
        <w:topLinePunct w:val="0"/>
        <w:autoSpaceDE w:val="0"/>
        <w:autoSpaceDN w:val="0"/>
        <w:bidi w:val="0"/>
        <w:adjustRightInd w:val="0"/>
        <w:snapToGrid/>
        <w:spacing w:before="0" w:beforeAutospacing="0" w:after="0" w:afterAutospacing="0" w:line="288" w:lineRule="auto"/>
        <w:ind w:left="0" w:right="0" w:firstLine="480" w:firstLineChars="200"/>
        <w:jc w:val="left"/>
        <w:textAlignment w:val="auto"/>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lang w:val="en-US" w:eastAsia="zh-CN" w:bidi="ar"/>
        </w:rPr>
        <w:t>承包人按16.1.1项〔发包人违约的情形〕约定暂停施工满</w:t>
      </w:r>
      <w:r>
        <w:rPr>
          <w:rFonts w:hint="eastAsia" w:ascii="宋体" w:hAnsi="宋体" w:eastAsia="宋体" w:cs="宋体"/>
          <w:color w:val="auto"/>
          <w:kern w:val="0"/>
          <w:sz w:val="24"/>
          <w:szCs w:val="24"/>
          <w:highlight w:val="none"/>
          <w:u w:val="single"/>
          <w:lang w:val="en-US" w:eastAsia="zh-CN" w:bidi="ar"/>
        </w:rPr>
        <w:t xml:space="preserve">  30  </w:t>
      </w:r>
      <w:r>
        <w:rPr>
          <w:rFonts w:hint="eastAsia" w:ascii="宋体" w:hAnsi="宋体" w:eastAsia="宋体" w:cs="宋体"/>
          <w:color w:val="auto"/>
          <w:kern w:val="0"/>
          <w:sz w:val="24"/>
          <w:szCs w:val="24"/>
          <w:highlight w:val="none"/>
          <w:lang w:val="en-US" w:eastAsia="zh-CN" w:bidi="ar"/>
        </w:rPr>
        <w:t>天后发包人仍不纠正其违约行为并致使合同目的不能实现的，承包人有权解除合同。</w:t>
      </w:r>
    </w:p>
    <w:p w14:paraId="5C0076E0">
      <w:pPr>
        <w:keepNext/>
        <w:keepLines/>
        <w:pageBreakBefore w:val="0"/>
        <w:widowControl/>
        <w:kinsoku/>
        <w:overflowPunct/>
        <w:topLinePunct w:val="0"/>
        <w:bidi w:val="0"/>
        <w:snapToGrid/>
        <w:spacing w:line="288" w:lineRule="auto"/>
        <w:jc w:val="both"/>
        <w:textAlignment w:val="auto"/>
        <w:outlineLvl w:val="2"/>
        <w:rPr>
          <w:rFonts w:hint="eastAsia" w:ascii="宋体" w:hAnsi="宋体" w:eastAsia="宋体" w:cs="宋体"/>
          <w:b/>
          <w:bCs/>
          <w:color w:val="auto"/>
          <w:kern w:val="2"/>
          <w:sz w:val="24"/>
          <w:szCs w:val="24"/>
          <w:highlight w:val="none"/>
          <w:lang w:val="en-US" w:eastAsia="zh-CN" w:bidi="ar-SA"/>
        </w:rPr>
      </w:pPr>
      <w:bookmarkStart w:id="1116" w:name="_Toc26949"/>
      <w:bookmarkStart w:id="1117" w:name="_Toc77255637"/>
      <w:bookmarkStart w:id="1118" w:name="_Toc389065333"/>
      <w:bookmarkStart w:id="1119" w:name="_Toc373227768"/>
      <w:bookmarkStart w:id="1120" w:name="_Toc73356709"/>
      <w:bookmarkStart w:id="1121" w:name="_Toc11317"/>
      <w:bookmarkStart w:id="1122" w:name="_Toc373478415"/>
      <w:r>
        <w:rPr>
          <w:rFonts w:hint="eastAsia" w:ascii="宋体" w:hAnsi="宋体" w:eastAsia="宋体" w:cs="宋体"/>
          <w:b/>
          <w:bCs/>
          <w:color w:val="auto"/>
          <w:kern w:val="2"/>
          <w:sz w:val="24"/>
          <w:szCs w:val="24"/>
          <w:highlight w:val="none"/>
          <w:lang w:val="en-US" w:eastAsia="zh-CN" w:bidi="ar-SA"/>
        </w:rPr>
        <w:t>16.2 承包人违约</w:t>
      </w:r>
      <w:bookmarkEnd w:id="1116"/>
      <w:bookmarkEnd w:id="1117"/>
      <w:bookmarkEnd w:id="1118"/>
      <w:bookmarkEnd w:id="1119"/>
      <w:bookmarkEnd w:id="1120"/>
      <w:bookmarkEnd w:id="1121"/>
      <w:bookmarkEnd w:id="1122"/>
    </w:p>
    <w:p w14:paraId="12D7284A">
      <w:pPr>
        <w:pageBreakBefore w:val="0"/>
        <w:kinsoku/>
        <w:overflowPunct/>
        <w:topLinePunct w:val="0"/>
        <w:bidi w:val="0"/>
        <w:snapToGrid/>
        <w:spacing w:line="288" w:lineRule="auto"/>
        <w:textAlignment w:val="auto"/>
        <w:rPr>
          <w:rFonts w:hint="eastAsia" w:ascii="宋体" w:hAnsi="宋体" w:eastAsia="宋体" w:cs="宋体"/>
          <w:color w:val="auto"/>
          <w:sz w:val="24"/>
          <w:szCs w:val="24"/>
          <w:highlight w:val="none"/>
          <w:lang w:val="en-US"/>
        </w:rPr>
      </w:pPr>
      <w:bookmarkStart w:id="1123" w:name="_Toc7212"/>
      <w:bookmarkStart w:id="1124" w:name="_Toc26950"/>
      <w:r>
        <w:rPr>
          <w:rFonts w:hint="eastAsia" w:ascii="宋体" w:hAnsi="宋体" w:eastAsia="宋体" w:cs="宋体"/>
          <w:color w:val="auto"/>
          <w:sz w:val="24"/>
          <w:szCs w:val="24"/>
          <w:highlight w:val="none"/>
          <w:lang w:val="en-US" w:eastAsia="zh-CN"/>
        </w:rPr>
        <w:t>16.2.1 承包人违约的情形</w:t>
      </w:r>
      <w:bookmarkEnd w:id="1123"/>
      <w:bookmarkEnd w:id="1124"/>
    </w:p>
    <w:p w14:paraId="6EC69851">
      <w:pPr>
        <w:keepNext w:val="0"/>
        <w:keepLines w:val="0"/>
        <w:pageBreakBefore w:val="0"/>
        <w:widowControl w:val="0"/>
        <w:suppressLineNumbers w:val="0"/>
        <w:kinsoku/>
        <w:overflowPunct/>
        <w:topLinePunct w:val="0"/>
        <w:bidi w:val="0"/>
        <w:snapToGrid/>
        <w:spacing w:before="0" w:beforeAutospacing="0" w:after="0" w:afterAutospacing="0" w:line="288" w:lineRule="auto"/>
        <w:ind w:left="0" w:right="0" w:firstLine="480" w:firstLineChars="200"/>
        <w:jc w:val="left"/>
        <w:textAlignment w:val="auto"/>
        <w:rPr>
          <w:rFonts w:hint="eastAsia" w:ascii="宋体" w:hAnsi="宋体" w:eastAsia="宋体" w:cs="宋体"/>
          <w:color w:val="auto"/>
          <w:kern w:val="0"/>
          <w:sz w:val="24"/>
          <w:szCs w:val="24"/>
          <w:highlight w:val="none"/>
          <w:u w:val="single"/>
          <w:lang w:val="en-US"/>
        </w:rPr>
      </w:pPr>
      <w:r>
        <w:rPr>
          <w:rFonts w:hint="eastAsia" w:ascii="宋体" w:hAnsi="宋体" w:eastAsia="宋体" w:cs="宋体"/>
          <w:color w:val="auto"/>
          <w:kern w:val="0"/>
          <w:sz w:val="24"/>
          <w:szCs w:val="24"/>
          <w:highlight w:val="none"/>
          <w:lang w:val="en-US" w:eastAsia="zh-CN" w:bidi="ar"/>
        </w:rPr>
        <w:t>承包人违约的其他情形：</w:t>
      </w:r>
      <w:r>
        <w:rPr>
          <w:rFonts w:hint="eastAsia" w:ascii="宋体" w:hAnsi="宋体" w:eastAsia="宋体" w:cs="宋体"/>
          <w:b/>
          <w:bCs/>
          <w:color w:val="auto"/>
          <w:kern w:val="0"/>
          <w:sz w:val="24"/>
          <w:szCs w:val="24"/>
          <w:highlight w:val="none"/>
          <w:u w:val="single"/>
          <w:lang w:val="en-US" w:eastAsia="zh-CN" w:bidi="ar"/>
        </w:rPr>
        <w:t>承包人有违反《南宁市建设工程造价管理办法》</w:t>
      </w:r>
      <w:r>
        <w:rPr>
          <w:rFonts w:hint="eastAsia" w:ascii="宋体" w:hAnsi="宋体" w:eastAsia="宋体" w:cs="宋体"/>
          <w:b/>
          <w:bCs/>
          <w:color w:val="auto"/>
          <w:kern w:val="2"/>
          <w:sz w:val="24"/>
          <w:szCs w:val="24"/>
          <w:highlight w:val="none"/>
          <w:u w:val="single"/>
          <w:lang w:val="en-US" w:eastAsia="zh-CN" w:bidi="ar"/>
        </w:rPr>
        <w:t>（南宁市人民政府令2007年第5号）</w:t>
      </w:r>
      <w:r>
        <w:rPr>
          <w:rFonts w:hint="eastAsia" w:ascii="宋体" w:hAnsi="宋体" w:eastAsia="宋体" w:cs="宋体"/>
          <w:b/>
          <w:bCs/>
          <w:color w:val="auto"/>
          <w:kern w:val="0"/>
          <w:sz w:val="24"/>
          <w:szCs w:val="24"/>
          <w:highlight w:val="none"/>
          <w:u w:val="single"/>
          <w:lang w:val="en-US" w:eastAsia="zh-CN" w:bidi="ar"/>
        </w:rPr>
        <w:t>规定的，按规定给予处罚</w:t>
      </w:r>
      <w:r>
        <w:rPr>
          <w:rFonts w:hint="eastAsia" w:ascii="宋体" w:hAnsi="宋体" w:eastAsia="宋体" w:cs="宋体"/>
          <w:color w:val="auto"/>
          <w:kern w:val="0"/>
          <w:sz w:val="24"/>
          <w:szCs w:val="24"/>
          <w:highlight w:val="none"/>
          <w:lang w:val="en-US" w:eastAsia="zh-CN" w:bidi="ar"/>
        </w:rPr>
        <w:t>。</w:t>
      </w:r>
    </w:p>
    <w:p w14:paraId="3B7AB6D2">
      <w:pPr>
        <w:pageBreakBefore w:val="0"/>
        <w:kinsoku/>
        <w:overflowPunct/>
        <w:topLinePunct w:val="0"/>
        <w:bidi w:val="0"/>
        <w:snapToGrid/>
        <w:spacing w:line="288" w:lineRule="auto"/>
        <w:textAlignment w:val="auto"/>
        <w:rPr>
          <w:rFonts w:hint="eastAsia" w:ascii="宋体" w:hAnsi="宋体" w:eastAsia="宋体" w:cs="宋体"/>
          <w:color w:val="auto"/>
          <w:sz w:val="24"/>
          <w:szCs w:val="24"/>
          <w:highlight w:val="none"/>
          <w:lang w:val="en-US"/>
        </w:rPr>
      </w:pPr>
      <w:bookmarkStart w:id="1125" w:name="_Toc8616"/>
      <w:bookmarkStart w:id="1126" w:name="_Toc13411"/>
      <w:r>
        <w:rPr>
          <w:rFonts w:hint="eastAsia" w:ascii="宋体" w:hAnsi="宋体" w:eastAsia="宋体" w:cs="宋体"/>
          <w:color w:val="auto"/>
          <w:sz w:val="24"/>
          <w:szCs w:val="24"/>
          <w:highlight w:val="none"/>
          <w:lang w:val="en-US" w:eastAsia="zh-CN"/>
        </w:rPr>
        <w:t>16.2.2承包人违约的责任</w:t>
      </w:r>
      <w:bookmarkEnd w:id="1125"/>
      <w:bookmarkEnd w:id="1126"/>
    </w:p>
    <w:p w14:paraId="504FDBA3">
      <w:pPr>
        <w:keepNext w:val="0"/>
        <w:keepLines w:val="0"/>
        <w:pageBreakBefore w:val="0"/>
        <w:widowControl w:val="0"/>
        <w:suppressLineNumbers w:val="0"/>
        <w:kinsoku/>
        <w:overflowPunct/>
        <w:topLinePunct w:val="0"/>
        <w:bidi w:val="0"/>
        <w:snapToGrid/>
        <w:spacing w:before="0" w:beforeAutospacing="0" w:after="0" w:afterAutospacing="0" w:line="288" w:lineRule="auto"/>
        <w:ind w:left="0" w:right="0" w:firstLine="480" w:firstLineChars="200"/>
        <w:jc w:val="left"/>
        <w:textAlignment w:val="auto"/>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lang w:val="en-US" w:eastAsia="zh-CN" w:bidi="ar"/>
        </w:rPr>
        <w:t>承包人违约责任的承担方式和计算方法：</w:t>
      </w:r>
    </w:p>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99"/>
    <w:bookmarkEnd w:id="1100"/>
    <w:p w14:paraId="6A9D3274">
      <w:pPr>
        <w:keepNext w:val="0"/>
        <w:keepLines w:val="0"/>
        <w:pageBreakBefore w:val="0"/>
        <w:widowControl/>
        <w:suppressLineNumbers w:val="0"/>
        <w:kinsoku/>
        <w:wordWrap w:val="0"/>
        <w:overflowPunct/>
        <w:topLinePunct w:val="0"/>
        <w:bidi w:val="0"/>
        <w:snapToGrid/>
        <w:spacing w:before="0" w:beforeAutospacing="0" w:after="0" w:afterAutospacing="0" w:line="288" w:lineRule="auto"/>
        <w:ind w:left="0" w:right="0" w:firstLine="480" w:firstLineChars="200"/>
        <w:jc w:val="left"/>
        <w:textAlignment w:val="auto"/>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1）承包人未按本合同通用条款第16.2.1（2）-（3）条内容完成的，承包人无条件更换不合格的材料、工程设备和返工处理，修复至工程质量要求并承担相关费用，并在发包人规定的时间内完成返工，否则发包人有权扣罚该分项工程10%的工程款作为处罚。</w:t>
      </w:r>
    </w:p>
    <w:p w14:paraId="2480F5AE">
      <w:pPr>
        <w:keepNext w:val="0"/>
        <w:keepLines w:val="0"/>
        <w:pageBreakBefore w:val="0"/>
        <w:widowControl/>
        <w:suppressLineNumbers w:val="0"/>
        <w:kinsoku/>
        <w:wordWrap w:val="0"/>
        <w:overflowPunct/>
        <w:topLinePunct w:val="0"/>
        <w:bidi w:val="0"/>
        <w:snapToGrid/>
        <w:spacing w:before="0" w:beforeAutospacing="0" w:after="0" w:afterAutospacing="0" w:line="288" w:lineRule="auto"/>
        <w:ind w:left="0" w:right="0" w:firstLine="480" w:firstLineChars="200"/>
        <w:jc w:val="left"/>
        <w:textAlignment w:val="auto"/>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（2）承包人有本合同通用条款第16.2.1（6）条情形的，或经发包人检验认为修复质量不合格而承包人拒绝再进行修补的，发包人将扣除承包人部分质量保证金。</w:t>
      </w:r>
    </w:p>
    <w:p w14:paraId="40DFC4C2">
      <w:pPr>
        <w:keepNext w:val="0"/>
        <w:keepLines w:val="0"/>
        <w:pageBreakBefore w:val="0"/>
        <w:widowControl/>
        <w:suppressLineNumbers w:val="0"/>
        <w:kinsoku/>
        <w:wordWrap w:val="0"/>
        <w:overflowPunct/>
        <w:topLinePunct w:val="0"/>
        <w:bidi w:val="0"/>
        <w:snapToGrid/>
        <w:spacing w:before="0" w:beforeAutospacing="0" w:after="0" w:afterAutospacing="0" w:line="288" w:lineRule="auto"/>
        <w:ind w:left="0" w:right="0" w:firstLine="480" w:firstLineChars="200"/>
        <w:jc w:val="left"/>
        <w:textAlignment w:val="auto"/>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3）承包人有本专用合同条款3.2、3.3条违约责任的，发包人有权扣除承包人的违约金。违约金金额均在承包人的计量支付款内扣除。发包人预先下发含有罚款意向的指令，如承包人不及时采取措施纠正，则在指令下达后十五天下发罚款通知书（不再陈述罚款理由）。</w:t>
      </w:r>
    </w:p>
    <w:p w14:paraId="353C5743">
      <w:pPr>
        <w:keepNext w:val="0"/>
        <w:keepLines w:val="0"/>
        <w:pageBreakBefore w:val="0"/>
        <w:widowControl/>
        <w:suppressLineNumbers w:val="0"/>
        <w:kinsoku/>
        <w:wordWrap w:val="0"/>
        <w:overflowPunct/>
        <w:topLinePunct w:val="0"/>
        <w:bidi w:val="0"/>
        <w:snapToGrid/>
        <w:spacing w:before="0" w:beforeAutospacing="0" w:after="0" w:afterAutospacing="0" w:line="288" w:lineRule="auto"/>
        <w:ind w:left="0" w:right="0" w:firstLine="480" w:firstLineChars="200"/>
        <w:jc w:val="left"/>
        <w:textAlignment w:val="auto"/>
        <w:rPr>
          <w:rFonts w:hint="eastAsia" w:ascii="宋体" w:hAnsi="宋体" w:eastAsia="宋体" w:cs="宋体"/>
          <w:color w:val="auto"/>
          <w:kern w:val="0"/>
          <w:sz w:val="24"/>
          <w:szCs w:val="24"/>
          <w:highlight w:val="none"/>
          <w:lang w:val="en-US" w:eastAsia="zh-CN" w:bidi="ar"/>
        </w:rPr>
      </w:pPr>
      <w:bookmarkStart w:id="1127" w:name="OLE_LINK18"/>
      <w:r>
        <w:rPr>
          <w:rFonts w:hint="eastAsia" w:ascii="宋体" w:hAnsi="宋体" w:eastAsia="宋体" w:cs="宋体"/>
          <w:color w:val="auto"/>
          <w:kern w:val="0"/>
          <w:sz w:val="24"/>
          <w:szCs w:val="24"/>
          <w:highlight w:val="none"/>
          <w:lang w:val="en-US" w:eastAsia="zh-CN" w:bidi="ar"/>
        </w:rPr>
        <w:t>（4）承包人必须协助业主办理行政退费手续（如散装水泥专项基金、农民工工资保证金等）。</w:t>
      </w:r>
    </w:p>
    <w:p w14:paraId="09E7B67A">
      <w:pPr>
        <w:keepNext w:val="0"/>
        <w:keepLines w:val="0"/>
        <w:pageBreakBefore w:val="0"/>
        <w:widowControl/>
        <w:suppressLineNumbers w:val="0"/>
        <w:kinsoku/>
        <w:wordWrap w:val="0"/>
        <w:overflowPunct/>
        <w:topLinePunct w:val="0"/>
        <w:bidi w:val="0"/>
        <w:snapToGrid/>
        <w:spacing w:before="0" w:beforeAutospacing="0" w:after="0" w:afterAutospacing="0" w:line="288" w:lineRule="auto"/>
        <w:ind w:left="0" w:right="0" w:firstLine="480" w:firstLineChars="200"/>
        <w:jc w:val="left"/>
        <w:textAlignment w:val="auto"/>
        <w:rPr>
          <w:rFonts w:hint="eastAsia" w:ascii="宋体" w:hAnsi="宋体" w:eastAsia="宋体" w:cs="宋体"/>
          <w:b/>
          <w:bCs/>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5）承包人应协助发包人办理该项目施工许可证，按南宁市质监部门有关安全文明现场施工的规定完成文明施工设施建设并通过质监部门验收，同时按发包人要求及时提供报监相关资料。因承包人未按发包人的要求按时完成文明施工设施建设并通过质监部门验收或未按发包人要求的时间提供报监相关资料而影响施工许可证的办理，视为承包人违约，每延误一日按5000元人民币向发包人支付违约金。</w:t>
      </w:r>
    </w:p>
    <w:bookmarkEnd w:id="1127"/>
    <w:p w14:paraId="00AF2B3B">
      <w:pPr>
        <w:keepNext w:val="0"/>
        <w:keepLines w:val="0"/>
        <w:pageBreakBefore w:val="0"/>
        <w:widowControl/>
        <w:suppressLineNumbers w:val="0"/>
        <w:kinsoku/>
        <w:wordWrap w:val="0"/>
        <w:overflowPunct/>
        <w:topLinePunct w:val="0"/>
        <w:bidi w:val="0"/>
        <w:snapToGrid/>
        <w:spacing w:before="0" w:beforeAutospacing="0" w:after="0" w:afterAutospacing="0" w:line="288" w:lineRule="auto"/>
        <w:ind w:left="0" w:right="0"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（6）承包人违反按本合同通用条款第16.2.1（2）条内容的，承包人应无条件更换不合格的材料、工程设备，并按不合格的材料或工程设备总金额10%向发包人支付违约金。</w:t>
      </w:r>
    </w:p>
    <w:p w14:paraId="6E3E0F7E">
      <w:pPr>
        <w:pageBreakBefore w:val="0"/>
        <w:kinsoku/>
        <w:overflowPunct/>
        <w:topLinePunct w:val="0"/>
        <w:bidi w:val="0"/>
        <w:snapToGrid/>
        <w:spacing w:line="288" w:lineRule="auto"/>
        <w:textAlignment w:val="auto"/>
        <w:rPr>
          <w:rFonts w:hint="eastAsia" w:ascii="宋体" w:hAnsi="宋体" w:eastAsia="宋体" w:cs="宋体"/>
          <w:color w:val="auto"/>
          <w:sz w:val="24"/>
          <w:szCs w:val="24"/>
          <w:highlight w:val="none"/>
          <w:lang w:val="en-US"/>
        </w:rPr>
      </w:pPr>
      <w:bookmarkStart w:id="1128" w:name="_Toc27802"/>
      <w:bookmarkStart w:id="1129" w:name="_Toc17087"/>
      <w:r>
        <w:rPr>
          <w:rFonts w:hint="eastAsia" w:ascii="宋体" w:hAnsi="宋体" w:eastAsia="宋体" w:cs="宋体"/>
          <w:color w:val="auto"/>
          <w:sz w:val="24"/>
          <w:szCs w:val="24"/>
          <w:highlight w:val="none"/>
          <w:lang w:val="en-US"/>
        </w:rPr>
        <w:t xml:space="preserve">16.2.3 </w:t>
      </w:r>
      <w:r>
        <w:rPr>
          <w:rFonts w:hint="eastAsia" w:ascii="宋体" w:hAnsi="宋体" w:eastAsia="宋体" w:cs="宋体"/>
          <w:color w:val="auto"/>
          <w:sz w:val="24"/>
          <w:szCs w:val="24"/>
          <w:highlight w:val="none"/>
          <w:lang w:eastAsia="zh-CN"/>
        </w:rPr>
        <w:t>因承包人违约解除合同</w:t>
      </w:r>
      <w:bookmarkEnd w:id="1128"/>
      <w:bookmarkEnd w:id="1129"/>
    </w:p>
    <w:p w14:paraId="461F288A">
      <w:pPr>
        <w:keepNext w:val="0"/>
        <w:keepLines w:val="0"/>
        <w:pageBreakBefore w:val="0"/>
        <w:widowControl/>
        <w:suppressLineNumbers w:val="0"/>
        <w:kinsoku/>
        <w:wordWrap w:val="0"/>
        <w:overflowPunct/>
        <w:topLinePunct w:val="0"/>
        <w:bidi w:val="0"/>
        <w:snapToGrid/>
        <w:spacing w:before="120" w:beforeAutospacing="0" w:after="120" w:afterAutospacing="0" w:line="288" w:lineRule="auto"/>
        <w:ind w:left="0" w:right="0" w:firstLine="480" w:firstLineChars="200"/>
        <w:jc w:val="both"/>
        <w:textAlignment w:val="auto"/>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关于承包人违约解除合同的特别约定：</w:t>
      </w:r>
      <w:r>
        <w:rPr>
          <w:rFonts w:hint="eastAsia" w:ascii="宋体" w:hAnsi="宋体" w:eastAsia="宋体" w:cs="宋体"/>
          <w:b w:val="0"/>
          <w:bCs w:val="0"/>
          <w:color w:val="auto"/>
          <w:kern w:val="0"/>
          <w:sz w:val="24"/>
          <w:szCs w:val="24"/>
          <w:highlight w:val="none"/>
          <w:u w:val="single"/>
          <w:lang w:val="en-US" w:eastAsia="zh-CN" w:bidi="ar"/>
        </w:rPr>
        <w:t>承包人有违反以下情况之一的，发包人有权解除合同，造成发包人损失的，发包人有权要求承包人赔偿全部损失</w:t>
      </w:r>
      <w:r>
        <w:rPr>
          <w:rFonts w:hint="eastAsia" w:ascii="宋体" w:hAnsi="宋体" w:eastAsia="宋体" w:cs="宋体"/>
          <w:b w:val="0"/>
          <w:bCs w:val="0"/>
          <w:color w:val="auto"/>
          <w:kern w:val="0"/>
          <w:sz w:val="24"/>
          <w:szCs w:val="24"/>
          <w:highlight w:val="none"/>
          <w:lang w:val="en-US" w:eastAsia="zh-CN" w:bidi="ar"/>
        </w:rPr>
        <w:t>。</w:t>
      </w:r>
      <w:r>
        <w:rPr>
          <w:rFonts w:hint="eastAsia" w:ascii="宋体" w:hAnsi="宋体" w:eastAsia="宋体" w:cs="宋体"/>
          <w:b w:val="0"/>
          <w:bCs w:val="0"/>
          <w:color w:val="auto"/>
          <w:kern w:val="0"/>
          <w:sz w:val="24"/>
          <w:szCs w:val="24"/>
          <w:highlight w:val="none"/>
          <w:u w:val="single"/>
          <w:lang w:val="en-US" w:eastAsia="zh-CN" w:bidi="ar"/>
        </w:rPr>
        <w:t>除已有约定外，承包人还承担以下违约责任</w:t>
      </w:r>
      <w:r>
        <w:rPr>
          <w:rFonts w:hint="eastAsia" w:ascii="宋体" w:hAnsi="宋体" w:eastAsia="宋体" w:cs="宋体"/>
          <w:b w:val="0"/>
          <w:bCs w:val="0"/>
          <w:color w:val="auto"/>
          <w:kern w:val="0"/>
          <w:sz w:val="24"/>
          <w:szCs w:val="24"/>
          <w:highlight w:val="none"/>
          <w:lang w:val="en-US" w:eastAsia="zh-CN" w:bidi="ar"/>
        </w:rPr>
        <w:t>。</w:t>
      </w:r>
    </w:p>
    <w:p w14:paraId="1ACE099D">
      <w:pPr>
        <w:keepNext w:val="0"/>
        <w:keepLines w:val="0"/>
        <w:pageBreakBefore w:val="0"/>
        <w:widowControl/>
        <w:suppressLineNumbers w:val="0"/>
        <w:kinsoku/>
        <w:wordWrap w:val="0"/>
        <w:overflowPunct/>
        <w:topLinePunct w:val="0"/>
        <w:bidi w:val="0"/>
        <w:snapToGrid/>
        <w:spacing w:before="120" w:beforeAutospacing="0" w:after="120" w:afterAutospacing="0" w:line="288" w:lineRule="auto"/>
        <w:ind w:left="0" w:right="0" w:firstLine="480" w:firstLineChars="200"/>
        <w:jc w:val="both"/>
        <w:textAlignment w:val="auto"/>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(1)承包人无正当理由不按开工通知的要求及时进场组织施工和不按签订协议书时商订的进度计划有效地开展施工准备，造成工期延误的，</w:t>
      </w:r>
      <w:r>
        <w:rPr>
          <w:rFonts w:hint="eastAsia" w:ascii="宋体" w:hAnsi="宋体" w:eastAsia="宋体" w:cs="宋体"/>
          <w:b w:val="0"/>
          <w:bCs w:val="0"/>
          <w:color w:val="auto"/>
          <w:kern w:val="2"/>
          <w:sz w:val="24"/>
          <w:szCs w:val="24"/>
          <w:highlight w:val="none"/>
          <w:lang w:val="en-US" w:eastAsia="zh-CN" w:bidi="ar"/>
        </w:rPr>
        <w:t>且明显延误工期超过一个月的</w:t>
      </w:r>
      <w:r>
        <w:rPr>
          <w:rFonts w:hint="eastAsia" w:ascii="宋体" w:hAnsi="宋体" w:eastAsia="宋体" w:cs="宋体"/>
          <w:b w:val="0"/>
          <w:bCs w:val="0"/>
          <w:color w:val="auto"/>
          <w:kern w:val="0"/>
          <w:sz w:val="24"/>
          <w:szCs w:val="24"/>
          <w:highlight w:val="none"/>
          <w:lang w:val="en-US" w:eastAsia="zh-CN" w:bidi="ar"/>
        </w:rPr>
        <w:t>；</w:t>
      </w:r>
    </w:p>
    <w:p w14:paraId="092ABD41">
      <w:pPr>
        <w:keepNext w:val="0"/>
        <w:keepLines w:val="0"/>
        <w:pageBreakBefore w:val="0"/>
        <w:widowControl/>
        <w:suppressLineNumbers w:val="0"/>
        <w:kinsoku/>
        <w:wordWrap w:val="0"/>
        <w:overflowPunct/>
        <w:topLinePunct w:val="0"/>
        <w:bidi w:val="0"/>
        <w:snapToGrid/>
        <w:spacing w:before="120" w:beforeAutospacing="0" w:after="120" w:afterAutospacing="0" w:line="288" w:lineRule="auto"/>
        <w:ind w:left="0" w:right="0" w:firstLine="480" w:firstLineChars="200"/>
        <w:jc w:val="both"/>
        <w:textAlignment w:val="auto"/>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(2)承包人违反本合同通用条款第3.5条规定私自将合同或合同的任何部分或任何权利转让给其他人，或私自将工程或工程的一部分分包出去的；</w:t>
      </w:r>
    </w:p>
    <w:p w14:paraId="5BB1B366">
      <w:pPr>
        <w:keepNext w:val="0"/>
        <w:keepLines w:val="0"/>
        <w:pageBreakBefore w:val="0"/>
        <w:widowControl/>
        <w:suppressLineNumbers w:val="0"/>
        <w:kinsoku/>
        <w:wordWrap w:val="0"/>
        <w:overflowPunct/>
        <w:topLinePunct w:val="0"/>
        <w:bidi w:val="0"/>
        <w:snapToGrid/>
        <w:spacing w:before="120" w:beforeAutospacing="0" w:after="120" w:afterAutospacing="0" w:line="288" w:lineRule="auto"/>
        <w:ind w:left="0" w:right="0" w:firstLine="480" w:firstLineChars="200"/>
        <w:jc w:val="both"/>
        <w:textAlignment w:val="auto"/>
        <w:rPr>
          <w:rFonts w:hint="eastAsia" w:ascii="宋体" w:hAnsi="宋体" w:eastAsia="宋体" w:cs="宋体"/>
          <w:b w:val="0"/>
          <w:bCs w:val="0"/>
          <w:color w:val="auto"/>
          <w:kern w:val="2"/>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(3)未经发包人批准，承包人私自将已按响应文件承诺进入工地的工程设备、施工设备、临时工程或材料撤离工地的；</w:t>
      </w:r>
    </w:p>
    <w:p w14:paraId="5302C11F">
      <w:pPr>
        <w:keepNext w:val="0"/>
        <w:keepLines w:val="0"/>
        <w:pageBreakBefore w:val="0"/>
        <w:widowControl/>
        <w:suppressLineNumbers w:val="0"/>
        <w:kinsoku/>
        <w:wordWrap w:val="0"/>
        <w:overflowPunct/>
        <w:topLinePunct w:val="0"/>
        <w:bidi w:val="0"/>
        <w:snapToGrid/>
        <w:spacing w:before="120" w:beforeAutospacing="0" w:after="120" w:afterAutospacing="0" w:line="288" w:lineRule="auto"/>
        <w:ind w:left="0" w:right="0" w:firstLine="480" w:firstLineChars="200"/>
        <w:jc w:val="both"/>
        <w:textAlignment w:val="auto"/>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(4)由于承包人原因拒绝按合同进度计划及时完成合同规定的工程，而又未采取有效措施赶上进度，在发包人发出赶工通知后仍未能赶工且造成工期进度延误一个月以上的；</w:t>
      </w:r>
    </w:p>
    <w:p w14:paraId="71652944">
      <w:pPr>
        <w:keepNext w:val="0"/>
        <w:keepLines w:val="0"/>
        <w:pageBreakBefore w:val="0"/>
        <w:widowControl/>
        <w:suppressLineNumbers w:val="0"/>
        <w:kinsoku/>
        <w:wordWrap w:val="0"/>
        <w:overflowPunct/>
        <w:topLinePunct w:val="0"/>
        <w:bidi w:val="0"/>
        <w:snapToGrid/>
        <w:spacing w:before="120" w:beforeAutospacing="0" w:after="120" w:afterAutospacing="0" w:line="288" w:lineRule="auto"/>
        <w:ind w:left="0" w:right="0" w:firstLine="480" w:firstLineChars="200"/>
        <w:jc w:val="both"/>
        <w:textAlignment w:val="auto"/>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(5)承包人否认合同有效或拒绝履行合同规定的承包人义务，或由于法律、财务等原因导致承包人无法继续履行或事实全面已停</w:t>
      </w:r>
      <w:r>
        <w:rPr>
          <w:rFonts w:hint="eastAsia" w:ascii="宋体" w:hAnsi="宋体" w:eastAsia="宋体" w:cs="宋体"/>
          <w:b w:val="0"/>
          <w:bCs w:val="0"/>
          <w:color w:val="auto"/>
          <w:kern w:val="2"/>
          <w:sz w:val="24"/>
          <w:szCs w:val="24"/>
          <w:highlight w:val="none"/>
          <w:lang w:val="en-US" w:eastAsia="zh-CN" w:bidi="ar"/>
        </w:rPr>
        <w:t>工连续超过一个月</w:t>
      </w:r>
      <w:r>
        <w:rPr>
          <w:rFonts w:hint="eastAsia" w:ascii="宋体" w:hAnsi="宋体" w:eastAsia="宋体" w:cs="宋体"/>
          <w:b w:val="0"/>
          <w:bCs w:val="0"/>
          <w:color w:val="auto"/>
          <w:kern w:val="0"/>
          <w:sz w:val="24"/>
          <w:szCs w:val="24"/>
          <w:highlight w:val="none"/>
          <w:lang w:val="en-US" w:eastAsia="zh-CN" w:bidi="ar"/>
        </w:rPr>
        <w:t>或实质上已停止履行合同的义务的；</w:t>
      </w:r>
    </w:p>
    <w:p w14:paraId="36956A4E">
      <w:pPr>
        <w:keepNext w:val="0"/>
        <w:keepLines w:val="0"/>
        <w:pageBreakBefore w:val="0"/>
        <w:widowControl/>
        <w:suppressLineNumbers w:val="0"/>
        <w:kinsoku/>
        <w:wordWrap w:val="0"/>
        <w:overflowPunct/>
        <w:topLinePunct w:val="0"/>
        <w:bidi w:val="0"/>
        <w:snapToGrid/>
        <w:spacing w:before="120" w:beforeAutospacing="0" w:after="120" w:afterAutospacing="0" w:line="288" w:lineRule="auto"/>
        <w:ind w:left="0" w:right="0" w:firstLine="480" w:firstLineChars="200"/>
        <w:jc w:val="both"/>
        <w:textAlignment w:val="auto"/>
        <w:rPr>
          <w:rFonts w:hint="eastAsia" w:ascii="宋体" w:hAnsi="宋体" w:eastAsia="宋体" w:cs="宋体"/>
          <w:b w:val="0"/>
          <w:bCs w:val="0"/>
          <w:color w:val="auto"/>
          <w:kern w:val="2"/>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(6)合同签订之日起十五日内，承包人无法按合同规定及响应文件的承诺进场经发包人认可的全部人员和机械的；</w:t>
      </w:r>
      <w:r>
        <w:rPr>
          <w:rFonts w:hint="eastAsia" w:ascii="宋体" w:hAnsi="宋体" w:eastAsia="宋体" w:cs="宋体"/>
          <w:b w:val="0"/>
          <w:bCs w:val="0"/>
          <w:color w:val="auto"/>
          <w:kern w:val="2"/>
          <w:sz w:val="24"/>
          <w:szCs w:val="24"/>
          <w:highlight w:val="none"/>
          <w:lang w:val="en-US" w:eastAsia="zh-CN" w:bidi="ar"/>
        </w:rPr>
        <w:t>承包人应按发包人解除合同的通知支付合同总价的5%的违约金给发包人，造成发包人经济损失的，承包人还应赔偿全部损失。</w:t>
      </w:r>
    </w:p>
    <w:p w14:paraId="47145BDA">
      <w:pPr>
        <w:keepNext/>
        <w:keepLines/>
        <w:pageBreakBefore w:val="0"/>
        <w:widowControl/>
        <w:kinsoku/>
        <w:wordWrap w:val="0"/>
        <w:overflowPunct/>
        <w:topLinePunct w:val="0"/>
        <w:bidi w:val="0"/>
        <w:snapToGrid/>
        <w:spacing w:line="288" w:lineRule="auto"/>
        <w:jc w:val="left"/>
        <w:textAlignment w:val="auto"/>
        <w:outlineLvl w:val="1"/>
        <w:rPr>
          <w:rFonts w:hint="eastAsia" w:ascii="宋体" w:hAnsi="宋体" w:eastAsia="宋体" w:cs="宋体"/>
          <w:b/>
          <w:bCs/>
          <w:color w:val="auto"/>
          <w:kern w:val="44"/>
          <w:sz w:val="24"/>
          <w:szCs w:val="24"/>
          <w:highlight w:val="none"/>
          <w:lang w:val="en-US" w:eastAsia="zh-CN" w:bidi="ar-SA"/>
        </w:rPr>
      </w:pPr>
      <w:bookmarkStart w:id="1130" w:name="_Toc3731905"/>
      <w:bookmarkStart w:id="1131" w:name="_Toc26225"/>
      <w:bookmarkStart w:id="1132" w:name="_Toc3731689"/>
      <w:bookmarkStart w:id="1133" w:name="_Toc73356710"/>
      <w:bookmarkStart w:id="1134" w:name="_Toc77255638"/>
      <w:bookmarkStart w:id="1135" w:name="_Toc531093196"/>
      <w:bookmarkStart w:id="1136" w:name="_Toc21973"/>
      <w:bookmarkStart w:id="1137" w:name="_Toc18954313"/>
      <w:r>
        <w:rPr>
          <w:rFonts w:hint="eastAsia" w:ascii="宋体" w:hAnsi="宋体" w:eastAsia="宋体" w:cs="宋体"/>
          <w:b/>
          <w:bCs/>
          <w:color w:val="auto"/>
          <w:kern w:val="44"/>
          <w:sz w:val="24"/>
          <w:szCs w:val="24"/>
          <w:highlight w:val="none"/>
          <w:lang w:val="en-US" w:eastAsia="zh-CN" w:bidi="ar-SA"/>
        </w:rPr>
        <w:t>17. 不可抗力</w:t>
      </w:r>
      <w:bookmarkEnd w:id="1130"/>
      <w:bookmarkEnd w:id="1131"/>
      <w:bookmarkEnd w:id="1132"/>
      <w:bookmarkEnd w:id="1133"/>
      <w:bookmarkEnd w:id="1134"/>
      <w:bookmarkEnd w:id="1135"/>
      <w:bookmarkEnd w:id="1136"/>
      <w:bookmarkEnd w:id="1137"/>
    </w:p>
    <w:p w14:paraId="32C2F232">
      <w:pPr>
        <w:keepNext/>
        <w:keepLines/>
        <w:pageBreakBefore w:val="0"/>
        <w:widowControl/>
        <w:kinsoku/>
        <w:wordWrap w:val="0"/>
        <w:overflowPunct/>
        <w:topLinePunct w:val="0"/>
        <w:bidi w:val="0"/>
        <w:snapToGrid/>
        <w:spacing w:line="288" w:lineRule="auto"/>
        <w:jc w:val="both"/>
        <w:textAlignment w:val="auto"/>
        <w:outlineLvl w:val="2"/>
        <w:rPr>
          <w:rFonts w:hint="eastAsia" w:ascii="宋体" w:hAnsi="宋体" w:eastAsia="宋体" w:cs="宋体"/>
          <w:b/>
          <w:bCs/>
          <w:color w:val="auto"/>
          <w:kern w:val="2"/>
          <w:sz w:val="24"/>
          <w:szCs w:val="24"/>
          <w:highlight w:val="none"/>
          <w:lang w:val="en-US" w:eastAsia="zh-CN" w:bidi="ar-SA"/>
        </w:rPr>
      </w:pPr>
      <w:bookmarkStart w:id="1138" w:name="_Toc463940170"/>
      <w:bookmarkStart w:id="1139" w:name="_Toc3731906"/>
      <w:bookmarkStart w:id="1140" w:name="_Toc77255639"/>
      <w:bookmarkStart w:id="1141" w:name="_Toc30054"/>
      <w:bookmarkStart w:id="1142" w:name="_Toc389065335"/>
      <w:bookmarkStart w:id="1143" w:name="_Toc73356711"/>
      <w:bookmarkStart w:id="1144" w:name="_Toc26417"/>
      <w:bookmarkStart w:id="1145" w:name="_Toc373478417"/>
      <w:bookmarkStart w:id="1146" w:name="_Toc531093197"/>
      <w:bookmarkStart w:id="1147" w:name="_Toc3731690"/>
      <w:bookmarkStart w:id="1148" w:name="_Toc373227770"/>
      <w:bookmarkStart w:id="1149" w:name="_Toc480968526"/>
      <w:bookmarkStart w:id="1150" w:name="_Toc432177032"/>
      <w:bookmarkStart w:id="1151" w:name="_Toc18954314"/>
      <w:r>
        <w:rPr>
          <w:rFonts w:hint="eastAsia" w:ascii="宋体" w:hAnsi="宋体" w:eastAsia="宋体" w:cs="宋体"/>
          <w:b/>
          <w:bCs/>
          <w:color w:val="auto"/>
          <w:kern w:val="2"/>
          <w:sz w:val="24"/>
          <w:szCs w:val="24"/>
          <w:highlight w:val="none"/>
          <w:lang w:val="en-US" w:eastAsia="zh-CN" w:bidi="ar-SA"/>
        </w:rPr>
        <w:t>17.1 不可抗力的确认</w:t>
      </w:r>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p>
    <w:p w14:paraId="461D005B">
      <w:pPr>
        <w:keepNext w:val="0"/>
        <w:keepLines w:val="0"/>
        <w:pageBreakBefore w:val="0"/>
        <w:widowControl w:val="0"/>
        <w:suppressLineNumbers w:val="0"/>
        <w:kinsoku/>
        <w:wordWrap w:val="0"/>
        <w:overflowPunct/>
        <w:topLinePunct w:val="0"/>
        <w:bidi w:val="0"/>
        <w:snapToGrid/>
        <w:spacing w:before="0" w:beforeAutospacing="0" w:after="0" w:afterAutospacing="0" w:line="288" w:lineRule="auto"/>
        <w:ind w:left="0" w:right="0" w:firstLine="480" w:firstLineChars="200"/>
        <w:jc w:val="both"/>
        <w:textAlignment w:val="auto"/>
        <w:rPr>
          <w:rFonts w:hint="eastAsia" w:ascii="宋体" w:hAnsi="宋体" w:eastAsia="宋体" w:cs="宋体"/>
          <w:color w:val="auto"/>
          <w:sz w:val="24"/>
          <w:szCs w:val="24"/>
          <w:highlight w:val="none"/>
          <w:u w:val="single"/>
          <w:lang w:val="en-US"/>
        </w:rPr>
      </w:pPr>
      <w:r>
        <w:rPr>
          <w:rFonts w:hint="eastAsia" w:ascii="宋体" w:hAnsi="宋体" w:eastAsia="宋体" w:cs="宋体"/>
          <w:color w:val="auto"/>
          <w:kern w:val="2"/>
          <w:sz w:val="24"/>
          <w:szCs w:val="24"/>
          <w:highlight w:val="none"/>
          <w:lang w:val="en-US" w:eastAsia="zh-CN" w:bidi="ar"/>
        </w:rPr>
        <w:t>除通用合同条款约定的不可抗力事件之外，视为不可抗力的其他情形：</w:t>
      </w:r>
      <w:r>
        <w:rPr>
          <w:rFonts w:hint="eastAsia" w:ascii="宋体" w:hAnsi="宋体" w:eastAsia="宋体" w:cs="宋体"/>
          <w:color w:val="auto"/>
          <w:kern w:val="0"/>
          <w:sz w:val="24"/>
          <w:szCs w:val="24"/>
          <w:highlight w:val="none"/>
          <w:u w:val="single"/>
          <w:lang w:val="en-US" w:eastAsia="zh-CN" w:bidi="ar"/>
        </w:rPr>
        <w:t>①6级以上的地震；②6级以上持续一天的大风；③</w:t>
      </w:r>
      <w:r>
        <w:rPr>
          <w:rFonts w:hint="eastAsia" w:ascii="宋体" w:hAnsi="宋体" w:eastAsia="宋体" w:cs="宋体"/>
          <w:color w:val="auto"/>
          <w:kern w:val="2"/>
          <w:sz w:val="24"/>
          <w:szCs w:val="24"/>
          <w:highlight w:val="none"/>
          <w:u w:val="single"/>
          <w:lang w:val="en-US" w:eastAsia="zh-CN" w:bidi="ar"/>
        </w:rPr>
        <w:t>暴雨级以上持续1天的大雨</w:t>
      </w:r>
      <w:r>
        <w:rPr>
          <w:rFonts w:hint="eastAsia" w:ascii="宋体" w:hAnsi="宋体" w:eastAsia="宋体" w:cs="宋体"/>
          <w:color w:val="auto"/>
          <w:kern w:val="0"/>
          <w:sz w:val="24"/>
          <w:szCs w:val="24"/>
          <w:highlight w:val="none"/>
          <w:u w:val="single"/>
          <w:lang w:val="en-US" w:eastAsia="zh-CN" w:bidi="ar"/>
        </w:rPr>
        <w:t>；④</w:t>
      </w:r>
      <w:r>
        <w:rPr>
          <w:rFonts w:hint="eastAsia" w:ascii="宋体" w:hAnsi="宋体" w:eastAsia="宋体" w:cs="宋体"/>
          <w:color w:val="auto"/>
          <w:kern w:val="2"/>
          <w:sz w:val="24"/>
          <w:szCs w:val="24"/>
          <w:highlight w:val="none"/>
          <w:u w:val="single"/>
          <w:lang w:val="en-US" w:eastAsia="zh-CN" w:bidi="ar"/>
        </w:rPr>
        <w:t>50年以上未发生过，持续2天的高温天气；</w:t>
      </w:r>
      <w:r>
        <w:rPr>
          <w:rFonts w:hint="eastAsia" w:ascii="宋体" w:hAnsi="宋体" w:eastAsia="宋体" w:cs="宋体"/>
          <w:color w:val="auto"/>
          <w:kern w:val="0"/>
          <w:sz w:val="24"/>
          <w:szCs w:val="24"/>
          <w:highlight w:val="none"/>
          <w:u w:val="single"/>
          <w:lang w:val="en-US" w:eastAsia="zh-CN" w:bidi="ar"/>
        </w:rPr>
        <w:t>⑤</w:t>
      </w:r>
      <w:r>
        <w:rPr>
          <w:rFonts w:hint="eastAsia" w:ascii="宋体" w:hAnsi="宋体" w:eastAsia="宋体" w:cs="宋体"/>
          <w:color w:val="auto"/>
          <w:kern w:val="2"/>
          <w:sz w:val="24"/>
          <w:szCs w:val="24"/>
          <w:highlight w:val="none"/>
          <w:u w:val="single"/>
          <w:lang w:val="en-US" w:eastAsia="zh-CN" w:bidi="ar"/>
        </w:rPr>
        <w:t>50年以上未发生过，持续2天的低温天气</w:t>
      </w:r>
      <w:r>
        <w:rPr>
          <w:rFonts w:hint="eastAsia" w:ascii="宋体" w:hAnsi="宋体" w:eastAsia="宋体" w:cs="宋体"/>
          <w:color w:val="auto"/>
          <w:kern w:val="0"/>
          <w:sz w:val="24"/>
          <w:szCs w:val="24"/>
          <w:highlight w:val="none"/>
          <w:u w:val="single"/>
          <w:lang w:val="en-US" w:eastAsia="zh-CN" w:bidi="ar"/>
        </w:rPr>
        <w:t>；⑥</w:t>
      </w:r>
      <w:r>
        <w:rPr>
          <w:rFonts w:hint="eastAsia" w:ascii="宋体" w:hAnsi="宋体" w:eastAsia="宋体" w:cs="宋体"/>
          <w:color w:val="auto"/>
          <w:kern w:val="2"/>
          <w:sz w:val="24"/>
          <w:szCs w:val="24"/>
          <w:highlight w:val="none"/>
          <w:u w:val="single"/>
          <w:lang w:val="en-US" w:eastAsia="zh-CN" w:bidi="ar"/>
        </w:rPr>
        <w:t>50年以上未发生过的洪水</w:t>
      </w:r>
      <w:r>
        <w:rPr>
          <w:rFonts w:hint="eastAsia" w:ascii="宋体" w:hAnsi="宋体" w:eastAsia="宋体" w:cs="宋体"/>
          <w:color w:val="auto"/>
          <w:kern w:val="0"/>
          <w:sz w:val="24"/>
          <w:szCs w:val="24"/>
          <w:highlight w:val="none"/>
          <w:u w:val="single"/>
          <w:lang w:val="en-US" w:eastAsia="zh-CN" w:bidi="ar"/>
        </w:rPr>
        <w:t>水。</w:t>
      </w:r>
      <w:r>
        <w:rPr>
          <w:rFonts w:hint="eastAsia" w:ascii="宋体" w:hAnsi="宋体" w:eastAsia="宋体" w:cs="宋体"/>
          <w:color w:val="auto"/>
          <w:kern w:val="2"/>
          <w:sz w:val="24"/>
          <w:szCs w:val="24"/>
          <w:highlight w:val="none"/>
          <w:lang w:val="en-US" w:eastAsia="zh-CN" w:bidi="ar"/>
        </w:rPr>
        <w:t>不可抗力的等级范围约定：以有关部门发布的文告或文件为准。</w:t>
      </w:r>
    </w:p>
    <w:p w14:paraId="22908FE4">
      <w:pPr>
        <w:keepNext/>
        <w:keepLines/>
        <w:pageBreakBefore w:val="0"/>
        <w:widowControl/>
        <w:kinsoku/>
        <w:wordWrap w:val="0"/>
        <w:overflowPunct/>
        <w:topLinePunct w:val="0"/>
        <w:bidi w:val="0"/>
        <w:snapToGrid/>
        <w:spacing w:line="288" w:lineRule="auto"/>
        <w:jc w:val="both"/>
        <w:textAlignment w:val="auto"/>
        <w:outlineLvl w:val="2"/>
        <w:rPr>
          <w:rFonts w:hint="eastAsia" w:ascii="宋体" w:hAnsi="宋体" w:eastAsia="宋体" w:cs="宋体"/>
          <w:b/>
          <w:bCs/>
          <w:color w:val="auto"/>
          <w:kern w:val="2"/>
          <w:sz w:val="24"/>
          <w:szCs w:val="24"/>
          <w:highlight w:val="none"/>
          <w:lang w:val="en-US" w:eastAsia="zh-CN" w:bidi="ar-SA"/>
        </w:rPr>
      </w:pPr>
      <w:bookmarkStart w:id="1152" w:name="_Toc531093198"/>
      <w:bookmarkStart w:id="1153" w:name="_Toc480968527"/>
      <w:bookmarkStart w:id="1154" w:name="_Toc432177033"/>
      <w:bookmarkStart w:id="1155" w:name="_Toc997"/>
      <w:bookmarkStart w:id="1156" w:name="_Toc77255640"/>
      <w:bookmarkStart w:id="1157" w:name="_Toc373478418"/>
      <w:bookmarkStart w:id="1158" w:name="_Toc73356712"/>
      <w:bookmarkStart w:id="1159" w:name="_Toc18954315"/>
      <w:bookmarkStart w:id="1160" w:name="_Toc373227771"/>
      <w:bookmarkStart w:id="1161" w:name="_Toc389065336"/>
      <w:bookmarkStart w:id="1162" w:name="_Toc3731691"/>
      <w:bookmarkStart w:id="1163" w:name="_Toc3731907"/>
      <w:bookmarkStart w:id="1164" w:name="_Toc28054"/>
      <w:bookmarkStart w:id="1165" w:name="_Toc463940171"/>
      <w:r>
        <w:rPr>
          <w:rFonts w:hint="eastAsia" w:ascii="宋体" w:hAnsi="宋体" w:eastAsia="宋体" w:cs="宋体"/>
          <w:b/>
          <w:bCs/>
          <w:color w:val="auto"/>
          <w:kern w:val="2"/>
          <w:sz w:val="24"/>
          <w:szCs w:val="24"/>
          <w:highlight w:val="none"/>
          <w:lang w:val="en-US" w:eastAsia="zh-CN" w:bidi="ar-SA"/>
        </w:rPr>
        <w:t>17.4 因不可抗力解除合同</w:t>
      </w:r>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p>
    <w:p w14:paraId="568D938F">
      <w:pPr>
        <w:keepNext w:val="0"/>
        <w:keepLines w:val="0"/>
        <w:pageBreakBefore w:val="0"/>
        <w:widowControl w:val="0"/>
        <w:suppressLineNumbers w:val="0"/>
        <w:kinsoku/>
        <w:wordWrap w:val="0"/>
        <w:overflowPunct/>
        <w:topLinePunct w:val="0"/>
        <w:bidi w:val="0"/>
        <w:snapToGrid/>
        <w:spacing w:before="0" w:beforeAutospacing="0" w:after="0" w:afterAutospacing="0" w:line="288" w:lineRule="auto"/>
        <w:ind w:left="0" w:right="0" w:firstLine="480" w:firstLineChars="200"/>
        <w:jc w:val="left"/>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bidi="ar"/>
        </w:rPr>
        <w:t>合同解除后，发包人应在商定或确定发包人应支付款项后</w:t>
      </w:r>
      <w:r>
        <w:rPr>
          <w:rFonts w:hint="eastAsia" w:ascii="宋体" w:hAnsi="宋体" w:eastAsia="宋体" w:cs="宋体"/>
          <w:color w:val="auto"/>
          <w:kern w:val="2"/>
          <w:sz w:val="24"/>
          <w:szCs w:val="24"/>
          <w:highlight w:val="none"/>
          <w:u w:val="single"/>
          <w:lang w:val="en-US" w:eastAsia="zh-CN" w:bidi="ar"/>
        </w:rPr>
        <w:t>30</w:t>
      </w:r>
      <w:r>
        <w:rPr>
          <w:rFonts w:hint="eastAsia" w:ascii="宋体" w:hAnsi="宋体" w:eastAsia="宋体" w:cs="宋体"/>
          <w:color w:val="auto"/>
          <w:kern w:val="2"/>
          <w:sz w:val="24"/>
          <w:szCs w:val="24"/>
          <w:highlight w:val="none"/>
          <w:lang w:val="en-US" w:eastAsia="zh-CN" w:bidi="ar"/>
        </w:rPr>
        <w:t>天内完成款项的支付。</w:t>
      </w:r>
    </w:p>
    <w:p w14:paraId="2A8A2BC7">
      <w:pPr>
        <w:keepNext/>
        <w:keepLines/>
        <w:pageBreakBefore w:val="0"/>
        <w:widowControl/>
        <w:kinsoku/>
        <w:wordWrap w:val="0"/>
        <w:overflowPunct/>
        <w:topLinePunct w:val="0"/>
        <w:bidi w:val="0"/>
        <w:snapToGrid/>
        <w:spacing w:line="288" w:lineRule="auto"/>
        <w:jc w:val="left"/>
        <w:textAlignment w:val="auto"/>
        <w:outlineLvl w:val="1"/>
        <w:rPr>
          <w:rFonts w:hint="eastAsia" w:ascii="宋体" w:hAnsi="宋体" w:eastAsia="宋体" w:cs="宋体"/>
          <w:b/>
          <w:bCs/>
          <w:color w:val="auto"/>
          <w:kern w:val="44"/>
          <w:sz w:val="24"/>
          <w:szCs w:val="24"/>
          <w:highlight w:val="none"/>
          <w:lang w:val="en-US" w:eastAsia="zh-CN" w:bidi="ar-SA"/>
        </w:rPr>
      </w:pPr>
      <w:bookmarkStart w:id="1166" w:name="_Toc7241"/>
      <w:bookmarkStart w:id="1167" w:name="_Toc73356713"/>
      <w:bookmarkStart w:id="1168" w:name="_Toc531093199"/>
      <w:bookmarkStart w:id="1169" w:name="_Toc432177034"/>
      <w:bookmarkStart w:id="1170" w:name="_Toc21408"/>
      <w:bookmarkStart w:id="1171" w:name="_Toc373478419"/>
      <w:bookmarkStart w:id="1172" w:name="_Toc373227772"/>
      <w:bookmarkStart w:id="1173" w:name="_Toc389065337"/>
      <w:bookmarkStart w:id="1174" w:name="_Toc351203650"/>
      <w:bookmarkStart w:id="1175" w:name="_Toc480968528"/>
      <w:bookmarkStart w:id="1176" w:name="_Toc463940172"/>
      <w:bookmarkStart w:id="1177" w:name="_Toc3731692"/>
      <w:bookmarkStart w:id="1178" w:name="_Toc18954316"/>
      <w:bookmarkStart w:id="1179" w:name="_Toc3731908"/>
      <w:bookmarkStart w:id="1180" w:name="_Toc77255641"/>
      <w:r>
        <w:rPr>
          <w:rFonts w:hint="eastAsia" w:ascii="宋体" w:hAnsi="宋体" w:eastAsia="宋体" w:cs="宋体"/>
          <w:b/>
          <w:bCs/>
          <w:color w:val="auto"/>
          <w:kern w:val="44"/>
          <w:sz w:val="24"/>
          <w:szCs w:val="24"/>
          <w:highlight w:val="none"/>
          <w:lang w:val="en-US" w:eastAsia="zh-CN" w:bidi="ar-SA"/>
        </w:rPr>
        <w:t>18. 保险</w:t>
      </w:r>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p>
    <w:p w14:paraId="7424C86B">
      <w:pPr>
        <w:keepNext/>
        <w:keepLines/>
        <w:pageBreakBefore w:val="0"/>
        <w:widowControl/>
        <w:kinsoku/>
        <w:wordWrap w:val="0"/>
        <w:overflowPunct/>
        <w:topLinePunct w:val="0"/>
        <w:bidi w:val="0"/>
        <w:snapToGrid/>
        <w:spacing w:line="288" w:lineRule="auto"/>
        <w:jc w:val="both"/>
        <w:textAlignment w:val="auto"/>
        <w:outlineLvl w:val="2"/>
        <w:rPr>
          <w:rFonts w:hint="eastAsia" w:ascii="宋体" w:hAnsi="宋体" w:eastAsia="宋体" w:cs="宋体"/>
          <w:b/>
          <w:bCs/>
          <w:color w:val="auto"/>
          <w:kern w:val="2"/>
          <w:sz w:val="24"/>
          <w:szCs w:val="24"/>
          <w:highlight w:val="none"/>
          <w:lang w:val="en-US" w:eastAsia="zh-CN" w:bidi="ar-SA"/>
        </w:rPr>
      </w:pPr>
      <w:bookmarkStart w:id="1181" w:name="_Toc30487"/>
      <w:bookmarkStart w:id="1182" w:name="_Toc432177035"/>
      <w:bookmarkStart w:id="1183" w:name="_Toc3731909"/>
      <w:bookmarkStart w:id="1184" w:name="_Toc3731693"/>
      <w:bookmarkStart w:id="1185" w:name="_Toc463940173"/>
      <w:bookmarkStart w:id="1186" w:name="_Toc389065338"/>
      <w:bookmarkStart w:id="1187" w:name="_Toc27225"/>
      <w:bookmarkStart w:id="1188" w:name="_Toc373227773"/>
      <w:bookmarkStart w:id="1189" w:name="_Toc73356714"/>
      <w:bookmarkStart w:id="1190" w:name="_Toc480968529"/>
      <w:bookmarkStart w:id="1191" w:name="_Toc531093200"/>
      <w:bookmarkStart w:id="1192" w:name="_Toc373478420"/>
      <w:bookmarkStart w:id="1193" w:name="_Toc18954317"/>
      <w:bookmarkStart w:id="1194" w:name="_Toc77255642"/>
      <w:r>
        <w:rPr>
          <w:rFonts w:hint="eastAsia" w:ascii="宋体" w:hAnsi="宋体" w:eastAsia="宋体" w:cs="宋体"/>
          <w:b/>
          <w:bCs/>
          <w:color w:val="auto"/>
          <w:kern w:val="2"/>
          <w:sz w:val="24"/>
          <w:szCs w:val="24"/>
          <w:highlight w:val="none"/>
          <w:lang w:val="en-US" w:eastAsia="zh-CN" w:bidi="ar-SA"/>
        </w:rPr>
        <w:t>18.1 工程保险</w:t>
      </w:r>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p>
    <w:p w14:paraId="491D52A5">
      <w:pPr>
        <w:keepNext w:val="0"/>
        <w:keepLines w:val="0"/>
        <w:pageBreakBefore w:val="0"/>
        <w:widowControl w:val="0"/>
        <w:suppressLineNumbers w:val="0"/>
        <w:kinsoku/>
        <w:wordWrap w:val="0"/>
        <w:overflowPunct/>
        <w:topLinePunct w:val="0"/>
        <w:bidi w:val="0"/>
        <w:snapToGrid/>
        <w:spacing w:before="0" w:beforeAutospacing="0" w:after="0" w:afterAutospacing="0" w:line="288" w:lineRule="auto"/>
        <w:ind w:left="0" w:right="0" w:firstLine="480" w:firstLineChars="200"/>
        <w:jc w:val="left"/>
        <w:textAlignment w:val="auto"/>
        <w:rPr>
          <w:rFonts w:hint="eastAsia" w:ascii="宋体" w:hAnsi="宋体" w:eastAsia="宋体" w:cs="宋体"/>
          <w:color w:val="auto"/>
          <w:sz w:val="24"/>
          <w:szCs w:val="24"/>
          <w:highlight w:val="none"/>
          <w:u w:val="single"/>
          <w:lang w:val="en-US"/>
        </w:rPr>
      </w:pPr>
      <w:r>
        <w:rPr>
          <w:rFonts w:hint="eastAsia" w:ascii="宋体" w:hAnsi="宋体" w:eastAsia="宋体" w:cs="宋体"/>
          <w:color w:val="auto"/>
          <w:kern w:val="2"/>
          <w:sz w:val="24"/>
          <w:szCs w:val="24"/>
          <w:highlight w:val="none"/>
          <w:lang w:val="en-US" w:eastAsia="zh-CN" w:bidi="ar"/>
        </w:rPr>
        <w:t>关于工程保险的特别约定：</w:t>
      </w:r>
      <w:r>
        <w:rPr>
          <w:rFonts w:hint="eastAsia" w:ascii="宋体" w:hAnsi="宋体" w:eastAsia="宋体" w:cs="宋体"/>
          <w:color w:val="auto"/>
          <w:kern w:val="2"/>
          <w:sz w:val="24"/>
          <w:szCs w:val="24"/>
          <w:highlight w:val="none"/>
          <w:u w:val="single"/>
          <w:lang w:val="en-US" w:eastAsia="zh-CN" w:bidi="ar"/>
        </w:rPr>
        <w:t>承包人应为其在施工现场工作的全部员工办理建设工程意外伤害险。</w:t>
      </w:r>
    </w:p>
    <w:p w14:paraId="3FCE4D13">
      <w:pPr>
        <w:keepNext w:val="0"/>
        <w:keepLines w:val="0"/>
        <w:pageBreakBefore w:val="0"/>
        <w:widowControl w:val="0"/>
        <w:suppressLineNumbers w:val="0"/>
        <w:kinsoku/>
        <w:wordWrap w:val="0"/>
        <w:overflowPunct/>
        <w:topLinePunct w:val="0"/>
        <w:bidi w:val="0"/>
        <w:snapToGrid/>
        <w:spacing w:before="0" w:beforeAutospacing="0" w:after="0" w:afterAutospacing="0" w:line="288" w:lineRule="auto"/>
        <w:ind w:left="0" w:right="0" w:firstLine="480" w:firstLineChars="200"/>
        <w:jc w:val="both"/>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bidi="ar"/>
        </w:rPr>
        <w:t>(1)投保人：</w:t>
      </w:r>
      <w:r>
        <w:rPr>
          <w:rFonts w:hint="eastAsia" w:ascii="宋体" w:hAnsi="宋体" w:eastAsia="宋体" w:cs="宋体"/>
          <w:color w:val="auto"/>
          <w:kern w:val="2"/>
          <w:sz w:val="24"/>
          <w:szCs w:val="24"/>
          <w:highlight w:val="none"/>
          <w:u w:val="single"/>
          <w:lang w:val="en-US" w:eastAsia="zh-CN" w:bidi="ar"/>
        </w:rPr>
        <w:t>中标单位。</w:t>
      </w:r>
    </w:p>
    <w:p w14:paraId="5865A6B8">
      <w:pPr>
        <w:keepNext w:val="0"/>
        <w:keepLines w:val="0"/>
        <w:pageBreakBefore w:val="0"/>
        <w:widowControl w:val="0"/>
        <w:suppressLineNumbers w:val="0"/>
        <w:kinsoku/>
        <w:wordWrap w:val="0"/>
        <w:overflowPunct/>
        <w:topLinePunct w:val="0"/>
        <w:bidi w:val="0"/>
        <w:snapToGrid/>
        <w:spacing w:before="0" w:beforeAutospacing="0" w:after="0" w:afterAutospacing="0" w:line="288" w:lineRule="auto"/>
        <w:ind w:left="0" w:right="0" w:firstLine="480" w:firstLineChars="200"/>
        <w:jc w:val="both"/>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bidi="ar"/>
        </w:rPr>
        <w:t>(2)投保内容：</w:t>
      </w:r>
      <w:r>
        <w:rPr>
          <w:rFonts w:hint="eastAsia" w:ascii="宋体" w:hAnsi="宋体" w:eastAsia="宋体" w:cs="宋体"/>
          <w:color w:val="auto"/>
          <w:kern w:val="2"/>
          <w:sz w:val="24"/>
          <w:szCs w:val="24"/>
          <w:highlight w:val="none"/>
          <w:u w:val="single"/>
          <w:lang w:val="en-US" w:eastAsia="zh-CN" w:bidi="ar"/>
        </w:rPr>
        <w:t>建设工程意外伤害险</w:t>
      </w:r>
      <w:r>
        <w:rPr>
          <w:rFonts w:hint="eastAsia" w:ascii="宋体" w:hAnsi="宋体" w:eastAsia="宋体" w:cs="宋体"/>
          <w:color w:val="auto"/>
          <w:kern w:val="2"/>
          <w:sz w:val="24"/>
          <w:szCs w:val="24"/>
          <w:highlight w:val="none"/>
          <w:lang w:val="en-US" w:eastAsia="zh-CN" w:bidi="ar"/>
        </w:rPr>
        <w:t>。</w:t>
      </w:r>
    </w:p>
    <w:p w14:paraId="0E3EC356">
      <w:pPr>
        <w:keepNext w:val="0"/>
        <w:keepLines w:val="0"/>
        <w:pageBreakBefore w:val="0"/>
        <w:widowControl w:val="0"/>
        <w:suppressLineNumbers w:val="0"/>
        <w:kinsoku/>
        <w:wordWrap w:val="0"/>
        <w:overflowPunct/>
        <w:topLinePunct w:val="0"/>
        <w:bidi w:val="0"/>
        <w:snapToGrid/>
        <w:spacing w:before="0" w:beforeAutospacing="0" w:after="0" w:afterAutospacing="0" w:line="288" w:lineRule="auto"/>
        <w:ind w:left="0" w:right="0" w:firstLine="480" w:firstLineChars="200"/>
        <w:jc w:val="both"/>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bidi="ar"/>
        </w:rPr>
        <w:t>(3)保险费率：由投保人与合同双方同意的保险人商定。</w:t>
      </w:r>
    </w:p>
    <w:p w14:paraId="04C9D4DB">
      <w:pPr>
        <w:keepNext w:val="0"/>
        <w:keepLines w:val="0"/>
        <w:pageBreakBefore w:val="0"/>
        <w:widowControl w:val="0"/>
        <w:suppressLineNumbers w:val="0"/>
        <w:kinsoku/>
        <w:wordWrap w:val="0"/>
        <w:overflowPunct/>
        <w:topLinePunct w:val="0"/>
        <w:bidi w:val="0"/>
        <w:snapToGrid/>
        <w:spacing w:before="0" w:beforeAutospacing="0" w:after="0" w:afterAutospacing="0" w:line="288" w:lineRule="auto"/>
        <w:ind w:left="0" w:right="0" w:firstLine="480" w:firstLineChars="200"/>
        <w:jc w:val="both"/>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bidi="ar"/>
        </w:rPr>
        <w:t>(4)保险金额：</w:t>
      </w:r>
      <w:r>
        <w:rPr>
          <w:rFonts w:hint="eastAsia" w:ascii="宋体" w:hAnsi="宋体" w:eastAsia="宋体" w:cs="宋体"/>
          <w:color w:val="auto"/>
          <w:kern w:val="2"/>
          <w:sz w:val="24"/>
          <w:szCs w:val="24"/>
          <w:highlight w:val="none"/>
          <w:u w:val="single"/>
          <w:lang w:val="en-US" w:eastAsia="zh-CN" w:bidi="ar"/>
        </w:rPr>
        <w:t>按保险合同</w:t>
      </w:r>
      <w:r>
        <w:rPr>
          <w:rFonts w:hint="eastAsia" w:ascii="宋体" w:hAnsi="宋体" w:eastAsia="宋体" w:cs="宋体"/>
          <w:color w:val="auto"/>
          <w:kern w:val="2"/>
          <w:sz w:val="24"/>
          <w:szCs w:val="24"/>
          <w:highlight w:val="none"/>
          <w:lang w:val="en-US" w:eastAsia="zh-CN" w:bidi="ar"/>
        </w:rPr>
        <w:t>。</w:t>
      </w:r>
    </w:p>
    <w:p w14:paraId="543E0302">
      <w:pPr>
        <w:keepNext w:val="0"/>
        <w:keepLines w:val="0"/>
        <w:pageBreakBefore w:val="0"/>
        <w:widowControl w:val="0"/>
        <w:suppressLineNumbers w:val="0"/>
        <w:kinsoku/>
        <w:wordWrap w:val="0"/>
        <w:overflowPunct/>
        <w:topLinePunct w:val="0"/>
        <w:bidi w:val="0"/>
        <w:snapToGrid/>
        <w:spacing w:before="0" w:beforeAutospacing="0" w:after="0" w:afterAutospacing="0" w:line="288" w:lineRule="auto"/>
        <w:ind w:left="0" w:right="0" w:firstLine="480" w:firstLineChars="200"/>
        <w:jc w:val="left"/>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bidi="ar"/>
        </w:rPr>
        <w:t>(5)保险期限：</w:t>
      </w:r>
      <w:r>
        <w:rPr>
          <w:rFonts w:hint="eastAsia" w:ascii="宋体" w:hAnsi="宋体" w:eastAsia="宋体" w:cs="宋体"/>
          <w:color w:val="auto"/>
          <w:kern w:val="2"/>
          <w:sz w:val="24"/>
          <w:szCs w:val="24"/>
          <w:highlight w:val="none"/>
          <w:u w:val="single"/>
          <w:lang w:val="en-US" w:eastAsia="zh-CN" w:bidi="ar"/>
        </w:rPr>
        <w:t>从工程开工至竣工验收合格之日止</w:t>
      </w:r>
      <w:r>
        <w:rPr>
          <w:rFonts w:hint="eastAsia" w:ascii="宋体" w:hAnsi="宋体" w:eastAsia="宋体" w:cs="宋体"/>
          <w:color w:val="auto"/>
          <w:kern w:val="2"/>
          <w:sz w:val="24"/>
          <w:szCs w:val="24"/>
          <w:highlight w:val="none"/>
          <w:lang w:val="en-US" w:eastAsia="zh-CN" w:bidi="ar"/>
        </w:rPr>
        <w:t>。</w:t>
      </w:r>
    </w:p>
    <w:p w14:paraId="066535E7">
      <w:pPr>
        <w:keepNext/>
        <w:keepLines/>
        <w:pageBreakBefore w:val="0"/>
        <w:widowControl/>
        <w:kinsoku/>
        <w:wordWrap w:val="0"/>
        <w:overflowPunct/>
        <w:topLinePunct w:val="0"/>
        <w:bidi w:val="0"/>
        <w:snapToGrid/>
        <w:spacing w:line="288" w:lineRule="auto"/>
        <w:jc w:val="both"/>
        <w:textAlignment w:val="auto"/>
        <w:outlineLvl w:val="2"/>
        <w:rPr>
          <w:rFonts w:hint="eastAsia" w:ascii="宋体" w:hAnsi="宋体" w:eastAsia="宋体" w:cs="宋体"/>
          <w:b/>
          <w:bCs/>
          <w:color w:val="auto"/>
          <w:kern w:val="2"/>
          <w:sz w:val="24"/>
          <w:szCs w:val="24"/>
          <w:highlight w:val="none"/>
          <w:lang w:val="en-US" w:eastAsia="zh-CN" w:bidi="ar-SA"/>
        </w:rPr>
      </w:pPr>
      <w:bookmarkStart w:id="1195" w:name="_Toc432177036"/>
      <w:bookmarkStart w:id="1196" w:name="_Toc373478421"/>
      <w:bookmarkStart w:id="1197" w:name="_Toc3731694"/>
      <w:bookmarkStart w:id="1198" w:name="_Toc531093201"/>
      <w:bookmarkStart w:id="1199" w:name="_Toc77255643"/>
      <w:bookmarkStart w:id="1200" w:name="_Toc463940174"/>
      <w:bookmarkStart w:id="1201" w:name="_Toc28190"/>
      <w:bookmarkStart w:id="1202" w:name="_Toc389065339"/>
      <w:bookmarkStart w:id="1203" w:name="_Toc3731910"/>
      <w:bookmarkStart w:id="1204" w:name="_Toc480968530"/>
      <w:bookmarkStart w:id="1205" w:name="_Toc18954318"/>
      <w:bookmarkStart w:id="1206" w:name="_Toc73356715"/>
      <w:bookmarkStart w:id="1207" w:name="_Toc373227774"/>
      <w:bookmarkStart w:id="1208" w:name="_Toc27628"/>
      <w:r>
        <w:rPr>
          <w:rFonts w:hint="eastAsia" w:ascii="宋体" w:hAnsi="宋体" w:eastAsia="宋体" w:cs="宋体"/>
          <w:b/>
          <w:bCs/>
          <w:color w:val="auto"/>
          <w:kern w:val="2"/>
          <w:sz w:val="24"/>
          <w:szCs w:val="24"/>
          <w:highlight w:val="none"/>
          <w:lang w:val="en-US" w:eastAsia="zh-CN" w:bidi="ar-SA"/>
        </w:rPr>
        <w:t>18.3 其他保险</w:t>
      </w:r>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p>
    <w:p w14:paraId="3CB6497B">
      <w:pPr>
        <w:keepNext w:val="0"/>
        <w:keepLines w:val="0"/>
        <w:pageBreakBefore w:val="0"/>
        <w:widowControl/>
        <w:suppressLineNumbers w:val="0"/>
        <w:kinsoku/>
        <w:wordWrap w:val="0"/>
        <w:overflowPunct/>
        <w:topLinePunct w:val="0"/>
        <w:bidi w:val="0"/>
        <w:snapToGrid/>
        <w:spacing w:before="0" w:beforeAutospacing="0" w:after="0" w:afterAutospacing="0" w:line="288" w:lineRule="auto"/>
        <w:ind w:left="0" w:right="0"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关于其他保险的约定：</w:t>
      </w:r>
      <w:r>
        <w:rPr>
          <w:rFonts w:hint="eastAsia" w:ascii="宋体" w:hAnsi="宋体" w:eastAsia="宋体" w:cs="宋体"/>
          <w:b/>
          <w:bCs/>
          <w:color w:val="auto"/>
          <w:kern w:val="2"/>
          <w:sz w:val="24"/>
          <w:szCs w:val="24"/>
          <w:highlight w:val="none"/>
          <w:u w:val="single"/>
          <w:lang w:val="en-US" w:eastAsia="zh-CN" w:bidi="ar"/>
        </w:rPr>
        <w:t>承包人必须为施工现场从事施工的所有作业人员和管理人员办理意外伤害保险，并支付保险费。</w:t>
      </w:r>
    </w:p>
    <w:p w14:paraId="56AB3C2E">
      <w:pPr>
        <w:keepNext w:val="0"/>
        <w:keepLines w:val="0"/>
        <w:pageBreakBefore w:val="0"/>
        <w:widowControl/>
        <w:suppressLineNumbers w:val="0"/>
        <w:kinsoku/>
        <w:wordWrap w:val="0"/>
        <w:overflowPunct/>
        <w:topLinePunct w:val="0"/>
        <w:bidi w:val="0"/>
        <w:snapToGrid/>
        <w:spacing w:before="0" w:beforeAutospacing="0" w:after="0" w:afterAutospacing="0" w:line="288" w:lineRule="auto"/>
        <w:ind w:left="0" w:right="0" w:firstLine="480" w:firstLineChars="200"/>
        <w:jc w:val="left"/>
        <w:textAlignment w:val="auto"/>
        <w:rPr>
          <w:rFonts w:hint="eastAsia" w:ascii="宋体" w:hAnsi="宋体" w:eastAsia="宋体" w:cs="宋体"/>
          <w:color w:val="auto"/>
          <w:kern w:val="2"/>
          <w:sz w:val="24"/>
          <w:szCs w:val="24"/>
          <w:highlight w:val="none"/>
          <w:u w:val="single"/>
          <w:lang w:val="en-US" w:eastAsia="zh-CN" w:bidi="ar"/>
        </w:rPr>
      </w:pPr>
      <w:r>
        <w:rPr>
          <w:rFonts w:hint="eastAsia" w:ascii="宋体" w:hAnsi="宋体" w:eastAsia="宋体" w:cs="宋体"/>
          <w:color w:val="auto"/>
          <w:kern w:val="2"/>
          <w:sz w:val="24"/>
          <w:szCs w:val="24"/>
          <w:highlight w:val="none"/>
          <w:lang w:val="en-US" w:eastAsia="zh-CN" w:bidi="ar"/>
        </w:rPr>
        <w:t>承包人是否应为其施工设备等办理财产保险：</w:t>
      </w:r>
      <w:r>
        <w:rPr>
          <w:rFonts w:hint="eastAsia" w:ascii="宋体" w:hAnsi="宋体" w:eastAsia="宋体" w:cs="宋体"/>
          <w:color w:val="auto"/>
          <w:kern w:val="0"/>
          <w:sz w:val="24"/>
          <w:szCs w:val="24"/>
          <w:highlight w:val="none"/>
          <w:u w:val="single"/>
          <w:lang w:val="en-US" w:eastAsia="zh-CN" w:bidi="ar"/>
        </w:rPr>
        <w:t>执行通用条款18.3条</w:t>
      </w:r>
      <w:r>
        <w:rPr>
          <w:rFonts w:hint="eastAsia" w:ascii="宋体" w:hAnsi="宋体" w:eastAsia="宋体" w:cs="宋体"/>
          <w:color w:val="auto"/>
          <w:kern w:val="2"/>
          <w:sz w:val="24"/>
          <w:szCs w:val="24"/>
          <w:highlight w:val="none"/>
          <w:lang w:val="en-US" w:eastAsia="zh-CN" w:bidi="ar"/>
        </w:rPr>
        <w:t>。</w:t>
      </w:r>
    </w:p>
    <w:p w14:paraId="0547435F">
      <w:pPr>
        <w:keepNext/>
        <w:keepLines/>
        <w:pageBreakBefore w:val="0"/>
        <w:widowControl/>
        <w:kinsoku/>
        <w:wordWrap w:val="0"/>
        <w:overflowPunct/>
        <w:topLinePunct w:val="0"/>
        <w:bidi w:val="0"/>
        <w:snapToGrid/>
        <w:spacing w:line="288" w:lineRule="auto"/>
        <w:jc w:val="both"/>
        <w:textAlignment w:val="auto"/>
        <w:outlineLvl w:val="2"/>
        <w:rPr>
          <w:rFonts w:hint="eastAsia" w:ascii="宋体" w:hAnsi="宋体" w:eastAsia="宋体" w:cs="宋体"/>
          <w:b/>
          <w:bCs/>
          <w:color w:val="auto"/>
          <w:kern w:val="2"/>
          <w:sz w:val="24"/>
          <w:szCs w:val="24"/>
          <w:highlight w:val="none"/>
          <w:lang w:val="en-US" w:eastAsia="zh-CN" w:bidi="ar-SA"/>
        </w:rPr>
      </w:pPr>
      <w:bookmarkStart w:id="1209" w:name="_Toc389065340"/>
      <w:bookmarkStart w:id="1210" w:name="_Toc432177037"/>
      <w:bookmarkStart w:id="1211" w:name="_Toc77255644"/>
      <w:bookmarkStart w:id="1212" w:name="_Toc373478422"/>
      <w:bookmarkStart w:id="1213" w:name="_Toc531093202"/>
      <w:bookmarkStart w:id="1214" w:name="_Toc73356716"/>
      <w:bookmarkStart w:id="1215" w:name="_Toc18954319"/>
      <w:bookmarkStart w:id="1216" w:name="_Toc463940175"/>
      <w:bookmarkStart w:id="1217" w:name="_Toc3731911"/>
      <w:bookmarkStart w:id="1218" w:name="_Toc4064"/>
      <w:bookmarkStart w:id="1219" w:name="_Toc373227775"/>
      <w:bookmarkStart w:id="1220" w:name="_Toc15855"/>
      <w:bookmarkStart w:id="1221" w:name="_Toc480968531"/>
      <w:bookmarkStart w:id="1222" w:name="_Toc3731695"/>
      <w:r>
        <w:rPr>
          <w:rFonts w:hint="eastAsia" w:ascii="宋体" w:hAnsi="宋体" w:eastAsia="宋体" w:cs="宋体"/>
          <w:b/>
          <w:bCs/>
          <w:color w:val="auto"/>
          <w:kern w:val="2"/>
          <w:sz w:val="24"/>
          <w:szCs w:val="24"/>
          <w:highlight w:val="none"/>
          <w:lang w:val="en-US" w:eastAsia="zh-CN" w:bidi="ar-SA"/>
        </w:rPr>
        <w:t>18.7 通知义务</w:t>
      </w:r>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p>
    <w:p w14:paraId="21784C6F">
      <w:pPr>
        <w:keepNext w:val="0"/>
        <w:keepLines w:val="0"/>
        <w:pageBreakBefore w:val="0"/>
        <w:widowControl w:val="0"/>
        <w:suppressLineNumbers w:val="0"/>
        <w:kinsoku/>
        <w:wordWrap w:val="0"/>
        <w:overflowPunct/>
        <w:topLinePunct w:val="0"/>
        <w:bidi w:val="0"/>
        <w:snapToGrid/>
        <w:spacing w:before="0" w:beforeAutospacing="0" w:after="0" w:afterAutospacing="0" w:line="288" w:lineRule="auto"/>
        <w:ind w:left="0" w:right="0" w:firstLine="480" w:firstLineChars="200"/>
        <w:jc w:val="left"/>
        <w:textAlignment w:val="auto"/>
        <w:rPr>
          <w:rFonts w:hint="eastAsia" w:ascii="宋体" w:hAnsi="宋体" w:eastAsia="宋体" w:cs="宋体"/>
          <w:color w:val="auto"/>
          <w:sz w:val="24"/>
          <w:szCs w:val="24"/>
          <w:highlight w:val="none"/>
          <w:u w:val="single"/>
          <w:lang w:val="en-US"/>
        </w:rPr>
      </w:pPr>
      <w:r>
        <w:rPr>
          <w:rFonts w:hint="eastAsia" w:ascii="宋体" w:hAnsi="宋体" w:eastAsia="宋体" w:cs="宋体"/>
          <w:color w:val="auto"/>
          <w:kern w:val="0"/>
          <w:sz w:val="24"/>
          <w:szCs w:val="24"/>
          <w:highlight w:val="none"/>
          <w:lang w:val="en-US" w:eastAsia="zh-CN" w:bidi="ar"/>
        </w:rPr>
        <w:t>关于变更保险合同时的通知义务的约定：</w:t>
      </w:r>
      <w:r>
        <w:rPr>
          <w:rFonts w:hint="eastAsia" w:ascii="宋体" w:hAnsi="宋体" w:eastAsia="宋体" w:cs="宋体"/>
          <w:color w:val="auto"/>
          <w:kern w:val="2"/>
          <w:sz w:val="24"/>
          <w:szCs w:val="24"/>
          <w:highlight w:val="none"/>
          <w:u w:val="single"/>
          <w:lang w:val="en-US" w:eastAsia="zh-CN" w:bidi="ar"/>
        </w:rPr>
        <w:t>按通用合同条款，无特殊约定</w:t>
      </w:r>
      <w:r>
        <w:rPr>
          <w:rFonts w:hint="eastAsia" w:ascii="宋体" w:hAnsi="宋体" w:eastAsia="宋体" w:cs="宋体"/>
          <w:color w:val="auto"/>
          <w:kern w:val="2"/>
          <w:sz w:val="24"/>
          <w:szCs w:val="24"/>
          <w:highlight w:val="none"/>
          <w:lang w:val="en-US" w:eastAsia="zh-CN" w:bidi="ar"/>
        </w:rPr>
        <w:t>。</w:t>
      </w:r>
    </w:p>
    <w:p w14:paraId="6BB0198E">
      <w:pPr>
        <w:keepNext/>
        <w:keepLines/>
        <w:pageBreakBefore w:val="0"/>
        <w:widowControl/>
        <w:kinsoku/>
        <w:wordWrap w:val="0"/>
        <w:overflowPunct/>
        <w:topLinePunct w:val="0"/>
        <w:bidi w:val="0"/>
        <w:snapToGrid/>
        <w:spacing w:line="288" w:lineRule="auto"/>
        <w:jc w:val="left"/>
        <w:textAlignment w:val="auto"/>
        <w:outlineLvl w:val="1"/>
        <w:rPr>
          <w:rFonts w:hint="eastAsia" w:ascii="宋体" w:hAnsi="宋体" w:eastAsia="宋体" w:cs="宋体"/>
          <w:b/>
          <w:bCs/>
          <w:color w:val="auto"/>
          <w:kern w:val="44"/>
          <w:sz w:val="24"/>
          <w:szCs w:val="24"/>
          <w:highlight w:val="none"/>
          <w:lang w:val="en-US" w:eastAsia="zh-CN" w:bidi="ar-SA"/>
        </w:rPr>
      </w:pPr>
      <w:bookmarkStart w:id="1223" w:name="_Toc77255645"/>
      <w:bookmarkStart w:id="1224" w:name="_Toc389065341"/>
      <w:bookmarkStart w:id="1225" w:name="_Toc463940176"/>
      <w:bookmarkStart w:id="1226" w:name="_Toc432177038"/>
      <w:bookmarkStart w:id="1227" w:name="_Toc3731912"/>
      <w:bookmarkStart w:id="1228" w:name="_Toc373478423"/>
      <w:bookmarkStart w:id="1229" w:name="_Toc3731696"/>
      <w:bookmarkStart w:id="1230" w:name="_Toc480968532"/>
      <w:bookmarkStart w:id="1231" w:name="_Toc531093203"/>
      <w:bookmarkStart w:id="1232" w:name="_Toc73356717"/>
      <w:bookmarkStart w:id="1233" w:name="_Toc25678"/>
      <w:bookmarkStart w:id="1234" w:name="_Toc351203651"/>
      <w:bookmarkStart w:id="1235" w:name="_Toc9755"/>
      <w:bookmarkStart w:id="1236" w:name="_Toc18954320"/>
      <w:bookmarkStart w:id="1237" w:name="_Toc373227776"/>
      <w:r>
        <w:rPr>
          <w:rFonts w:hint="eastAsia" w:ascii="宋体" w:hAnsi="宋体" w:eastAsia="宋体" w:cs="宋体"/>
          <w:b/>
          <w:bCs/>
          <w:color w:val="auto"/>
          <w:kern w:val="44"/>
          <w:sz w:val="24"/>
          <w:szCs w:val="24"/>
          <w:highlight w:val="none"/>
          <w:lang w:val="en-US" w:eastAsia="zh-CN" w:bidi="ar-SA"/>
        </w:rPr>
        <w:t>20. 争议解决</w:t>
      </w:r>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p>
    <w:p w14:paraId="2B030ECF">
      <w:pPr>
        <w:keepNext/>
        <w:keepLines/>
        <w:pageBreakBefore w:val="0"/>
        <w:widowControl/>
        <w:kinsoku/>
        <w:wordWrap w:val="0"/>
        <w:overflowPunct/>
        <w:topLinePunct w:val="0"/>
        <w:bidi w:val="0"/>
        <w:snapToGrid/>
        <w:spacing w:line="288" w:lineRule="auto"/>
        <w:jc w:val="both"/>
        <w:textAlignment w:val="auto"/>
        <w:outlineLvl w:val="2"/>
        <w:rPr>
          <w:rFonts w:hint="eastAsia" w:ascii="宋体" w:hAnsi="宋体" w:eastAsia="宋体" w:cs="宋体"/>
          <w:b/>
          <w:bCs/>
          <w:color w:val="auto"/>
          <w:kern w:val="2"/>
          <w:sz w:val="24"/>
          <w:szCs w:val="24"/>
          <w:highlight w:val="none"/>
          <w:lang w:val="en-US" w:eastAsia="zh-CN" w:bidi="ar-SA"/>
        </w:rPr>
      </w:pPr>
      <w:bookmarkStart w:id="1238" w:name="_Toc373478424"/>
      <w:bookmarkStart w:id="1239" w:name="_Toc463940177"/>
      <w:bookmarkStart w:id="1240" w:name="_Toc73356718"/>
      <w:bookmarkStart w:id="1241" w:name="_Toc531093204"/>
      <w:bookmarkStart w:id="1242" w:name="_Toc31280"/>
      <w:bookmarkStart w:id="1243" w:name="_Toc218"/>
      <w:bookmarkStart w:id="1244" w:name="_Toc389065342"/>
      <w:bookmarkStart w:id="1245" w:name="_Toc373227777"/>
      <w:bookmarkStart w:id="1246" w:name="_Toc3731697"/>
      <w:bookmarkStart w:id="1247" w:name="_Toc480968533"/>
      <w:bookmarkStart w:id="1248" w:name="_Toc18954321"/>
      <w:bookmarkStart w:id="1249" w:name="_Toc77255646"/>
      <w:bookmarkStart w:id="1250" w:name="_Toc432177039"/>
      <w:bookmarkStart w:id="1251" w:name="_Toc3731913"/>
      <w:r>
        <w:rPr>
          <w:rFonts w:hint="eastAsia" w:ascii="宋体" w:hAnsi="宋体" w:eastAsia="宋体" w:cs="宋体"/>
          <w:b/>
          <w:bCs/>
          <w:color w:val="auto"/>
          <w:kern w:val="2"/>
          <w:sz w:val="24"/>
          <w:szCs w:val="24"/>
          <w:highlight w:val="none"/>
          <w:lang w:val="en-US" w:eastAsia="zh-CN" w:bidi="ar-SA"/>
        </w:rPr>
        <w:t>20.3 争议评审</w:t>
      </w:r>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p>
    <w:p w14:paraId="0EFDC3EC">
      <w:pPr>
        <w:keepNext w:val="0"/>
        <w:keepLines w:val="0"/>
        <w:pageBreakBefore w:val="0"/>
        <w:widowControl w:val="0"/>
        <w:suppressLineNumbers w:val="0"/>
        <w:kinsoku/>
        <w:wordWrap w:val="0"/>
        <w:overflowPunct/>
        <w:topLinePunct w:val="0"/>
        <w:bidi w:val="0"/>
        <w:snapToGrid/>
        <w:spacing w:before="0" w:beforeAutospacing="0" w:after="0" w:afterAutospacing="0" w:line="288" w:lineRule="auto"/>
        <w:ind w:left="149" w:leftChars="71" w:right="0" w:firstLine="360" w:firstLineChars="150"/>
        <w:jc w:val="left"/>
        <w:textAlignment w:val="auto"/>
        <w:rPr>
          <w:rFonts w:hint="eastAsia" w:ascii="宋体" w:hAnsi="宋体" w:eastAsia="宋体" w:cs="宋体"/>
          <w:color w:val="auto"/>
          <w:sz w:val="24"/>
          <w:szCs w:val="24"/>
          <w:highlight w:val="none"/>
          <w:u w:val="single"/>
          <w:lang w:val="en-US"/>
        </w:rPr>
      </w:pPr>
      <w:r>
        <w:rPr>
          <w:rFonts w:hint="eastAsia" w:ascii="宋体" w:hAnsi="宋体" w:eastAsia="宋体" w:cs="宋体"/>
          <w:color w:val="auto"/>
          <w:kern w:val="2"/>
          <w:sz w:val="24"/>
          <w:szCs w:val="24"/>
          <w:highlight w:val="none"/>
          <w:lang w:val="en-US" w:eastAsia="zh-CN" w:bidi="ar"/>
        </w:rPr>
        <w:t>合同当事人是否同意将工程争议提交争议评审小组决定：</w:t>
      </w:r>
      <w:r>
        <w:rPr>
          <w:rFonts w:hint="eastAsia" w:ascii="宋体" w:hAnsi="宋体" w:eastAsia="宋体" w:cs="宋体"/>
          <w:color w:val="auto"/>
          <w:kern w:val="2"/>
          <w:sz w:val="24"/>
          <w:szCs w:val="24"/>
          <w:highlight w:val="none"/>
          <w:u w:val="single"/>
          <w:lang w:val="en-US" w:eastAsia="zh-CN" w:bidi="ar"/>
        </w:rPr>
        <w:t>不同意</w:t>
      </w:r>
      <w:r>
        <w:rPr>
          <w:rFonts w:hint="eastAsia" w:ascii="宋体" w:hAnsi="宋体" w:eastAsia="宋体" w:cs="宋体"/>
          <w:color w:val="auto"/>
          <w:kern w:val="2"/>
          <w:sz w:val="24"/>
          <w:szCs w:val="24"/>
          <w:highlight w:val="none"/>
          <w:lang w:val="en-US" w:eastAsia="zh-CN" w:bidi="ar"/>
        </w:rPr>
        <w:t>。</w:t>
      </w:r>
    </w:p>
    <w:p w14:paraId="6750DA99">
      <w:pPr>
        <w:keepNext w:val="0"/>
        <w:keepLines w:val="0"/>
        <w:pageBreakBefore w:val="0"/>
        <w:widowControl w:val="0"/>
        <w:suppressLineNumbers w:val="0"/>
        <w:kinsoku/>
        <w:wordWrap w:val="0"/>
        <w:overflowPunct/>
        <w:topLinePunct w:val="0"/>
        <w:bidi w:val="0"/>
        <w:snapToGrid/>
        <w:spacing w:before="0" w:beforeAutospacing="0" w:after="0" w:afterAutospacing="0" w:line="288" w:lineRule="auto"/>
        <w:ind w:left="0" w:right="0" w:firstLine="480" w:firstLineChars="200"/>
        <w:jc w:val="left"/>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bidi="ar"/>
        </w:rPr>
        <w:t>20.3.1 争议评审小组的确定</w:t>
      </w:r>
    </w:p>
    <w:p w14:paraId="73BA54A3">
      <w:pPr>
        <w:keepNext w:val="0"/>
        <w:keepLines w:val="0"/>
        <w:pageBreakBefore w:val="0"/>
        <w:widowControl w:val="0"/>
        <w:suppressLineNumbers w:val="0"/>
        <w:kinsoku/>
        <w:wordWrap w:val="0"/>
        <w:overflowPunct/>
        <w:topLinePunct w:val="0"/>
        <w:bidi w:val="0"/>
        <w:snapToGrid/>
        <w:spacing w:before="0" w:beforeAutospacing="0" w:after="0" w:afterAutospacing="0" w:line="288" w:lineRule="auto"/>
        <w:ind w:left="0" w:right="0" w:firstLine="480" w:firstLineChars="200"/>
        <w:jc w:val="left"/>
        <w:textAlignment w:val="auto"/>
        <w:rPr>
          <w:rFonts w:hint="eastAsia" w:ascii="宋体" w:hAnsi="宋体" w:eastAsia="宋体" w:cs="宋体"/>
          <w:color w:val="auto"/>
          <w:sz w:val="24"/>
          <w:szCs w:val="24"/>
          <w:highlight w:val="none"/>
          <w:u w:val="single"/>
          <w:lang w:val="en-US"/>
        </w:rPr>
      </w:pPr>
      <w:r>
        <w:rPr>
          <w:rFonts w:hint="eastAsia" w:ascii="宋体" w:hAnsi="宋体" w:eastAsia="宋体" w:cs="宋体"/>
          <w:color w:val="auto"/>
          <w:kern w:val="2"/>
          <w:sz w:val="24"/>
          <w:szCs w:val="24"/>
          <w:highlight w:val="none"/>
          <w:lang w:val="en-US" w:eastAsia="zh-CN" w:bidi="ar"/>
        </w:rPr>
        <w:t>争议评审小组成员的确定：</w:t>
      </w:r>
      <w:r>
        <w:rPr>
          <w:rFonts w:hint="eastAsia" w:ascii="宋体" w:hAnsi="宋体" w:eastAsia="宋体" w:cs="宋体"/>
          <w:color w:val="auto"/>
          <w:kern w:val="2"/>
          <w:sz w:val="24"/>
          <w:szCs w:val="24"/>
          <w:highlight w:val="none"/>
          <w:u w:val="single"/>
          <w:lang w:val="en-US" w:eastAsia="zh-CN" w:bidi="ar"/>
        </w:rPr>
        <w:t>无</w:t>
      </w:r>
      <w:r>
        <w:rPr>
          <w:rFonts w:hint="eastAsia" w:ascii="宋体" w:hAnsi="宋体" w:eastAsia="宋体" w:cs="宋体"/>
          <w:color w:val="auto"/>
          <w:kern w:val="2"/>
          <w:sz w:val="24"/>
          <w:szCs w:val="24"/>
          <w:highlight w:val="none"/>
          <w:lang w:val="en-US" w:eastAsia="zh-CN" w:bidi="ar"/>
        </w:rPr>
        <w:t>。</w:t>
      </w:r>
    </w:p>
    <w:p w14:paraId="0F41E97D">
      <w:pPr>
        <w:keepNext w:val="0"/>
        <w:keepLines w:val="0"/>
        <w:pageBreakBefore w:val="0"/>
        <w:widowControl w:val="0"/>
        <w:suppressLineNumbers w:val="0"/>
        <w:kinsoku/>
        <w:wordWrap w:val="0"/>
        <w:overflowPunct/>
        <w:topLinePunct w:val="0"/>
        <w:bidi w:val="0"/>
        <w:snapToGrid/>
        <w:spacing w:before="0" w:beforeAutospacing="0" w:after="0" w:afterAutospacing="0" w:line="288" w:lineRule="auto"/>
        <w:ind w:left="0" w:right="0" w:firstLine="480" w:firstLineChars="200"/>
        <w:jc w:val="left"/>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bidi="ar"/>
        </w:rPr>
        <w:t>选定争议评审员的期限：</w:t>
      </w:r>
      <w:r>
        <w:rPr>
          <w:rFonts w:hint="eastAsia" w:ascii="宋体" w:hAnsi="宋体" w:eastAsia="宋体" w:cs="宋体"/>
          <w:color w:val="auto"/>
          <w:kern w:val="2"/>
          <w:sz w:val="24"/>
          <w:szCs w:val="24"/>
          <w:highlight w:val="none"/>
          <w:u w:val="single"/>
          <w:lang w:val="en-US" w:eastAsia="zh-CN" w:bidi="ar"/>
        </w:rPr>
        <w:t>无</w:t>
      </w:r>
      <w:r>
        <w:rPr>
          <w:rFonts w:hint="eastAsia" w:ascii="宋体" w:hAnsi="宋体" w:eastAsia="宋体" w:cs="宋体"/>
          <w:color w:val="auto"/>
          <w:kern w:val="2"/>
          <w:sz w:val="24"/>
          <w:szCs w:val="24"/>
          <w:highlight w:val="none"/>
          <w:lang w:val="en-US" w:eastAsia="zh-CN" w:bidi="ar"/>
        </w:rPr>
        <w:t>。</w:t>
      </w:r>
    </w:p>
    <w:p w14:paraId="66B26B82">
      <w:pPr>
        <w:keepNext w:val="0"/>
        <w:keepLines w:val="0"/>
        <w:pageBreakBefore w:val="0"/>
        <w:widowControl w:val="0"/>
        <w:suppressLineNumbers w:val="0"/>
        <w:kinsoku/>
        <w:wordWrap w:val="0"/>
        <w:overflowPunct/>
        <w:topLinePunct w:val="0"/>
        <w:bidi w:val="0"/>
        <w:snapToGrid/>
        <w:spacing w:before="0" w:beforeAutospacing="0" w:after="0" w:afterAutospacing="0" w:line="288" w:lineRule="auto"/>
        <w:ind w:left="0" w:right="0" w:firstLine="480" w:firstLineChars="200"/>
        <w:jc w:val="left"/>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bidi="ar"/>
        </w:rPr>
        <w:t>争议评审小组成员的报酬承担方式：</w:t>
      </w:r>
      <w:r>
        <w:rPr>
          <w:rFonts w:hint="eastAsia" w:ascii="宋体" w:hAnsi="宋体" w:eastAsia="宋体" w:cs="宋体"/>
          <w:color w:val="auto"/>
          <w:kern w:val="2"/>
          <w:sz w:val="24"/>
          <w:szCs w:val="24"/>
          <w:highlight w:val="none"/>
          <w:u w:val="single"/>
          <w:lang w:val="en-US" w:eastAsia="zh-CN" w:bidi="ar"/>
        </w:rPr>
        <w:t>无</w:t>
      </w:r>
      <w:r>
        <w:rPr>
          <w:rFonts w:hint="eastAsia" w:ascii="宋体" w:hAnsi="宋体" w:eastAsia="宋体" w:cs="宋体"/>
          <w:color w:val="auto"/>
          <w:kern w:val="2"/>
          <w:sz w:val="24"/>
          <w:szCs w:val="24"/>
          <w:highlight w:val="none"/>
          <w:lang w:val="en-US" w:eastAsia="zh-CN" w:bidi="ar"/>
        </w:rPr>
        <w:t>。</w:t>
      </w:r>
    </w:p>
    <w:p w14:paraId="7D8F1926">
      <w:pPr>
        <w:keepNext w:val="0"/>
        <w:keepLines w:val="0"/>
        <w:pageBreakBefore w:val="0"/>
        <w:widowControl w:val="0"/>
        <w:suppressLineNumbers w:val="0"/>
        <w:kinsoku/>
        <w:wordWrap w:val="0"/>
        <w:overflowPunct/>
        <w:topLinePunct w:val="0"/>
        <w:bidi w:val="0"/>
        <w:snapToGrid/>
        <w:spacing w:before="0" w:beforeAutospacing="0" w:after="0" w:afterAutospacing="0" w:line="288" w:lineRule="auto"/>
        <w:ind w:left="0" w:right="0" w:firstLine="480" w:firstLineChars="200"/>
        <w:jc w:val="left"/>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bidi="ar"/>
        </w:rPr>
        <w:t>其他事项的约定：</w:t>
      </w:r>
      <w:r>
        <w:rPr>
          <w:rFonts w:hint="eastAsia" w:ascii="宋体" w:hAnsi="宋体" w:eastAsia="宋体" w:cs="宋体"/>
          <w:color w:val="auto"/>
          <w:kern w:val="2"/>
          <w:sz w:val="24"/>
          <w:szCs w:val="24"/>
          <w:highlight w:val="none"/>
          <w:u w:val="single"/>
          <w:lang w:val="en-US" w:eastAsia="zh-CN" w:bidi="ar"/>
        </w:rPr>
        <w:t>无</w:t>
      </w:r>
      <w:r>
        <w:rPr>
          <w:rFonts w:hint="eastAsia" w:ascii="宋体" w:hAnsi="宋体" w:eastAsia="宋体" w:cs="宋体"/>
          <w:color w:val="auto"/>
          <w:kern w:val="2"/>
          <w:sz w:val="24"/>
          <w:szCs w:val="24"/>
          <w:highlight w:val="none"/>
          <w:lang w:val="en-US" w:eastAsia="zh-CN" w:bidi="ar"/>
        </w:rPr>
        <w:t>。</w:t>
      </w:r>
    </w:p>
    <w:p w14:paraId="10A798AE">
      <w:pPr>
        <w:pageBreakBefore w:val="0"/>
        <w:kinsoku/>
        <w:overflowPunct/>
        <w:topLinePunct w:val="0"/>
        <w:bidi w:val="0"/>
        <w:snapToGrid/>
        <w:spacing w:line="288" w:lineRule="auto"/>
        <w:textAlignment w:val="auto"/>
        <w:rPr>
          <w:rFonts w:hint="eastAsia" w:ascii="宋体" w:hAnsi="宋体" w:eastAsia="宋体" w:cs="宋体"/>
          <w:color w:val="auto"/>
          <w:sz w:val="24"/>
          <w:szCs w:val="24"/>
          <w:highlight w:val="none"/>
          <w:lang w:val="en-US"/>
        </w:rPr>
      </w:pPr>
      <w:bookmarkStart w:id="1252" w:name="_Toc27964"/>
      <w:bookmarkStart w:id="1253" w:name="_Toc32313"/>
      <w:r>
        <w:rPr>
          <w:rFonts w:hint="eastAsia" w:ascii="宋体" w:hAnsi="宋体" w:eastAsia="宋体" w:cs="宋体"/>
          <w:color w:val="auto"/>
          <w:sz w:val="24"/>
          <w:szCs w:val="24"/>
          <w:highlight w:val="none"/>
          <w:lang w:val="en-US" w:eastAsia="zh-CN"/>
        </w:rPr>
        <w:t>20.3.2 争议评审小组的决定</w:t>
      </w:r>
      <w:bookmarkEnd w:id="1252"/>
      <w:bookmarkEnd w:id="1253"/>
    </w:p>
    <w:p w14:paraId="0DAAA6E7">
      <w:pPr>
        <w:keepNext w:val="0"/>
        <w:keepLines w:val="0"/>
        <w:pageBreakBefore w:val="0"/>
        <w:widowControl w:val="0"/>
        <w:suppressLineNumbers w:val="0"/>
        <w:kinsoku/>
        <w:wordWrap w:val="0"/>
        <w:overflowPunct/>
        <w:topLinePunct w:val="0"/>
        <w:bidi w:val="0"/>
        <w:snapToGrid/>
        <w:spacing w:before="0" w:beforeAutospacing="0" w:after="0" w:afterAutospacing="0" w:line="288" w:lineRule="auto"/>
        <w:ind w:left="0" w:right="0" w:firstLine="480" w:firstLineChars="200"/>
        <w:jc w:val="left"/>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bidi="ar"/>
        </w:rPr>
        <w:t>合同当事人关于本项的约定：</w:t>
      </w:r>
      <w:r>
        <w:rPr>
          <w:rFonts w:hint="eastAsia" w:ascii="宋体" w:hAnsi="宋体" w:eastAsia="宋体" w:cs="宋体"/>
          <w:color w:val="auto"/>
          <w:kern w:val="2"/>
          <w:sz w:val="24"/>
          <w:szCs w:val="24"/>
          <w:highlight w:val="none"/>
          <w:u w:val="single"/>
          <w:lang w:val="en-US" w:eastAsia="zh-CN" w:bidi="ar"/>
        </w:rPr>
        <w:t>无</w:t>
      </w:r>
      <w:r>
        <w:rPr>
          <w:rFonts w:hint="eastAsia" w:ascii="宋体" w:hAnsi="宋体" w:eastAsia="宋体" w:cs="宋体"/>
          <w:color w:val="auto"/>
          <w:kern w:val="2"/>
          <w:sz w:val="24"/>
          <w:szCs w:val="24"/>
          <w:highlight w:val="none"/>
          <w:lang w:val="en-US" w:eastAsia="zh-CN" w:bidi="ar"/>
        </w:rPr>
        <w:t>。</w:t>
      </w:r>
    </w:p>
    <w:p w14:paraId="43C54B58">
      <w:pPr>
        <w:keepNext/>
        <w:keepLines/>
        <w:pageBreakBefore w:val="0"/>
        <w:widowControl/>
        <w:kinsoku/>
        <w:wordWrap w:val="0"/>
        <w:overflowPunct/>
        <w:topLinePunct w:val="0"/>
        <w:bidi w:val="0"/>
        <w:snapToGrid/>
        <w:spacing w:line="288" w:lineRule="auto"/>
        <w:jc w:val="both"/>
        <w:textAlignment w:val="auto"/>
        <w:outlineLvl w:val="2"/>
        <w:rPr>
          <w:rFonts w:hint="eastAsia" w:ascii="宋体" w:hAnsi="宋体" w:eastAsia="宋体" w:cs="宋体"/>
          <w:b/>
          <w:bCs/>
          <w:color w:val="auto"/>
          <w:kern w:val="2"/>
          <w:sz w:val="24"/>
          <w:szCs w:val="24"/>
          <w:highlight w:val="none"/>
          <w:lang w:val="en-US" w:eastAsia="zh-CN" w:bidi="ar-SA"/>
        </w:rPr>
      </w:pPr>
      <w:bookmarkStart w:id="1254" w:name="_Toc3731698"/>
      <w:bookmarkStart w:id="1255" w:name="_Toc73356719"/>
      <w:bookmarkStart w:id="1256" w:name="_Toc29544"/>
      <w:bookmarkStart w:id="1257" w:name="_Toc77255647"/>
      <w:bookmarkStart w:id="1258" w:name="_Toc463940178"/>
      <w:bookmarkStart w:id="1259" w:name="_Toc373478425"/>
      <w:bookmarkStart w:id="1260" w:name="_Toc373227778"/>
      <w:bookmarkStart w:id="1261" w:name="_Toc18954322"/>
      <w:bookmarkStart w:id="1262" w:name="_Toc389065343"/>
      <w:bookmarkStart w:id="1263" w:name="_Toc16129"/>
      <w:bookmarkStart w:id="1264" w:name="_Toc531093205"/>
      <w:bookmarkStart w:id="1265" w:name="_Toc480968534"/>
      <w:bookmarkStart w:id="1266" w:name="_Toc432177040"/>
      <w:bookmarkStart w:id="1267" w:name="_Toc3731914"/>
      <w:r>
        <w:rPr>
          <w:rFonts w:hint="eastAsia" w:ascii="宋体" w:hAnsi="宋体" w:eastAsia="宋体" w:cs="宋体"/>
          <w:b/>
          <w:bCs/>
          <w:color w:val="auto"/>
          <w:kern w:val="2"/>
          <w:sz w:val="24"/>
          <w:szCs w:val="24"/>
          <w:highlight w:val="none"/>
          <w:lang w:val="en-US" w:eastAsia="zh-CN" w:bidi="ar-SA"/>
        </w:rPr>
        <w:t>20.4仲裁或诉讼</w:t>
      </w:r>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p>
    <w:p w14:paraId="6DCD080B">
      <w:pPr>
        <w:keepNext w:val="0"/>
        <w:keepLines w:val="0"/>
        <w:pageBreakBefore w:val="0"/>
        <w:widowControl w:val="0"/>
        <w:suppressLineNumbers w:val="0"/>
        <w:kinsoku/>
        <w:wordWrap w:val="0"/>
        <w:overflowPunct/>
        <w:topLinePunct w:val="0"/>
        <w:bidi w:val="0"/>
        <w:snapToGrid/>
        <w:spacing w:before="0" w:beforeAutospacing="0" w:after="0" w:afterAutospacing="0" w:line="288" w:lineRule="auto"/>
        <w:ind w:left="0" w:right="0" w:firstLine="480" w:firstLineChars="200"/>
        <w:jc w:val="both"/>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bidi="ar"/>
        </w:rPr>
        <w:t>因合同及合同有关事项发生的争议，按下列第</w:t>
      </w:r>
      <w:r>
        <w:rPr>
          <w:rFonts w:hint="eastAsia" w:ascii="宋体" w:hAnsi="宋体" w:eastAsia="宋体" w:cs="宋体"/>
          <w:color w:val="auto"/>
          <w:kern w:val="2"/>
          <w:sz w:val="24"/>
          <w:szCs w:val="24"/>
          <w:highlight w:val="none"/>
          <w:u w:val="single"/>
          <w:lang w:val="en-US" w:eastAsia="zh-CN" w:bidi="ar"/>
        </w:rPr>
        <w:t>2</w:t>
      </w:r>
      <w:r>
        <w:rPr>
          <w:rFonts w:hint="eastAsia" w:ascii="宋体" w:hAnsi="宋体" w:eastAsia="宋体" w:cs="宋体"/>
          <w:color w:val="auto"/>
          <w:kern w:val="2"/>
          <w:sz w:val="24"/>
          <w:szCs w:val="24"/>
          <w:highlight w:val="none"/>
          <w:lang w:val="en-US" w:eastAsia="zh-CN" w:bidi="ar"/>
        </w:rPr>
        <w:t>种方式解决：</w:t>
      </w:r>
    </w:p>
    <w:p w14:paraId="498DC1B7">
      <w:pPr>
        <w:keepNext w:val="0"/>
        <w:keepLines w:val="0"/>
        <w:pageBreakBefore w:val="0"/>
        <w:widowControl w:val="0"/>
        <w:suppressLineNumbers w:val="0"/>
        <w:kinsoku/>
        <w:wordWrap w:val="0"/>
        <w:overflowPunct/>
        <w:topLinePunct w:val="0"/>
        <w:bidi w:val="0"/>
        <w:snapToGrid/>
        <w:spacing w:before="0" w:beforeAutospacing="0" w:after="0" w:afterAutospacing="0" w:line="288" w:lineRule="auto"/>
        <w:ind w:left="0" w:right="0" w:firstLine="480" w:firstLineChars="200"/>
        <w:jc w:val="left"/>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bidi="ar"/>
        </w:rPr>
        <w:t>（1）提请仲裁委员会按照该会仲裁规则进行仲裁，仲裁裁决是终局的，对合同双方均有约束力。</w:t>
      </w:r>
    </w:p>
    <w:p w14:paraId="640666C9">
      <w:pPr>
        <w:keepNext w:val="0"/>
        <w:keepLines w:val="0"/>
        <w:pageBreakBefore w:val="0"/>
        <w:widowControl w:val="0"/>
        <w:suppressLineNumbers w:val="0"/>
        <w:kinsoku/>
        <w:wordWrap w:val="0"/>
        <w:overflowPunct/>
        <w:topLinePunct w:val="0"/>
        <w:bidi w:val="0"/>
        <w:snapToGrid/>
        <w:spacing w:before="0" w:beforeAutospacing="0" w:after="0" w:afterAutospacing="0" w:line="288" w:lineRule="auto"/>
        <w:ind w:left="0" w:right="0" w:firstLine="480" w:firstLineChars="200"/>
        <w:jc w:val="left"/>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bidi="ar"/>
        </w:rPr>
        <w:t>（2）向</w:t>
      </w:r>
      <w:r>
        <w:rPr>
          <w:rFonts w:hint="eastAsia" w:ascii="宋体" w:hAnsi="宋体" w:eastAsia="宋体" w:cs="宋体"/>
          <w:color w:val="auto"/>
          <w:kern w:val="2"/>
          <w:sz w:val="24"/>
          <w:szCs w:val="24"/>
          <w:highlight w:val="none"/>
          <w:u w:val="single"/>
          <w:lang w:val="en-US" w:eastAsia="zh-CN" w:bidi="ar"/>
        </w:rPr>
        <w:t>项目所在地</w:t>
      </w:r>
      <w:r>
        <w:rPr>
          <w:rFonts w:hint="eastAsia" w:ascii="宋体" w:hAnsi="宋体" w:eastAsia="宋体" w:cs="宋体"/>
          <w:color w:val="auto"/>
          <w:kern w:val="2"/>
          <w:sz w:val="24"/>
          <w:szCs w:val="24"/>
          <w:highlight w:val="none"/>
          <w:lang w:val="en-US" w:eastAsia="zh-CN" w:bidi="ar"/>
        </w:rPr>
        <w:t>人民法院起诉。</w:t>
      </w:r>
    </w:p>
    <w:p w14:paraId="08AA3A87">
      <w:pPr>
        <w:keepNext/>
        <w:keepLines/>
        <w:pageBreakBefore w:val="0"/>
        <w:widowControl/>
        <w:kinsoku/>
        <w:wordWrap w:val="0"/>
        <w:overflowPunct/>
        <w:topLinePunct w:val="0"/>
        <w:bidi w:val="0"/>
        <w:snapToGrid/>
        <w:spacing w:line="288" w:lineRule="auto"/>
        <w:jc w:val="left"/>
        <w:textAlignment w:val="auto"/>
        <w:outlineLvl w:val="1"/>
        <w:rPr>
          <w:rFonts w:hint="eastAsia" w:ascii="宋体" w:hAnsi="宋体" w:eastAsia="宋体" w:cs="宋体"/>
          <w:b/>
          <w:bCs/>
          <w:color w:val="auto"/>
          <w:kern w:val="44"/>
          <w:sz w:val="24"/>
          <w:szCs w:val="24"/>
          <w:highlight w:val="none"/>
          <w:lang w:val="en-US" w:eastAsia="zh-CN" w:bidi="ar-SA"/>
        </w:rPr>
      </w:pPr>
      <w:bookmarkStart w:id="1268" w:name="_Toc389065344"/>
      <w:bookmarkStart w:id="1269" w:name="_Toc432177041"/>
      <w:bookmarkStart w:id="1270" w:name="_Toc31575"/>
      <w:bookmarkStart w:id="1271" w:name="_Toc3731699"/>
      <w:bookmarkStart w:id="1272" w:name="_Toc463940179"/>
      <w:bookmarkStart w:id="1273" w:name="_Toc480968535"/>
      <w:bookmarkStart w:id="1274" w:name="_Toc373227779"/>
      <w:bookmarkStart w:id="1275" w:name="_Toc73356720"/>
      <w:bookmarkStart w:id="1276" w:name="_Toc531093206"/>
      <w:bookmarkStart w:id="1277" w:name="_Toc3731915"/>
      <w:bookmarkStart w:id="1278" w:name="_Toc77255648"/>
      <w:bookmarkStart w:id="1279" w:name="_Toc18954323"/>
      <w:bookmarkStart w:id="1280" w:name="_Toc373478426"/>
      <w:bookmarkStart w:id="1281" w:name="_Toc31791"/>
      <w:r>
        <w:rPr>
          <w:rFonts w:hint="eastAsia" w:ascii="宋体" w:hAnsi="宋体" w:eastAsia="宋体" w:cs="宋体"/>
          <w:b/>
          <w:bCs/>
          <w:color w:val="auto"/>
          <w:kern w:val="44"/>
          <w:sz w:val="24"/>
          <w:szCs w:val="24"/>
          <w:highlight w:val="none"/>
          <w:lang w:val="en-US" w:eastAsia="zh-CN" w:bidi="ar-SA"/>
        </w:rPr>
        <w:t>21. 补充条款</w:t>
      </w:r>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p>
    <w:p w14:paraId="5F6AF180">
      <w:pPr>
        <w:keepNext w:val="0"/>
        <w:keepLines w:val="0"/>
        <w:pageBreakBefore w:val="0"/>
        <w:widowControl/>
        <w:suppressLineNumbers w:val="0"/>
        <w:kinsoku/>
        <w:wordWrap w:val="0"/>
        <w:overflowPunct/>
        <w:topLinePunct w:val="0"/>
        <w:bidi w:val="0"/>
        <w:snapToGrid/>
        <w:spacing w:before="0" w:beforeAutospacing="0" w:after="0" w:afterAutospacing="0" w:line="288" w:lineRule="auto"/>
        <w:ind w:left="0" w:right="0" w:firstLine="405"/>
        <w:jc w:val="both"/>
        <w:textAlignment w:val="auto"/>
        <w:outlineLvl w:val="2"/>
        <w:rPr>
          <w:rFonts w:hint="eastAsia" w:ascii="宋体" w:hAnsi="宋体" w:eastAsia="宋体" w:cs="宋体"/>
          <w:color w:val="auto"/>
          <w:kern w:val="2"/>
          <w:sz w:val="24"/>
          <w:szCs w:val="24"/>
          <w:highlight w:val="none"/>
          <w:lang w:val="en-US" w:eastAsia="zh-CN" w:bidi="ar"/>
        </w:rPr>
      </w:pPr>
      <w:bookmarkStart w:id="1282" w:name="_Toc21383"/>
      <w:bookmarkStart w:id="1283" w:name="_Toc3731700"/>
      <w:bookmarkStart w:id="1284" w:name="_Toc485629475"/>
      <w:bookmarkStart w:id="1285" w:name="_Toc3731916"/>
      <w:r>
        <w:rPr>
          <w:rFonts w:hint="eastAsia" w:ascii="宋体" w:hAnsi="宋体" w:eastAsia="宋体" w:cs="宋体"/>
          <w:color w:val="auto"/>
          <w:kern w:val="2"/>
          <w:sz w:val="24"/>
          <w:szCs w:val="24"/>
          <w:highlight w:val="none"/>
          <w:lang w:val="en-US" w:eastAsia="zh-CN" w:bidi="ar"/>
        </w:rPr>
        <w:t>21.1 本工程禁止使用童工。</w:t>
      </w:r>
      <w:bookmarkEnd w:id="1282"/>
      <w:bookmarkEnd w:id="1283"/>
      <w:bookmarkEnd w:id="1284"/>
      <w:bookmarkEnd w:id="1285"/>
    </w:p>
    <w:p w14:paraId="05E8D5CF">
      <w:pPr>
        <w:pageBreakBefore w:val="0"/>
        <w:kinsoku/>
        <w:overflowPunct/>
        <w:topLinePunct w:val="0"/>
        <w:bidi w:val="0"/>
        <w:adjustRightInd w:val="0"/>
        <w:snapToGrid/>
        <w:spacing w:line="28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21.2承包人必须加强安全教育和检查工作，积极预防安全事故的发生，采取配备符合安全规范要求的设施、工具、警示标志及防护用品等各种安全生产措施，确保安全施工，如发生安全生产责任事故全部由乙方负责，而与甲方无关。</w:t>
      </w:r>
    </w:p>
    <w:p w14:paraId="37082D03">
      <w:pPr>
        <w:pageBreakBefore w:val="0"/>
        <w:kinsoku/>
        <w:overflowPunct/>
        <w:topLinePunct w:val="0"/>
        <w:bidi w:val="0"/>
        <w:adjustRightInd w:val="0"/>
        <w:snapToGrid/>
        <w:spacing w:line="28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21.3承包人必须文明施工，保持施工现场环境清洁卫生，建筑材料摆放整齐，建筑垃圾只能堆放在院方指定位置，并做好相应围栏，每日一清，如不按规定堆放，每次处罚500元（交医院财务科），并且保证在施工过程中不得影响医院的正常生产经营秩序，也不得影响医院职工、患者的正常生活作息。</w:t>
      </w:r>
    </w:p>
    <w:p w14:paraId="644102BC">
      <w:pPr>
        <w:pageBreakBefore w:val="0"/>
        <w:kinsoku/>
        <w:overflowPunct/>
        <w:topLinePunct w:val="0"/>
        <w:bidi w:val="0"/>
        <w:snapToGrid/>
        <w:spacing w:line="288"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承包人编制工程竣工材料，并一次性备齐所有竣工资料送发包人审核后，由发包人指定有资质的审核部门审核，审核过程中原则上不能再补充其它任何资料。承包人所遗漏的与工程造价有关的签证等，特殊情况下，经发包人同意认可后只能补充一次，如承包人在第一次没有补充完成的不再作为结算审核依据，按自动放弃处理。</w:t>
      </w:r>
    </w:p>
    <w:p w14:paraId="3BEABF4C">
      <w:pPr>
        <w:pageBreakBefore w:val="0"/>
        <w:kinsoku/>
        <w:overflowPunct/>
        <w:topLinePunct w:val="0"/>
        <w:bidi w:val="0"/>
        <w:snapToGrid/>
        <w:spacing w:line="288"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21.5建筑垃圾清运至消纳场的费用由承包人承担，费用在投标报价中综合考虑。</w:t>
      </w:r>
    </w:p>
    <w:p w14:paraId="221E7457">
      <w:pPr>
        <w:pageBreakBefore w:val="0"/>
        <w:kinsoku/>
        <w:overflowPunct/>
        <w:topLinePunct w:val="0"/>
        <w:bidi w:val="0"/>
        <w:snapToGrid/>
        <w:spacing w:line="28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21.6承包人进场施工前，需安装独立的水电表，项目完工后，承包人需向发包人需缴纳相应的水电费用。</w:t>
      </w:r>
    </w:p>
    <w:p w14:paraId="5F395E8A">
      <w:pPr>
        <w:keepNext w:val="0"/>
        <w:keepLines w:val="0"/>
        <w:pageBreakBefore w:val="0"/>
        <w:widowControl w:val="0"/>
        <w:suppressLineNumbers w:val="0"/>
        <w:kinsoku/>
        <w:wordWrap w:val="0"/>
        <w:overflowPunct/>
        <w:topLinePunct w:val="0"/>
        <w:bidi w:val="0"/>
        <w:snapToGrid/>
        <w:spacing w:before="0" w:beforeAutospacing="0" w:after="0" w:afterAutospacing="0" w:line="288" w:lineRule="auto"/>
        <w:ind w:left="0" w:right="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验收前，承包单位需出具合格的室内气体检测报告，费用由承包单位承担。</w:t>
      </w:r>
    </w:p>
    <w:p w14:paraId="63EAAB8E">
      <w:pPr>
        <w:keepNext w:val="0"/>
        <w:keepLines w:val="0"/>
        <w:pageBreakBefore w:val="0"/>
        <w:widowControl w:val="0"/>
        <w:suppressLineNumbers w:val="0"/>
        <w:kinsoku/>
        <w:wordWrap w:val="0"/>
        <w:overflowPunct/>
        <w:topLinePunct w:val="0"/>
        <w:bidi w:val="0"/>
        <w:snapToGrid/>
        <w:spacing w:before="0" w:beforeAutospacing="0" w:after="0" w:afterAutospacing="0" w:line="288" w:lineRule="auto"/>
        <w:ind w:left="0" w:right="0" w:firstLine="480" w:firstLineChars="200"/>
        <w:jc w:val="both"/>
        <w:textAlignment w:val="auto"/>
        <w:outlineLvl w:val="2"/>
        <w:rPr>
          <w:rFonts w:hint="eastAsia" w:ascii="宋体" w:hAnsi="宋体" w:eastAsia="宋体" w:cs="宋体"/>
          <w:color w:val="auto"/>
          <w:sz w:val="24"/>
          <w:szCs w:val="24"/>
          <w:highlight w:val="none"/>
          <w:lang w:val="en-US"/>
        </w:rPr>
      </w:pPr>
      <w:bookmarkStart w:id="1286" w:name="_Toc14473"/>
      <w:r>
        <w:rPr>
          <w:rFonts w:hint="eastAsia" w:ascii="宋体" w:hAnsi="宋体" w:eastAsia="宋体" w:cs="宋体"/>
          <w:color w:val="auto"/>
          <w:sz w:val="24"/>
          <w:szCs w:val="24"/>
          <w:highlight w:val="none"/>
          <w:lang w:val="en-US" w:eastAsia="zh-CN"/>
        </w:rPr>
        <w:t>21.8</w:t>
      </w:r>
      <w:r>
        <w:rPr>
          <w:rFonts w:hint="eastAsia" w:ascii="宋体" w:hAnsi="宋体" w:eastAsia="宋体" w:cs="宋体"/>
          <w:color w:val="auto"/>
          <w:sz w:val="24"/>
          <w:szCs w:val="24"/>
          <w:highlight w:val="none"/>
        </w:rPr>
        <w:t>专用条款未约定的条款均按本合同通用条款执行。</w:t>
      </w:r>
      <w:bookmarkEnd w:id="1286"/>
    </w:p>
    <w:p w14:paraId="6A914247">
      <w:pPr>
        <w:spacing w:line="460" w:lineRule="exact"/>
        <w:rPr>
          <w:color w:val="auto"/>
          <w:sz w:val="24"/>
          <w:highlight w:val="none"/>
        </w:rPr>
      </w:pPr>
    </w:p>
    <w:p w14:paraId="3574827C">
      <w:pPr>
        <w:spacing w:line="460" w:lineRule="exact"/>
        <w:jc w:val="left"/>
        <w:rPr>
          <w:rFonts w:ascii="宋体" w:hAnsi="宋体" w:cs="宋体"/>
          <w:b/>
          <w:color w:val="auto"/>
          <w:sz w:val="24"/>
          <w:highlight w:val="none"/>
        </w:rPr>
      </w:pPr>
      <w:r>
        <w:rPr>
          <w:rFonts w:hint="eastAsia" w:ascii="宋体" w:hAnsi="宋体" w:cs="宋体"/>
          <w:b/>
          <w:color w:val="auto"/>
          <w:sz w:val="24"/>
          <w:highlight w:val="none"/>
        </w:rPr>
        <w:t>附件</w:t>
      </w:r>
    </w:p>
    <w:p w14:paraId="29315117">
      <w:pPr>
        <w:spacing w:line="460" w:lineRule="exact"/>
        <w:jc w:val="left"/>
        <w:rPr>
          <w:rFonts w:ascii="宋体" w:hAnsi="宋体" w:cs="宋体"/>
          <w:color w:val="auto"/>
          <w:sz w:val="24"/>
          <w:highlight w:val="none"/>
        </w:rPr>
      </w:pPr>
      <w:r>
        <w:rPr>
          <w:rFonts w:hint="eastAsia" w:ascii="宋体" w:hAnsi="宋体" w:cs="宋体"/>
          <w:color w:val="auto"/>
          <w:sz w:val="24"/>
          <w:highlight w:val="none"/>
        </w:rPr>
        <w:t>附件1：工程质量保修书</w:t>
      </w:r>
    </w:p>
    <w:p w14:paraId="26D73941">
      <w:pPr>
        <w:spacing w:line="46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附件</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：成交通知书</w:t>
      </w:r>
    </w:p>
    <w:p w14:paraId="541CDCA3">
      <w:pPr>
        <w:spacing w:line="46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附件</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：磋商函及其附录</w:t>
      </w:r>
    </w:p>
    <w:p w14:paraId="2B4A8347">
      <w:pPr>
        <w:spacing w:line="46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附件</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：工程报价单或预算书（可另册）</w:t>
      </w:r>
    </w:p>
    <w:p w14:paraId="703B9F0B">
      <w:pPr>
        <w:spacing w:line="46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附件5：承包人用于本工程施工的机械设备表</w:t>
      </w:r>
    </w:p>
    <w:p w14:paraId="5C620FC7">
      <w:pPr>
        <w:spacing w:line="46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附件6：承包人主要施工管理人员表</w:t>
      </w:r>
    </w:p>
    <w:p w14:paraId="69F55EEE">
      <w:pPr>
        <w:pStyle w:val="22"/>
        <w:ind w:left="0" w:leftChars="0" w:firstLine="0" w:firstLineChars="0"/>
        <w:rPr>
          <w:color w:val="auto"/>
          <w:highlight w:val="none"/>
        </w:rPr>
      </w:pPr>
    </w:p>
    <w:p w14:paraId="617819DE">
      <w:pPr>
        <w:pStyle w:val="7"/>
        <w:ind w:left="0" w:leftChars="0" w:firstLine="0" w:firstLineChars="0"/>
        <w:rPr>
          <w:color w:val="auto"/>
          <w:highlight w:val="none"/>
        </w:rPr>
      </w:pPr>
    </w:p>
    <w:p w14:paraId="2C091E57">
      <w:pPr>
        <w:spacing w:line="440" w:lineRule="exact"/>
        <w:rPr>
          <w:rFonts w:ascii="宋体" w:hAnsi="宋体" w:cs="宋体"/>
          <w:b/>
          <w:color w:val="auto"/>
          <w:szCs w:val="21"/>
          <w:highlight w:val="none"/>
        </w:rPr>
      </w:pPr>
    </w:p>
    <w:p w14:paraId="5BC7D13B">
      <w:pPr>
        <w:spacing w:line="440" w:lineRule="exact"/>
        <w:rPr>
          <w:rFonts w:ascii="宋体" w:hAnsi="宋体" w:cs="宋体"/>
          <w:b/>
          <w:color w:val="auto"/>
          <w:szCs w:val="21"/>
          <w:highlight w:val="none"/>
        </w:rPr>
      </w:pPr>
      <w:r>
        <w:rPr>
          <w:rFonts w:hint="eastAsia" w:ascii="宋体" w:hAnsi="宋体" w:cs="宋体"/>
          <w:b/>
          <w:color w:val="auto"/>
          <w:szCs w:val="21"/>
          <w:highlight w:val="none"/>
        </w:rPr>
        <w:br w:type="page"/>
      </w:r>
      <w:r>
        <w:rPr>
          <w:rFonts w:hint="eastAsia" w:ascii="宋体" w:hAnsi="宋体" w:cs="宋体"/>
          <w:b/>
          <w:color w:val="auto"/>
          <w:szCs w:val="21"/>
          <w:highlight w:val="none"/>
        </w:rPr>
        <w:t>附件1：</w:t>
      </w:r>
    </w:p>
    <w:p w14:paraId="6353F3CC">
      <w:pPr>
        <w:spacing w:beforeLines="50" w:afterLines="50" w:line="440" w:lineRule="exact"/>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工程质量保修书（市政公用工程）</w:t>
      </w:r>
    </w:p>
    <w:p w14:paraId="7C53819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发包人（全称）：</w:t>
      </w:r>
      <w:r>
        <w:rPr>
          <w:rFonts w:hint="eastAsia" w:ascii="宋体" w:hAnsi="宋体" w:cs="宋体"/>
          <w:color w:val="auto"/>
          <w:sz w:val="24"/>
          <w:highlight w:val="none"/>
          <w:u w:val="single"/>
          <w:lang w:eastAsia="zh-CN"/>
        </w:rPr>
        <w:t>横州市马岭镇人民政府</w:t>
      </w:r>
      <w:r>
        <w:rPr>
          <w:rFonts w:hint="eastAsia" w:ascii="宋体" w:hAnsi="宋体" w:cs="宋体"/>
          <w:color w:val="auto"/>
          <w:sz w:val="24"/>
          <w:highlight w:val="none"/>
        </w:rPr>
        <w:t xml:space="preserve"> </w:t>
      </w:r>
    </w:p>
    <w:p w14:paraId="693C094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承包人（全称）：</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 xml:space="preserve"> </w:t>
      </w:r>
    </w:p>
    <w:p w14:paraId="0B74438C">
      <w:pPr>
        <w:spacing w:line="360" w:lineRule="auto"/>
        <w:rPr>
          <w:rFonts w:ascii="宋体" w:hAnsi="宋体" w:cs="宋体"/>
          <w:color w:val="auto"/>
          <w:sz w:val="24"/>
          <w:highlight w:val="none"/>
        </w:rPr>
      </w:pPr>
    </w:p>
    <w:p w14:paraId="66D0687F">
      <w:pPr>
        <w:spacing w:line="360" w:lineRule="auto"/>
        <w:ind w:firstLine="420"/>
        <w:rPr>
          <w:rFonts w:ascii="宋体" w:hAnsi="宋体" w:cs="宋体"/>
          <w:color w:val="auto"/>
          <w:sz w:val="24"/>
          <w:highlight w:val="none"/>
        </w:rPr>
      </w:pPr>
      <w:r>
        <w:rPr>
          <w:rFonts w:hint="eastAsia" w:ascii="宋体" w:hAnsi="宋体" w:cs="宋体"/>
          <w:color w:val="auto"/>
          <w:sz w:val="24"/>
          <w:highlight w:val="none"/>
        </w:rPr>
        <w:t>发包人和承包人根据《中华人民共和国建筑法》和《建设工程质量管理条例》，经协商一致就</w:t>
      </w:r>
      <w:r>
        <w:rPr>
          <w:rFonts w:hint="eastAsia" w:ascii="宋体" w:hAnsi="宋体" w:cs="宋体"/>
          <w:color w:val="auto"/>
          <w:sz w:val="24"/>
          <w:highlight w:val="none"/>
          <w:u w:val="single"/>
          <w:lang w:eastAsia="zh-CN"/>
        </w:rPr>
        <w:t>马岭镇良和村委留塘路口至校椅镇壬水村路口路段太阳能公共照明项目（一期）</w:t>
      </w:r>
      <w:r>
        <w:rPr>
          <w:rFonts w:hint="eastAsia" w:ascii="宋体" w:hAnsi="宋体" w:cs="宋体"/>
          <w:color w:val="auto"/>
          <w:sz w:val="24"/>
          <w:highlight w:val="none"/>
        </w:rPr>
        <w:t>（工程全称）签订工程质量保修书。</w:t>
      </w:r>
    </w:p>
    <w:p w14:paraId="0AF058B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一、工程质量保修范围和内容</w:t>
      </w:r>
    </w:p>
    <w:p w14:paraId="6088927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承包人在质量保修期内，按照有关法律规定和合同约定，承担工程质量保修责任。</w:t>
      </w:r>
    </w:p>
    <w:p w14:paraId="5E02F52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质量保修范围包括</w:t>
      </w:r>
      <w:r>
        <w:rPr>
          <w:rFonts w:hint="eastAsia" w:ascii="宋体" w:hAnsi="宋体" w:cs="宋体"/>
          <w:color w:val="auto"/>
          <w:sz w:val="24"/>
          <w:highlight w:val="none"/>
          <w:u w:val="single"/>
        </w:rPr>
        <w:t>地基基础工程、主体工程、电气管线给排水管道、设备安装等</w:t>
      </w:r>
      <w:r>
        <w:rPr>
          <w:rFonts w:hint="eastAsia" w:ascii="宋体" w:hAnsi="宋体" w:cs="宋体"/>
          <w:color w:val="auto"/>
          <w:sz w:val="24"/>
          <w:highlight w:val="none"/>
        </w:rPr>
        <w:t>，以及双方约定的其他项目。具体保修的内容，双方约定如下：</w:t>
      </w:r>
    </w:p>
    <w:p w14:paraId="584E66A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u w:val="single"/>
          <w:lang w:val="en-US" w:eastAsia="zh-CN"/>
        </w:rPr>
        <w:t>1</w:t>
      </w:r>
      <w:r>
        <w:rPr>
          <w:rFonts w:hint="eastAsia" w:ascii="宋体" w:hAnsi="宋体" w:cs="宋体"/>
          <w:color w:val="auto"/>
          <w:sz w:val="24"/>
          <w:highlight w:val="none"/>
          <w:u w:val="single"/>
        </w:rPr>
        <w:t>.污水处理设施、作业电气/电器设备保修期为壹年</w:t>
      </w:r>
      <w:r>
        <w:rPr>
          <w:rFonts w:hint="eastAsia" w:ascii="宋体" w:hAnsi="宋体" w:cs="宋体"/>
          <w:color w:val="auto"/>
          <w:sz w:val="24"/>
          <w:highlight w:val="none"/>
        </w:rPr>
        <w:t>。</w:t>
      </w:r>
    </w:p>
    <w:p w14:paraId="64B7CA1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二、质量保修期</w:t>
      </w:r>
    </w:p>
    <w:p w14:paraId="3E69F36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根据《建设工程质量管理条例》及有关规定，工程的质量保修期如下：</w:t>
      </w:r>
    </w:p>
    <w:p w14:paraId="30134F7E">
      <w:pPr>
        <w:spacing w:line="360" w:lineRule="auto"/>
        <w:ind w:firstLine="426"/>
        <w:rPr>
          <w:rFonts w:ascii="宋体" w:hAnsi="宋体" w:cs="宋体"/>
          <w:color w:val="auto"/>
          <w:sz w:val="24"/>
          <w:highlight w:val="none"/>
        </w:rPr>
      </w:pPr>
      <w:r>
        <w:rPr>
          <w:rFonts w:hint="eastAsia" w:ascii="宋体" w:hAnsi="宋体" w:cs="宋体"/>
          <w:color w:val="auto"/>
          <w:sz w:val="24"/>
          <w:highlight w:val="none"/>
        </w:rPr>
        <w:t>1．桥梁工程为</w:t>
      </w:r>
      <w:r>
        <w:rPr>
          <w:rFonts w:hint="eastAsia" w:ascii="宋体" w:hAnsi="宋体" w:cs="宋体"/>
          <w:color w:val="auto"/>
          <w:sz w:val="24"/>
          <w:highlight w:val="none"/>
          <w:u w:val="single"/>
        </w:rPr>
        <w:t xml:space="preserve">  /  </w:t>
      </w:r>
      <w:r>
        <w:rPr>
          <w:rFonts w:hint="eastAsia" w:ascii="宋体" w:hAnsi="宋体" w:cs="宋体"/>
          <w:color w:val="auto"/>
          <w:sz w:val="24"/>
          <w:highlight w:val="none"/>
        </w:rPr>
        <w:t>年（建议桥梁隧道主体结构工程为设计文件规定的合理使用年限）；</w:t>
      </w:r>
    </w:p>
    <w:p w14:paraId="7BE0F033">
      <w:pPr>
        <w:spacing w:line="360" w:lineRule="auto"/>
        <w:ind w:firstLine="426"/>
        <w:rPr>
          <w:rFonts w:ascii="宋体" w:hAnsi="宋体" w:cs="宋体"/>
          <w:color w:val="auto"/>
          <w:sz w:val="24"/>
          <w:highlight w:val="none"/>
        </w:rPr>
      </w:pPr>
      <w:r>
        <w:rPr>
          <w:rFonts w:hint="eastAsia" w:ascii="宋体" w:hAnsi="宋体" w:cs="宋体"/>
          <w:color w:val="auto"/>
          <w:sz w:val="24"/>
          <w:highlight w:val="none"/>
        </w:rPr>
        <w:t>2．道路工程为</w:t>
      </w:r>
      <w:r>
        <w:rPr>
          <w:rFonts w:hint="eastAsia" w:ascii="宋体" w:hAnsi="宋体" w:cs="宋体"/>
          <w:color w:val="auto"/>
          <w:sz w:val="24"/>
          <w:highlight w:val="none"/>
          <w:u w:val="single"/>
        </w:rPr>
        <w:t>2</w:t>
      </w:r>
      <w:r>
        <w:rPr>
          <w:rFonts w:hint="eastAsia" w:ascii="宋体" w:hAnsi="宋体" w:cs="宋体"/>
          <w:color w:val="auto"/>
          <w:sz w:val="24"/>
          <w:highlight w:val="none"/>
        </w:rPr>
        <w:t>年（建议路基、路面、桥面为2年）；</w:t>
      </w:r>
    </w:p>
    <w:p w14:paraId="7F3A5C2B">
      <w:pPr>
        <w:spacing w:line="360" w:lineRule="auto"/>
        <w:ind w:firstLine="426"/>
        <w:rPr>
          <w:rFonts w:ascii="宋体" w:hAnsi="宋体" w:cs="宋体"/>
          <w:color w:val="auto"/>
          <w:sz w:val="24"/>
          <w:highlight w:val="none"/>
        </w:rPr>
      </w:pPr>
      <w:r>
        <w:rPr>
          <w:rFonts w:hint="eastAsia" w:ascii="宋体" w:hAnsi="宋体" w:cs="宋体"/>
          <w:color w:val="auto"/>
          <w:sz w:val="24"/>
          <w:highlight w:val="none"/>
        </w:rPr>
        <w:t>3．排水（雨水）工程为</w:t>
      </w:r>
      <w:r>
        <w:rPr>
          <w:rFonts w:hint="eastAsia" w:ascii="宋体" w:hAnsi="宋体" w:cs="宋体"/>
          <w:color w:val="auto"/>
          <w:sz w:val="24"/>
          <w:highlight w:val="none"/>
          <w:u w:val="single"/>
        </w:rPr>
        <w:t>3</w:t>
      </w:r>
      <w:r>
        <w:rPr>
          <w:rFonts w:hint="eastAsia" w:ascii="宋体" w:hAnsi="宋体" w:cs="宋体"/>
          <w:color w:val="auto"/>
          <w:sz w:val="24"/>
          <w:highlight w:val="none"/>
        </w:rPr>
        <w:t>年（建议道路工程中的排水工程为3年）；</w:t>
      </w:r>
    </w:p>
    <w:p w14:paraId="334BFD22">
      <w:pPr>
        <w:spacing w:line="360" w:lineRule="auto"/>
        <w:ind w:firstLine="426"/>
        <w:rPr>
          <w:rFonts w:ascii="宋体" w:hAnsi="宋体" w:cs="宋体"/>
          <w:color w:val="auto"/>
          <w:sz w:val="24"/>
          <w:highlight w:val="none"/>
        </w:rPr>
      </w:pPr>
      <w:r>
        <w:rPr>
          <w:rFonts w:hint="eastAsia" w:ascii="宋体" w:hAnsi="宋体" w:cs="宋体"/>
          <w:color w:val="auto"/>
          <w:sz w:val="24"/>
          <w:highlight w:val="none"/>
        </w:rPr>
        <w:t xml:space="preserve">4．绿化工程为 </w:t>
      </w:r>
      <w:r>
        <w:rPr>
          <w:rFonts w:hint="eastAsia" w:ascii="宋体" w:hAnsi="宋体" w:cs="宋体"/>
          <w:color w:val="auto"/>
          <w:sz w:val="24"/>
          <w:highlight w:val="none"/>
          <w:u w:val="single"/>
        </w:rPr>
        <w:t>单位工程竣工验收合格后2年</w:t>
      </w:r>
      <w:r>
        <w:rPr>
          <w:rFonts w:hint="eastAsia" w:ascii="宋体" w:hAnsi="宋体" w:cs="宋体"/>
          <w:color w:val="auto"/>
          <w:sz w:val="24"/>
          <w:highlight w:val="none"/>
        </w:rPr>
        <w:t>；</w:t>
      </w:r>
    </w:p>
    <w:p w14:paraId="0E7473E3">
      <w:pPr>
        <w:spacing w:line="360" w:lineRule="auto"/>
        <w:ind w:firstLine="426"/>
        <w:rPr>
          <w:rFonts w:ascii="宋体" w:hAnsi="宋体" w:cs="宋体"/>
          <w:color w:val="auto"/>
          <w:sz w:val="24"/>
          <w:highlight w:val="none"/>
        </w:rPr>
      </w:pPr>
      <w:r>
        <w:rPr>
          <w:rFonts w:hint="eastAsia" w:ascii="宋体" w:hAnsi="宋体" w:cs="宋体"/>
          <w:color w:val="auto"/>
          <w:sz w:val="24"/>
          <w:highlight w:val="none"/>
        </w:rPr>
        <w:t>5.  地下防水工程为</w:t>
      </w:r>
      <w:r>
        <w:rPr>
          <w:rFonts w:hint="eastAsia" w:ascii="宋体" w:hAnsi="宋体" w:cs="宋体"/>
          <w:color w:val="auto"/>
          <w:sz w:val="24"/>
          <w:highlight w:val="none"/>
          <w:u w:val="single"/>
        </w:rPr>
        <w:t xml:space="preserve">  5   </w:t>
      </w:r>
      <w:r>
        <w:rPr>
          <w:rFonts w:hint="eastAsia" w:ascii="宋体" w:hAnsi="宋体" w:cs="宋体"/>
          <w:color w:val="auto"/>
          <w:sz w:val="24"/>
          <w:highlight w:val="none"/>
        </w:rPr>
        <w:t>年（建议为5年）；</w:t>
      </w:r>
    </w:p>
    <w:p w14:paraId="46CAC65E">
      <w:pPr>
        <w:spacing w:line="360" w:lineRule="auto"/>
        <w:ind w:firstLine="426"/>
        <w:rPr>
          <w:rFonts w:ascii="宋体" w:hAnsi="宋体" w:cs="宋体"/>
          <w:color w:val="auto"/>
          <w:sz w:val="24"/>
          <w:highlight w:val="none"/>
        </w:rPr>
      </w:pPr>
      <w:r>
        <w:rPr>
          <w:rFonts w:hint="eastAsia" w:ascii="宋体" w:hAnsi="宋体" w:cs="宋体"/>
          <w:color w:val="auto"/>
          <w:sz w:val="24"/>
          <w:highlight w:val="none"/>
        </w:rPr>
        <w:t>6．其他附属工程为</w:t>
      </w:r>
      <w:r>
        <w:rPr>
          <w:rFonts w:hint="eastAsia" w:ascii="宋体" w:hAnsi="宋体" w:cs="宋体"/>
          <w:color w:val="auto"/>
          <w:sz w:val="24"/>
          <w:highlight w:val="none"/>
          <w:u w:val="single"/>
        </w:rPr>
        <w:t>2</w:t>
      </w:r>
      <w:r>
        <w:rPr>
          <w:rFonts w:hint="eastAsia" w:ascii="宋体" w:hAnsi="宋体" w:cs="宋体"/>
          <w:color w:val="auto"/>
          <w:sz w:val="24"/>
          <w:highlight w:val="none"/>
        </w:rPr>
        <w:t>年；</w:t>
      </w:r>
    </w:p>
    <w:p w14:paraId="62A1D0C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7．其他项目保修期限约定如下：</w:t>
      </w:r>
    </w:p>
    <w:p w14:paraId="0D9221A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u w:val="single"/>
        </w:rPr>
        <w:t xml:space="preserve"> 污水处理设施、作业电气/电器设备保修期为壹年</w:t>
      </w:r>
      <w:r>
        <w:rPr>
          <w:rFonts w:hint="eastAsia" w:ascii="宋体" w:hAnsi="宋体" w:cs="宋体"/>
          <w:color w:val="auto"/>
          <w:sz w:val="24"/>
          <w:highlight w:val="none"/>
        </w:rPr>
        <w:t>。</w:t>
      </w:r>
    </w:p>
    <w:p w14:paraId="7B851FC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质量保修期自工程竣工验收合格之日起计算。</w:t>
      </w:r>
    </w:p>
    <w:p w14:paraId="2AE1DE6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三、缺陷责任期</w:t>
      </w:r>
    </w:p>
    <w:p w14:paraId="74498AD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工程缺陷责任期为</w:t>
      </w:r>
      <w:r>
        <w:rPr>
          <w:rFonts w:hint="eastAsia" w:ascii="宋体" w:hAnsi="宋体" w:cs="宋体"/>
          <w:color w:val="auto"/>
          <w:sz w:val="24"/>
          <w:highlight w:val="none"/>
          <w:u w:val="single"/>
          <w:lang w:val="en-US" w:eastAsia="zh-CN"/>
        </w:rPr>
        <w:t>12</w:t>
      </w:r>
      <w:r>
        <w:rPr>
          <w:rFonts w:hint="eastAsia" w:ascii="宋体" w:hAnsi="宋体" w:cs="宋体"/>
          <w:color w:val="auto"/>
          <w:sz w:val="24"/>
          <w:highlight w:val="none"/>
        </w:rPr>
        <w:t>个月（最长不超过</w:t>
      </w:r>
      <w:r>
        <w:rPr>
          <w:rFonts w:hint="eastAsia" w:ascii="宋体" w:hAnsi="宋体" w:cs="宋体"/>
          <w:color w:val="auto"/>
          <w:sz w:val="24"/>
          <w:highlight w:val="none"/>
          <w:lang w:val="en-US" w:eastAsia="zh-CN"/>
        </w:rPr>
        <w:t>12</w:t>
      </w:r>
      <w:r>
        <w:rPr>
          <w:rFonts w:hint="eastAsia" w:ascii="宋体" w:hAnsi="宋体" w:cs="宋体"/>
          <w:color w:val="auto"/>
          <w:sz w:val="24"/>
          <w:highlight w:val="none"/>
        </w:rPr>
        <w:t>个月），缺陷责任期自工程竣工验收合格之日起计算。单位工程先于全部工程进行验收，单位工程缺陷责任期自单位工程验收合格之日起算。</w:t>
      </w:r>
    </w:p>
    <w:p w14:paraId="2018BCF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缺陷责任期</w:t>
      </w:r>
      <w:r>
        <w:rPr>
          <w:rFonts w:hint="eastAsia" w:ascii="宋体" w:hAnsi="宋体" w:cs="宋体"/>
          <w:color w:val="auto"/>
          <w:sz w:val="24"/>
          <w:highlight w:val="none"/>
          <w:u w:val="single"/>
        </w:rPr>
        <w:t>满</w:t>
      </w:r>
      <w:r>
        <w:rPr>
          <w:rFonts w:hint="eastAsia" w:ascii="宋体" w:hAnsi="宋体" w:cs="宋体"/>
          <w:color w:val="auto"/>
          <w:sz w:val="24"/>
          <w:highlight w:val="none"/>
        </w:rPr>
        <w:t>之日起</w:t>
      </w:r>
      <w:r>
        <w:rPr>
          <w:rFonts w:hint="eastAsia" w:ascii="宋体" w:hAnsi="宋体" w:cs="宋体"/>
          <w:color w:val="auto"/>
          <w:sz w:val="24"/>
          <w:highlight w:val="none"/>
          <w:u w:val="single"/>
        </w:rPr>
        <w:t>15</w:t>
      </w:r>
      <w:r>
        <w:rPr>
          <w:rFonts w:hint="eastAsia" w:ascii="宋体" w:hAnsi="宋体" w:cs="宋体"/>
          <w:color w:val="auto"/>
          <w:sz w:val="24"/>
          <w:highlight w:val="none"/>
        </w:rPr>
        <w:t>天</w:t>
      </w:r>
      <w:r>
        <w:rPr>
          <w:rFonts w:hint="eastAsia" w:ascii="宋体" w:hAnsi="宋体" w:cs="宋体"/>
          <w:color w:val="auto"/>
          <w:sz w:val="24"/>
          <w:highlight w:val="none"/>
          <w:u w:val="single"/>
        </w:rPr>
        <w:t>（按合同约定期限），</w:t>
      </w:r>
      <w:r>
        <w:rPr>
          <w:rFonts w:hint="eastAsia" w:ascii="宋体" w:hAnsi="宋体" w:cs="宋体"/>
          <w:color w:val="auto"/>
          <w:sz w:val="24"/>
          <w:highlight w:val="none"/>
        </w:rPr>
        <w:t>发包人应退还剩余的质量保证金。</w:t>
      </w:r>
    </w:p>
    <w:p w14:paraId="609E195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四、质量保修责任</w:t>
      </w:r>
    </w:p>
    <w:p w14:paraId="68D306A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1．属于保修范围、内容的项目，承包人应当在接到保修通知之日起</w:t>
      </w:r>
      <w:r>
        <w:rPr>
          <w:rFonts w:hint="eastAsia" w:ascii="宋体" w:hAnsi="宋体" w:cs="宋体"/>
          <w:color w:val="auto"/>
          <w:sz w:val="24"/>
          <w:highlight w:val="none"/>
          <w:u w:val="single"/>
        </w:rPr>
        <w:t>1</w:t>
      </w:r>
      <w:r>
        <w:rPr>
          <w:rFonts w:hint="eastAsia" w:ascii="宋体" w:hAnsi="宋体" w:cs="宋体"/>
          <w:color w:val="auto"/>
          <w:sz w:val="24"/>
          <w:highlight w:val="none"/>
        </w:rPr>
        <w:t>天内派人保修。承包人不在约定期限内派人保修的，发包人可以委托他人修理，修理费用从质量保证金内扣除。</w:t>
      </w:r>
    </w:p>
    <w:p w14:paraId="1DBFC72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2．发生紧急事故需抢修的，承包人在接到事故通知后，应当立即到达事故现场抢修。</w:t>
      </w:r>
    </w:p>
    <w:p w14:paraId="5A7500C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7E64217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4．质量保修完成后，由发包人组织验收。</w:t>
      </w:r>
    </w:p>
    <w:p w14:paraId="357BF31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五、保修费用</w:t>
      </w:r>
    </w:p>
    <w:p w14:paraId="28128F7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保修费用由造成质量缺陷的责任方承担。</w:t>
      </w:r>
    </w:p>
    <w:p w14:paraId="0041CC83">
      <w:pPr>
        <w:spacing w:line="360" w:lineRule="auto"/>
        <w:jc w:val="left"/>
        <w:rPr>
          <w:rFonts w:ascii="宋体" w:hAnsi="宋体" w:cs="宋体"/>
          <w:color w:val="auto"/>
          <w:sz w:val="24"/>
          <w:highlight w:val="none"/>
        </w:rPr>
      </w:pPr>
      <w:r>
        <w:rPr>
          <w:rFonts w:hint="eastAsia" w:ascii="宋体" w:hAnsi="宋体" w:cs="宋体"/>
          <w:color w:val="auto"/>
          <w:sz w:val="24"/>
          <w:highlight w:val="none"/>
        </w:rPr>
        <w:t>六、双方约定的其他工程质量保修事项：</w:t>
      </w:r>
      <w:r>
        <w:rPr>
          <w:rFonts w:hint="eastAsia" w:ascii="宋体" w:hAnsi="宋体" w:cs="宋体"/>
          <w:color w:val="auto"/>
          <w:sz w:val="24"/>
          <w:highlight w:val="none"/>
          <w:u w:val="single"/>
        </w:rPr>
        <w:t>本工程质量保修书一式六份,发包人执四份，承包人执二份,由施工合同发包人、承包人双方签署,作为施工合同附件,其有效期限至保修期满</w:t>
      </w:r>
      <w:r>
        <w:rPr>
          <w:rFonts w:hint="eastAsia" w:ascii="宋体" w:hAnsi="宋体" w:cs="宋体"/>
          <w:color w:val="auto"/>
          <w:sz w:val="24"/>
          <w:highlight w:val="none"/>
        </w:rPr>
        <w:t>。</w:t>
      </w:r>
    </w:p>
    <w:p w14:paraId="31162973">
      <w:pPr>
        <w:spacing w:line="360" w:lineRule="auto"/>
        <w:ind w:firstLine="456" w:firstLineChars="190"/>
        <w:rPr>
          <w:rFonts w:ascii="宋体" w:hAnsi="宋体" w:cs="宋体"/>
          <w:color w:val="auto"/>
          <w:sz w:val="24"/>
          <w:highlight w:val="none"/>
        </w:rPr>
      </w:pPr>
      <w:r>
        <w:rPr>
          <w:rFonts w:hint="eastAsia" w:ascii="宋体" w:hAnsi="宋体" w:cs="宋体"/>
          <w:color w:val="auto"/>
          <w:sz w:val="24"/>
          <w:highlight w:val="none"/>
        </w:rPr>
        <w:t>工程质量保修书由发包人、承包人在工程竣工验收前共同签署，作为施工合同附件，其有效期限至保修期满。</w:t>
      </w:r>
    </w:p>
    <w:p w14:paraId="7266EA36">
      <w:pPr>
        <w:spacing w:line="360" w:lineRule="auto"/>
        <w:ind w:firstLine="420"/>
        <w:rPr>
          <w:rFonts w:ascii="宋体" w:hAnsi="宋体" w:cs="宋体"/>
          <w:color w:val="auto"/>
          <w:sz w:val="24"/>
          <w:highlight w:val="none"/>
        </w:rPr>
      </w:pPr>
    </w:p>
    <w:p w14:paraId="26EF6736">
      <w:pPr>
        <w:spacing w:line="360" w:lineRule="auto"/>
        <w:ind w:firstLine="420"/>
        <w:rPr>
          <w:rFonts w:ascii="宋体" w:hAnsi="宋体" w:cs="宋体"/>
          <w:color w:val="auto"/>
          <w:sz w:val="24"/>
          <w:highlight w:val="none"/>
        </w:rPr>
      </w:pPr>
    </w:p>
    <w:p w14:paraId="0C60AD9B">
      <w:pPr>
        <w:spacing w:line="360" w:lineRule="auto"/>
        <w:jc w:val="left"/>
        <w:rPr>
          <w:rFonts w:hint="default" w:ascii="宋体" w:hAnsi="宋体" w:eastAsia="宋体" w:cs="宋体"/>
          <w:color w:val="auto"/>
          <w:sz w:val="24"/>
          <w:highlight w:val="none"/>
          <w:u w:val="single"/>
          <w:lang w:val="en-US" w:eastAsia="zh-CN"/>
        </w:rPr>
      </w:pPr>
      <w:r>
        <w:rPr>
          <w:rFonts w:hint="eastAsia" w:ascii="宋体" w:hAnsi="宋体" w:cs="宋体"/>
          <w:color w:val="auto"/>
          <w:sz w:val="24"/>
          <w:highlight w:val="none"/>
        </w:rPr>
        <w:t>发包人（公章）：</w:t>
      </w:r>
      <w:r>
        <w:rPr>
          <w:rFonts w:hint="eastAsia" w:ascii="宋体" w:hAnsi="宋体" w:cs="宋体"/>
          <w:color w:val="auto"/>
          <w:sz w:val="24"/>
          <w:highlight w:val="none"/>
          <w:u w:val="single"/>
          <w:lang w:eastAsia="zh-CN"/>
        </w:rPr>
        <w:t>横州市马岭镇人民政府</w:t>
      </w:r>
      <w:r>
        <w:rPr>
          <w:rFonts w:hint="eastAsia" w:ascii="宋体" w:hAnsi="宋体" w:cs="宋体"/>
          <w:color w:val="auto"/>
          <w:sz w:val="24"/>
          <w:highlight w:val="none"/>
        </w:rPr>
        <w:t xml:space="preserve"> 承包人：</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（公章）</w:t>
      </w:r>
    </w:p>
    <w:p w14:paraId="2C27E6E8">
      <w:pPr>
        <w:spacing w:line="360" w:lineRule="auto"/>
        <w:rPr>
          <w:rFonts w:hint="default" w:ascii="宋体" w:hAnsi="宋体" w:eastAsia="宋体" w:cs="宋体"/>
          <w:color w:val="auto"/>
          <w:sz w:val="24"/>
          <w:highlight w:val="none"/>
          <w:u w:val="single"/>
          <w:lang w:val="en-US" w:eastAsia="zh-CN"/>
        </w:rPr>
      </w:pPr>
      <w:r>
        <w:rPr>
          <w:rFonts w:hint="eastAsia" w:ascii="宋体" w:hAnsi="宋体" w:cs="宋体"/>
          <w:color w:val="auto"/>
          <w:sz w:val="24"/>
          <w:highlight w:val="none"/>
        </w:rPr>
        <w:t>地  址：</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 xml:space="preserve">       </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地  址：</w:t>
      </w:r>
      <w:r>
        <w:rPr>
          <w:rFonts w:hint="eastAsia" w:ascii="宋体" w:hAnsi="宋体" w:cs="宋体"/>
          <w:color w:val="auto"/>
          <w:sz w:val="24"/>
          <w:highlight w:val="none"/>
          <w:u w:val="single"/>
          <w:lang w:val="en-US" w:eastAsia="zh-CN"/>
        </w:rPr>
        <w:t xml:space="preserve">                        </w:t>
      </w:r>
    </w:p>
    <w:p w14:paraId="3FC99EE0">
      <w:pPr>
        <w:spacing w:line="360" w:lineRule="auto"/>
        <w:rPr>
          <w:rFonts w:ascii="宋体" w:hAnsi="宋体" w:cs="宋体"/>
          <w:color w:val="auto"/>
          <w:sz w:val="24"/>
          <w:highlight w:val="none"/>
        </w:rPr>
      </w:pPr>
      <w:r>
        <w:rPr>
          <w:rFonts w:hint="eastAsia" w:ascii="宋体" w:hAnsi="宋体" w:cs="宋体"/>
          <w:color w:val="auto"/>
          <w:sz w:val="24"/>
          <w:highlight w:val="none"/>
        </w:rPr>
        <w:t>法定代表人（签字）：</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法定代表人：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（签字）</w:t>
      </w:r>
    </w:p>
    <w:p w14:paraId="1FDBD7D9">
      <w:pPr>
        <w:spacing w:line="360" w:lineRule="auto"/>
        <w:rPr>
          <w:rFonts w:ascii="宋体" w:hAnsi="宋体" w:cs="宋体"/>
          <w:color w:val="auto"/>
          <w:sz w:val="24"/>
          <w:highlight w:val="none"/>
        </w:rPr>
      </w:pPr>
      <w:r>
        <w:rPr>
          <w:rFonts w:hint="eastAsia" w:ascii="宋体" w:hAnsi="宋体" w:cs="宋体"/>
          <w:color w:val="auto"/>
          <w:sz w:val="24"/>
          <w:highlight w:val="none"/>
        </w:rPr>
        <w:t>委托代理人（签字）：</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委托代理人：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（签字）</w:t>
      </w:r>
    </w:p>
    <w:p w14:paraId="5CCEA227">
      <w:pPr>
        <w:spacing w:line="360" w:lineRule="auto"/>
        <w:rPr>
          <w:rFonts w:ascii="宋体" w:hAnsi="宋体" w:cs="宋体"/>
          <w:color w:val="auto"/>
          <w:sz w:val="24"/>
          <w:highlight w:val="none"/>
        </w:rPr>
      </w:pPr>
      <w:r>
        <w:rPr>
          <w:rFonts w:hint="eastAsia" w:ascii="宋体" w:hAnsi="宋体" w:cs="宋体"/>
          <w:color w:val="auto"/>
          <w:sz w:val="24"/>
          <w:highlight w:val="none"/>
        </w:rPr>
        <w:t>电  话：</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电  话：</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p>
    <w:p w14:paraId="249EB915">
      <w:pPr>
        <w:spacing w:line="360" w:lineRule="auto"/>
        <w:rPr>
          <w:rFonts w:ascii="宋体" w:hAnsi="宋体" w:cs="宋体"/>
          <w:color w:val="auto"/>
          <w:sz w:val="24"/>
          <w:highlight w:val="none"/>
        </w:rPr>
      </w:pPr>
      <w:r>
        <w:rPr>
          <w:rFonts w:hint="eastAsia" w:ascii="宋体" w:hAnsi="宋体" w:cs="宋体"/>
          <w:color w:val="auto"/>
          <w:sz w:val="24"/>
          <w:highlight w:val="none"/>
        </w:rPr>
        <w:t>传  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传  真：</w:t>
      </w:r>
      <w:r>
        <w:rPr>
          <w:rFonts w:hint="eastAsia" w:ascii="宋体" w:hAnsi="宋体" w:cs="宋体"/>
          <w:color w:val="auto"/>
          <w:sz w:val="24"/>
          <w:highlight w:val="none"/>
          <w:u w:val="single"/>
        </w:rPr>
        <w:t xml:space="preserve">           /                  </w:t>
      </w:r>
    </w:p>
    <w:p w14:paraId="7B184FDC">
      <w:pPr>
        <w:spacing w:line="360" w:lineRule="auto"/>
        <w:ind w:left="6360" w:hanging="6360" w:hangingChars="2650"/>
        <w:rPr>
          <w:rFonts w:hint="default" w:ascii="宋体" w:hAnsi="宋体" w:eastAsia="宋体" w:cs="宋体"/>
          <w:color w:val="auto"/>
          <w:sz w:val="24"/>
          <w:highlight w:val="none"/>
          <w:u w:val="single"/>
          <w:lang w:val="en-US" w:eastAsia="zh-CN"/>
        </w:rPr>
      </w:pPr>
      <w:r>
        <w:rPr>
          <w:rFonts w:hint="eastAsia" w:ascii="宋体" w:hAnsi="宋体" w:cs="宋体"/>
          <w:color w:val="auto"/>
          <w:sz w:val="24"/>
          <w:highlight w:val="none"/>
        </w:rPr>
        <w:t>开户银行：</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开户银行：</w:t>
      </w:r>
      <w:r>
        <w:rPr>
          <w:rFonts w:hint="eastAsia" w:ascii="宋体" w:hAnsi="宋体" w:cs="宋体"/>
          <w:color w:val="auto"/>
          <w:sz w:val="24"/>
          <w:highlight w:val="none"/>
          <w:u w:val="single"/>
          <w:lang w:val="en-US" w:eastAsia="zh-CN"/>
        </w:rPr>
        <w:t xml:space="preserve">                           </w:t>
      </w:r>
    </w:p>
    <w:p w14:paraId="1453194F">
      <w:pPr>
        <w:spacing w:line="360" w:lineRule="auto"/>
        <w:rPr>
          <w:rFonts w:ascii="宋体" w:hAnsi="宋体" w:cs="宋体"/>
          <w:color w:val="auto"/>
          <w:sz w:val="24"/>
          <w:highlight w:val="none"/>
          <w:u w:val="single"/>
        </w:rPr>
      </w:pPr>
      <w:r>
        <w:rPr>
          <w:rFonts w:hint="eastAsia" w:ascii="宋体" w:hAnsi="宋体" w:cs="宋体"/>
          <w:color w:val="auto"/>
          <w:sz w:val="24"/>
          <w:highlight w:val="none"/>
        </w:rPr>
        <w:t>账  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账  号：</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p>
    <w:p w14:paraId="4A5BE05A">
      <w:pPr>
        <w:spacing w:line="360" w:lineRule="auto"/>
        <w:rPr>
          <w:rFonts w:ascii="宋体" w:hAnsi="宋体" w:cs="宋体"/>
          <w:color w:val="auto"/>
          <w:kern w:val="44"/>
          <w:sz w:val="44"/>
          <w:szCs w:val="44"/>
          <w:highlight w:val="none"/>
        </w:rPr>
      </w:pPr>
      <w:r>
        <w:rPr>
          <w:rFonts w:hint="eastAsia" w:ascii="宋体" w:hAnsi="宋体" w:cs="宋体"/>
          <w:color w:val="auto"/>
          <w:sz w:val="24"/>
          <w:highlight w:val="none"/>
        </w:rPr>
        <w:t>邮政编码：</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邮政编码：</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p>
    <w:p w14:paraId="5CBBBDA0">
      <w:pPr>
        <w:pStyle w:val="2"/>
        <w:numPr>
          <w:ilvl w:val="0"/>
          <w:numId w:val="6"/>
        </w:numPr>
        <w:jc w:val="center"/>
        <w:rPr>
          <w:rFonts w:hint="eastAsia" w:ascii="宋体" w:hAnsi="宋体" w:cs="宋体"/>
          <w:bCs w:val="0"/>
          <w:color w:val="auto"/>
          <w:highlight w:val="none"/>
        </w:rPr>
      </w:pPr>
      <w:r>
        <w:rPr>
          <w:rFonts w:hint="eastAsia" w:ascii="宋体" w:hAnsi="宋体" w:cs="宋体"/>
          <w:bCs w:val="0"/>
          <w:color w:val="auto"/>
          <w:highlight w:val="none"/>
        </w:rPr>
        <w:br w:type="page"/>
      </w:r>
      <w:bookmarkStart w:id="1287" w:name="_Toc8915"/>
      <w:bookmarkStart w:id="1288" w:name="_Toc14025"/>
      <w:r>
        <w:rPr>
          <w:rFonts w:hint="eastAsia" w:ascii="宋体" w:hAnsi="宋体" w:cs="宋体"/>
          <w:bCs w:val="0"/>
          <w:color w:val="auto"/>
          <w:highlight w:val="none"/>
        </w:rPr>
        <w:t>质疑、投诉材料格式</w:t>
      </w:r>
      <w:bookmarkEnd w:id="198"/>
      <w:bookmarkEnd w:id="1287"/>
      <w:bookmarkEnd w:id="1288"/>
    </w:p>
    <w:p w14:paraId="428166BB">
      <w:pPr>
        <w:spacing w:line="360" w:lineRule="auto"/>
        <w:jc w:val="center"/>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质疑函（格式）</w:t>
      </w:r>
    </w:p>
    <w:p w14:paraId="5B8C6D0F">
      <w:pPr>
        <w:pStyle w:val="15"/>
        <w:spacing w:line="360" w:lineRule="auto"/>
        <w:ind w:firstLine="482" w:firstLineChars="200"/>
        <w:contextualSpacing/>
        <w:rPr>
          <w:rFonts w:hint="eastAsia" w:hAnsi="宋体" w:cs="宋体"/>
          <w:b/>
          <w:bCs/>
          <w:color w:val="auto"/>
          <w:sz w:val="24"/>
          <w:szCs w:val="24"/>
          <w:highlight w:val="none"/>
        </w:rPr>
      </w:pPr>
      <w:r>
        <w:rPr>
          <w:rFonts w:hint="eastAsia" w:hAnsi="宋体" w:cs="宋体"/>
          <w:b/>
          <w:bCs/>
          <w:color w:val="auto"/>
          <w:sz w:val="24"/>
          <w:szCs w:val="24"/>
          <w:highlight w:val="none"/>
        </w:rPr>
        <w:t>一、质疑供应商基本信息：</w:t>
      </w:r>
    </w:p>
    <w:p w14:paraId="59387AC6">
      <w:pPr>
        <w:pStyle w:val="15"/>
        <w:spacing w:line="360" w:lineRule="auto"/>
        <w:ind w:firstLine="480" w:firstLineChars="200"/>
        <w:contextualSpacing/>
        <w:rPr>
          <w:rFonts w:hint="eastAsia" w:hAnsi="宋体" w:cs="宋体"/>
          <w:bCs/>
          <w:color w:val="auto"/>
          <w:sz w:val="24"/>
          <w:szCs w:val="24"/>
          <w:highlight w:val="none"/>
          <w:u w:val="single"/>
        </w:rPr>
      </w:pPr>
      <w:r>
        <w:rPr>
          <w:rFonts w:hint="eastAsia" w:hAnsi="宋体" w:cs="宋体"/>
          <w:bCs/>
          <w:color w:val="auto"/>
          <w:sz w:val="24"/>
          <w:szCs w:val="24"/>
          <w:highlight w:val="none"/>
        </w:rPr>
        <w:t>质疑供应商：</w:t>
      </w:r>
      <w:r>
        <w:rPr>
          <w:rFonts w:hint="eastAsia" w:hAnsi="宋体" w:cs="宋体"/>
          <w:bCs/>
          <w:color w:val="auto"/>
          <w:sz w:val="24"/>
          <w:szCs w:val="24"/>
          <w:highlight w:val="none"/>
          <w:u w:val="single"/>
        </w:rPr>
        <w:t xml:space="preserve">                                       </w:t>
      </w:r>
    </w:p>
    <w:p w14:paraId="06BD0188">
      <w:pPr>
        <w:pStyle w:val="15"/>
        <w:spacing w:line="360" w:lineRule="auto"/>
        <w:ind w:firstLine="480" w:firstLineChars="200"/>
        <w:contextualSpacing/>
        <w:rPr>
          <w:rFonts w:hint="eastAsia" w:hAnsi="宋体" w:cs="宋体"/>
          <w:bCs/>
          <w:color w:val="auto"/>
          <w:sz w:val="24"/>
          <w:szCs w:val="24"/>
          <w:highlight w:val="none"/>
        </w:rPr>
      </w:pPr>
      <w:r>
        <w:rPr>
          <w:rFonts w:hint="eastAsia" w:hAnsi="宋体" w:cs="宋体"/>
          <w:bCs/>
          <w:color w:val="auto"/>
          <w:sz w:val="24"/>
          <w:szCs w:val="24"/>
          <w:highlight w:val="none"/>
        </w:rPr>
        <w:t>地址：</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邮编：</w:t>
      </w:r>
      <w:r>
        <w:rPr>
          <w:rFonts w:hint="eastAsia" w:hAnsi="宋体" w:cs="宋体"/>
          <w:bCs/>
          <w:color w:val="auto"/>
          <w:sz w:val="24"/>
          <w:szCs w:val="24"/>
          <w:highlight w:val="none"/>
          <w:u w:val="single"/>
        </w:rPr>
        <w:t xml:space="preserve">                  </w:t>
      </w:r>
    </w:p>
    <w:p w14:paraId="2D1ED396">
      <w:pPr>
        <w:pStyle w:val="15"/>
        <w:spacing w:line="360" w:lineRule="auto"/>
        <w:ind w:firstLine="480" w:firstLineChars="200"/>
        <w:contextualSpacing/>
        <w:rPr>
          <w:rFonts w:hint="eastAsia" w:hAnsi="宋体" w:cs="宋体"/>
          <w:bCs/>
          <w:color w:val="auto"/>
          <w:sz w:val="24"/>
          <w:szCs w:val="24"/>
          <w:highlight w:val="none"/>
        </w:rPr>
      </w:pPr>
      <w:r>
        <w:rPr>
          <w:rFonts w:hint="eastAsia" w:hAnsi="宋体" w:cs="宋体"/>
          <w:bCs/>
          <w:color w:val="auto"/>
          <w:sz w:val="24"/>
          <w:szCs w:val="24"/>
          <w:highlight w:val="none"/>
        </w:rPr>
        <w:t>联系人：</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联系电话：</w:t>
      </w:r>
      <w:r>
        <w:rPr>
          <w:rFonts w:hint="eastAsia" w:hAnsi="宋体" w:cs="宋体"/>
          <w:bCs/>
          <w:color w:val="auto"/>
          <w:sz w:val="24"/>
          <w:szCs w:val="24"/>
          <w:highlight w:val="none"/>
          <w:u w:val="single"/>
        </w:rPr>
        <w:t xml:space="preserve">                 </w:t>
      </w:r>
    </w:p>
    <w:p w14:paraId="1C79D7D9">
      <w:pPr>
        <w:pStyle w:val="15"/>
        <w:spacing w:line="360" w:lineRule="auto"/>
        <w:ind w:firstLine="480" w:firstLineChars="200"/>
        <w:contextualSpacing/>
        <w:rPr>
          <w:rFonts w:hint="eastAsia" w:hAnsi="宋体" w:cs="宋体"/>
          <w:bCs/>
          <w:color w:val="auto"/>
          <w:sz w:val="24"/>
          <w:szCs w:val="24"/>
          <w:highlight w:val="none"/>
        </w:rPr>
      </w:pPr>
      <w:r>
        <w:rPr>
          <w:rFonts w:hint="eastAsia" w:hAnsi="宋体" w:cs="宋体"/>
          <w:bCs/>
          <w:color w:val="auto"/>
          <w:sz w:val="24"/>
          <w:szCs w:val="24"/>
          <w:highlight w:val="none"/>
        </w:rPr>
        <w:t>授权代表：</w:t>
      </w:r>
      <w:r>
        <w:rPr>
          <w:rFonts w:hint="eastAsia" w:hAnsi="宋体" w:cs="宋体"/>
          <w:bCs/>
          <w:color w:val="auto"/>
          <w:sz w:val="24"/>
          <w:szCs w:val="24"/>
          <w:highlight w:val="none"/>
          <w:u w:val="single"/>
        </w:rPr>
        <w:t xml:space="preserve">                      </w:t>
      </w:r>
    </w:p>
    <w:p w14:paraId="271A61B0">
      <w:pPr>
        <w:pStyle w:val="15"/>
        <w:spacing w:line="360" w:lineRule="auto"/>
        <w:ind w:firstLine="480" w:firstLineChars="200"/>
        <w:contextualSpacing/>
        <w:rPr>
          <w:rFonts w:hint="eastAsia" w:hAnsi="宋体" w:cs="宋体"/>
          <w:bCs/>
          <w:color w:val="auto"/>
          <w:sz w:val="24"/>
          <w:szCs w:val="24"/>
          <w:highlight w:val="none"/>
          <w:u w:val="single"/>
        </w:rPr>
      </w:pPr>
      <w:r>
        <w:rPr>
          <w:rFonts w:hint="eastAsia" w:hAnsi="宋体" w:cs="宋体"/>
          <w:bCs/>
          <w:color w:val="auto"/>
          <w:sz w:val="24"/>
          <w:szCs w:val="24"/>
          <w:highlight w:val="none"/>
        </w:rPr>
        <w:t>联系电话：</w:t>
      </w:r>
      <w:r>
        <w:rPr>
          <w:rFonts w:hint="eastAsia" w:hAnsi="宋体" w:cs="宋体"/>
          <w:bCs/>
          <w:color w:val="auto"/>
          <w:sz w:val="24"/>
          <w:szCs w:val="24"/>
          <w:highlight w:val="none"/>
          <w:u w:val="single"/>
        </w:rPr>
        <w:t xml:space="preserve">                      </w:t>
      </w:r>
    </w:p>
    <w:p w14:paraId="69A7C16F">
      <w:pPr>
        <w:pStyle w:val="15"/>
        <w:spacing w:line="360" w:lineRule="auto"/>
        <w:ind w:firstLine="480" w:firstLineChars="200"/>
        <w:contextualSpacing/>
        <w:rPr>
          <w:rFonts w:hint="eastAsia" w:hAnsi="宋体" w:cs="宋体"/>
          <w:bCs/>
          <w:color w:val="auto"/>
          <w:sz w:val="24"/>
          <w:szCs w:val="24"/>
          <w:highlight w:val="none"/>
        </w:rPr>
      </w:pPr>
      <w:r>
        <w:rPr>
          <w:rFonts w:hint="eastAsia" w:hAnsi="宋体" w:cs="宋体"/>
          <w:bCs/>
          <w:color w:val="auto"/>
          <w:sz w:val="24"/>
          <w:szCs w:val="24"/>
          <w:highlight w:val="none"/>
        </w:rPr>
        <w:t>地址：</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邮编：</w:t>
      </w:r>
      <w:r>
        <w:rPr>
          <w:rFonts w:hint="eastAsia" w:hAnsi="宋体" w:cs="宋体"/>
          <w:bCs/>
          <w:color w:val="auto"/>
          <w:sz w:val="24"/>
          <w:szCs w:val="24"/>
          <w:highlight w:val="none"/>
          <w:u w:val="single"/>
        </w:rPr>
        <w:t xml:space="preserve">                   </w:t>
      </w:r>
    </w:p>
    <w:p w14:paraId="4EC32425">
      <w:pPr>
        <w:pStyle w:val="15"/>
        <w:spacing w:line="360" w:lineRule="auto"/>
        <w:ind w:firstLine="482" w:firstLineChars="200"/>
        <w:contextualSpacing/>
        <w:rPr>
          <w:rFonts w:hint="eastAsia" w:hAnsi="宋体" w:cs="宋体"/>
          <w:b/>
          <w:bCs/>
          <w:color w:val="auto"/>
          <w:sz w:val="24"/>
          <w:szCs w:val="24"/>
          <w:highlight w:val="none"/>
        </w:rPr>
      </w:pPr>
      <w:r>
        <w:rPr>
          <w:rFonts w:hint="eastAsia" w:hAnsi="宋体" w:cs="宋体"/>
          <w:b/>
          <w:bCs/>
          <w:color w:val="auto"/>
          <w:sz w:val="24"/>
          <w:szCs w:val="24"/>
          <w:highlight w:val="none"/>
        </w:rPr>
        <w:t>二、质疑项目基本情况：</w:t>
      </w:r>
    </w:p>
    <w:p w14:paraId="23FDB35A">
      <w:pPr>
        <w:pStyle w:val="15"/>
        <w:spacing w:line="360" w:lineRule="auto"/>
        <w:ind w:left="25" w:leftChars="12" w:firstLine="472" w:firstLineChars="197"/>
        <w:contextualSpacing/>
        <w:rPr>
          <w:rFonts w:hint="eastAsia" w:hAnsi="宋体" w:cs="宋体"/>
          <w:color w:val="auto"/>
          <w:sz w:val="24"/>
          <w:szCs w:val="24"/>
          <w:highlight w:val="none"/>
        </w:rPr>
      </w:pPr>
      <w:r>
        <w:rPr>
          <w:rFonts w:hint="eastAsia" w:hAnsi="宋体" w:cs="宋体"/>
          <w:bCs/>
          <w:color w:val="auto"/>
          <w:sz w:val="24"/>
          <w:szCs w:val="24"/>
          <w:highlight w:val="none"/>
        </w:rPr>
        <w:t>质疑</w:t>
      </w:r>
      <w:r>
        <w:rPr>
          <w:rFonts w:hint="eastAsia" w:hAnsi="宋体" w:cs="宋体"/>
          <w:color w:val="auto"/>
          <w:sz w:val="24"/>
          <w:szCs w:val="24"/>
          <w:highlight w:val="none"/>
        </w:rPr>
        <w:t>项目的名称：</w:t>
      </w:r>
      <w:r>
        <w:rPr>
          <w:rFonts w:hint="eastAsia" w:hAnsi="宋体" w:cs="宋体"/>
          <w:bCs/>
          <w:color w:val="auto"/>
          <w:sz w:val="24"/>
          <w:szCs w:val="24"/>
          <w:highlight w:val="none"/>
          <w:u w:val="single"/>
        </w:rPr>
        <w:t xml:space="preserve">                                               </w:t>
      </w:r>
    </w:p>
    <w:p w14:paraId="0B4A759C">
      <w:pPr>
        <w:pStyle w:val="15"/>
        <w:spacing w:line="360" w:lineRule="auto"/>
        <w:ind w:left="25" w:leftChars="12" w:firstLine="472" w:firstLineChars="197"/>
        <w:contextualSpacing/>
        <w:rPr>
          <w:rFonts w:hint="eastAsia" w:hAnsi="宋体" w:cs="宋体"/>
          <w:color w:val="auto"/>
          <w:sz w:val="24"/>
          <w:szCs w:val="24"/>
          <w:highlight w:val="none"/>
        </w:rPr>
      </w:pPr>
      <w:r>
        <w:rPr>
          <w:rFonts w:hint="eastAsia" w:hAnsi="宋体" w:cs="宋体"/>
          <w:bCs/>
          <w:color w:val="auto"/>
          <w:sz w:val="24"/>
          <w:szCs w:val="24"/>
          <w:highlight w:val="none"/>
        </w:rPr>
        <w:t>质疑</w:t>
      </w:r>
      <w:r>
        <w:rPr>
          <w:rFonts w:hint="eastAsia" w:hAnsi="宋体" w:cs="宋体"/>
          <w:color w:val="auto"/>
          <w:sz w:val="24"/>
          <w:szCs w:val="24"/>
          <w:highlight w:val="none"/>
        </w:rPr>
        <w:t>项目的编号：</w:t>
      </w:r>
      <w:r>
        <w:rPr>
          <w:rFonts w:hint="eastAsia" w:hAnsi="宋体" w:cs="宋体"/>
          <w:bCs/>
          <w:color w:val="auto"/>
          <w:sz w:val="24"/>
          <w:szCs w:val="24"/>
          <w:highlight w:val="none"/>
          <w:u w:val="single"/>
        </w:rPr>
        <w:t xml:space="preserve">                </w:t>
      </w:r>
    </w:p>
    <w:p w14:paraId="7C8DA038">
      <w:pPr>
        <w:pStyle w:val="15"/>
        <w:spacing w:line="360" w:lineRule="auto"/>
        <w:ind w:left="25" w:leftChars="12" w:firstLine="472" w:firstLineChars="197"/>
        <w:contextualSpacing/>
        <w:rPr>
          <w:rFonts w:hint="eastAsia" w:hAnsi="宋体" w:cs="宋体"/>
          <w:color w:val="auto"/>
          <w:sz w:val="24"/>
          <w:szCs w:val="24"/>
          <w:highlight w:val="none"/>
        </w:rPr>
      </w:pPr>
      <w:r>
        <w:rPr>
          <w:rFonts w:hint="eastAsia" w:hAnsi="宋体" w:cs="宋体"/>
          <w:color w:val="auto"/>
          <w:sz w:val="24"/>
          <w:szCs w:val="24"/>
          <w:highlight w:val="none"/>
        </w:rPr>
        <w:t>采购人名称：</w:t>
      </w:r>
      <w:r>
        <w:rPr>
          <w:rFonts w:hint="eastAsia" w:hAnsi="宋体" w:cs="宋体"/>
          <w:bCs/>
          <w:color w:val="auto"/>
          <w:sz w:val="24"/>
          <w:szCs w:val="24"/>
          <w:highlight w:val="none"/>
          <w:u w:val="single"/>
        </w:rPr>
        <w:t xml:space="preserve">                </w:t>
      </w:r>
    </w:p>
    <w:p w14:paraId="3042FA6A">
      <w:pPr>
        <w:pStyle w:val="15"/>
        <w:spacing w:line="360" w:lineRule="auto"/>
        <w:ind w:left="25" w:leftChars="12" w:firstLine="472" w:firstLineChars="197"/>
        <w:contextualSpacing/>
        <w:rPr>
          <w:rFonts w:hint="eastAsia" w:hAnsi="宋体" w:cs="宋体"/>
          <w:color w:val="auto"/>
          <w:sz w:val="24"/>
          <w:szCs w:val="24"/>
          <w:highlight w:val="none"/>
        </w:rPr>
      </w:pPr>
      <w:r>
        <w:rPr>
          <w:rFonts w:hint="eastAsia" w:hAnsi="宋体" w:cs="宋体"/>
          <w:color w:val="auto"/>
          <w:sz w:val="24"/>
          <w:szCs w:val="24"/>
          <w:highlight w:val="none"/>
        </w:rPr>
        <w:t>质疑事项：</w:t>
      </w:r>
    </w:p>
    <w:p w14:paraId="54F60914">
      <w:pPr>
        <w:pStyle w:val="15"/>
        <w:spacing w:line="360" w:lineRule="auto"/>
        <w:ind w:left="25" w:leftChars="12" w:firstLine="352" w:firstLineChars="147"/>
        <w:contextualSpacing/>
        <w:rPr>
          <w:rFonts w:hint="eastAsia" w:hAnsi="宋体" w:cs="宋体"/>
          <w:color w:val="auto"/>
          <w:sz w:val="24"/>
          <w:szCs w:val="24"/>
          <w:highlight w:val="none"/>
        </w:rPr>
      </w:pPr>
      <w:r>
        <w:rPr>
          <w:rFonts w:hint="eastAsia" w:hAnsi="宋体" w:cs="宋体"/>
          <w:color w:val="auto"/>
          <w:sz w:val="24"/>
          <w:szCs w:val="24"/>
          <w:highlight w:val="none"/>
        </w:rPr>
        <w:t>□采购文件   采购文件获取日期：</w:t>
      </w:r>
      <w:r>
        <w:rPr>
          <w:rFonts w:hint="eastAsia" w:hAnsi="宋体" w:cs="宋体"/>
          <w:bCs/>
          <w:color w:val="auto"/>
          <w:sz w:val="24"/>
          <w:szCs w:val="24"/>
          <w:highlight w:val="none"/>
          <w:u w:val="single"/>
        </w:rPr>
        <w:t xml:space="preserve">                                   </w:t>
      </w:r>
    </w:p>
    <w:p w14:paraId="2AB2069A">
      <w:pPr>
        <w:pStyle w:val="15"/>
        <w:spacing w:line="360" w:lineRule="auto"/>
        <w:ind w:left="25" w:leftChars="12" w:firstLine="352" w:firstLineChars="147"/>
        <w:contextualSpacing/>
        <w:rPr>
          <w:rFonts w:hint="eastAsia" w:hAnsi="宋体" w:cs="宋体"/>
          <w:color w:val="auto"/>
          <w:sz w:val="24"/>
          <w:szCs w:val="24"/>
          <w:highlight w:val="none"/>
        </w:rPr>
      </w:pPr>
      <w:r>
        <w:rPr>
          <w:rFonts w:hint="eastAsia" w:hAnsi="宋体" w:cs="宋体"/>
          <w:color w:val="auto"/>
          <w:sz w:val="24"/>
          <w:szCs w:val="24"/>
          <w:highlight w:val="none"/>
        </w:rPr>
        <w:t xml:space="preserve">□采购过程   </w:t>
      </w:r>
    </w:p>
    <w:p w14:paraId="37132EDC">
      <w:pPr>
        <w:pStyle w:val="15"/>
        <w:spacing w:line="360" w:lineRule="auto"/>
        <w:ind w:left="25" w:leftChars="12" w:firstLine="352" w:firstLineChars="147"/>
        <w:contextualSpacing/>
        <w:rPr>
          <w:rFonts w:hint="eastAsia" w:hAnsi="宋体" w:cs="宋体"/>
          <w:bCs/>
          <w:color w:val="auto"/>
          <w:sz w:val="24"/>
          <w:szCs w:val="24"/>
          <w:highlight w:val="none"/>
          <w:u w:val="single"/>
        </w:rPr>
      </w:pPr>
      <w:r>
        <w:rPr>
          <w:rFonts w:hint="eastAsia" w:hAnsi="宋体" w:cs="宋体"/>
          <w:color w:val="auto"/>
          <w:sz w:val="24"/>
          <w:szCs w:val="24"/>
          <w:highlight w:val="none"/>
        </w:rPr>
        <w:t xml:space="preserve">□成交结果   </w:t>
      </w:r>
    </w:p>
    <w:p w14:paraId="4F21FB78">
      <w:pPr>
        <w:pStyle w:val="15"/>
        <w:spacing w:line="360" w:lineRule="auto"/>
        <w:ind w:left="25" w:leftChars="12" w:firstLine="472" w:firstLineChars="196"/>
        <w:contextualSpacing/>
        <w:rPr>
          <w:rFonts w:hint="eastAsia" w:hAnsi="宋体" w:cs="宋体"/>
          <w:b/>
          <w:color w:val="auto"/>
          <w:sz w:val="24"/>
          <w:szCs w:val="24"/>
          <w:highlight w:val="none"/>
        </w:rPr>
      </w:pPr>
      <w:r>
        <w:rPr>
          <w:rFonts w:hint="eastAsia" w:hAnsi="宋体" w:cs="宋体"/>
          <w:b/>
          <w:color w:val="auto"/>
          <w:sz w:val="24"/>
          <w:szCs w:val="24"/>
          <w:highlight w:val="none"/>
        </w:rPr>
        <w:t>三、质疑事项具体内容</w:t>
      </w:r>
    </w:p>
    <w:p w14:paraId="7161B43E">
      <w:pPr>
        <w:pStyle w:val="15"/>
        <w:spacing w:line="360" w:lineRule="auto"/>
        <w:ind w:left="25" w:leftChars="12" w:firstLine="472" w:firstLineChars="197"/>
        <w:contextualSpacing/>
        <w:rPr>
          <w:rFonts w:hint="eastAsia" w:hAnsi="宋体" w:cs="宋体"/>
          <w:color w:val="auto"/>
          <w:sz w:val="24"/>
          <w:szCs w:val="24"/>
          <w:highlight w:val="none"/>
        </w:rPr>
      </w:pPr>
      <w:r>
        <w:rPr>
          <w:rFonts w:hint="eastAsia" w:hAnsi="宋体" w:cs="宋体"/>
          <w:color w:val="auto"/>
          <w:sz w:val="24"/>
          <w:szCs w:val="24"/>
          <w:highlight w:val="none"/>
        </w:rPr>
        <w:t>质疑事项1：</w:t>
      </w:r>
      <w:r>
        <w:rPr>
          <w:rFonts w:hint="eastAsia" w:hAnsi="宋体" w:cs="宋体"/>
          <w:bCs/>
          <w:color w:val="auto"/>
          <w:sz w:val="24"/>
          <w:szCs w:val="24"/>
          <w:highlight w:val="none"/>
          <w:u w:val="single"/>
        </w:rPr>
        <w:t xml:space="preserve">                                                         </w:t>
      </w:r>
    </w:p>
    <w:p w14:paraId="5D2F7A65">
      <w:pPr>
        <w:pStyle w:val="15"/>
        <w:spacing w:line="360" w:lineRule="auto"/>
        <w:ind w:left="25" w:leftChars="12" w:firstLine="472" w:firstLineChars="197"/>
        <w:contextualSpacing/>
        <w:rPr>
          <w:rFonts w:hint="eastAsia" w:hAnsi="宋体" w:cs="宋体"/>
          <w:color w:val="auto"/>
          <w:sz w:val="24"/>
          <w:szCs w:val="24"/>
          <w:highlight w:val="none"/>
        </w:rPr>
      </w:pPr>
      <w:r>
        <w:rPr>
          <w:rFonts w:hint="eastAsia" w:hAnsi="宋体" w:cs="宋体"/>
          <w:color w:val="auto"/>
          <w:sz w:val="24"/>
          <w:szCs w:val="24"/>
          <w:highlight w:val="none"/>
        </w:rPr>
        <w:t>事实依据：</w:t>
      </w:r>
      <w:r>
        <w:rPr>
          <w:rFonts w:hint="eastAsia" w:hAnsi="宋体" w:cs="宋体"/>
          <w:bCs/>
          <w:color w:val="auto"/>
          <w:sz w:val="24"/>
          <w:szCs w:val="24"/>
          <w:highlight w:val="none"/>
          <w:u w:val="single"/>
        </w:rPr>
        <w:t xml:space="preserve">                                                           </w:t>
      </w:r>
    </w:p>
    <w:p w14:paraId="5BF72775">
      <w:pPr>
        <w:pStyle w:val="15"/>
        <w:spacing w:line="360" w:lineRule="auto"/>
        <w:ind w:left="25" w:leftChars="12" w:firstLine="472" w:firstLineChars="197"/>
        <w:contextualSpacing/>
        <w:rPr>
          <w:rFonts w:hint="eastAsia" w:hAnsi="宋体" w:cs="宋体"/>
          <w:color w:val="auto"/>
          <w:sz w:val="24"/>
          <w:szCs w:val="24"/>
          <w:highlight w:val="none"/>
        </w:rPr>
      </w:pPr>
      <w:r>
        <w:rPr>
          <w:rFonts w:hint="eastAsia" w:hAnsi="宋体" w:cs="宋体"/>
          <w:color w:val="auto"/>
          <w:sz w:val="24"/>
          <w:szCs w:val="24"/>
          <w:highlight w:val="none"/>
        </w:rPr>
        <w:t>法律依据：</w:t>
      </w:r>
      <w:r>
        <w:rPr>
          <w:rFonts w:hint="eastAsia" w:hAnsi="宋体" w:cs="宋体"/>
          <w:color w:val="auto"/>
          <w:sz w:val="24"/>
          <w:szCs w:val="24"/>
          <w:highlight w:val="none"/>
          <w:u w:val="single"/>
        </w:rPr>
        <w:t xml:space="preserve">                                                        </w:t>
      </w:r>
      <w:r>
        <w:rPr>
          <w:rFonts w:hint="eastAsia" w:hAnsi="宋体" w:cs="宋体"/>
          <w:bCs/>
          <w:color w:val="auto"/>
          <w:sz w:val="24"/>
          <w:szCs w:val="24"/>
          <w:highlight w:val="none"/>
          <w:u w:val="single"/>
        </w:rPr>
        <w:t xml:space="preserve">   </w:t>
      </w:r>
    </w:p>
    <w:p w14:paraId="00D1A026">
      <w:pPr>
        <w:pStyle w:val="15"/>
        <w:spacing w:line="360" w:lineRule="auto"/>
        <w:ind w:left="25" w:leftChars="12" w:firstLine="472" w:firstLineChars="197"/>
        <w:contextualSpacing/>
        <w:rPr>
          <w:rFonts w:hint="eastAsia" w:hAnsi="宋体" w:cs="宋体"/>
          <w:color w:val="auto"/>
          <w:sz w:val="24"/>
          <w:szCs w:val="24"/>
          <w:highlight w:val="none"/>
        </w:rPr>
      </w:pPr>
      <w:r>
        <w:rPr>
          <w:rFonts w:hint="eastAsia" w:hAnsi="宋体" w:cs="宋体"/>
          <w:color w:val="auto"/>
          <w:sz w:val="24"/>
          <w:szCs w:val="24"/>
          <w:highlight w:val="none"/>
        </w:rPr>
        <w:t>质疑事项2</w:t>
      </w:r>
    </w:p>
    <w:p w14:paraId="11F4CB90">
      <w:pPr>
        <w:pStyle w:val="15"/>
        <w:spacing w:line="360" w:lineRule="auto"/>
        <w:ind w:left="25" w:leftChars="12" w:firstLine="472" w:firstLineChars="197"/>
        <w:contextualSpacing/>
        <w:rPr>
          <w:rFonts w:hint="eastAsia" w:hAnsi="宋体" w:cs="宋体"/>
          <w:color w:val="auto"/>
          <w:sz w:val="24"/>
          <w:szCs w:val="24"/>
          <w:highlight w:val="none"/>
        </w:rPr>
      </w:pPr>
      <w:r>
        <w:rPr>
          <w:rFonts w:hint="eastAsia" w:hAnsi="宋体" w:cs="宋体"/>
          <w:color w:val="auto"/>
          <w:sz w:val="24"/>
          <w:szCs w:val="24"/>
          <w:highlight w:val="none"/>
        </w:rPr>
        <w:t>……</w:t>
      </w:r>
    </w:p>
    <w:p w14:paraId="5BADC6AC">
      <w:pPr>
        <w:pStyle w:val="15"/>
        <w:spacing w:line="360" w:lineRule="auto"/>
        <w:ind w:left="25" w:leftChars="12" w:firstLine="472" w:firstLineChars="197"/>
        <w:contextualSpacing/>
        <w:rPr>
          <w:rFonts w:hint="eastAsia" w:hAnsi="宋体" w:cs="宋体"/>
          <w:color w:val="auto"/>
          <w:sz w:val="24"/>
          <w:szCs w:val="24"/>
          <w:highlight w:val="none"/>
        </w:rPr>
      </w:pPr>
      <w:r>
        <w:rPr>
          <w:rFonts w:hint="eastAsia" w:hAnsi="宋体" w:cs="宋体"/>
          <w:color w:val="auto"/>
          <w:sz w:val="24"/>
          <w:szCs w:val="24"/>
          <w:highlight w:val="none"/>
        </w:rPr>
        <w:t>四、与质疑事项相关的质疑请求：</w:t>
      </w:r>
    </w:p>
    <w:p w14:paraId="4A7DEEEC">
      <w:pPr>
        <w:pStyle w:val="15"/>
        <w:spacing w:line="360" w:lineRule="auto"/>
        <w:ind w:left="25" w:leftChars="12" w:firstLine="472" w:firstLineChars="197"/>
        <w:contextualSpacing/>
        <w:rPr>
          <w:rFonts w:hint="eastAsia" w:hAnsi="宋体" w:cs="宋体"/>
          <w:color w:val="auto"/>
          <w:sz w:val="24"/>
          <w:szCs w:val="24"/>
          <w:highlight w:val="none"/>
        </w:rPr>
      </w:pPr>
      <w:r>
        <w:rPr>
          <w:rFonts w:hint="eastAsia" w:hAnsi="宋体" w:cs="宋体"/>
          <w:color w:val="auto"/>
          <w:sz w:val="24"/>
          <w:szCs w:val="24"/>
          <w:highlight w:val="none"/>
        </w:rPr>
        <w:t>请求：</w:t>
      </w:r>
      <w:r>
        <w:rPr>
          <w:rFonts w:hint="eastAsia" w:hAnsi="宋体" w:cs="宋体"/>
          <w:bCs/>
          <w:color w:val="auto"/>
          <w:sz w:val="24"/>
          <w:szCs w:val="24"/>
          <w:highlight w:val="none"/>
          <w:u w:val="single"/>
        </w:rPr>
        <w:t xml:space="preserve">                                                                </w:t>
      </w:r>
    </w:p>
    <w:p w14:paraId="668F417F">
      <w:pPr>
        <w:pStyle w:val="15"/>
        <w:spacing w:line="360" w:lineRule="auto"/>
        <w:ind w:left="25" w:leftChars="12" w:firstLine="472" w:firstLineChars="197"/>
        <w:contextualSpacing/>
        <w:rPr>
          <w:rFonts w:hint="eastAsia" w:hAnsi="宋体" w:cs="宋体"/>
          <w:color w:val="auto"/>
          <w:sz w:val="24"/>
          <w:szCs w:val="24"/>
          <w:highlight w:val="none"/>
        </w:rPr>
      </w:pPr>
      <w:r>
        <w:rPr>
          <w:rFonts w:hint="eastAsia" w:hAnsi="宋体" w:cs="宋体"/>
          <w:color w:val="auto"/>
          <w:sz w:val="24"/>
          <w:szCs w:val="24"/>
          <w:highlight w:val="none"/>
        </w:rPr>
        <w:t>签字（签章）：                                       公章：</w:t>
      </w:r>
    </w:p>
    <w:p w14:paraId="37F0BA25">
      <w:pPr>
        <w:pStyle w:val="15"/>
        <w:spacing w:line="360" w:lineRule="auto"/>
        <w:ind w:left="25" w:leftChars="12" w:firstLine="472" w:firstLineChars="197"/>
        <w:contextualSpacing/>
        <w:rPr>
          <w:rFonts w:hint="eastAsia" w:hAnsi="宋体" w:cs="宋体"/>
          <w:color w:val="auto"/>
          <w:sz w:val="24"/>
          <w:szCs w:val="24"/>
          <w:highlight w:val="none"/>
        </w:rPr>
      </w:pPr>
      <w:r>
        <w:rPr>
          <w:rFonts w:hint="eastAsia" w:hAnsi="宋体" w:cs="宋体"/>
          <w:color w:val="auto"/>
          <w:sz w:val="24"/>
          <w:szCs w:val="24"/>
          <w:highlight w:val="none"/>
        </w:rPr>
        <w:t>日期：</w:t>
      </w:r>
    </w:p>
    <w:p w14:paraId="6B1B6B55">
      <w:pPr>
        <w:pStyle w:val="15"/>
        <w:spacing w:line="360" w:lineRule="auto"/>
        <w:contextualSpacing/>
        <w:rPr>
          <w:rFonts w:hint="eastAsia" w:hAnsi="宋体" w:cs="宋体"/>
          <w:b/>
          <w:color w:val="auto"/>
          <w:sz w:val="24"/>
          <w:szCs w:val="24"/>
          <w:highlight w:val="none"/>
        </w:rPr>
      </w:pPr>
    </w:p>
    <w:p w14:paraId="2CA7361C">
      <w:pPr>
        <w:pStyle w:val="15"/>
        <w:spacing w:line="360" w:lineRule="auto"/>
        <w:contextualSpacing/>
        <w:rPr>
          <w:rFonts w:hint="eastAsia" w:hAnsi="宋体" w:cs="宋体"/>
          <w:b/>
          <w:color w:val="auto"/>
          <w:sz w:val="24"/>
          <w:szCs w:val="24"/>
          <w:highlight w:val="none"/>
        </w:rPr>
      </w:pPr>
      <w:r>
        <w:rPr>
          <w:rFonts w:hint="eastAsia" w:hAnsi="宋体" w:cs="宋体"/>
          <w:b/>
          <w:color w:val="auto"/>
          <w:sz w:val="24"/>
          <w:szCs w:val="24"/>
          <w:highlight w:val="none"/>
        </w:rPr>
        <w:t>说明：</w:t>
      </w:r>
    </w:p>
    <w:p w14:paraId="66F4289A">
      <w:pPr>
        <w:pStyle w:val="15"/>
        <w:spacing w:line="360" w:lineRule="auto"/>
        <w:ind w:left="25" w:leftChars="12" w:firstLine="354" w:firstLineChars="147"/>
        <w:contextualSpacing/>
        <w:rPr>
          <w:rFonts w:hint="eastAsia" w:hAnsi="宋体" w:cs="宋体"/>
          <w:b/>
          <w:bCs/>
          <w:color w:val="auto"/>
          <w:sz w:val="24"/>
          <w:szCs w:val="24"/>
          <w:highlight w:val="none"/>
        </w:rPr>
      </w:pPr>
      <w:r>
        <w:rPr>
          <w:rFonts w:hint="eastAsia" w:hAnsi="宋体" w:cs="宋体"/>
          <w:b/>
          <w:color w:val="auto"/>
          <w:sz w:val="24"/>
          <w:szCs w:val="24"/>
          <w:highlight w:val="none"/>
        </w:rPr>
        <w:t>1.供应商提出质疑时，应提交质疑函和必要的证明材料</w:t>
      </w:r>
      <w:r>
        <w:rPr>
          <w:rFonts w:hint="eastAsia" w:hAnsi="宋体" w:cs="宋体"/>
          <w:b/>
          <w:bCs/>
          <w:color w:val="auto"/>
          <w:sz w:val="24"/>
          <w:szCs w:val="24"/>
          <w:highlight w:val="none"/>
        </w:rPr>
        <w:t>。</w:t>
      </w:r>
    </w:p>
    <w:p w14:paraId="100BD733">
      <w:pPr>
        <w:pStyle w:val="15"/>
        <w:spacing w:line="360" w:lineRule="auto"/>
        <w:ind w:left="25" w:leftChars="12" w:firstLine="354" w:firstLineChars="147"/>
        <w:contextualSpacing/>
        <w:rPr>
          <w:rFonts w:hint="eastAsia" w:hAnsi="宋体" w:cs="宋体"/>
          <w:b/>
          <w:color w:val="auto"/>
          <w:sz w:val="24"/>
          <w:szCs w:val="24"/>
          <w:highlight w:val="none"/>
        </w:rPr>
      </w:pPr>
      <w:r>
        <w:rPr>
          <w:rFonts w:hint="eastAsia" w:hAnsi="宋体" w:cs="宋体"/>
          <w:b/>
          <w:color w:val="auto"/>
          <w:sz w:val="24"/>
          <w:szCs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68E03B40">
      <w:pPr>
        <w:pStyle w:val="15"/>
        <w:spacing w:line="360" w:lineRule="auto"/>
        <w:ind w:left="25" w:leftChars="12" w:firstLine="354" w:firstLineChars="147"/>
        <w:contextualSpacing/>
        <w:rPr>
          <w:rFonts w:hint="eastAsia" w:hAnsi="宋体" w:cs="宋体"/>
          <w:b/>
          <w:color w:val="auto"/>
          <w:sz w:val="24"/>
          <w:szCs w:val="24"/>
          <w:highlight w:val="none"/>
        </w:rPr>
      </w:pPr>
      <w:r>
        <w:rPr>
          <w:rFonts w:hint="eastAsia" w:hAnsi="宋体" w:cs="宋体"/>
          <w:b/>
          <w:color w:val="auto"/>
          <w:sz w:val="24"/>
          <w:szCs w:val="24"/>
          <w:highlight w:val="none"/>
        </w:rPr>
        <w:t>3.质疑函的质疑事项应具体、明确，并有必要的事实依据和法律依据。</w:t>
      </w:r>
    </w:p>
    <w:p w14:paraId="5C4EB0D9">
      <w:pPr>
        <w:pStyle w:val="15"/>
        <w:spacing w:line="360" w:lineRule="auto"/>
        <w:ind w:left="25" w:leftChars="12" w:firstLine="354" w:firstLineChars="147"/>
        <w:contextualSpacing/>
        <w:rPr>
          <w:rFonts w:hint="eastAsia" w:hAnsi="宋体" w:cs="宋体"/>
          <w:b/>
          <w:color w:val="auto"/>
          <w:sz w:val="24"/>
          <w:szCs w:val="24"/>
          <w:highlight w:val="none"/>
        </w:rPr>
      </w:pPr>
      <w:r>
        <w:rPr>
          <w:rFonts w:hint="eastAsia" w:hAnsi="宋体" w:cs="宋体"/>
          <w:b/>
          <w:color w:val="auto"/>
          <w:sz w:val="24"/>
          <w:szCs w:val="24"/>
          <w:highlight w:val="none"/>
        </w:rPr>
        <w:t>4.质疑函的质疑请求应与质疑事项相关。</w:t>
      </w:r>
    </w:p>
    <w:p w14:paraId="46B429D7">
      <w:pPr>
        <w:pStyle w:val="15"/>
        <w:spacing w:line="360" w:lineRule="auto"/>
        <w:ind w:left="25" w:leftChars="12" w:firstLine="354" w:firstLineChars="147"/>
        <w:contextualSpacing/>
        <w:rPr>
          <w:rFonts w:hint="eastAsia" w:hAnsi="宋体" w:cs="宋体"/>
          <w:b/>
          <w:color w:val="auto"/>
          <w:highlight w:val="none"/>
        </w:rPr>
      </w:pPr>
      <w:r>
        <w:rPr>
          <w:rFonts w:hint="eastAsia" w:hAnsi="宋体" w:cs="宋体"/>
          <w:b/>
          <w:color w:val="auto"/>
          <w:sz w:val="24"/>
          <w:szCs w:val="24"/>
          <w:highlight w:val="none"/>
        </w:rPr>
        <w:t>5.质疑供应商为法人或者其他组织的，质疑函应由法定代表人、主要负责人，或者其授权代表签字或者盖章，并加盖公章。</w:t>
      </w:r>
    </w:p>
    <w:p w14:paraId="19ACFEA3">
      <w:pPr>
        <w:pStyle w:val="15"/>
        <w:snapToGrid w:val="0"/>
        <w:rPr>
          <w:rFonts w:hint="eastAsia" w:hAnsi="宋体" w:cs="宋体"/>
          <w:b/>
          <w:color w:val="auto"/>
          <w:sz w:val="24"/>
          <w:szCs w:val="24"/>
          <w:highlight w:val="none"/>
        </w:rPr>
      </w:pPr>
    </w:p>
    <w:p w14:paraId="6E3C3FB6">
      <w:pPr>
        <w:spacing w:line="460" w:lineRule="exact"/>
        <w:jc w:val="center"/>
        <w:rPr>
          <w:rFonts w:hint="eastAsia" w:ascii="宋体" w:hAnsi="宋体" w:cs="宋体"/>
          <w:color w:val="auto"/>
          <w:sz w:val="44"/>
          <w:highlight w:val="none"/>
        </w:rPr>
      </w:pPr>
      <w:r>
        <w:rPr>
          <w:rFonts w:hint="eastAsia" w:ascii="宋体" w:hAnsi="宋体" w:cs="宋体"/>
          <w:color w:val="auto"/>
          <w:sz w:val="44"/>
          <w:highlight w:val="none"/>
        </w:rPr>
        <w:br w:type="page"/>
      </w:r>
    </w:p>
    <w:p w14:paraId="40FF4146">
      <w:pPr>
        <w:spacing w:line="360" w:lineRule="auto"/>
        <w:jc w:val="center"/>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投诉书（格式）</w:t>
      </w:r>
    </w:p>
    <w:p w14:paraId="256E5CC3">
      <w:pPr>
        <w:pStyle w:val="15"/>
        <w:snapToGrid w:val="0"/>
        <w:spacing w:line="360" w:lineRule="auto"/>
        <w:ind w:firstLine="482" w:firstLineChars="200"/>
        <w:rPr>
          <w:rFonts w:hint="eastAsia" w:hAnsi="宋体" w:cs="宋体"/>
          <w:b/>
          <w:bCs/>
          <w:color w:val="auto"/>
          <w:sz w:val="24"/>
          <w:szCs w:val="24"/>
          <w:highlight w:val="none"/>
        </w:rPr>
      </w:pPr>
      <w:r>
        <w:rPr>
          <w:rFonts w:hint="eastAsia" w:hAnsi="宋体" w:cs="宋体"/>
          <w:b/>
          <w:bCs/>
          <w:color w:val="auto"/>
          <w:sz w:val="24"/>
          <w:szCs w:val="24"/>
          <w:highlight w:val="none"/>
        </w:rPr>
        <w:t>一、投诉相关主体基本情况：</w:t>
      </w:r>
    </w:p>
    <w:p w14:paraId="1595B1B0">
      <w:pPr>
        <w:pStyle w:val="15"/>
        <w:snapToGrid w:val="0"/>
        <w:spacing w:line="360" w:lineRule="auto"/>
        <w:ind w:firstLine="480" w:firstLineChars="200"/>
        <w:rPr>
          <w:rFonts w:hint="eastAsia" w:hAnsi="宋体" w:cs="宋体"/>
          <w:bCs/>
          <w:color w:val="auto"/>
          <w:sz w:val="24"/>
          <w:szCs w:val="24"/>
          <w:highlight w:val="none"/>
          <w:u w:val="single"/>
        </w:rPr>
      </w:pPr>
      <w:r>
        <w:rPr>
          <w:rFonts w:hint="eastAsia" w:hAnsi="宋体" w:cs="宋体"/>
          <w:bCs/>
          <w:color w:val="auto"/>
          <w:sz w:val="24"/>
          <w:szCs w:val="24"/>
          <w:highlight w:val="none"/>
        </w:rPr>
        <w:t>供应商：</w:t>
      </w:r>
      <w:r>
        <w:rPr>
          <w:rFonts w:hint="eastAsia" w:hAnsi="宋体" w:cs="宋体"/>
          <w:bCs/>
          <w:color w:val="auto"/>
          <w:sz w:val="24"/>
          <w:szCs w:val="24"/>
          <w:highlight w:val="none"/>
          <w:u w:val="single"/>
        </w:rPr>
        <w:t xml:space="preserve">                                                             </w:t>
      </w:r>
    </w:p>
    <w:p w14:paraId="4A4707F1">
      <w:pPr>
        <w:pStyle w:val="15"/>
        <w:snapToGrid w:val="0"/>
        <w:spacing w:line="360" w:lineRule="auto"/>
        <w:ind w:firstLine="480" w:firstLineChars="200"/>
        <w:rPr>
          <w:rFonts w:hint="eastAsia" w:hAnsi="宋体" w:cs="宋体"/>
          <w:bCs/>
          <w:color w:val="auto"/>
          <w:sz w:val="24"/>
          <w:szCs w:val="24"/>
          <w:highlight w:val="none"/>
        </w:rPr>
      </w:pPr>
      <w:r>
        <w:rPr>
          <w:rFonts w:hint="eastAsia" w:hAnsi="宋体" w:cs="宋体"/>
          <w:bCs/>
          <w:color w:val="auto"/>
          <w:sz w:val="24"/>
          <w:szCs w:val="24"/>
          <w:highlight w:val="none"/>
        </w:rPr>
        <w:t>地址：</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邮编：</w:t>
      </w:r>
      <w:r>
        <w:rPr>
          <w:rFonts w:hint="eastAsia" w:hAnsi="宋体" w:cs="宋体"/>
          <w:bCs/>
          <w:color w:val="auto"/>
          <w:sz w:val="24"/>
          <w:szCs w:val="24"/>
          <w:highlight w:val="none"/>
          <w:u w:val="single"/>
        </w:rPr>
        <w:t xml:space="preserve">               </w:t>
      </w:r>
    </w:p>
    <w:p w14:paraId="4729EE94">
      <w:pPr>
        <w:pStyle w:val="15"/>
        <w:snapToGrid w:val="0"/>
        <w:spacing w:line="360" w:lineRule="auto"/>
        <w:ind w:firstLine="480" w:firstLineChars="200"/>
        <w:rPr>
          <w:rFonts w:hint="eastAsia" w:hAnsi="宋体" w:cs="宋体"/>
          <w:bCs/>
          <w:color w:val="auto"/>
          <w:sz w:val="24"/>
          <w:szCs w:val="24"/>
          <w:highlight w:val="none"/>
          <w:u w:val="single"/>
        </w:rPr>
      </w:pPr>
      <w:r>
        <w:rPr>
          <w:rFonts w:hint="eastAsia" w:hAnsi="宋体" w:cs="宋体"/>
          <w:bCs/>
          <w:color w:val="auto"/>
          <w:sz w:val="24"/>
          <w:szCs w:val="24"/>
          <w:highlight w:val="none"/>
        </w:rPr>
        <w:t>法定代表人/主要负责人：</w:t>
      </w:r>
      <w:r>
        <w:rPr>
          <w:rFonts w:hint="eastAsia" w:hAnsi="宋体" w:cs="宋体"/>
          <w:bCs/>
          <w:color w:val="auto"/>
          <w:sz w:val="24"/>
          <w:szCs w:val="24"/>
          <w:highlight w:val="none"/>
          <w:u w:val="single"/>
        </w:rPr>
        <w:t xml:space="preserve">                                              </w:t>
      </w:r>
    </w:p>
    <w:p w14:paraId="64A9B8BF">
      <w:pPr>
        <w:pStyle w:val="15"/>
        <w:snapToGrid w:val="0"/>
        <w:spacing w:line="360" w:lineRule="auto"/>
        <w:ind w:firstLine="480" w:firstLineChars="200"/>
        <w:rPr>
          <w:rFonts w:hint="eastAsia" w:hAnsi="宋体" w:cs="宋体"/>
          <w:bCs/>
          <w:color w:val="auto"/>
          <w:sz w:val="24"/>
          <w:szCs w:val="24"/>
          <w:highlight w:val="none"/>
        </w:rPr>
      </w:pPr>
      <w:r>
        <w:rPr>
          <w:rFonts w:hint="eastAsia" w:hAnsi="宋体" w:cs="宋体"/>
          <w:bCs/>
          <w:color w:val="auto"/>
          <w:sz w:val="24"/>
          <w:szCs w:val="24"/>
          <w:highlight w:val="none"/>
        </w:rPr>
        <w:t>联系电话：</w:t>
      </w:r>
      <w:r>
        <w:rPr>
          <w:rFonts w:hint="eastAsia" w:hAnsi="宋体" w:cs="宋体"/>
          <w:bCs/>
          <w:color w:val="auto"/>
          <w:sz w:val="24"/>
          <w:szCs w:val="24"/>
          <w:highlight w:val="none"/>
          <w:u w:val="single"/>
        </w:rPr>
        <w:t xml:space="preserve">                                         </w:t>
      </w:r>
    </w:p>
    <w:p w14:paraId="5A17EA49">
      <w:pPr>
        <w:pStyle w:val="15"/>
        <w:snapToGrid w:val="0"/>
        <w:spacing w:line="360" w:lineRule="auto"/>
        <w:ind w:firstLine="480" w:firstLineChars="200"/>
        <w:rPr>
          <w:rFonts w:hint="eastAsia" w:hAnsi="宋体" w:cs="宋体"/>
          <w:bCs/>
          <w:color w:val="auto"/>
          <w:sz w:val="24"/>
          <w:szCs w:val="24"/>
          <w:highlight w:val="none"/>
          <w:u w:val="single"/>
        </w:rPr>
      </w:pPr>
      <w:r>
        <w:rPr>
          <w:rFonts w:hint="eastAsia" w:hAnsi="宋体" w:cs="宋体"/>
          <w:bCs/>
          <w:color w:val="auto"/>
          <w:sz w:val="24"/>
          <w:szCs w:val="24"/>
          <w:highlight w:val="none"/>
        </w:rPr>
        <w:t>授权代表：</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联系电话：</w:t>
      </w:r>
      <w:r>
        <w:rPr>
          <w:rFonts w:hint="eastAsia" w:hAnsi="宋体" w:cs="宋体"/>
          <w:bCs/>
          <w:color w:val="auto"/>
          <w:sz w:val="24"/>
          <w:szCs w:val="24"/>
          <w:highlight w:val="none"/>
          <w:u w:val="single"/>
        </w:rPr>
        <w:t xml:space="preserve">           </w:t>
      </w:r>
    </w:p>
    <w:p w14:paraId="2E853D79">
      <w:pPr>
        <w:pStyle w:val="15"/>
        <w:snapToGrid w:val="0"/>
        <w:spacing w:line="360" w:lineRule="auto"/>
        <w:ind w:firstLine="480" w:firstLineChars="200"/>
        <w:rPr>
          <w:rFonts w:hint="eastAsia" w:hAnsi="宋体" w:cs="宋体"/>
          <w:bCs/>
          <w:color w:val="auto"/>
          <w:sz w:val="24"/>
          <w:szCs w:val="24"/>
          <w:highlight w:val="none"/>
          <w:u w:val="single"/>
        </w:rPr>
      </w:pPr>
      <w:r>
        <w:rPr>
          <w:rFonts w:hint="eastAsia" w:hAnsi="宋体" w:cs="宋体"/>
          <w:bCs/>
          <w:color w:val="auto"/>
          <w:sz w:val="24"/>
          <w:szCs w:val="24"/>
          <w:highlight w:val="none"/>
        </w:rPr>
        <w:t>地址：</w:t>
      </w:r>
      <w:r>
        <w:rPr>
          <w:rFonts w:hint="eastAsia" w:hAnsi="宋体" w:cs="宋体"/>
          <w:bCs/>
          <w:color w:val="auto"/>
          <w:sz w:val="24"/>
          <w:szCs w:val="24"/>
          <w:highlight w:val="none"/>
          <w:u w:val="single"/>
        </w:rPr>
        <w:t xml:space="preserve">                                                            </w:t>
      </w:r>
    </w:p>
    <w:p w14:paraId="3CF1B02B">
      <w:pPr>
        <w:pStyle w:val="15"/>
        <w:snapToGrid w:val="0"/>
        <w:spacing w:line="360" w:lineRule="auto"/>
        <w:ind w:firstLine="480" w:firstLineChars="200"/>
        <w:rPr>
          <w:rFonts w:hint="eastAsia" w:hAnsi="宋体" w:cs="宋体"/>
          <w:bCs/>
          <w:color w:val="auto"/>
          <w:sz w:val="24"/>
          <w:szCs w:val="24"/>
          <w:highlight w:val="none"/>
        </w:rPr>
      </w:pPr>
      <w:r>
        <w:rPr>
          <w:rFonts w:hint="eastAsia" w:hAnsi="宋体" w:cs="宋体"/>
          <w:bCs/>
          <w:color w:val="auto"/>
          <w:sz w:val="24"/>
          <w:szCs w:val="24"/>
          <w:highlight w:val="none"/>
        </w:rPr>
        <w:t>邮编：</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5C77441F">
      <w:pPr>
        <w:pStyle w:val="15"/>
        <w:snapToGrid w:val="0"/>
        <w:spacing w:line="360" w:lineRule="auto"/>
        <w:ind w:firstLine="480" w:firstLineChars="200"/>
        <w:rPr>
          <w:rFonts w:hint="eastAsia" w:hAnsi="宋体" w:cs="宋体"/>
          <w:bCs/>
          <w:color w:val="auto"/>
          <w:sz w:val="24"/>
          <w:szCs w:val="24"/>
          <w:highlight w:val="none"/>
        </w:rPr>
      </w:pPr>
      <w:r>
        <w:rPr>
          <w:rFonts w:hint="eastAsia" w:hAnsi="宋体" w:cs="宋体"/>
          <w:bCs/>
          <w:color w:val="auto"/>
          <w:sz w:val="24"/>
          <w:szCs w:val="24"/>
          <w:highlight w:val="none"/>
        </w:rPr>
        <w:t>被投诉人1：</w:t>
      </w:r>
    </w:p>
    <w:p w14:paraId="3CE5330B">
      <w:pPr>
        <w:pStyle w:val="15"/>
        <w:snapToGrid w:val="0"/>
        <w:spacing w:line="360" w:lineRule="auto"/>
        <w:ind w:firstLine="480" w:firstLineChars="200"/>
        <w:rPr>
          <w:rFonts w:hint="eastAsia" w:hAnsi="宋体" w:cs="宋体"/>
          <w:bCs/>
          <w:color w:val="auto"/>
          <w:sz w:val="24"/>
          <w:szCs w:val="24"/>
          <w:highlight w:val="none"/>
          <w:u w:val="single"/>
        </w:rPr>
      </w:pPr>
      <w:r>
        <w:rPr>
          <w:rFonts w:hint="eastAsia" w:hAnsi="宋体" w:cs="宋体"/>
          <w:bCs/>
          <w:color w:val="auto"/>
          <w:sz w:val="24"/>
          <w:szCs w:val="24"/>
          <w:highlight w:val="none"/>
        </w:rPr>
        <w:t>地址：</w:t>
      </w:r>
      <w:r>
        <w:rPr>
          <w:rFonts w:hint="eastAsia" w:hAnsi="宋体" w:cs="宋体"/>
          <w:bCs/>
          <w:color w:val="auto"/>
          <w:sz w:val="24"/>
          <w:szCs w:val="24"/>
          <w:highlight w:val="none"/>
          <w:u w:val="single"/>
        </w:rPr>
        <w:t xml:space="preserve">                                                            </w:t>
      </w:r>
    </w:p>
    <w:p w14:paraId="6CFC5885">
      <w:pPr>
        <w:pStyle w:val="15"/>
        <w:snapToGrid w:val="0"/>
        <w:spacing w:line="360" w:lineRule="auto"/>
        <w:ind w:firstLine="480" w:firstLineChars="200"/>
        <w:rPr>
          <w:rFonts w:hint="eastAsia" w:hAnsi="宋体" w:cs="宋体"/>
          <w:bCs/>
          <w:color w:val="auto"/>
          <w:sz w:val="24"/>
          <w:szCs w:val="24"/>
          <w:highlight w:val="none"/>
        </w:rPr>
      </w:pPr>
      <w:r>
        <w:rPr>
          <w:rFonts w:hint="eastAsia" w:hAnsi="宋体" w:cs="宋体"/>
          <w:bCs/>
          <w:color w:val="auto"/>
          <w:sz w:val="24"/>
          <w:szCs w:val="24"/>
          <w:highlight w:val="none"/>
        </w:rPr>
        <w:t>邮编：</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49FF1166">
      <w:pPr>
        <w:pStyle w:val="15"/>
        <w:snapToGrid w:val="0"/>
        <w:spacing w:line="360" w:lineRule="auto"/>
        <w:ind w:firstLine="480" w:firstLineChars="200"/>
        <w:rPr>
          <w:rFonts w:hint="eastAsia" w:hAnsi="宋体" w:cs="宋体"/>
          <w:bCs/>
          <w:color w:val="auto"/>
          <w:sz w:val="24"/>
          <w:szCs w:val="24"/>
          <w:highlight w:val="none"/>
          <w:u w:val="single"/>
        </w:rPr>
      </w:pPr>
      <w:r>
        <w:rPr>
          <w:rFonts w:hint="eastAsia" w:hAnsi="宋体" w:cs="宋体"/>
          <w:bCs/>
          <w:color w:val="auto"/>
          <w:sz w:val="24"/>
          <w:szCs w:val="24"/>
          <w:highlight w:val="none"/>
        </w:rPr>
        <w:t>联系人：</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联系电话：</w:t>
      </w:r>
      <w:r>
        <w:rPr>
          <w:rFonts w:hint="eastAsia" w:hAnsi="宋体" w:cs="宋体"/>
          <w:bCs/>
          <w:color w:val="auto"/>
          <w:sz w:val="24"/>
          <w:szCs w:val="24"/>
          <w:highlight w:val="none"/>
          <w:u w:val="single"/>
        </w:rPr>
        <w:t xml:space="preserve">          </w:t>
      </w:r>
    </w:p>
    <w:p w14:paraId="380B43ED">
      <w:pPr>
        <w:pStyle w:val="15"/>
        <w:snapToGrid w:val="0"/>
        <w:spacing w:line="360" w:lineRule="auto"/>
        <w:ind w:firstLine="480" w:firstLineChars="200"/>
        <w:rPr>
          <w:rFonts w:hint="eastAsia" w:hAnsi="宋体" w:cs="宋体"/>
          <w:bCs/>
          <w:color w:val="auto"/>
          <w:sz w:val="24"/>
          <w:szCs w:val="24"/>
          <w:highlight w:val="none"/>
        </w:rPr>
      </w:pPr>
      <w:r>
        <w:rPr>
          <w:rFonts w:hint="eastAsia" w:hAnsi="宋体" w:cs="宋体"/>
          <w:bCs/>
          <w:color w:val="auto"/>
          <w:sz w:val="24"/>
          <w:szCs w:val="24"/>
          <w:highlight w:val="none"/>
        </w:rPr>
        <w:t>被投诉人2：</w:t>
      </w:r>
    </w:p>
    <w:p w14:paraId="08C31598">
      <w:pPr>
        <w:pStyle w:val="15"/>
        <w:snapToGrid w:val="0"/>
        <w:spacing w:line="360" w:lineRule="auto"/>
        <w:ind w:firstLine="480" w:firstLineChars="200"/>
        <w:rPr>
          <w:rFonts w:hint="eastAsia" w:hAnsi="宋体" w:cs="宋体"/>
          <w:bCs/>
          <w:color w:val="auto"/>
          <w:sz w:val="24"/>
          <w:szCs w:val="24"/>
          <w:highlight w:val="none"/>
        </w:rPr>
      </w:pPr>
      <w:r>
        <w:rPr>
          <w:rFonts w:hint="eastAsia" w:hAnsi="宋体" w:cs="宋体"/>
          <w:bCs/>
          <w:color w:val="auto"/>
          <w:sz w:val="24"/>
          <w:szCs w:val="24"/>
          <w:highlight w:val="none"/>
        </w:rPr>
        <w:t>……</w:t>
      </w:r>
    </w:p>
    <w:p w14:paraId="5E05C8E7">
      <w:pPr>
        <w:pStyle w:val="15"/>
        <w:snapToGrid w:val="0"/>
        <w:spacing w:line="360" w:lineRule="auto"/>
        <w:ind w:firstLine="480" w:firstLineChars="200"/>
        <w:rPr>
          <w:rFonts w:hint="eastAsia" w:hAnsi="宋体" w:cs="宋体"/>
          <w:bCs/>
          <w:color w:val="auto"/>
          <w:sz w:val="24"/>
          <w:szCs w:val="24"/>
          <w:highlight w:val="none"/>
          <w:u w:val="single"/>
        </w:rPr>
      </w:pPr>
      <w:r>
        <w:rPr>
          <w:rFonts w:hint="eastAsia" w:hAnsi="宋体" w:cs="宋体"/>
          <w:bCs/>
          <w:color w:val="auto"/>
          <w:sz w:val="24"/>
          <w:szCs w:val="24"/>
          <w:highlight w:val="none"/>
        </w:rPr>
        <w:t>相关供应商：</w:t>
      </w:r>
      <w:r>
        <w:rPr>
          <w:rFonts w:hint="eastAsia" w:hAnsi="宋体" w:cs="宋体"/>
          <w:bCs/>
          <w:color w:val="auto"/>
          <w:sz w:val="24"/>
          <w:szCs w:val="24"/>
          <w:highlight w:val="none"/>
          <w:u w:val="single"/>
        </w:rPr>
        <w:t xml:space="preserve">                                                         </w:t>
      </w:r>
    </w:p>
    <w:p w14:paraId="4D686563">
      <w:pPr>
        <w:pStyle w:val="15"/>
        <w:snapToGrid w:val="0"/>
        <w:spacing w:line="360" w:lineRule="auto"/>
        <w:ind w:firstLine="480" w:firstLineChars="200"/>
        <w:rPr>
          <w:rFonts w:hint="eastAsia" w:hAnsi="宋体" w:cs="宋体"/>
          <w:bCs/>
          <w:color w:val="auto"/>
          <w:sz w:val="24"/>
          <w:szCs w:val="24"/>
          <w:highlight w:val="none"/>
          <w:u w:val="single"/>
        </w:rPr>
      </w:pPr>
      <w:r>
        <w:rPr>
          <w:rFonts w:hint="eastAsia" w:hAnsi="宋体" w:cs="宋体"/>
          <w:bCs/>
          <w:color w:val="auto"/>
          <w:sz w:val="24"/>
          <w:szCs w:val="24"/>
          <w:highlight w:val="none"/>
        </w:rPr>
        <w:t>地址：</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邮编：</w:t>
      </w:r>
      <w:r>
        <w:rPr>
          <w:rFonts w:hint="eastAsia" w:hAnsi="宋体" w:cs="宋体"/>
          <w:bCs/>
          <w:color w:val="auto"/>
          <w:sz w:val="24"/>
          <w:szCs w:val="24"/>
          <w:highlight w:val="none"/>
          <w:u w:val="single"/>
        </w:rPr>
        <w:t xml:space="preserve">              </w:t>
      </w:r>
    </w:p>
    <w:p w14:paraId="2F5E5196">
      <w:pPr>
        <w:pStyle w:val="15"/>
        <w:snapToGrid w:val="0"/>
        <w:spacing w:line="360" w:lineRule="auto"/>
        <w:ind w:firstLine="480" w:firstLineChars="200"/>
        <w:rPr>
          <w:rFonts w:hint="eastAsia" w:hAnsi="宋体" w:cs="宋体"/>
          <w:bCs/>
          <w:color w:val="auto"/>
          <w:sz w:val="24"/>
          <w:szCs w:val="24"/>
          <w:highlight w:val="none"/>
        </w:rPr>
      </w:pPr>
      <w:r>
        <w:rPr>
          <w:rFonts w:hint="eastAsia" w:hAnsi="宋体" w:cs="宋体"/>
          <w:bCs/>
          <w:color w:val="auto"/>
          <w:sz w:val="24"/>
          <w:szCs w:val="24"/>
          <w:highlight w:val="none"/>
        </w:rPr>
        <w:t>联系人：</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联系电话：</w:t>
      </w:r>
      <w:r>
        <w:rPr>
          <w:rFonts w:hint="eastAsia" w:hAnsi="宋体" w:cs="宋体"/>
          <w:bCs/>
          <w:color w:val="auto"/>
          <w:sz w:val="24"/>
          <w:szCs w:val="24"/>
          <w:highlight w:val="none"/>
          <w:u w:val="single"/>
        </w:rPr>
        <w:t xml:space="preserve">          </w:t>
      </w:r>
    </w:p>
    <w:p w14:paraId="51575D8C">
      <w:pPr>
        <w:pStyle w:val="15"/>
        <w:snapToGrid w:val="0"/>
        <w:spacing w:line="360" w:lineRule="auto"/>
        <w:ind w:firstLine="482" w:firstLineChars="200"/>
        <w:rPr>
          <w:rFonts w:hint="eastAsia" w:hAnsi="宋体" w:cs="宋体"/>
          <w:b/>
          <w:bCs/>
          <w:color w:val="auto"/>
          <w:sz w:val="24"/>
          <w:szCs w:val="24"/>
          <w:highlight w:val="none"/>
        </w:rPr>
      </w:pPr>
      <w:r>
        <w:rPr>
          <w:rFonts w:hint="eastAsia" w:hAnsi="宋体" w:cs="宋体"/>
          <w:b/>
          <w:bCs/>
          <w:color w:val="auto"/>
          <w:sz w:val="24"/>
          <w:szCs w:val="24"/>
          <w:highlight w:val="none"/>
        </w:rPr>
        <w:t>二、投诉项目基本情况：</w:t>
      </w:r>
    </w:p>
    <w:p w14:paraId="5BAA4498">
      <w:pPr>
        <w:pStyle w:val="15"/>
        <w:spacing w:line="360" w:lineRule="auto"/>
        <w:ind w:left="25" w:leftChars="12" w:firstLine="472" w:firstLineChars="197"/>
        <w:rPr>
          <w:rFonts w:hint="eastAsia" w:hAnsi="宋体" w:cs="宋体"/>
          <w:color w:val="auto"/>
          <w:sz w:val="24"/>
          <w:szCs w:val="24"/>
          <w:highlight w:val="none"/>
        </w:rPr>
      </w:pPr>
      <w:r>
        <w:rPr>
          <w:rFonts w:hint="eastAsia" w:hAnsi="宋体" w:cs="宋体"/>
          <w:bCs/>
          <w:color w:val="auto"/>
          <w:sz w:val="24"/>
          <w:szCs w:val="24"/>
          <w:highlight w:val="none"/>
        </w:rPr>
        <w:t>采购</w:t>
      </w:r>
      <w:r>
        <w:rPr>
          <w:rFonts w:hint="eastAsia" w:hAnsi="宋体" w:cs="宋体"/>
          <w:color w:val="auto"/>
          <w:sz w:val="24"/>
          <w:szCs w:val="24"/>
          <w:highlight w:val="none"/>
        </w:rPr>
        <w:t>项目的名称：</w:t>
      </w:r>
      <w:r>
        <w:rPr>
          <w:rFonts w:hint="eastAsia" w:hAnsi="宋体" w:cs="宋体"/>
          <w:bCs/>
          <w:color w:val="auto"/>
          <w:sz w:val="24"/>
          <w:szCs w:val="24"/>
          <w:highlight w:val="none"/>
          <w:u w:val="single"/>
        </w:rPr>
        <w:t xml:space="preserve">                                        </w:t>
      </w:r>
    </w:p>
    <w:p w14:paraId="3BF8B889">
      <w:pPr>
        <w:pStyle w:val="15"/>
        <w:spacing w:line="360" w:lineRule="auto"/>
        <w:ind w:left="25" w:leftChars="12" w:firstLine="472" w:firstLineChars="197"/>
        <w:rPr>
          <w:rFonts w:hint="eastAsia" w:hAnsi="宋体" w:cs="宋体"/>
          <w:color w:val="auto"/>
          <w:sz w:val="24"/>
          <w:szCs w:val="24"/>
          <w:highlight w:val="none"/>
        </w:rPr>
      </w:pPr>
      <w:r>
        <w:rPr>
          <w:rFonts w:hint="eastAsia" w:hAnsi="宋体" w:cs="宋体"/>
          <w:bCs/>
          <w:color w:val="auto"/>
          <w:sz w:val="24"/>
          <w:szCs w:val="24"/>
          <w:highlight w:val="none"/>
        </w:rPr>
        <w:t>采购</w:t>
      </w:r>
      <w:r>
        <w:rPr>
          <w:rFonts w:hint="eastAsia" w:hAnsi="宋体" w:cs="宋体"/>
          <w:color w:val="auto"/>
          <w:sz w:val="24"/>
          <w:szCs w:val="24"/>
          <w:highlight w:val="none"/>
        </w:rPr>
        <w:t>项目的编号：</w:t>
      </w:r>
      <w:r>
        <w:rPr>
          <w:rFonts w:hint="eastAsia" w:hAnsi="宋体" w:cs="宋体"/>
          <w:bCs/>
          <w:color w:val="auto"/>
          <w:sz w:val="24"/>
          <w:szCs w:val="24"/>
          <w:highlight w:val="none"/>
          <w:u w:val="single"/>
        </w:rPr>
        <w:t xml:space="preserve">                                        </w:t>
      </w:r>
    </w:p>
    <w:p w14:paraId="0B9E38F9">
      <w:pPr>
        <w:pStyle w:val="15"/>
        <w:spacing w:line="360" w:lineRule="auto"/>
        <w:ind w:left="25" w:leftChars="12" w:firstLine="472" w:firstLineChars="197"/>
        <w:rPr>
          <w:rFonts w:hint="eastAsia" w:hAnsi="宋体" w:cs="宋体"/>
          <w:bCs/>
          <w:color w:val="auto"/>
          <w:sz w:val="24"/>
          <w:szCs w:val="24"/>
          <w:highlight w:val="none"/>
          <w:u w:val="single"/>
        </w:rPr>
      </w:pPr>
      <w:r>
        <w:rPr>
          <w:rFonts w:hint="eastAsia" w:hAnsi="宋体" w:cs="宋体"/>
          <w:color w:val="auto"/>
          <w:sz w:val="24"/>
          <w:szCs w:val="24"/>
          <w:highlight w:val="none"/>
        </w:rPr>
        <w:t>采购人名称：</w:t>
      </w:r>
      <w:r>
        <w:rPr>
          <w:rFonts w:hint="eastAsia" w:hAnsi="宋体" w:cs="宋体"/>
          <w:bCs/>
          <w:color w:val="auto"/>
          <w:sz w:val="24"/>
          <w:szCs w:val="24"/>
          <w:highlight w:val="none"/>
          <w:u w:val="single"/>
        </w:rPr>
        <w:t xml:space="preserve">                                            </w:t>
      </w:r>
    </w:p>
    <w:p w14:paraId="290415EB">
      <w:pPr>
        <w:pStyle w:val="15"/>
        <w:spacing w:line="360" w:lineRule="auto"/>
        <w:ind w:left="25" w:leftChars="12" w:firstLine="472" w:firstLineChars="197"/>
        <w:rPr>
          <w:rFonts w:hint="eastAsia" w:hAnsi="宋体" w:cs="宋体"/>
          <w:bCs/>
          <w:color w:val="auto"/>
          <w:sz w:val="24"/>
          <w:szCs w:val="24"/>
          <w:highlight w:val="none"/>
          <w:u w:val="single"/>
        </w:rPr>
      </w:pPr>
      <w:r>
        <w:rPr>
          <w:rFonts w:hint="eastAsia" w:hAnsi="宋体" w:cs="宋体"/>
          <w:color w:val="auto"/>
          <w:sz w:val="24"/>
          <w:szCs w:val="24"/>
          <w:highlight w:val="none"/>
        </w:rPr>
        <w:t>代理机构名称：</w:t>
      </w:r>
      <w:r>
        <w:rPr>
          <w:rFonts w:hint="eastAsia" w:hAnsi="宋体" w:cs="宋体"/>
          <w:bCs/>
          <w:color w:val="auto"/>
          <w:sz w:val="24"/>
          <w:szCs w:val="24"/>
          <w:highlight w:val="none"/>
          <w:u w:val="single"/>
        </w:rPr>
        <w:t xml:space="preserve">                                          </w:t>
      </w:r>
    </w:p>
    <w:p w14:paraId="2CE6B4D9">
      <w:pPr>
        <w:pStyle w:val="15"/>
        <w:spacing w:line="360" w:lineRule="auto"/>
        <w:ind w:left="25" w:leftChars="12" w:firstLine="472" w:firstLineChars="197"/>
        <w:rPr>
          <w:rFonts w:hint="eastAsia" w:hAnsi="宋体" w:cs="宋体"/>
          <w:bCs/>
          <w:color w:val="auto"/>
          <w:sz w:val="24"/>
          <w:szCs w:val="24"/>
          <w:highlight w:val="none"/>
          <w:u w:val="single"/>
        </w:rPr>
      </w:pPr>
      <w:r>
        <w:rPr>
          <w:rFonts w:hint="eastAsia" w:hAnsi="宋体" w:cs="宋体"/>
          <w:bCs/>
          <w:color w:val="auto"/>
          <w:sz w:val="24"/>
          <w:szCs w:val="24"/>
          <w:highlight w:val="none"/>
        </w:rPr>
        <w:t>招标文件公告：</w:t>
      </w:r>
      <w:r>
        <w:rPr>
          <w:rFonts w:hint="eastAsia" w:hAnsi="宋体" w:cs="宋体"/>
          <w:bCs/>
          <w:color w:val="auto"/>
          <w:sz w:val="24"/>
          <w:szCs w:val="24"/>
          <w:highlight w:val="none"/>
          <w:u w:val="single"/>
        </w:rPr>
        <w:t>是/否</w:t>
      </w:r>
      <w:r>
        <w:rPr>
          <w:rFonts w:hint="eastAsia" w:hAnsi="宋体" w:cs="宋体"/>
          <w:bCs/>
          <w:color w:val="auto"/>
          <w:sz w:val="24"/>
          <w:szCs w:val="24"/>
          <w:highlight w:val="none"/>
        </w:rPr>
        <w:t>公告期限：</w:t>
      </w:r>
      <w:r>
        <w:rPr>
          <w:rFonts w:hint="eastAsia" w:hAnsi="宋体" w:cs="宋体"/>
          <w:bCs/>
          <w:color w:val="auto"/>
          <w:sz w:val="24"/>
          <w:szCs w:val="24"/>
          <w:highlight w:val="none"/>
          <w:u w:val="single"/>
        </w:rPr>
        <w:t xml:space="preserve">                                        </w:t>
      </w:r>
    </w:p>
    <w:p w14:paraId="1A95C04D">
      <w:pPr>
        <w:pStyle w:val="15"/>
        <w:spacing w:line="360" w:lineRule="auto"/>
        <w:ind w:left="25" w:leftChars="12" w:firstLine="472" w:firstLineChars="197"/>
        <w:rPr>
          <w:rFonts w:hint="eastAsia" w:hAnsi="宋体" w:cs="宋体"/>
          <w:b/>
          <w:color w:val="auto"/>
          <w:sz w:val="24"/>
          <w:szCs w:val="24"/>
          <w:highlight w:val="none"/>
        </w:rPr>
      </w:pPr>
      <w:r>
        <w:rPr>
          <w:rFonts w:hint="eastAsia" w:hAnsi="宋体" w:cs="宋体"/>
          <w:bCs/>
          <w:color w:val="auto"/>
          <w:sz w:val="24"/>
          <w:szCs w:val="24"/>
          <w:highlight w:val="none"/>
        </w:rPr>
        <w:t>采购结果公告：</w:t>
      </w:r>
      <w:r>
        <w:rPr>
          <w:rFonts w:hint="eastAsia" w:hAnsi="宋体" w:cs="宋体"/>
          <w:bCs/>
          <w:color w:val="auto"/>
          <w:sz w:val="24"/>
          <w:szCs w:val="24"/>
          <w:highlight w:val="none"/>
          <w:u w:val="single"/>
        </w:rPr>
        <w:t>是/否</w:t>
      </w:r>
      <w:r>
        <w:rPr>
          <w:rFonts w:hint="eastAsia" w:hAnsi="宋体" w:cs="宋体"/>
          <w:bCs/>
          <w:color w:val="auto"/>
          <w:sz w:val="24"/>
          <w:szCs w:val="24"/>
          <w:highlight w:val="none"/>
        </w:rPr>
        <w:t>公告期限：</w:t>
      </w:r>
      <w:r>
        <w:rPr>
          <w:rFonts w:hint="eastAsia" w:hAnsi="宋体" w:cs="宋体"/>
          <w:bCs/>
          <w:color w:val="auto"/>
          <w:sz w:val="24"/>
          <w:szCs w:val="24"/>
          <w:highlight w:val="none"/>
          <w:u w:val="single"/>
        </w:rPr>
        <w:t xml:space="preserve">                                        </w:t>
      </w:r>
    </w:p>
    <w:p w14:paraId="029191A1">
      <w:pPr>
        <w:pStyle w:val="15"/>
        <w:spacing w:line="360" w:lineRule="auto"/>
        <w:ind w:left="25" w:leftChars="12" w:firstLine="472" w:firstLineChars="196"/>
        <w:rPr>
          <w:rFonts w:hint="eastAsia" w:hAnsi="宋体" w:cs="宋体"/>
          <w:b/>
          <w:color w:val="auto"/>
          <w:sz w:val="24"/>
          <w:szCs w:val="24"/>
          <w:highlight w:val="none"/>
        </w:rPr>
      </w:pPr>
      <w:r>
        <w:rPr>
          <w:rFonts w:hint="eastAsia" w:hAnsi="宋体" w:cs="宋体"/>
          <w:b/>
          <w:color w:val="auto"/>
          <w:sz w:val="24"/>
          <w:szCs w:val="24"/>
          <w:highlight w:val="none"/>
        </w:rPr>
        <w:t>三、质疑基本情况</w:t>
      </w:r>
    </w:p>
    <w:p w14:paraId="22AEEB22">
      <w:pPr>
        <w:pStyle w:val="15"/>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投诉人于</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年</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月</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日，向</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提出质疑，质疑事项为：</w:t>
      </w:r>
    </w:p>
    <w:p w14:paraId="180F8123">
      <w:pPr>
        <w:pStyle w:val="15"/>
        <w:spacing w:line="360" w:lineRule="auto"/>
        <w:ind w:firstLine="241"/>
        <w:rPr>
          <w:rFonts w:hint="eastAsia" w:hAnsi="宋体" w:cs="宋体"/>
          <w:bCs/>
          <w:color w:val="auto"/>
          <w:sz w:val="24"/>
          <w:szCs w:val="24"/>
          <w:highlight w:val="none"/>
          <w:u w:val="single"/>
        </w:rPr>
      </w:pPr>
      <w:r>
        <w:rPr>
          <w:rFonts w:hint="eastAsia" w:hAnsi="宋体" w:cs="宋体"/>
          <w:color w:val="auto"/>
          <w:sz w:val="24"/>
          <w:szCs w:val="24"/>
          <w:highlight w:val="none"/>
        </w:rPr>
        <w:t xml:space="preserve">    </w:t>
      </w:r>
      <w:r>
        <w:rPr>
          <w:rFonts w:hint="eastAsia" w:hAnsi="宋体" w:cs="宋体"/>
          <w:bCs/>
          <w:color w:val="auto"/>
          <w:sz w:val="24"/>
          <w:szCs w:val="24"/>
          <w:highlight w:val="none"/>
          <w:u w:val="single"/>
        </w:rPr>
        <w:t xml:space="preserve">                                                                   </w:t>
      </w:r>
    </w:p>
    <w:p w14:paraId="18328EB3">
      <w:pPr>
        <w:pStyle w:val="15"/>
        <w:spacing w:line="360" w:lineRule="auto"/>
        <w:ind w:firstLine="480" w:firstLineChars="200"/>
        <w:rPr>
          <w:rFonts w:hint="eastAsia" w:hAnsi="宋体" w:cs="宋体"/>
          <w:color w:val="auto"/>
          <w:sz w:val="24"/>
          <w:szCs w:val="24"/>
          <w:highlight w:val="none"/>
        </w:rPr>
      </w:pPr>
      <w:r>
        <w:rPr>
          <w:rFonts w:hint="eastAsia" w:hAnsi="宋体" w:cs="宋体"/>
          <w:bCs/>
          <w:color w:val="auto"/>
          <w:sz w:val="24"/>
          <w:szCs w:val="24"/>
          <w:highlight w:val="none"/>
          <w:u w:val="single"/>
        </w:rPr>
        <w:t>采购人/代理机构</w:t>
      </w:r>
      <w:r>
        <w:rPr>
          <w:rFonts w:hint="eastAsia" w:hAnsi="宋体" w:cs="宋体"/>
          <w:bCs/>
          <w:color w:val="auto"/>
          <w:sz w:val="24"/>
          <w:szCs w:val="24"/>
          <w:highlight w:val="none"/>
        </w:rPr>
        <w:t>于</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年</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月</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日，</w:t>
      </w:r>
      <w:r>
        <w:rPr>
          <w:rFonts w:hint="eastAsia" w:hAnsi="宋体" w:cs="宋体"/>
          <w:bCs/>
          <w:color w:val="auto"/>
          <w:sz w:val="24"/>
          <w:szCs w:val="24"/>
          <w:highlight w:val="none"/>
        </w:rPr>
        <w:t>就质疑事项作出了答复/没有在法定期限内作出答复。</w:t>
      </w:r>
    </w:p>
    <w:p w14:paraId="0060CD27">
      <w:pPr>
        <w:pStyle w:val="15"/>
        <w:spacing w:line="360" w:lineRule="auto"/>
        <w:ind w:left="25" w:leftChars="12" w:firstLine="472" w:firstLineChars="196"/>
        <w:rPr>
          <w:rFonts w:hint="eastAsia" w:hAnsi="宋体" w:cs="宋体"/>
          <w:b/>
          <w:color w:val="auto"/>
          <w:sz w:val="24"/>
          <w:szCs w:val="24"/>
          <w:highlight w:val="none"/>
        </w:rPr>
      </w:pPr>
      <w:r>
        <w:rPr>
          <w:rFonts w:hint="eastAsia" w:hAnsi="宋体" w:cs="宋体"/>
          <w:b/>
          <w:color w:val="auto"/>
          <w:sz w:val="24"/>
          <w:szCs w:val="24"/>
          <w:highlight w:val="none"/>
        </w:rPr>
        <w:t>四、投诉事项具体内容</w:t>
      </w:r>
    </w:p>
    <w:p w14:paraId="055864B4">
      <w:pPr>
        <w:pStyle w:val="15"/>
        <w:spacing w:line="360" w:lineRule="auto"/>
        <w:ind w:left="25" w:leftChars="12" w:firstLine="472" w:firstLineChars="197"/>
        <w:rPr>
          <w:rFonts w:hint="eastAsia" w:hAnsi="宋体" w:cs="宋体"/>
          <w:bCs/>
          <w:color w:val="auto"/>
          <w:sz w:val="24"/>
          <w:szCs w:val="24"/>
          <w:highlight w:val="none"/>
          <w:u w:val="single"/>
        </w:rPr>
      </w:pPr>
      <w:r>
        <w:rPr>
          <w:rFonts w:hint="eastAsia" w:hAnsi="宋体" w:cs="宋体"/>
          <w:color w:val="auto"/>
          <w:sz w:val="24"/>
          <w:szCs w:val="24"/>
          <w:highlight w:val="none"/>
        </w:rPr>
        <w:t>投诉事项1：</w:t>
      </w:r>
      <w:r>
        <w:rPr>
          <w:rFonts w:hint="eastAsia" w:hAnsi="宋体" w:cs="宋体"/>
          <w:bCs/>
          <w:color w:val="auto"/>
          <w:sz w:val="24"/>
          <w:szCs w:val="24"/>
          <w:highlight w:val="none"/>
          <w:u w:val="single"/>
        </w:rPr>
        <w:t xml:space="preserve">                                                         </w:t>
      </w:r>
    </w:p>
    <w:p w14:paraId="6DF10A96">
      <w:pPr>
        <w:pStyle w:val="15"/>
        <w:spacing w:line="360" w:lineRule="auto"/>
        <w:ind w:firstLine="480" w:firstLineChars="200"/>
        <w:rPr>
          <w:rFonts w:hint="eastAsia" w:hAnsi="宋体" w:cs="宋体"/>
          <w:bCs/>
          <w:color w:val="auto"/>
          <w:sz w:val="24"/>
          <w:szCs w:val="24"/>
          <w:highlight w:val="none"/>
          <w:u w:val="single"/>
        </w:rPr>
      </w:pPr>
      <w:r>
        <w:rPr>
          <w:rFonts w:hint="eastAsia" w:hAnsi="宋体" w:cs="宋体"/>
          <w:bCs/>
          <w:color w:val="auto"/>
          <w:sz w:val="24"/>
          <w:szCs w:val="24"/>
          <w:highlight w:val="none"/>
        </w:rPr>
        <w:t>事实依据：</w:t>
      </w:r>
      <w:r>
        <w:rPr>
          <w:rFonts w:hint="eastAsia" w:hAnsi="宋体" w:cs="宋体"/>
          <w:color w:val="auto"/>
          <w:sz w:val="24"/>
          <w:szCs w:val="24"/>
          <w:highlight w:val="none"/>
        </w:rPr>
        <w:t xml:space="preserve"> </w:t>
      </w:r>
      <w:r>
        <w:rPr>
          <w:rFonts w:hint="eastAsia" w:hAnsi="宋体" w:cs="宋体"/>
          <w:bCs/>
          <w:color w:val="auto"/>
          <w:sz w:val="24"/>
          <w:szCs w:val="24"/>
          <w:highlight w:val="none"/>
          <w:u w:val="single"/>
        </w:rPr>
        <w:t xml:space="preserve">                                                          </w:t>
      </w:r>
    </w:p>
    <w:p w14:paraId="09407B84">
      <w:pPr>
        <w:pStyle w:val="15"/>
        <w:spacing w:line="360" w:lineRule="auto"/>
        <w:ind w:left="25" w:leftChars="12" w:firstLine="472" w:firstLineChars="197"/>
        <w:rPr>
          <w:rFonts w:hint="eastAsia" w:hAnsi="宋体" w:cs="宋体"/>
          <w:color w:val="auto"/>
          <w:sz w:val="24"/>
          <w:szCs w:val="24"/>
          <w:highlight w:val="none"/>
        </w:rPr>
      </w:pPr>
      <w:r>
        <w:rPr>
          <w:rFonts w:hint="eastAsia" w:hAnsi="宋体" w:cs="宋体"/>
          <w:bCs/>
          <w:color w:val="auto"/>
          <w:sz w:val="24"/>
          <w:szCs w:val="24"/>
          <w:highlight w:val="none"/>
          <w:u w:val="single"/>
        </w:rPr>
        <w:t xml:space="preserve">                                                                     </w:t>
      </w:r>
    </w:p>
    <w:p w14:paraId="5F64BD51">
      <w:pPr>
        <w:pStyle w:val="15"/>
        <w:spacing w:line="360" w:lineRule="auto"/>
        <w:ind w:firstLine="480" w:firstLineChars="200"/>
        <w:rPr>
          <w:rFonts w:hint="eastAsia" w:hAnsi="宋体" w:cs="宋体"/>
          <w:bCs/>
          <w:color w:val="auto"/>
          <w:sz w:val="24"/>
          <w:szCs w:val="24"/>
          <w:highlight w:val="none"/>
          <w:u w:val="single"/>
        </w:rPr>
      </w:pPr>
      <w:r>
        <w:rPr>
          <w:rFonts w:hint="eastAsia" w:hAnsi="宋体" w:cs="宋体"/>
          <w:bCs/>
          <w:color w:val="auto"/>
          <w:sz w:val="24"/>
          <w:szCs w:val="24"/>
          <w:highlight w:val="none"/>
        </w:rPr>
        <w:t>法律依据：</w:t>
      </w:r>
      <w:r>
        <w:rPr>
          <w:rFonts w:hint="eastAsia" w:hAnsi="宋体" w:cs="宋体"/>
          <w:color w:val="auto"/>
          <w:sz w:val="24"/>
          <w:szCs w:val="24"/>
          <w:highlight w:val="none"/>
        </w:rPr>
        <w:t xml:space="preserve"> </w:t>
      </w:r>
      <w:r>
        <w:rPr>
          <w:rFonts w:hint="eastAsia" w:hAnsi="宋体" w:cs="宋体"/>
          <w:bCs/>
          <w:color w:val="auto"/>
          <w:sz w:val="24"/>
          <w:szCs w:val="24"/>
          <w:highlight w:val="none"/>
          <w:u w:val="single"/>
        </w:rPr>
        <w:t xml:space="preserve">                                                          </w:t>
      </w:r>
    </w:p>
    <w:p w14:paraId="1A1465D8">
      <w:pPr>
        <w:pStyle w:val="15"/>
        <w:spacing w:line="360" w:lineRule="auto"/>
        <w:ind w:left="25" w:leftChars="12" w:firstLine="352" w:firstLineChars="147"/>
        <w:rPr>
          <w:rFonts w:hint="eastAsia" w:hAnsi="宋体" w:cs="宋体"/>
          <w:bCs/>
          <w:color w:val="auto"/>
          <w:sz w:val="24"/>
          <w:szCs w:val="24"/>
          <w:highlight w:val="none"/>
          <w:u w:val="single"/>
        </w:rPr>
      </w:pPr>
      <w:r>
        <w:rPr>
          <w:rFonts w:hint="eastAsia" w:hAnsi="宋体" w:cs="宋体"/>
          <w:bCs/>
          <w:color w:val="auto"/>
          <w:sz w:val="24"/>
          <w:szCs w:val="24"/>
          <w:highlight w:val="none"/>
        </w:rPr>
        <w:t xml:space="preserve"> </w:t>
      </w:r>
      <w:r>
        <w:rPr>
          <w:rFonts w:hint="eastAsia" w:hAnsi="宋体" w:cs="宋体"/>
          <w:bCs/>
          <w:color w:val="auto"/>
          <w:sz w:val="24"/>
          <w:szCs w:val="24"/>
          <w:highlight w:val="none"/>
          <w:u w:val="single"/>
        </w:rPr>
        <w:t xml:space="preserve">                                                                     </w:t>
      </w:r>
    </w:p>
    <w:p w14:paraId="2119AEE8">
      <w:pPr>
        <w:pStyle w:val="15"/>
        <w:spacing w:line="360" w:lineRule="auto"/>
        <w:ind w:left="25" w:leftChars="12" w:firstLine="472" w:firstLineChars="197"/>
        <w:rPr>
          <w:rFonts w:hint="eastAsia" w:hAnsi="宋体" w:cs="宋体"/>
          <w:bCs/>
          <w:color w:val="auto"/>
          <w:sz w:val="24"/>
          <w:szCs w:val="24"/>
          <w:highlight w:val="none"/>
        </w:rPr>
      </w:pPr>
      <w:r>
        <w:rPr>
          <w:rFonts w:hint="eastAsia" w:hAnsi="宋体" w:cs="宋体"/>
          <w:color w:val="auto"/>
          <w:sz w:val="24"/>
          <w:szCs w:val="24"/>
          <w:highlight w:val="none"/>
        </w:rPr>
        <w:t xml:space="preserve">投诉事项2  </w:t>
      </w:r>
      <w:r>
        <w:rPr>
          <w:rFonts w:hint="eastAsia" w:hAnsi="宋体" w:cs="宋体"/>
          <w:bCs/>
          <w:color w:val="auto"/>
          <w:sz w:val="24"/>
          <w:szCs w:val="24"/>
          <w:highlight w:val="none"/>
        </w:rPr>
        <w:t xml:space="preserve">   </w:t>
      </w:r>
    </w:p>
    <w:p w14:paraId="3965EB0A">
      <w:pPr>
        <w:pStyle w:val="15"/>
        <w:spacing w:line="360" w:lineRule="auto"/>
        <w:ind w:left="25" w:leftChars="12" w:firstLine="472" w:firstLineChars="197"/>
        <w:rPr>
          <w:rFonts w:hint="eastAsia" w:hAnsi="宋体" w:cs="宋体"/>
          <w:bCs/>
          <w:color w:val="auto"/>
          <w:sz w:val="24"/>
          <w:szCs w:val="24"/>
          <w:highlight w:val="none"/>
        </w:rPr>
      </w:pPr>
      <w:r>
        <w:rPr>
          <w:rFonts w:hint="eastAsia" w:hAnsi="宋体" w:cs="宋体"/>
          <w:bCs/>
          <w:color w:val="auto"/>
          <w:sz w:val="24"/>
          <w:szCs w:val="24"/>
          <w:highlight w:val="none"/>
        </w:rPr>
        <w:t>……</w:t>
      </w:r>
    </w:p>
    <w:p w14:paraId="083CDA67">
      <w:pPr>
        <w:pStyle w:val="15"/>
        <w:spacing w:line="360" w:lineRule="auto"/>
        <w:ind w:left="25" w:leftChars="12" w:firstLine="472" w:firstLineChars="196"/>
        <w:rPr>
          <w:rFonts w:hint="eastAsia" w:hAnsi="宋体" w:cs="宋体"/>
          <w:b/>
          <w:color w:val="auto"/>
          <w:sz w:val="24"/>
          <w:szCs w:val="24"/>
          <w:highlight w:val="none"/>
        </w:rPr>
      </w:pPr>
      <w:r>
        <w:rPr>
          <w:rFonts w:hint="eastAsia" w:hAnsi="宋体" w:cs="宋体"/>
          <w:b/>
          <w:color w:val="auto"/>
          <w:sz w:val="24"/>
          <w:szCs w:val="24"/>
          <w:highlight w:val="none"/>
        </w:rPr>
        <w:t>五、与投诉事项相关的投诉请求：</w:t>
      </w:r>
    </w:p>
    <w:p w14:paraId="64D2C915">
      <w:pPr>
        <w:pStyle w:val="15"/>
        <w:spacing w:line="360" w:lineRule="auto"/>
        <w:ind w:left="25" w:leftChars="12" w:firstLine="472" w:firstLineChars="197"/>
        <w:rPr>
          <w:rFonts w:hint="eastAsia" w:hAnsi="宋体" w:cs="宋体"/>
          <w:color w:val="auto"/>
          <w:sz w:val="24"/>
          <w:szCs w:val="24"/>
          <w:highlight w:val="none"/>
        </w:rPr>
      </w:pPr>
      <w:r>
        <w:rPr>
          <w:rFonts w:hint="eastAsia" w:hAnsi="宋体" w:cs="宋体"/>
          <w:color w:val="auto"/>
          <w:sz w:val="24"/>
          <w:szCs w:val="24"/>
          <w:highlight w:val="none"/>
        </w:rPr>
        <w:t>请求：</w:t>
      </w:r>
      <w:r>
        <w:rPr>
          <w:rFonts w:hint="eastAsia" w:hAnsi="宋体" w:cs="宋体"/>
          <w:bCs/>
          <w:color w:val="auto"/>
          <w:sz w:val="24"/>
          <w:szCs w:val="24"/>
          <w:highlight w:val="none"/>
          <w:u w:val="single"/>
        </w:rPr>
        <w:t xml:space="preserve">                                                               </w:t>
      </w:r>
    </w:p>
    <w:p w14:paraId="136FA667">
      <w:pPr>
        <w:pStyle w:val="15"/>
        <w:spacing w:line="360" w:lineRule="auto"/>
        <w:ind w:left="25" w:leftChars="12" w:firstLine="352" w:firstLineChars="147"/>
        <w:rPr>
          <w:rFonts w:hint="eastAsia" w:hAnsi="宋体" w:cs="宋体"/>
          <w:color w:val="auto"/>
          <w:sz w:val="24"/>
          <w:szCs w:val="24"/>
          <w:highlight w:val="none"/>
        </w:rPr>
      </w:pPr>
    </w:p>
    <w:p w14:paraId="0792D32D">
      <w:pPr>
        <w:pStyle w:val="15"/>
        <w:spacing w:line="360" w:lineRule="auto"/>
        <w:ind w:left="25" w:leftChars="12" w:firstLine="472" w:firstLineChars="197"/>
        <w:rPr>
          <w:rFonts w:hint="eastAsia" w:hAnsi="宋体" w:cs="宋体"/>
          <w:color w:val="auto"/>
          <w:sz w:val="24"/>
          <w:szCs w:val="24"/>
          <w:highlight w:val="none"/>
        </w:rPr>
      </w:pPr>
      <w:r>
        <w:rPr>
          <w:rFonts w:hint="eastAsia" w:hAnsi="宋体" w:cs="宋体"/>
          <w:color w:val="auto"/>
          <w:sz w:val="24"/>
          <w:szCs w:val="24"/>
          <w:highlight w:val="none"/>
        </w:rPr>
        <w:t>签字（签章）：                                       公章：</w:t>
      </w:r>
    </w:p>
    <w:p w14:paraId="6F745573">
      <w:pPr>
        <w:pStyle w:val="15"/>
        <w:spacing w:line="360" w:lineRule="auto"/>
        <w:ind w:left="25" w:leftChars="12" w:firstLine="352" w:firstLineChars="147"/>
        <w:rPr>
          <w:rFonts w:hint="eastAsia" w:hAnsi="宋体" w:cs="宋体"/>
          <w:color w:val="auto"/>
          <w:sz w:val="24"/>
          <w:szCs w:val="24"/>
          <w:highlight w:val="none"/>
        </w:rPr>
      </w:pPr>
    </w:p>
    <w:p w14:paraId="49B3A881">
      <w:pPr>
        <w:pStyle w:val="15"/>
        <w:spacing w:line="360" w:lineRule="auto"/>
        <w:ind w:left="25" w:leftChars="12" w:firstLine="472" w:firstLineChars="197"/>
        <w:rPr>
          <w:rFonts w:hint="eastAsia" w:hAnsi="宋体" w:cs="宋体"/>
          <w:color w:val="auto"/>
          <w:sz w:val="24"/>
          <w:szCs w:val="24"/>
          <w:highlight w:val="none"/>
        </w:rPr>
      </w:pPr>
      <w:r>
        <w:rPr>
          <w:rFonts w:hint="eastAsia" w:hAnsi="宋体" w:cs="宋体"/>
          <w:color w:val="auto"/>
          <w:sz w:val="24"/>
          <w:szCs w:val="24"/>
          <w:highlight w:val="none"/>
        </w:rPr>
        <w:t>日期：</w:t>
      </w:r>
    </w:p>
    <w:p w14:paraId="489C38FD">
      <w:pPr>
        <w:pStyle w:val="15"/>
        <w:spacing w:line="360" w:lineRule="auto"/>
        <w:ind w:left="25" w:leftChars="12" w:firstLine="472" w:firstLineChars="197"/>
        <w:rPr>
          <w:rFonts w:hint="eastAsia" w:hAnsi="宋体" w:cs="宋体"/>
          <w:color w:val="auto"/>
          <w:sz w:val="24"/>
          <w:szCs w:val="24"/>
          <w:highlight w:val="none"/>
        </w:rPr>
      </w:pPr>
      <w:r>
        <w:rPr>
          <w:rFonts w:hint="eastAsia" w:hAnsi="宋体" w:cs="宋体"/>
          <w:bCs/>
          <w:color w:val="auto"/>
          <w:sz w:val="24"/>
          <w:szCs w:val="24"/>
          <w:highlight w:val="none"/>
        </w:rPr>
        <w:t xml:space="preserve">     </w:t>
      </w:r>
    </w:p>
    <w:p w14:paraId="48075C3B">
      <w:pPr>
        <w:pStyle w:val="15"/>
        <w:snapToGrid w:val="0"/>
        <w:spacing w:line="360" w:lineRule="auto"/>
        <w:rPr>
          <w:rFonts w:hint="eastAsia" w:hAnsi="宋体" w:cs="宋体"/>
          <w:b/>
          <w:color w:val="auto"/>
          <w:sz w:val="24"/>
          <w:szCs w:val="24"/>
          <w:highlight w:val="none"/>
        </w:rPr>
      </w:pPr>
    </w:p>
    <w:p w14:paraId="0DC36D79">
      <w:pPr>
        <w:pStyle w:val="15"/>
        <w:snapToGrid w:val="0"/>
        <w:spacing w:line="360" w:lineRule="auto"/>
        <w:rPr>
          <w:rFonts w:hint="eastAsia" w:hAnsi="宋体" w:cs="宋体"/>
          <w:b/>
          <w:color w:val="auto"/>
          <w:sz w:val="24"/>
          <w:szCs w:val="24"/>
          <w:highlight w:val="none"/>
        </w:rPr>
      </w:pPr>
      <w:r>
        <w:rPr>
          <w:rFonts w:hint="eastAsia" w:hAnsi="宋体" w:cs="宋体"/>
          <w:b/>
          <w:color w:val="auto"/>
          <w:sz w:val="24"/>
          <w:szCs w:val="24"/>
          <w:highlight w:val="none"/>
        </w:rPr>
        <w:t>说明：</w:t>
      </w:r>
    </w:p>
    <w:p w14:paraId="35F5D9A0">
      <w:pPr>
        <w:pStyle w:val="15"/>
        <w:spacing w:line="360" w:lineRule="auto"/>
        <w:ind w:left="25" w:leftChars="12" w:firstLine="354" w:firstLineChars="147"/>
        <w:rPr>
          <w:rFonts w:hint="eastAsia" w:hAnsi="宋体" w:cs="宋体"/>
          <w:b/>
          <w:bCs/>
          <w:color w:val="auto"/>
          <w:sz w:val="24"/>
          <w:szCs w:val="24"/>
          <w:highlight w:val="none"/>
        </w:rPr>
      </w:pPr>
      <w:r>
        <w:rPr>
          <w:rFonts w:hint="eastAsia" w:hAnsi="宋体" w:cs="宋体"/>
          <w:b/>
          <w:color w:val="auto"/>
          <w:sz w:val="24"/>
          <w:szCs w:val="24"/>
          <w:highlight w:val="none"/>
        </w:rPr>
        <w:t>1.投诉人提起投诉时，应当提交投诉书和必要的证明材料，并按照被投诉人和与投诉事项有关的供应商数量提供投诉书副本</w:t>
      </w:r>
      <w:r>
        <w:rPr>
          <w:rFonts w:hint="eastAsia" w:hAnsi="宋体" w:cs="宋体"/>
          <w:b/>
          <w:bCs/>
          <w:color w:val="auto"/>
          <w:sz w:val="24"/>
          <w:szCs w:val="24"/>
          <w:highlight w:val="none"/>
        </w:rPr>
        <w:t>。</w:t>
      </w:r>
    </w:p>
    <w:p w14:paraId="1F4AB978">
      <w:pPr>
        <w:pStyle w:val="15"/>
        <w:spacing w:line="360" w:lineRule="auto"/>
        <w:ind w:left="25" w:leftChars="12" w:firstLine="354" w:firstLineChars="147"/>
        <w:rPr>
          <w:rFonts w:hint="eastAsia" w:hAnsi="宋体" w:cs="宋体"/>
          <w:b/>
          <w:color w:val="auto"/>
          <w:sz w:val="24"/>
          <w:szCs w:val="24"/>
          <w:highlight w:val="none"/>
        </w:rPr>
      </w:pPr>
      <w:r>
        <w:rPr>
          <w:rFonts w:hint="eastAsia" w:hAnsi="宋体" w:cs="宋体"/>
          <w:b/>
          <w:color w:val="auto"/>
          <w:sz w:val="24"/>
          <w:szCs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0547509E">
      <w:pPr>
        <w:pStyle w:val="15"/>
        <w:spacing w:line="360" w:lineRule="auto"/>
        <w:ind w:left="25" w:leftChars="12" w:firstLine="354" w:firstLineChars="147"/>
        <w:rPr>
          <w:rFonts w:hint="eastAsia" w:hAnsi="宋体" w:cs="宋体"/>
          <w:b/>
          <w:color w:val="auto"/>
          <w:sz w:val="24"/>
          <w:szCs w:val="24"/>
          <w:highlight w:val="none"/>
        </w:rPr>
      </w:pPr>
      <w:r>
        <w:rPr>
          <w:rFonts w:hint="eastAsia" w:hAnsi="宋体" w:cs="宋体"/>
          <w:b/>
          <w:color w:val="auto"/>
          <w:sz w:val="24"/>
          <w:szCs w:val="24"/>
          <w:highlight w:val="none"/>
        </w:rPr>
        <w:t>3.投诉书应简要列明质疑事项，质疑函、质疑答复等作为附件材料提供。</w:t>
      </w:r>
    </w:p>
    <w:p w14:paraId="6959783E">
      <w:pPr>
        <w:pStyle w:val="15"/>
        <w:spacing w:line="360" w:lineRule="auto"/>
        <w:ind w:left="25" w:leftChars="12" w:firstLine="354" w:firstLineChars="147"/>
        <w:rPr>
          <w:rFonts w:hint="eastAsia" w:hAnsi="宋体" w:cs="宋体"/>
          <w:b/>
          <w:color w:val="auto"/>
          <w:sz w:val="24"/>
          <w:szCs w:val="24"/>
          <w:highlight w:val="none"/>
        </w:rPr>
      </w:pPr>
      <w:r>
        <w:rPr>
          <w:rFonts w:hint="eastAsia" w:hAnsi="宋体" w:cs="宋体"/>
          <w:b/>
          <w:color w:val="auto"/>
          <w:sz w:val="24"/>
          <w:szCs w:val="24"/>
          <w:highlight w:val="none"/>
        </w:rPr>
        <w:t>4.投诉书的投诉事项应具体、明确，并有必要的事实依据和法律依据。</w:t>
      </w:r>
    </w:p>
    <w:p w14:paraId="432955F7">
      <w:pPr>
        <w:pStyle w:val="15"/>
        <w:spacing w:line="360" w:lineRule="auto"/>
        <w:ind w:left="25" w:leftChars="12" w:firstLine="354" w:firstLineChars="147"/>
        <w:rPr>
          <w:rFonts w:hint="eastAsia" w:hAnsi="宋体" w:cs="宋体"/>
          <w:b/>
          <w:color w:val="auto"/>
          <w:sz w:val="24"/>
          <w:szCs w:val="24"/>
          <w:highlight w:val="none"/>
        </w:rPr>
      </w:pPr>
      <w:r>
        <w:rPr>
          <w:rFonts w:hint="eastAsia" w:hAnsi="宋体" w:cs="宋体"/>
          <w:b/>
          <w:color w:val="auto"/>
          <w:sz w:val="24"/>
          <w:szCs w:val="24"/>
          <w:highlight w:val="none"/>
        </w:rPr>
        <w:t>5.投诉书的投诉请求应与投诉事项相关。</w:t>
      </w:r>
    </w:p>
    <w:p w14:paraId="4048BC73">
      <w:pPr>
        <w:pStyle w:val="15"/>
        <w:spacing w:line="360" w:lineRule="auto"/>
        <w:ind w:left="25" w:leftChars="12" w:firstLine="354" w:firstLineChars="147"/>
        <w:rPr>
          <w:rFonts w:hint="eastAsia" w:hAnsi="宋体" w:cs="宋体"/>
          <w:color w:val="auto"/>
          <w:highlight w:val="none"/>
        </w:rPr>
      </w:pPr>
      <w:r>
        <w:rPr>
          <w:rFonts w:hint="eastAsia" w:hAnsi="宋体" w:cs="宋体"/>
          <w:b/>
          <w:color w:val="auto"/>
          <w:sz w:val="24"/>
          <w:szCs w:val="24"/>
          <w:highlight w:val="none"/>
        </w:rPr>
        <w:t>6.投诉人为法人或者其他组织的，投诉书应由法定代表人、主要负责人，或者其授权代表签字或者盖章，并加盖公章。</w:t>
      </w:r>
    </w:p>
    <w:p w14:paraId="27D4E308">
      <w:pPr>
        <w:spacing w:line="360" w:lineRule="auto"/>
        <w:rPr>
          <w:rFonts w:hint="eastAsia" w:hAnsi="宋体"/>
          <w:b/>
          <w:color w:val="auto"/>
          <w:highlight w:val="none"/>
        </w:rPr>
      </w:pPr>
    </w:p>
    <w:p w14:paraId="17C28FB7">
      <w:pPr>
        <w:rPr>
          <w:rFonts w:hint="eastAsia"/>
          <w:color w:val="auto"/>
          <w:highlight w:val="none"/>
        </w:rPr>
      </w:pPr>
    </w:p>
    <w:p w14:paraId="2D6DB012">
      <w:pPr>
        <w:rPr>
          <w:color w:val="auto"/>
          <w:highlight w:val="none"/>
        </w:rPr>
      </w:pPr>
    </w:p>
    <w:sectPr>
      <w:footerReference r:id="rId16" w:type="first"/>
      <w:headerReference r:id="rId14" w:type="default"/>
      <w:footerReference r:id="rId15" w:type="default"/>
      <w:pgSz w:w="11910" w:h="16840"/>
      <w:pgMar w:top="1134" w:right="1587" w:bottom="1134" w:left="1587" w:header="720" w:footer="720" w:gutter="0"/>
      <w:pgBorders>
        <w:top w:val="none" w:sz="0" w:space="0"/>
        <w:left w:val="none" w:sz="0" w:space="0"/>
        <w:bottom w:val="none" w:sz="0" w:space="0"/>
        <w:right w:val="none" w:sz="0" w:space="0"/>
      </w:pgBorders>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0"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Kingsoft UE">
    <w:panose1 w:val="02000100010000000000"/>
    <w:charset w:val="00"/>
    <w:family w:val="auto"/>
    <w:pitch w:val="default"/>
    <w:sig w:usb0="00000001" w:usb1="00004000" w:usb2="00000000" w:usb3="00000000" w:csb0="0000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552AF1">
    <w:pPr>
      <w:pStyle w:val="16"/>
      <w:ind w:right="360" w:firstLine="360"/>
      <w:jc w:val="right"/>
      <w:rPr>
        <w:rFonts w:hint="eastAsia"/>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64AFA5">
    <w:pPr>
      <w:pStyle w:val="16"/>
      <w:ind w:right="360" w:firstLine="360"/>
      <w:jc w:val="right"/>
      <w:rPr>
        <w:rFonts w:hint="eastAsia"/>
        <w:sz w:val="28"/>
        <w:szCs w:val="28"/>
      </w:rPr>
    </w:pPr>
    <w:r>
      <w:rPr>
        <w:sz w:val="2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8C221F8">
                          <w:pPr>
                            <w:pStyle w:val="16"/>
                          </w:pPr>
                          <w:r>
                            <w:fldChar w:fldCharType="begin"/>
                          </w:r>
                          <w:r>
                            <w:instrText xml:space="preserve"> PAGE  \* MERGEFORMAT </w:instrText>
                          </w:r>
                          <w:r>
                            <w:fldChar w:fldCharType="separate"/>
                          </w:r>
                          <w:r>
                            <w:t>12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14:paraId="78C221F8">
                    <w:pPr>
                      <w:pStyle w:val="16"/>
                    </w:pPr>
                    <w:r>
                      <w:fldChar w:fldCharType="begin"/>
                    </w:r>
                    <w:r>
                      <w:instrText xml:space="preserve"> PAGE  \* MERGEFORMAT </w:instrText>
                    </w:r>
                    <w:r>
                      <w:fldChar w:fldCharType="separate"/>
                    </w:r>
                    <w:r>
                      <w:t>12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1C5AC8">
    <w:pPr>
      <w:pStyle w:val="16"/>
      <w:jc w:val="cente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9733F41">
                          <w:pPr>
                            <w:pStyle w:val="16"/>
                          </w:pPr>
                          <w:r>
                            <w:fldChar w:fldCharType="begin"/>
                          </w:r>
                          <w:r>
                            <w:instrText xml:space="preserve"> PAGE  \* MERGEFORMAT </w:instrText>
                          </w:r>
                          <w:r>
                            <w:fldChar w:fldCharType="separate"/>
                          </w:r>
                          <w:r>
                            <w:t>30</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rrjO8k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lLShy3OPHzj+/nn7/Pv74R&#10;9KFAfYAa8x4DZqbhxg+YPPsBnZn3oKLNX2REMI7yni7yyiERkR+tlqtVhSGBsfmC+OzpeYiQ7qS3&#10;JBsNjTi/Iis/3kMaU+eUXM35W21MmaFxfzkQM3tY7n3sMVtp2A0ToZ1vT8inx9E31OGmU2I+OlQ2&#10;b8lsxNnYzcYhRL3vyhrlehA+HBI2UXrLFUbYqTDOrLCb9isvxfN7yXr6pzZ/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uuuM7yQEAAJsDAAAOAAAAAAAAAAEAIAAAAB4BAABkcnMvZTJvRG9j&#10;LnhtbFBLBQYAAAAABgAGAFkBAABZBQAAAAA=&#10;">
              <v:fill on="f" focussize="0,0"/>
              <v:stroke on="f"/>
              <v:imagedata o:title=""/>
              <o:lock v:ext="edit" aspectratio="f"/>
              <v:textbox inset="0mm,0mm,0mm,0mm" style="mso-fit-shape-to-text:t;">
                <w:txbxContent>
                  <w:p w14:paraId="29733F41">
                    <w:pPr>
                      <w:pStyle w:val="16"/>
                    </w:pPr>
                    <w:r>
                      <w:fldChar w:fldCharType="begin"/>
                    </w:r>
                    <w:r>
                      <w:instrText xml:space="preserve"> PAGE  \* MERGEFORMAT </w:instrText>
                    </w:r>
                    <w:r>
                      <w:fldChar w:fldCharType="separate"/>
                    </w:r>
                    <w:r>
                      <w:t>30</w:t>
                    </w:r>
                    <w:r>
                      <w:fldChar w:fldCharType="end"/>
                    </w:r>
                  </w:p>
                </w:txbxContent>
              </v:textbox>
            </v:shape>
          </w:pict>
        </mc:Fallback>
      </mc:AlternateContent>
    </w:r>
  </w:p>
  <w:p w14:paraId="08B6A648">
    <w:pPr>
      <w:pStyle w:val="1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D933D6">
    <w:pPr>
      <w:pStyle w:val="16"/>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008D1BD">
                          <w:pPr>
                            <w:pStyle w:val="16"/>
                            <w:rPr>
                              <w:rFonts w:hint="eastAsia"/>
                            </w:rPr>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2008D1BD">
                    <w:pPr>
                      <w:pStyle w:val="16"/>
                      <w:rPr>
                        <w:rFonts w:hint="eastAsia"/>
                      </w:rPr>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068747">
    <w:pPr>
      <w:pStyle w:val="16"/>
      <w:ind w:right="360" w:firstLine="360"/>
      <w:jc w:val="right"/>
      <w:rPr>
        <w:rFonts w:hint="eastAsia"/>
        <w:sz w:val="30"/>
        <w:szCs w:val="30"/>
      </w:rPr>
    </w:pPr>
    <w:r>
      <w:rPr>
        <w:sz w:val="30"/>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3DF3664">
                          <w:pPr>
                            <w:pStyle w:val="16"/>
                          </w:pPr>
                          <w:r>
                            <w:fldChar w:fldCharType="begin"/>
                          </w:r>
                          <w:r>
                            <w:instrText xml:space="preserve"> PAGE  \* MERGEFORMAT </w:instrText>
                          </w:r>
                          <w:r>
                            <w:fldChar w:fldCharType="separate"/>
                          </w:r>
                          <w:r>
                            <w:t>62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WDn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xjiHqQ1+WKNeD8OaYsInSW64wwc6FcWKF3bxdeSUe30vWwx+1/Q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1fWDnscBAACZAwAADgAAAAAAAAABACAAAAAeAQAAZHJzL2Uyb0RvYy54&#10;bWxQSwUGAAAAAAYABgBZAQAAVwUAAAAA&#10;">
              <v:fill on="f" focussize="0,0"/>
              <v:stroke on="f"/>
              <v:imagedata o:title=""/>
              <o:lock v:ext="edit" aspectratio="f"/>
              <v:textbox inset="0mm,0mm,0mm,0mm" style="mso-fit-shape-to-text:t;">
                <w:txbxContent>
                  <w:p w14:paraId="03DF3664">
                    <w:pPr>
                      <w:pStyle w:val="16"/>
                    </w:pPr>
                    <w:r>
                      <w:fldChar w:fldCharType="begin"/>
                    </w:r>
                    <w:r>
                      <w:instrText xml:space="preserve"> PAGE  \* MERGEFORMAT </w:instrText>
                    </w:r>
                    <w:r>
                      <w:fldChar w:fldCharType="separate"/>
                    </w:r>
                    <w:r>
                      <w:t>62</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4E55B2">
    <w:pPr>
      <w:spacing w:line="192" w:lineRule="auto"/>
      <w:ind w:left="4246"/>
      <w:rPr>
        <w:rFonts w:ascii="宋体" w:hAnsi="宋体" w:cs="宋体"/>
        <w:sz w:val="17"/>
        <w:szCs w:val="17"/>
      </w:rPr>
    </w:pPr>
    <w:r>
      <w:rPr>
        <w:sz w:val="17"/>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A62FE0F">
                          <w:pPr>
                            <w:pStyle w:val="16"/>
                          </w:pPr>
                          <w:r>
                            <w:fldChar w:fldCharType="begin"/>
                          </w:r>
                          <w:r>
                            <w:instrText xml:space="preserve"> PAGE  \* MERGEFORMAT </w:instrText>
                          </w:r>
                          <w:r>
                            <w:fldChar w:fldCharType="separate"/>
                          </w:r>
                          <w:r>
                            <w:t>72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7A62FE0F">
                    <w:pPr>
                      <w:pStyle w:val="16"/>
                    </w:pPr>
                    <w:r>
                      <w:fldChar w:fldCharType="begin"/>
                    </w:r>
                    <w:r>
                      <w:instrText xml:space="preserve"> PAGE  \* MERGEFORMAT </w:instrText>
                    </w:r>
                    <w:r>
                      <w:fldChar w:fldCharType="separate"/>
                    </w:r>
                    <w:r>
                      <w:t>72</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57BC94">
    <w:pPr>
      <w:spacing w:line="192" w:lineRule="auto"/>
      <w:ind w:left="4246"/>
      <w:rPr>
        <w:rFonts w:ascii="宋体" w:hAnsi="宋体" w:cs="宋体"/>
        <w:sz w:val="17"/>
        <w:szCs w:val="17"/>
      </w:rPr>
    </w:pPr>
    <w:r>
      <w:rPr>
        <w:sz w:val="17"/>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9C0AC8">
                          <w:pPr>
                            <w:pStyle w:val="16"/>
                          </w:pPr>
                          <w:r>
                            <w:fldChar w:fldCharType="begin"/>
                          </w:r>
                          <w:r>
                            <w:instrText xml:space="preserve"> PAGE  \* MERGEFORMAT </w:instrText>
                          </w:r>
                          <w:r>
                            <w:fldChar w:fldCharType="separate"/>
                          </w:r>
                          <w:r>
                            <w:t>72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3sYQ8g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koieMWJ37+8f388/f51zeC&#10;PhSoD1Bj3mPAzDTc+AGTZz+gM/MeVLT5i4wIxhHrdJFXDomI/Gi1XK0qDAmMzRfEZ0/PQ4R0J70l&#10;2WhoxPkVWfnxHtKYOqfkas7famPKDI37y4GY2cNy72OP2UrDbpgI7Xx7Qj49jr6hDjedEvPRobLY&#10;X5qNOBu72TiEqPddWaNcD8KHQ8ImSm+5wgg7FcaZFXbTfuWleH4vWU//1OY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L97GEPIAQAAmwMAAA4AAAAAAAAAAQAgAAAAHgEAAGRycy9lMm9Eb2Mu&#10;eG1sUEsFBgAAAAAGAAYAWQEAAFgFAAAAAA==&#10;">
              <v:fill on="f" focussize="0,0"/>
              <v:stroke on="f"/>
              <v:imagedata o:title=""/>
              <o:lock v:ext="edit" aspectratio="f"/>
              <v:textbox inset="0mm,0mm,0mm,0mm" style="mso-fit-shape-to-text:t;">
                <w:txbxContent>
                  <w:p w14:paraId="689C0AC8">
                    <w:pPr>
                      <w:pStyle w:val="16"/>
                    </w:pPr>
                    <w:r>
                      <w:fldChar w:fldCharType="begin"/>
                    </w:r>
                    <w:r>
                      <w:instrText xml:space="preserve"> PAGE  \* MERGEFORMAT </w:instrText>
                    </w:r>
                    <w:r>
                      <w:fldChar w:fldCharType="separate"/>
                    </w:r>
                    <w:r>
                      <w:t>72</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2FE504">
    <w:pPr>
      <w:pStyle w:val="16"/>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3B68B2C">
                          <w:pPr>
                            <w:pStyle w:val="16"/>
                            <w:jc w:val="center"/>
                          </w:pPr>
                          <w:r>
                            <w:fldChar w:fldCharType="begin"/>
                          </w:r>
                          <w:r>
                            <w:instrText xml:space="preserve"> PAGE  \* MERGEFORMAT </w:instrText>
                          </w:r>
                          <w:r>
                            <w:fldChar w:fldCharType="separate"/>
                          </w:r>
                          <w:r>
                            <w:t>90</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14:paraId="03B68B2C">
                    <w:pPr>
                      <w:pStyle w:val="16"/>
                      <w:jc w:val="center"/>
                    </w:pPr>
                    <w:r>
                      <w:fldChar w:fldCharType="begin"/>
                    </w:r>
                    <w:r>
                      <w:instrText xml:space="preserve"> PAGE  \* MERGEFORMAT </w:instrText>
                    </w:r>
                    <w:r>
                      <w:fldChar w:fldCharType="separate"/>
                    </w:r>
                    <w:r>
                      <w:t>90</w:t>
                    </w:r>
                    <w:r>
                      <w:fldChar w:fldCharType="end"/>
                    </w:r>
                  </w:p>
                </w:txbxContent>
              </v:textbox>
            </v:shape>
          </w:pict>
        </mc:Fallback>
      </mc:AlternateContent>
    </w:r>
  </w:p>
  <w:p w14:paraId="3301D7AE">
    <w:pPr>
      <w:pStyle w:val="16"/>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2D35DF">
    <w:pPr>
      <w:pStyle w:val="16"/>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A730D87">
                          <w:pPr>
                            <w:pStyle w:val="16"/>
                            <w:rPr>
                              <w:rFonts w:hint="eastAsia"/>
                            </w:rPr>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14:paraId="7A730D87">
                    <w:pPr>
                      <w:pStyle w:val="16"/>
                      <w:rPr>
                        <w:rFonts w:hint="eastAsia"/>
                      </w:rPr>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D2999C">
    <w:pPr>
      <w:pStyle w:val="17"/>
      <w:pBdr>
        <w:bottom w:val="single" w:color="auto" w:sz="4" w:space="0"/>
      </w:pBdr>
      <w:jc w:val="center"/>
      <w:rPr>
        <w:rFonts w:hint="eastAsia" w:ascii="宋体" w:hAnsi="宋体" w:eastAsia="宋体" w:cs="宋体"/>
        <w:u w:val="single"/>
        <w:lang w:val="en-US"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BDAAA6">
    <w:pPr>
      <w:pStyle w:val="17"/>
      <w:pBdr>
        <w:bottom w:val="single" w:color="auto" w:sz="4" w:space="0"/>
      </w:pBdr>
      <w:jc w:val="center"/>
      <w:rPr>
        <w:rFonts w:hint="eastAsia" w:ascii="Times New Roman" w:hAnsi="Times New Roman" w:eastAsia="宋体" w:cs="Times New Roman"/>
        <w:sz w:val="21"/>
        <w:szCs w:val="21"/>
        <w:u w:val="none"/>
        <w:lang w:val="en-US" w:eastAsia="zh-C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3D9DC0">
    <w:pPr>
      <w:pStyle w:val="17"/>
      <w:pBdr>
        <w:bottom w:val="single" w:color="auto" w:sz="4" w:space="0"/>
      </w:pBdr>
      <w:jc w:val="center"/>
      <w:rPr>
        <w:rFonts w:hint="eastAsia" w:ascii="Times New Roman" w:hAnsi="Times New Roman" w:eastAsia="宋体" w:cs="Times New Roman"/>
        <w:u w:val="none"/>
        <w:lang w:val="en-US" w:eastAsia="zh-CN"/>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DCADB8">
    <w:pPr>
      <w:pBdr>
        <w:bottom w:val="none" w:color="auto" w:sz="0" w:space="0"/>
      </w:pBdr>
      <w:spacing w:line="14" w:lineRule="exact"/>
      <w:rPr>
        <w:rFonts w:ascii="Arial"/>
        <w:sz w:val="21"/>
        <w:szCs w:val="21"/>
      </w:rPr>
    </w:pPr>
  </w:p>
  <w:p w14:paraId="76566594">
    <w:pPr>
      <w:pStyle w:val="17"/>
      <w:pBdr>
        <w:bottom w:val="single" w:color="auto" w:sz="4" w:space="0"/>
      </w:pBdr>
      <w:jc w:val="center"/>
      <w:rPr>
        <w:rFonts w:hint="eastAsia" w:ascii="Times New Roman" w:hAnsi="Times New Roman" w:eastAsia="宋体" w:cs="Times New Roman"/>
        <w:sz w:val="21"/>
        <w:szCs w:val="21"/>
        <w:u w:val="none"/>
        <w:lang w:val="en-US" w:eastAsia="zh-CN"/>
      </w:rPr>
    </w:pPr>
  </w:p>
  <w:p w14:paraId="7E7C7621">
    <w:pPr>
      <w:pBdr>
        <w:bottom w:val="none" w:color="auto" w:sz="0" w:space="0"/>
      </w:pBdr>
      <w:spacing w:line="14" w:lineRule="exact"/>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D9149D">
    <w:pPr>
      <w:pStyle w:val="17"/>
      <w:pBdr>
        <w:bottom w:val="single" w:color="auto" w:sz="4" w:space="0"/>
      </w:pBdr>
      <w:jc w:val="center"/>
      <w:rPr>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538AC5"/>
    <w:multiLevelType w:val="multilevel"/>
    <w:tmpl w:val="A9538AC5"/>
    <w:lvl w:ilvl="0" w:tentative="0">
      <w:start w:val="11"/>
      <w:numFmt w:val="decimal"/>
      <w:suff w:val="space"/>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C56B851F"/>
    <w:multiLevelType w:val="singleLevel"/>
    <w:tmpl w:val="C56B851F"/>
    <w:lvl w:ilvl="0" w:tentative="0">
      <w:start w:val="4"/>
      <w:numFmt w:val="chineseCounting"/>
      <w:suff w:val="nothing"/>
      <w:lvlText w:val="%1、"/>
      <w:lvlJc w:val="left"/>
      <w:rPr>
        <w:rFonts w:hint="eastAsia"/>
      </w:rPr>
    </w:lvl>
  </w:abstractNum>
  <w:abstractNum w:abstractNumId="2">
    <w:nsid w:val="0000000B"/>
    <w:multiLevelType w:val="multilevel"/>
    <w:tmpl w:val="0000000B"/>
    <w:lvl w:ilvl="0" w:tentative="0">
      <w:start w:val="1"/>
      <w:numFmt w:val="decimal"/>
      <w:lvlText w:val="（%1）"/>
      <w:lvlJc w:val="left"/>
      <w:pPr>
        <w:tabs>
          <w:tab w:val="left" w:pos="1140"/>
        </w:tabs>
        <w:ind w:left="1140" w:hanging="720"/>
      </w:pPr>
      <w:rPr>
        <w:rFonts w:ascii="宋体" w:hAnsi="宋体" w:eastAsia="宋体" w:cs="Times New Roman"/>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3">
    <w:nsid w:val="269945CE"/>
    <w:multiLevelType w:val="singleLevel"/>
    <w:tmpl w:val="269945CE"/>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en-US" w:eastAsia="en-US" w:bidi="en-US"/>
      </w:rPr>
    </w:lvl>
  </w:abstractNum>
  <w:abstractNum w:abstractNumId="4">
    <w:nsid w:val="2A7E48AF"/>
    <w:multiLevelType w:val="singleLevel"/>
    <w:tmpl w:val="2A7E48AF"/>
    <w:lvl w:ilvl="0" w:tentative="0">
      <w:start w:val="1"/>
      <w:numFmt w:val="decimal"/>
      <w:pStyle w:val="6"/>
      <w:lvlText w:val="%1."/>
      <w:lvlJc w:val="left"/>
      <w:pPr>
        <w:tabs>
          <w:tab w:val="left" w:pos="360"/>
        </w:tabs>
        <w:ind w:left="360" w:hanging="360"/>
      </w:pPr>
    </w:lvl>
  </w:abstractNum>
  <w:abstractNum w:abstractNumId="5">
    <w:nsid w:val="38C805E8"/>
    <w:multiLevelType w:val="singleLevel"/>
    <w:tmpl w:val="38C805E8"/>
    <w:lvl w:ilvl="0" w:tentative="0">
      <w:start w:val="7"/>
      <w:numFmt w:val="chineseCounting"/>
      <w:suff w:val="space"/>
      <w:lvlText w:val="第%1章"/>
      <w:lvlJc w:val="left"/>
      <w:rPr>
        <w:rFonts w:hint="eastAsia"/>
      </w:rPr>
    </w:lvl>
  </w:abstractNum>
  <w:num w:numId="1">
    <w:abstractNumId w:val="4"/>
  </w:num>
  <w:num w:numId="2">
    <w:abstractNumId w:val="3"/>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E3Y2MwMGM3Y2U2MjI1YWY0Yjc2ZTUwYWVhZjM1MDMifQ=="/>
  </w:docVars>
  <w:rsids>
    <w:rsidRoot w:val="63B11BFF"/>
    <w:rsid w:val="044605DF"/>
    <w:rsid w:val="065E4A58"/>
    <w:rsid w:val="086F1377"/>
    <w:rsid w:val="123A0C48"/>
    <w:rsid w:val="12B44239"/>
    <w:rsid w:val="13795756"/>
    <w:rsid w:val="14281C22"/>
    <w:rsid w:val="149A3C1F"/>
    <w:rsid w:val="156E7938"/>
    <w:rsid w:val="16F70EB5"/>
    <w:rsid w:val="1B83540D"/>
    <w:rsid w:val="1EE618A8"/>
    <w:rsid w:val="21094F3E"/>
    <w:rsid w:val="21260D15"/>
    <w:rsid w:val="23FB786F"/>
    <w:rsid w:val="28F11065"/>
    <w:rsid w:val="28FD67FF"/>
    <w:rsid w:val="2B057BED"/>
    <w:rsid w:val="2BEE5AF4"/>
    <w:rsid w:val="2CE351E7"/>
    <w:rsid w:val="2F4C2A75"/>
    <w:rsid w:val="305A18DA"/>
    <w:rsid w:val="31C37EBA"/>
    <w:rsid w:val="358643DE"/>
    <w:rsid w:val="37C16C4A"/>
    <w:rsid w:val="402D4A8C"/>
    <w:rsid w:val="49F035E4"/>
    <w:rsid w:val="4E257ADB"/>
    <w:rsid w:val="4E5959D6"/>
    <w:rsid w:val="525564B4"/>
    <w:rsid w:val="53894668"/>
    <w:rsid w:val="59FB2037"/>
    <w:rsid w:val="5B324076"/>
    <w:rsid w:val="5B725E3B"/>
    <w:rsid w:val="61B63590"/>
    <w:rsid w:val="62C850AC"/>
    <w:rsid w:val="63B11BFF"/>
    <w:rsid w:val="67D6379C"/>
    <w:rsid w:val="6B362ECF"/>
    <w:rsid w:val="6CD75FEC"/>
    <w:rsid w:val="6DE06535"/>
    <w:rsid w:val="6E2B2A93"/>
    <w:rsid w:val="72A30233"/>
    <w:rsid w:val="72E41E5B"/>
    <w:rsid w:val="7B0F1047"/>
    <w:rsid w:val="7BB519B5"/>
    <w:rsid w:val="7BBC7D2B"/>
    <w:rsid w:val="7E0B72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99"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unhideWhenUsed/>
    <w:qFormat/>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1"/>
    <w:unhideWhenUsed/>
    <w:qFormat/>
    <w:uiPriority w:val="0"/>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spacing w:beforeLines="0" w:afterLines="0" w:line="360" w:lineRule="auto"/>
      <w:outlineLvl w:val="3"/>
    </w:pPr>
    <w:rPr>
      <w:rFonts w:hint="default" w:ascii="Arial" w:hAnsi="Arial" w:eastAsia="宋体"/>
      <w:b/>
      <w:sz w:val="21"/>
      <w:szCs w:val="24"/>
    </w:rPr>
  </w:style>
  <w:style w:type="character" w:default="1" w:styleId="24">
    <w:name w:val="Default Paragraph Font"/>
    <w:semiHidden/>
    <w:qFormat/>
    <w:uiPriority w:val="0"/>
  </w:style>
  <w:style w:type="table" w:default="1" w:styleId="23">
    <w:name w:val="Normal Table"/>
    <w:semiHidden/>
    <w:qFormat/>
    <w:uiPriority w:val="0"/>
    <w:tblPr>
      <w:tblCellMar>
        <w:top w:w="0" w:type="dxa"/>
        <w:left w:w="108" w:type="dxa"/>
        <w:bottom w:w="0" w:type="dxa"/>
        <w:right w:w="108" w:type="dxa"/>
      </w:tblCellMar>
    </w:tblPr>
  </w:style>
  <w:style w:type="paragraph" w:styleId="6">
    <w:name w:val="List Number"/>
    <w:basedOn w:val="1"/>
    <w:qFormat/>
    <w:uiPriority w:val="0"/>
    <w:pPr>
      <w:numPr>
        <w:ilvl w:val="0"/>
        <w:numId w:val="1"/>
      </w:numPr>
    </w:pPr>
  </w:style>
  <w:style w:type="paragraph" w:styleId="7">
    <w:name w:val="Normal Indent"/>
    <w:basedOn w:val="1"/>
    <w:qFormat/>
    <w:uiPriority w:val="0"/>
    <w:pPr>
      <w:ind w:firstLine="420"/>
    </w:pPr>
    <w:rPr>
      <w:szCs w:val="20"/>
    </w:rPr>
  </w:style>
  <w:style w:type="paragraph" w:styleId="8">
    <w:name w:val="annotation text"/>
    <w:basedOn w:val="1"/>
    <w:qFormat/>
    <w:uiPriority w:val="0"/>
    <w:pPr>
      <w:jc w:val="left"/>
    </w:pPr>
  </w:style>
  <w:style w:type="paragraph" w:styleId="9">
    <w:name w:val="Body Text 3"/>
    <w:basedOn w:val="1"/>
    <w:qFormat/>
    <w:uiPriority w:val="0"/>
    <w:pPr>
      <w:spacing w:after="120"/>
    </w:pPr>
    <w:rPr>
      <w:sz w:val="16"/>
      <w:szCs w:val="16"/>
    </w:rPr>
  </w:style>
  <w:style w:type="paragraph" w:styleId="10">
    <w:name w:val="Body Text"/>
    <w:basedOn w:val="1"/>
    <w:next w:val="11"/>
    <w:qFormat/>
    <w:uiPriority w:val="0"/>
    <w:pPr>
      <w:spacing w:after="120"/>
    </w:pPr>
  </w:style>
  <w:style w:type="paragraph" w:styleId="11">
    <w:name w:val="toc 2"/>
    <w:basedOn w:val="1"/>
    <w:next w:val="1"/>
    <w:qFormat/>
    <w:uiPriority w:val="0"/>
    <w:pPr>
      <w:tabs>
        <w:tab w:val="right" w:leader="dot" w:pos="8296"/>
      </w:tabs>
      <w:ind w:left="420" w:leftChars="200"/>
    </w:pPr>
  </w:style>
  <w:style w:type="paragraph" w:styleId="12">
    <w:name w:val="Body Text Indent"/>
    <w:basedOn w:val="1"/>
    <w:qFormat/>
    <w:uiPriority w:val="0"/>
    <w:pPr>
      <w:ind w:firstLine="830" w:firstLineChars="352"/>
    </w:pPr>
    <w:rPr>
      <w:rFonts w:ascii="仿宋_GB2312" w:eastAsia="仿宋_GB2312"/>
      <w:kern w:val="0"/>
      <w:sz w:val="32"/>
      <w:szCs w:val="20"/>
    </w:rPr>
  </w:style>
  <w:style w:type="paragraph" w:styleId="13">
    <w:name w:val="List 2"/>
    <w:basedOn w:val="1"/>
    <w:qFormat/>
    <w:uiPriority w:val="0"/>
    <w:pPr>
      <w:ind w:left="100" w:leftChars="200" w:hanging="200" w:hangingChars="200"/>
      <w:contextualSpacing/>
    </w:pPr>
  </w:style>
  <w:style w:type="paragraph" w:styleId="14">
    <w:name w:val="toc 3"/>
    <w:basedOn w:val="1"/>
    <w:next w:val="1"/>
    <w:qFormat/>
    <w:uiPriority w:val="0"/>
    <w:pPr>
      <w:ind w:left="840" w:leftChars="400"/>
    </w:pPr>
  </w:style>
  <w:style w:type="paragraph" w:styleId="15">
    <w:name w:val="Plain Text"/>
    <w:basedOn w:val="1"/>
    <w:next w:val="5"/>
    <w:qFormat/>
    <w:uiPriority w:val="0"/>
    <w:rPr>
      <w:rFonts w:ascii="宋体" w:hAnsi="Courier New"/>
      <w:kern w:val="0"/>
      <w:sz w:val="20"/>
      <w:szCs w:val="21"/>
    </w:rPr>
  </w:style>
  <w:style w:type="paragraph" w:styleId="16">
    <w:name w:val="footer"/>
    <w:basedOn w:val="1"/>
    <w:next w:val="1"/>
    <w:qFormat/>
    <w:uiPriority w:val="0"/>
    <w:pPr>
      <w:tabs>
        <w:tab w:val="center" w:pos="4153"/>
        <w:tab w:val="right" w:pos="8306"/>
      </w:tabs>
      <w:snapToGrid w:val="0"/>
      <w:jc w:val="left"/>
    </w:pPr>
    <w:rPr>
      <w:kern w:val="0"/>
      <w:sz w:val="18"/>
      <w:szCs w:val="18"/>
    </w:rPr>
  </w:style>
  <w:style w:type="paragraph" w:styleId="17">
    <w:name w:val="header"/>
    <w:basedOn w:val="1"/>
    <w:qFormat/>
    <w:uiPriority w:val="0"/>
    <w:pPr>
      <w:pBdr>
        <w:bottom w:val="single" w:color="auto" w:sz="6" w:space="1"/>
      </w:pBdr>
      <w:tabs>
        <w:tab w:val="center" w:pos="4153"/>
        <w:tab w:val="right" w:pos="8306"/>
      </w:tabs>
      <w:snapToGrid w:val="0"/>
      <w:jc w:val="center"/>
    </w:pPr>
    <w:rPr>
      <w:kern w:val="0"/>
      <w:sz w:val="18"/>
      <w:szCs w:val="18"/>
    </w:rPr>
  </w:style>
  <w:style w:type="paragraph" w:styleId="18">
    <w:name w:val="toc 1"/>
    <w:basedOn w:val="1"/>
    <w:next w:val="1"/>
    <w:qFormat/>
    <w:uiPriority w:val="0"/>
  </w:style>
  <w:style w:type="paragraph" w:styleId="19">
    <w:name w:val="List"/>
    <w:basedOn w:val="1"/>
    <w:qFormat/>
    <w:uiPriority w:val="0"/>
    <w:pPr>
      <w:ind w:left="200" w:hanging="200" w:hangingChars="200"/>
      <w:contextualSpacing/>
    </w:pPr>
  </w:style>
  <w:style w:type="paragraph" w:styleId="20">
    <w:name w:val="footnote text"/>
    <w:basedOn w:val="1"/>
    <w:qFormat/>
    <w:uiPriority w:val="99"/>
    <w:pPr>
      <w:snapToGrid w:val="0"/>
      <w:jc w:val="left"/>
    </w:pPr>
    <w:rPr>
      <w:rFonts w:eastAsia="宋体"/>
      <w:sz w:val="18"/>
      <w:szCs w:val="18"/>
    </w:rPr>
  </w:style>
  <w:style w:type="paragraph" w:styleId="21">
    <w:name w:val="Normal (Web)"/>
    <w:basedOn w:val="1"/>
    <w:qFormat/>
    <w:uiPriority w:val="0"/>
    <w:pPr>
      <w:spacing w:before="0" w:beforeAutospacing="0" w:after="0" w:afterAutospacing="0"/>
      <w:ind w:left="0" w:right="0"/>
      <w:jc w:val="both"/>
    </w:pPr>
    <w:rPr>
      <w:rFonts w:hint="default" w:ascii="Calibri" w:hAnsi="Calibri" w:cs="Calibri"/>
      <w:kern w:val="0"/>
      <w:sz w:val="24"/>
      <w:szCs w:val="24"/>
      <w:lang w:val="en-US" w:eastAsia="zh-CN" w:bidi="ar"/>
    </w:rPr>
  </w:style>
  <w:style w:type="paragraph" w:styleId="22">
    <w:name w:val="Body Text First Indent"/>
    <w:basedOn w:val="10"/>
    <w:next w:val="7"/>
    <w:qFormat/>
    <w:uiPriority w:val="99"/>
    <w:pPr>
      <w:ind w:firstLine="420" w:firstLineChars="100"/>
    </w:pPr>
    <w:rPr>
      <w:rFonts w:ascii="Calibri" w:hAnsi="Calibri"/>
      <w:szCs w:val="22"/>
    </w:rPr>
  </w:style>
  <w:style w:type="character" w:styleId="25">
    <w:name w:val="Hyperlink"/>
    <w:qFormat/>
    <w:uiPriority w:val="0"/>
    <w:rPr>
      <w:color w:val="0000FF"/>
      <w:u w:val="single"/>
    </w:rPr>
  </w:style>
  <w:style w:type="paragraph" w:customStyle="1" w:styleId="26">
    <w:name w:val="Default"/>
    <w:qFormat/>
    <w:uiPriority w:val="0"/>
    <w:pPr>
      <w:autoSpaceDE w:val="0"/>
      <w:autoSpaceDN w:val="0"/>
      <w:adjustRightInd w:val="0"/>
    </w:pPr>
    <w:rPr>
      <w:rFonts w:ascii="Arial" w:hAnsi="Arial" w:eastAsia="宋体" w:cs="Arial"/>
      <w:color w:val="000000"/>
      <w:sz w:val="24"/>
      <w:szCs w:val="24"/>
      <w:lang w:val="en-US" w:eastAsia="zh-CN" w:bidi="ar-SA"/>
    </w:rPr>
  </w:style>
  <w:style w:type="paragraph" w:customStyle="1" w:styleId="27">
    <w:name w:val="正文2"/>
    <w:basedOn w:val="1"/>
    <w:qFormat/>
    <w:uiPriority w:val="0"/>
    <w:pPr>
      <w:adjustRightInd w:val="0"/>
      <w:spacing w:before="156" w:line="360" w:lineRule="auto"/>
      <w:ind w:firstLine="510" w:firstLineChars="200"/>
    </w:pPr>
    <w:rPr>
      <w:kern w:val="0"/>
      <w:sz w:val="24"/>
      <w:szCs w:val="20"/>
    </w:rPr>
  </w:style>
  <w:style w:type="paragraph" w:customStyle="1" w:styleId="28">
    <w:name w:val="Heading2"/>
    <w:basedOn w:val="1"/>
    <w:next w:val="1"/>
    <w:qFormat/>
    <w:uiPriority w:val="0"/>
    <w:pPr>
      <w:keepNext/>
      <w:keepLines/>
      <w:spacing w:before="260" w:after="260" w:line="416" w:lineRule="auto"/>
      <w:jc w:val="both"/>
      <w:textAlignment w:val="baseline"/>
    </w:pPr>
    <w:rPr>
      <w:rFonts w:ascii="Cambria" w:hAnsi="Cambria" w:cs="Times New Roman"/>
      <w:b/>
      <w:bCs/>
      <w:kern w:val="2"/>
      <w:sz w:val="32"/>
      <w:szCs w:val="32"/>
      <w:lang w:val="en-US" w:eastAsia="zh-CN" w:bidi="ar-SA"/>
    </w:rPr>
  </w:style>
  <w:style w:type="character" w:customStyle="1" w:styleId="29">
    <w:name w:val="NormalCharacter"/>
    <w:qFormat/>
    <w:uiPriority w:val="0"/>
    <w:rPr>
      <w:kern w:val="2"/>
      <w:sz w:val="21"/>
      <w:szCs w:val="24"/>
      <w:lang w:val="en-US" w:eastAsia="zh-CN" w:bidi="ar-SA"/>
    </w:rPr>
  </w:style>
  <w:style w:type="paragraph" w:customStyle="1" w:styleId="30">
    <w:name w:val="UserStyle_35"/>
    <w:basedOn w:val="1"/>
    <w:qFormat/>
    <w:uiPriority w:val="0"/>
    <w:pPr>
      <w:spacing w:before="156" w:line="360" w:lineRule="auto"/>
      <w:ind w:firstLine="510" w:firstLineChars="200"/>
      <w:jc w:val="both"/>
      <w:textAlignment w:val="baseline"/>
    </w:pPr>
    <w:rPr>
      <w:kern w:val="0"/>
      <w:sz w:val="24"/>
      <w:szCs w:val="20"/>
      <w:lang w:val="en-US" w:eastAsia="zh-CN" w:bidi="ar-SA"/>
    </w:rPr>
  </w:style>
  <w:style w:type="paragraph" w:customStyle="1" w:styleId="31">
    <w:name w:val="段"/>
    <w:next w:val="1"/>
    <w:qFormat/>
    <w:uiPriority w:val="0"/>
    <w:pPr>
      <w:autoSpaceDE w:val="0"/>
      <w:autoSpaceDN w:val="0"/>
      <w:adjustRightInd w:val="0"/>
      <w:snapToGrid w:val="0"/>
      <w:spacing w:line="360" w:lineRule="auto"/>
      <w:ind w:firstLine="200" w:firstLineChars="200"/>
      <w:jc w:val="both"/>
    </w:pPr>
    <w:rPr>
      <w:rFonts w:ascii="宋体" w:hAnsi="Calibri" w:eastAsia="宋体" w:cs="Times New Roman"/>
      <w:sz w:val="24"/>
      <w:szCs w:val="22"/>
      <w:lang w:val="en-US" w:eastAsia="zh-CN" w:bidi="ar-SA"/>
    </w:rPr>
  </w:style>
  <w:style w:type="paragraph" w:customStyle="1" w:styleId="32">
    <w:name w:val="样式5"/>
    <w:basedOn w:val="1"/>
    <w:qFormat/>
    <w:uiPriority w:val="99"/>
    <w:pPr>
      <w:adjustRightInd w:val="0"/>
      <w:spacing w:line="440" w:lineRule="exact"/>
      <w:ind w:left="2" w:firstLine="480" w:firstLineChars="200"/>
    </w:pPr>
    <w:rPr>
      <w:rFonts w:ascii="仿宋_GB2312" w:hAnsi="仿宋" w:eastAsia="仿宋_GB2312"/>
      <w:sz w:val="24"/>
    </w:rPr>
  </w:style>
  <w:style w:type="paragraph" w:customStyle="1" w:styleId="33">
    <w:name w:val="Table Paragraph"/>
    <w:basedOn w:val="1"/>
    <w:qFormat/>
    <w:uiPriority w:val="1"/>
    <w:pPr>
      <w:jc w:val="left"/>
    </w:pPr>
    <w:rPr>
      <w:rFonts w:ascii="Calibri" w:hAnsi="Calibri"/>
      <w:kern w:val="0"/>
      <w:sz w:val="22"/>
      <w:szCs w:val="22"/>
      <w:lang w:eastAsia="en-US"/>
    </w:rPr>
  </w:style>
  <w:style w:type="table" w:customStyle="1" w:styleId="34">
    <w:name w:val="Table Normal"/>
    <w:unhideWhenUsed/>
    <w:qFormat/>
    <w:uiPriority w:val="2"/>
    <w:tblPr>
      <w:tblCellMar>
        <w:top w:w="0" w:type="dxa"/>
        <w:left w:w="0" w:type="dxa"/>
        <w:bottom w:w="0" w:type="dxa"/>
        <w:right w:w="0" w:type="dxa"/>
      </w:tblCellMar>
    </w:tblPr>
  </w:style>
  <w:style w:type="paragraph" w:customStyle="1" w:styleId="35">
    <w:name w:val="Body text|1"/>
    <w:basedOn w:val="1"/>
    <w:qFormat/>
    <w:uiPriority w:val="0"/>
    <w:pPr>
      <w:spacing w:line="360" w:lineRule="auto"/>
      <w:ind w:firstLine="400"/>
    </w:pPr>
    <w:rPr>
      <w:rFonts w:ascii="宋体" w:hAnsi="宋体" w:eastAsia="宋体" w:cs="宋体"/>
      <w:sz w:val="20"/>
      <w:szCs w:val="20"/>
      <w:lang w:val="zh-CN" w:eastAsia="zh-CN" w:bidi="zh-CN"/>
    </w:rPr>
  </w:style>
  <w:style w:type="paragraph" w:customStyle="1" w:styleId="36">
    <w:name w:val="Other|1"/>
    <w:basedOn w:val="1"/>
    <w:qFormat/>
    <w:uiPriority w:val="0"/>
    <w:pPr>
      <w:spacing w:line="263" w:lineRule="exact"/>
    </w:pPr>
    <w:rPr>
      <w:rFonts w:ascii="宋体" w:hAnsi="宋体" w:eastAsia="宋体" w:cs="宋体"/>
      <w:color w:val="auto"/>
      <w:kern w:val="2"/>
      <w:sz w:val="18"/>
      <w:szCs w:val="18"/>
      <w:lang w:val="zh-TW" w:eastAsia="zh-TW" w:bidi="zh-TW"/>
    </w:rPr>
  </w:style>
  <w:style w:type="paragraph" w:styleId="37">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
    <w:name w:val="正文_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9">
    <w:name w:val="正文缩进1"/>
    <w:basedOn w:val="1"/>
    <w:next w:val="12"/>
    <w:qFormat/>
    <w:uiPriority w:val="99"/>
    <w:pPr>
      <w:autoSpaceDE w:val="0"/>
      <w:autoSpaceDN w:val="0"/>
      <w:adjustRightInd w:val="0"/>
      <w:snapToGrid w:val="0"/>
      <w:spacing w:after="120" w:line="360" w:lineRule="auto"/>
      <w:ind w:left="420" w:leftChars="200" w:firstLine="480" w:firstLineChars="200"/>
    </w:pPr>
    <w:rPr>
      <w:sz w:val="24"/>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theme" Target="theme/theme1.xml"/><Relationship Id="rId16" Type="http://schemas.openxmlformats.org/officeDocument/2006/relationships/footer" Target="footer9.xml"/><Relationship Id="rId15" Type="http://schemas.openxmlformats.org/officeDocument/2006/relationships/footer" Target="footer8.xml"/><Relationship Id="rId14" Type="http://schemas.openxmlformats.org/officeDocument/2006/relationships/header" Target="header5.xml"/><Relationship Id="rId13" Type="http://schemas.openxmlformats.org/officeDocument/2006/relationships/footer" Target="footer7.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112</Pages>
  <Words>4049</Words>
  <Characters>4849</Characters>
  <Lines>0</Lines>
  <Paragraphs>0</Paragraphs>
  <TotalTime>188</TotalTime>
  <ScaleCrop>false</ScaleCrop>
  <LinksUpToDate>false</LinksUpToDate>
  <CharactersWithSpaces>4919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2025-04-16T02:23:00Z</dcterms:created>
  <dc:creator>小陆</dc:creator>
  <cp:lastModifiedBy>小陆</cp:lastModifiedBy>
  <dcterms:modified xsi:type="dcterms:W3CDTF">2025-04-30T03:52:53Z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A481E5B94E3C4491AB190B247ADC055A_13</vt:lpwstr>
  </property>
  <property fmtid="{D5CDD505-2E9C-101B-9397-08002B2CF9AE}" pid="4" name="KSOTemplateDocerSaveRecord">
    <vt:lpwstr>eyJoZGlkIjoiMDQxNzI3MmRmZTYzOGU0YjlmMTRiZjUwNzQ3MDgwODMiLCJ1c2VySWQiOiIyNTY3ODQ3NjUifQ==</vt:lpwstr>
  </property>
</Properties>
</file>