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A16A">
      <w:pPr>
        <w:spacing w:before="120" w:beforeLines="50" w:line="360" w:lineRule="auto"/>
        <w:jc w:val="center"/>
        <w:rPr>
          <w:rFonts w:hint="eastAsia" w:ascii="宋体" w:hAnsi="宋体" w:cs="宋体"/>
          <w:color w:val="auto"/>
          <w:sz w:val="52"/>
          <w:szCs w:val="52"/>
          <w:highlight w:val="none"/>
        </w:rPr>
      </w:pPr>
      <w:bookmarkStart w:id="122" w:name="_GoBack"/>
    </w:p>
    <w:p w14:paraId="1B773FBC">
      <w:pPr>
        <w:spacing w:before="120" w:beforeLines="50" w:line="360" w:lineRule="auto"/>
        <w:jc w:val="center"/>
        <w:rPr>
          <w:rFonts w:hint="eastAsia" w:ascii="宋体" w:hAnsi="宋体" w:cs="宋体"/>
          <w:color w:val="auto"/>
          <w:sz w:val="52"/>
          <w:szCs w:val="52"/>
          <w:highlight w:val="none"/>
        </w:rPr>
      </w:pPr>
      <w:r>
        <w:rPr>
          <w:rFonts w:hint="eastAsia" w:ascii="宋体" w:hAnsi="宋体" w:cs="宋体"/>
          <w:b/>
          <w:bCs/>
          <w:color w:val="auto"/>
          <w:sz w:val="72"/>
          <w:szCs w:val="72"/>
          <w:highlight w:val="none"/>
        </w:rPr>
        <w:t>广西建设工程机电设备招标中心有限公司</w:t>
      </w:r>
    </w:p>
    <w:p w14:paraId="1696E4AB">
      <w:pPr>
        <w:snapToGrid w:val="0"/>
        <w:spacing w:before="120" w:beforeLines="50" w:line="360" w:lineRule="auto"/>
        <w:jc w:val="center"/>
        <w:rPr>
          <w:rFonts w:hint="eastAsia" w:ascii="宋体" w:hAnsi="宋体" w:cs="宋体"/>
          <w:color w:val="auto"/>
          <w:sz w:val="36"/>
          <w:szCs w:val="36"/>
          <w:highlight w:val="none"/>
        </w:rPr>
      </w:pPr>
    </w:p>
    <w:p w14:paraId="40E7EAA4">
      <w:pPr>
        <w:snapToGrid w:val="0"/>
        <w:spacing w:before="120" w:beforeLines="50" w:line="360" w:lineRule="auto"/>
        <w:jc w:val="center"/>
        <w:rPr>
          <w:rFonts w:hint="eastAsia" w:ascii="宋体" w:hAnsi="宋体" w:cs="宋体"/>
          <w:color w:val="auto"/>
          <w:sz w:val="44"/>
          <w:szCs w:val="44"/>
          <w:highlight w:val="none"/>
        </w:rPr>
      </w:pPr>
      <w:r>
        <w:rPr>
          <w:rFonts w:hint="eastAsia" w:ascii="宋体" w:hAnsi="宋体" w:cs="宋体"/>
          <w:color w:val="auto"/>
          <w:sz w:val="72"/>
          <w:szCs w:val="72"/>
          <w:highlight w:val="none"/>
        </w:rPr>
        <w:t>竞争性谈判文件</w:t>
      </w:r>
    </w:p>
    <w:p w14:paraId="7737408B">
      <w:pPr>
        <w:spacing w:before="240" w:beforeLines="100" w:after="120" w:after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（全流程电子化评标）</w:t>
      </w:r>
    </w:p>
    <w:p w14:paraId="4D9D2B0D">
      <w:pPr>
        <w:spacing w:line="360" w:lineRule="auto"/>
        <w:jc w:val="center"/>
        <w:rPr>
          <w:rFonts w:hint="eastAsia" w:ascii="宋体" w:hAnsi="宋体" w:cs="宋体"/>
          <w:b/>
          <w:color w:val="auto"/>
          <w:sz w:val="32"/>
          <w:szCs w:val="32"/>
          <w:highlight w:val="none"/>
        </w:rPr>
      </w:pPr>
    </w:p>
    <w:p w14:paraId="4521C992">
      <w:pPr>
        <w:spacing w:line="360" w:lineRule="auto"/>
        <w:jc w:val="center"/>
        <w:rPr>
          <w:rFonts w:hint="eastAsia" w:ascii="宋体" w:hAnsi="宋体" w:cs="宋体"/>
          <w:b/>
          <w:color w:val="auto"/>
          <w:sz w:val="32"/>
          <w:szCs w:val="32"/>
          <w:highlight w:val="none"/>
        </w:rPr>
      </w:pPr>
    </w:p>
    <w:p w14:paraId="403D6CCB">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zh-CN"/>
        </w:rPr>
        <w:t>项目</w:t>
      </w:r>
      <w:r>
        <w:rPr>
          <w:rFonts w:hint="eastAsia" w:ascii="宋体" w:hAnsi="宋体" w:cs="宋体"/>
          <w:b/>
          <w:bCs/>
          <w:color w:val="auto"/>
          <w:w w:val="95"/>
          <w:kern w:val="0"/>
          <w:sz w:val="30"/>
          <w:szCs w:val="30"/>
          <w:highlight w:val="none"/>
          <w:lang w:val="zh-CN"/>
        </w:rPr>
        <w:t>名称</w:t>
      </w:r>
      <w:r>
        <w:rPr>
          <w:rFonts w:hint="eastAsia" w:ascii="宋体" w:hAnsi="宋体" w:cs="宋体"/>
          <w:b/>
          <w:bCs/>
          <w:color w:val="auto"/>
          <w:kern w:val="0"/>
          <w:sz w:val="30"/>
          <w:szCs w:val="30"/>
          <w:highlight w:val="none"/>
          <w:lang w:val="zh-CN"/>
        </w:rPr>
        <w:t>：</w:t>
      </w:r>
      <w:r>
        <w:rPr>
          <w:rFonts w:hint="eastAsia" w:ascii="宋体" w:hAnsi="宋体" w:cs="宋体"/>
          <w:b/>
          <w:bCs/>
          <w:color w:val="auto"/>
          <w:kern w:val="0"/>
          <w:sz w:val="30"/>
          <w:szCs w:val="30"/>
          <w:highlight w:val="none"/>
          <w:lang w:eastAsia="zh-CN"/>
        </w:rPr>
        <w:t>2024年广西财经学院武鸣校区跨学科专业实验室建设项目</w:t>
      </w:r>
    </w:p>
    <w:p w14:paraId="0D011E87">
      <w:pPr>
        <w:snapToGrid w:val="0"/>
        <w:spacing w:before="120" w:beforeLines="50" w:line="360" w:lineRule="auto"/>
        <w:ind w:firstLine="1717" w:firstLineChars="600"/>
        <w:jc w:val="left"/>
        <w:rPr>
          <w:rFonts w:hint="eastAsia" w:ascii="宋体" w:hAnsi="宋体" w:cs="宋体"/>
          <w:b/>
          <w:color w:val="auto"/>
          <w:sz w:val="30"/>
          <w:szCs w:val="48"/>
          <w:highlight w:val="none"/>
        </w:rPr>
      </w:pPr>
      <w:r>
        <w:rPr>
          <w:rFonts w:hint="eastAsia" w:ascii="宋体" w:hAnsi="宋体" w:cs="宋体"/>
          <w:b/>
          <w:bCs/>
          <w:color w:val="auto"/>
          <w:w w:val="95"/>
          <w:sz w:val="30"/>
          <w:szCs w:val="30"/>
          <w:highlight w:val="none"/>
        </w:rPr>
        <w:t>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：GXZC2024-J1-006050-JGJD</w:t>
      </w:r>
    </w:p>
    <w:p w14:paraId="7C8C952C">
      <w:pPr>
        <w:snapToGrid w:val="0"/>
        <w:spacing w:before="50" w:after="120" w:line="360" w:lineRule="auto"/>
        <w:jc w:val="center"/>
        <w:rPr>
          <w:rFonts w:hint="eastAsia" w:ascii="宋体" w:hAnsi="宋体" w:cs="宋体"/>
          <w:b/>
          <w:bCs/>
          <w:color w:val="auto"/>
          <w:w w:val="95"/>
          <w:kern w:val="0"/>
          <w:sz w:val="30"/>
          <w:szCs w:val="30"/>
          <w:highlight w:val="none"/>
          <w:lang w:val="zh-CN"/>
        </w:rPr>
      </w:pPr>
    </w:p>
    <w:p w14:paraId="7C77B0E9">
      <w:pPr>
        <w:snapToGrid w:val="0"/>
        <w:spacing w:before="50" w:after="120" w:line="360" w:lineRule="auto"/>
        <w:rPr>
          <w:rFonts w:hint="eastAsia" w:ascii="宋体" w:hAnsi="宋体" w:cs="宋体"/>
          <w:b/>
          <w:bCs/>
          <w:color w:val="auto"/>
          <w:w w:val="95"/>
          <w:kern w:val="0"/>
          <w:sz w:val="30"/>
          <w:szCs w:val="30"/>
          <w:highlight w:val="none"/>
          <w:lang w:val="zh-CN"/>
        </w:rPr>
      </w:pPr>
    </w:p>
    <w:p w14:paraId="6DEF0CA8">
      <w:pPr>
        <w:snapToGrid w:val="0"/>
        <w:spacing w:before="50" w:after="120" w:line="360" w:lineRule="auto"/>
        <w:jc w:val="cente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t xml:space="preserve">采购人：广西财经学院 </w:t>
      </w:r>
    </w:p>
    <w:p w14:paraId="090BE755">
      <w:pPr>
        <w:snapToGrid w:val="0"/>
        <w:spacing w:before="50" w:after="120" w:line="360" w:lineRule="auto"/>
        <w:jc w:val="cente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t>采购代理机构：广西建设工程机电设备招标中心有限公司</w:t>
      </w:r>
    </w:p>
    <w:p w14:paraId="0EBC46CB">
      <w:pPr>
        <w:spacing w:line="360" w:lineRule="auto"/>
        <w:jc w:val="center"/>
        <w:rPr>
          <w:rFonts w:hint="eastAsia" w:ascii="宋体" w:hAnsi="宋体" w:cs="宋体"/>
          <w:b/>
          <w:color w:val="auto"/>
          <w:sz w:val="32"/>
          <w:szCs w:val="32"/>
          <w:highlight w:val="none"/>
        </w:rPr>
      </w:pPr>
    </w:p>
    <w:p w14:paraId="09ED879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2024年11月 </w:t>
      </w:r>
      <w:r>
        <w:rPr>
          <w:rFonts w:hint="eastAsia" w:ascii="宋体" w:hAnsi="宋体" w:cs="宋体"/>
          <w:b/>
          <w:color w:val="auto"/>
          <w:sz w:val="32"/>
          <w:szCs w:val="32"/>
          <w:highlight w:val="none"/>
          <w:lang w:val="en-US" w:eastAsia="zh-CN"/>
        </w:rPr>
        <w:t xml:space="preserve">14 </w:t>
      </w:r>
      <w:r>
        <w:rPr>
          <w:rFonts w:hint="eastAsia" w:ascii="宋体" w:hAnsi="宋体" w:cs="宋体"/>
          <w:b/>
          <w:color w:val="auto"/>
          <w:sz w:val="32"/>
          <w:szCs w:val="32"/>
          <w:highlight w:val="none"/>
        </w:rPr>
        <w:t>日</w:t>
      </w:r>
    </w:p>
    <w:p w14:paraId="5591D049">
      <w:pPr>
        <w:jc w:val="center"/>
        <w:rPr>
          <w:rFonts w:hint="eastAsia" w:ascii="宋体" w:hAnsi="宋体" w:cs="宋体"/>
          <w:b/>
          <w:color w:val="auto"/>
          <w:sz w:val="44"/>
          <w:szCs w:val="44"/>
          <w:highlight w:val="none"/>
        </w:rPr>
        <w:sectPr>
          <w:footerReference r:id="rId4" w:type="first"/>
          <w:headerReference r:id="rId3" w:type="default"/>
          <w:pgSz w:w="11910" w:h="16840"/>
          <w:pgMar w:top="1134" w:right="1134" w:bottom="1134" w:left="1134" w:header="720" w:footer="720" w:gutter="0"/>
          <w:cols w:space="720" w:num="1"/>
          <w:docGrid w:linePitch="1" w:charSpace="0"/>
        </w:sectPr>
      </w:pPr>
      <w:r>
        <w:rPr>
          <w:rFonts w:hint="eastAsia" w:ascii="宋体" w:hAnsi="宋体" w:cs="宋体"/>
          <w:b/>
          <w:color w:val="auto"/>
          <w:sz w:val="44"/>
          <w:szCs w:val="44"/>
          <w:highlight w:val="none"/>
        </w:rPr>
        <w:t xml:space="preserve"> </w:t>
      </w:r>
    </w:p>
    <w:p w14:paraId="485D4CC6">
      <w:pPr>
        <w:pStyle w:val="7"/>
        <w:rPr>
          <w:color w:val="auto"/>
          <w:highlight w:val="none"/>
        </w:rPr>
      </w:pPr>
    </w:p>
    <w:p w14:paraId="596BC55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67ADA25B">
      <w:pPr>
        <w:spacing w:line="400" w:lineRule="exact"/>
        <w:jc w:val="center"/>
        <w:rPr>
          <w:rFonts w:hint="eastAsia" w:ascii="宋体" w:hAnsi="宋体" w:cs="宋体"/>
          <w:b/>
          <w:color w:val="auto"/>
          <w:sz w:val="44"/>
          <w:szCs w:val="44"/>
          <w:highlight w:val="none"/>
        </w:rPr>
      </w:pPr>
    </w:p>
    <w:p w14:paraId="4A98B21B">
      <w:pPr>
        <w:pStyle w:val="25"/>
        <w:tabs>
          <w:tab w:val="right" w:leader="dot" w:pos="9642"/>
        </w:tabs>
        <w:spacing w:line="480" w:lineRule="auto"/>
        <w:rPr>
          <w:rFonts w:hint="eastAsia" w:ascii="宋体" w:hAnsi="宋体" w:cs="宋体"/>
          <w:color w:val="auto"/>
          <w:sz w:val="30"/>
          <w:szCs w:val="30"/>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"_Toc27810" </w:instrText>
      </w:r>
      <w:r>
        <w:rPr>
          <w:color w:val="auto"/>
          <w:highlight w:val="none"/>
        </w:rPr>
        <w:fldChar w:fldCharType="separate"/>
      </w:r>
      <w:r>
        <w:rPr>
          <w:rFonts w:hint="eastAsia" w:ascii="宋体" w:hAnsi="宋体" w:cs="宋体"/>
          <w:bCs/>
          <w:color w:val="auto"/>
          <w:kern w:val="44"/>
          <w:sz w:val="30"/>
          <w:szCs w:val="30"/>
          <w:highlight w:val="none"/>
          <w:lang w:val="zh-CN"/>
        </w:rPr>
        <w:t xml:space="preserve">第一章 </w:t>
      </w:r>
      <w:r>
        <w:rPr>
          <w:rFonts w:hint="eastAsia" w:ascii="宋体" w:hAnsi="宋体" w:cs="宋体"/>
          <w:bCs/>
          <w:color w:val="auto"/>
          <w:kern w:val="44"/>
          <w:sz w:val="30"/>
          <w:szCs w:val="30"/>
          <w:highlight w:val="none"/>
        </w:rPr>
        <w:t xml:space="preserve"> </w:t>
      </w:r>
      <w:r>
        <w:rPr>
          <w:rFonts w:hint="eastAsia" w:ascii="宋体" w:hAnsi="宋体" w:cs="宋体"/>
          <w:bCs/>
          <w:color w:val="auto"/>
          <w:kern w:val="44"/>
          <w:sz w:val="30"/>
          <w:szCs w:val="30"/>
          <w:highlight w:val="none"/>
          <w:lang w:val="zh-CN"/>
        </w:rPr>
        <w:t>竞争性谈判公告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_Toc27810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18BFF801">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"_Toc23118" </w:instrText>
      </w:r>
      <w:r>
        <w:rPr>
          <w:color w:val="auto"/>
          <w:highlight w:val="none"/>
        </w:rPr>
        <w:fldChar w:fldCharType="separate"/>
      </w:r>
      <w:r>
        <w:rPr>
          <w:rFonts w:hint="eastAsia" w:ascii="宋体" w:hAnsi="宋体" w:cs="宋体"/>
          <w:bCs/>
          <w:color w:val="auto"/>
          <w:kern w:val="44"/>
          <w:sz w:val="30"/>
          <w:szCs w:val="30"/>
          <w:highlight w:val="none"/>
          <w:lang w:val="zh-CN"/>
        </w:rPr>
        <w:t xml:space="preserve">第二章 </w:t>
      </w:r>
      <w:r>
        <w:rPr>
          <w:rFonts w:hint="eastAsia" w:ascii="宋体" w:hAnsi="宋体" w:cs="宋体"/>
          <w:bCs/>
          <w:color w:val="auto"/>
          <w:kern w:val="44"/>
          <w:sz w:val="30"/>
          <w:szCs w:val="30"/>
          <w:highlight w:val="none"/>
        </w:rPr>
        <w:t xml:space="preserve"> </w:t>
      </w:r>
      <w:r>
        <w:rPr>
          <w:rFonts w:hint="eastAsia" w:ascii="宋体" w:hAnsi="宋体" w:cs="宋体"/>
          <w:bCs/>
          <w:color w:val="auto"/>
          <w:kern w:val="44"/>
          <w:sz w:val="30"/>
          <w:szCs w:val="30"/>
          <w:highlight w:val="none"/>
          <w:lang w:val="zh-CN"/>
        </w:rPr>
        <w:t>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_Toc23118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1308777">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"_Toc14469" </w:instrText>
      </w:r>
      <w:r>
        <w:rPr>
          <w:color w:val="auto"/>
          <w:highlight w:val="none"/>
        </w:rPr>
        <w:fldChar w:fldCharType="separate"/>
      </w:r>
      <w:r>
        <w:rPr>
          <w:rFonts w:hint="eastAsia" w:ascii="宋体" w:hAnsi="宋体" w:cs="宋体"/>
          <w:color w:val="auto"/>
          <w:kern w:val="44"/>
          <w:sz w:val="30"/>
          <w:szCs w:val="30"/>
          <w:highlight w:val="none"/>
          <w:lang w:val="zh-CN"/>
        </w:rPr>
        <w:t xml:space="preserve">第三章 </w:t>
      </w:r>
      <w:r>
        <w:rPr>
          <w:rFonts w:hint="eastAsia" w:ascii="宋体" w:hAnsi="宋体" w:cs="宋体"/>
          <w:color w:val="auto"/>
          <w:kern w:val="44"/>
          <w:sz w:val="30"/>
          <w:szCs w:val="30"/>
          <w:highlight w:val="none"/>
        </w:rPr>
        <w:t xml:space="preserve"> </w:t>
      </w:r>
      <w:r>
        <w:rPr>
          <w:rFonts w:hint="eastAsia" w:ascii="宋体" w:hAnsi="宋体" w:cs="宋体"/>
          <w:color w:val="auto"/>
          <w:kern w:val="44"/>
          <w:sz w:val="30"/>
          <w:szCs w:val="30"/>
          <w:highlight w:val="none"/>
          <w:lang w:val="zh-CN"/>
        </w:rPr>
        <w:t>供应商须知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_Toc14469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1A09E5DF">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"_Toc11059" </w:instrText>
      </w:r>
      <w:r>
        <w:rPr>
          <w:color w:val="auto"/>
          <w:highlight w:val="none"/>
        </w:rPr>
        <w:fldChar w:fldCharType="separate"/>
      </w:r>
      <w:r>
        <w:rPr>
          <w:rFonts w:hint="eastAsia" w:ascii="宋体" w:hAnsi="宋体" w:cs="宋体"/>
          <w:bCs/>
          <w:color w:val="auto"/>
          <w:kern w:val="44"/>
          <w:sz w:val="30"/>
          <w:szCs w:val="30"/>
          <w:highlight w:val="none"/>
          <w:lang w:val="zh-CN"/>
        </w:rPr>
        <w:t>第四章  评审程序、评审方法和成交标准</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_Toc11059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0A7C98E">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"_Toc2649" </w:instrText>
      </w:r>
      <w:r>
        <w:rPr>
          <w:color w:val="auto"/>
          <w:highlight w:val="none"/>
        </w:rPr>
        <w:fldChar w:fldCharType="separate"/>
      </w:r>
      <w:r>
        <w:rPr>
          <w:rFonts w:hint="eastAsia" w:ascii="宋体" w:hAnsi="宋体" w:cs="宋体"/>
          <w:bCs/>
          <w:color w:val="auto"/>
          <w:kern w:val="44"/>
          <w:sz w:val="30"/>
          <w:szCs w:val="30"/>
          <w:highlight w:val="none"/>
          <w:lang w:val="zh-CN"/>
        </w:rPr>
        <w:t xml:space="preserve">第五章 </w:t>
      </w:r>
      <w:r>
        <w:rPr>
          <w:rFonts w:hint="eastAsia" w:ascii="宋体" w:hAnsi="宋体" w:cs="宋体"/>
          <w:bCs/>
          <w:color w:val="auto"/>
          <w:kern w:val="44"/>
          <w:sz w:val="30"/>
          <w:szCs w:val="30"/>
          <w:highlight w:val="none"/>
        </w:rPr>
        <w:t xml:space="preserve"> </w:t>
      </w:r>
      <w:r>
        <w:rPr>
          <w:rFonts w:hint="eastAsia" w:ascii="宋体" w:hAnsi="宋体" w:cs="宋体"/>
          <w:bCs/>
          <w:color w:val="auto"/>
          <w:kern w:val="44"/>
          <w:sz w:val="30"/>
          <w:szCs w:val="30"/>
          <w:highlight w:val="none"/>
          <w:lang w:val="zh-CN"/>
        </w:rPr>
        <w:t>响应文件格式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_Toc2649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341EAF21">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"_Toc14224" </w:instrText>
      </w:r>
      <w:r>
        <w:rPr>
          <w:color w:val="auto"/>
          <w:highlight w:val="none"/>
        </w:rPr>
        <w:fldChar w:fldCharType="separate"/>
      </w:r>
      <w:r>
        <w:rPr>
          <w:rFonts w:hint="eastAsia" w:ascii="宋体" w:hAnsi="宋体" w:cs="宋体"/>
          <w:color w:val="auto"/>
          <w:kern w:val="44"/>
          <w:sz w:val="30"/>
          <w:szCs w:val="30"/>
          <w:highlight w:val="none"/>
          <w:lang w:val="zh-CN"/>
        </w:rPr>
        <w:t>第六章  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_Toc14224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79</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4B7622D">
      <w:pPr>
        <w:pStyle w:val="25"/>
        <w:tabs>
          <w:tab w:val="right" w:leader="dot" w:pos="9642"/>
        </w:tabs>
        <w:spacing w:line="480" w:lineRule="auto"/>
        <w:rPr>
          <w:rFonts w:hint="eastAsia"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"_Toc26819" </w:instrText>
      </w:r>
      <w:r>
        <w:rPr>
          <w:color w:val="auto"/>
          <w:highlight w:val="none"/>
        </w:rPr>
        <w:fldChar w:fldCharType="separate"/>
      </w:r>
      <w:r>
        <w:rPr>
          <w:rFonts w:hint="eastAsia" w:ascii="宋体" w:hAnsi="宋体" w:cs="宋体"/>
          <w:bCs/>
          <w:color w:val="auto"/>
          <w:kern w:val="44"/>
          <w:sz w:val="30"/>
          <w:szCs w:val="30"/>
          <w:highlight w:val="none"/>
          <w:lang w:val="zh-CN"/>
        </w:rPr>
        <w:t xml:space="preserve">第七章 </w:t>
      </w:r>
      <w:r>
        <w:rPr>
          <w:rFonts w:hint="eastAsia" w:ascii="宋体" w:hAnsi="宋体" w:cs="宋体"/>
          <w:bCs/>
          <w:color w:val="auto"/>
          <w:kern w:val="44"/>
          <w:sz w:val="30"/>
          <w:szCs w:val="30"/>
          <w:highlight w:val="none"/>
        </w:rPr>
        <w:t xml:space="preserve"> </w:t>
      </w:r>
      <w:r>
        <w:rPr>
          <w:rFonts w:hint="eastAsia" w:ascii="宋体" w:hAnsi="宋体" w:cs="宋体"/>
          <w:bCs/>
          <w:color w:val="auto"/>
          <w:kern w:val="44"/>
          <w:sz w:val="30"/>
          <w:szCs w:val="30"/>
          <w:highlight w:val="none"/>
          <w:lang w:val="zh-CN"/>
        </w:rPr>
        <w:t>质疑、投诉材料格式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_Toc26819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86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1277C23">
      <w:pPr>
        <w:spacing w:line="480" w:lineRule="auto"/>
        <w:rPr>
          <w:rFonts w:hint="eastAsia" w:ascii="宋体" w:hAnsi="宋体" w:cs="宋体"/>
          <w:b/>
          <w:color w:val="auto"/>
          <w:sz w:val="32"/>
          <w:szCs w:val="32"/>
          <w:highlight w:val="none"/>
        </w:rPr>
      </w:pPr>
      <w:r>
        <w:rPr>
          <w:rFonts w:hint="eastAsia" w:ascii="宋体" w:hAnsi="宋体" w:cs="宋体"/>
          <w:color w:val="auto"/>
          <w:sz w:val="30"/>
          <w:szCs w:val="30"/>
          <w:highlight w:val="none"/>
        </w:rPr>
        <w:fldChar w:fldCharType="end"/>
      </w:r>
    </w:p>
    <w:p w14:paraId="63BC8FFF">
      <w:pPr>
        <w:spacing w:line="400" w:lineRule="exact"/>
        <w:rPr>
          <w:rFonts w:hint="eastAsia" w:ascii="宋体" w:hAnsi="宋体" w:cs="宋体"/>
          <w:b/>
          <w:color w:val="auto"/>
          <w:sz w:val="32"/>
          <w:szCs w:val="32"/>
          <w:highlight w:val="none"/>
        </w:rPr>
      </w:pPr>
    </w:p>
    <w:p w14:paraId="77F5EC67">
      <w:pPr>
        <w:keepNext/>
        <w:keepLines/>
        <w:spacing w:before="340" w:after="330" w:line="400" w:lineRule="exact"/>
        <w:jc w:val="center"/>
        <w:outlineLvl w:val="0"/>
        <w:rPr>
          <w:rFonts w:hint="eastAsia" w:ascii="宋体" w:hAnsi="宋体" w:cs="宋体"/>
          <w:b/>
          <w:bCs/>
          <w:color w:val="auto"/>
          <w:kern w:val="44"/>
          <w:sz w:val="44"/>
          <w:szCs w:val="44"/>
          <w:highlight w:val="none"/>
          <w:lang w:val="zh-CN"/>
        </w:rPr>
      </w:pPr>
      <w:bookmarkStart w:id="0" w:name="_Toc80205920"/>
      <w:r>
        <w:rPr>
          <w:rFonts w:hint="eastAsia" w:ascii="宋体" w:hAnsi="宋体" w:cs="宋体"/>
          <w:b/>
          <w:color w:val="auto"/>
          <w:sz w:val="32"/>
          <w:szCs w:val="32"/>
          <w:highlight w:val="none"/>
        </w:rPr>
        <w:br w:type="page"/>
      </w:r>
      <w:bookmarkStart w:id="1" w:name="_Toc27810"/>
      <w:r>
        <w:rPr>
          <w:rFonts w:hint="eastAsia" w:ascii="宋体" w:hAnsi="宋体" w:cs="宋体"/>
          <w:b/>
          <w:bCs/>
          <w:color w:val="auto"/>
          <w:kern w:val="44"/>
          <w:sz w:val="44"/>
          <w:szCs w:val="44"/>
          <w:highlight w:val="none"/>
          <w:lang w:val="zh-CN"/>
        </w:rPr>
        <w:t>第一章 竞争性谈判公告</w:t>
      </w:r>
      <w:bookmarkEnd w:id="0"/>
      <w:bookmarkEnd w:id="1"/>
      <w:bookmarkStart w:id="2" w:name="_Toc28359089"/>
      <w:bookmarkStart w:id="3" w:name="_Toc28359081"/>
      <w:bookmarkStart w:id="4" w:name="_Toc35393623"/>
      <w:bookmarkStart w:id="5" w:name="_Toc44229878"/>
      <w:bookmarkStart w:id="6" w:name="_Toc35393629"/>
      <w:bookmarkStart w:id="7" w:name="_Toc28359004"/>
      <w:bookmarkStart w:id="8" w:name="_Toc35393798"/>
      <w:bookmarkStart w:id="9" w:name="_Toc28359012"/>
      <w:bookmarkStart w:id="10" w:name="_Toc35393792"/>
    </w:p>
    <w:bookmarkEnd w:id="2"/>
    <w:bookmarkEnd w:id="3"/>
    <w:bookmarkEnd w:id="4"/>
    <w:bookmarkEnd w:id="5"/>
    <w:bookmarkEnd w:id="6"/>
    <w:bookmarkEnd w:id="7"/>
    <w:bookmarkEnd w:id="8"/>
    <w:bookmarkEnd w:id="9"/>
    <w:bookmarkEnd w:id="10"/>
    <w:p w14:paraId="506AA5E9">
      <w:pPr>
        <w:jc w:val="center"/>
        <w:rPr>
          <w:rFonts w:hint="eastAsia" w:ascii="宋体" w:hAnsi="宋体" w:cs="宋体"/>
          <w:b/>
          <w:color w:val="auto"/>
          <w:sz w:val="36"/>
          <w:szCs w:val="24"/>
          <w:highlight w:val="none"/>
        </w:rPr>
      </w:pPr>
      <w:bookmarkStart w:id="11" w:name="_Toc80205921"/>
      <w:r>
        <w:rPr>
          <w:rFonts w:hint="eastAsia" w:ascii="宋体" w:hAnsi="宋体" w:cs="宋体"/>
          <w:b/>
          <w:color w:val="auto"/>
          <w:sz w:val="36"/>
          <w:szCs w:val="24"/>
          <w:highlight w:val="none"/>
        </w:rPr>
        <w:t>广西建设工程机电设备招标中心有限公司关于</w:t>
      </w:r>
      <w:r>
        <w:rPr>
          <w:rFonts w:hint="eastAsia" w:ascii="宋体" w:hAnsi="宋体" w:cs="宋体"/>
          <w:b/>
          <w:color w:val="auto"/>
          <w:sz w:val="36"/>
          <w:szCs w:val="24"/>
          <w:highlight w:val="none"/>
          <w:lang w:eastAsia="zh-CN"/>
        </w:rPr>
        <w:t>2024年广西财经学院武鸣校区跨学科专业实验室建设项目</w:t>
      </w:r>
      <w:r>
        <w:rPr>
          <w:rFonts w:hint="eastAsia" w:ascii="宋体" w:hAnsi="宋体" w:cs="宋体"/>
          <w:b/>
          <w:color w:val="auto"/>
          <w:sz w:val="36"/>
          <w:szCs w:val="24"/>
          <w:highlight w:val="none"/>
        </w:rPr>
        <w:t>（</w:t>
      </w:r>
      <w:r>
        <w:rPr>
          <w:rFonts w:hint="eastAsia" w:ascii="宋体" w:hAnsi="宋体" w:cs="宋体"/>
          <w:b/>
          <w:bCs/>
          <w:color w:val="auto"/>
          <w:w w:val="95"/>
          <w:sz w:val="30"/>
          <w:szCs w:val="30"/>
          <w:highlight w:val="none"/>
        </w:rPr>
        <w:t>GXZC2024-J1-006050-JGJD</w:t>
      </w:r>
      <w:r>
        <w:rPr>
          <w:rFonts w:hint="eastAsia" w:ascii="宋体" w:hAnsi="宋体" w:cs="宋体"/>
          <w:b/>
          <w:color w:val="auto"/>
          <w:sz w:val="36"/>
          <w:szCs w:val="24"/>
          <w:highlight w:val="none"/>
        </w:rPr>
        <w:t>）的竞争性谈判公告</w:t>
      </w:r>
    </w:p>
    <w:tbl>
      <w:tblPr>
        <w:tblStyle w:val="3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5E22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tcPr>
          <w:p w14:paraId="6EF28136">
            <w:pPr>
              <w:spacing w:line="360" w:lineRule="auto"/>
              <w:rPr>
                <w:rFonts w:hint="eastAsia" w:ascii="宋体" w:hAnsi="宋体" w:cs="宋体"/>
                <w:color w:val="auto"/>
                <w:highlight w:val="none"/>
              </w:rPr>
            </w:pPr>
            <w:r>
              <w:rPr>
                <w:rFonts w:hint="eastAsia" w:ascii="宋体" w:hAnsi="宋体" w:cs="宋体"/>
                <w:color w:val="auto"/>
                <w:highlight w:val="none"/>
              </w:rPr>
              <w:t>项目概况</w:t>
            </w:r>
          </w:p>
          <w:p w14:paraId="6D7329F6">
            <w:pPr>
              <w:spacing w:line="360" w:lineRule="auto"/>
              <w:ind w:firstLine="420" w:firstLineChars="200"/>
              <w:rPr>
                <w:rFonts w:hint="eastAsia" w:ascii="黑体" w:hAnsi="黑体" w:eastAsia="黑体" w:cs="宋体"/>
                <w:bCs/>
                <w:color w:val="auto"/>
                <w:sz w:val="24"/>
                <w:szCs w:val="24"/>
                <w:highlight w:val="none"/>
              </w:rPr>
            </w:pPr>
            <w:r>
              <w:rPr>
                <w:rFonts w:hint="eastAsia" w:ascii="宋体" w:hAnsi="宋体" w:cs="宋体"/>
                <w:color w:val="auto"/>
                <w:highlight w:val="none"/>
                <w:lang w:eastAsia="zh-CN"/>
              </w:rPr>
              <w:t>2024年广西财经学院武鸣校区跨学科专业实验室建设项目</w:t>
            </w:r>
            <w:r>
              <w:rPr>
                <w:rFonts w:hint="eastAsia" w:ascii="宋体" w:hAnsi="宋体" w:cs="宋体"/>
                <w:color w:val="auto"/>
                <w:highlight w:val="none"/>
              </w:rPr>
              <w:t xml:space="preserve">的潜在供应商应在广西政府采购云平台（https://www.gcy.zfcg.gxzf.gov.cn/）获取（下载）采购文件，并于2024年 </w:t>
            </w:r>
            <w:r>
              <w:rPr>
                <w:rFonts w:hint="eastAsia" w:ascii="宋体" w:hAnsi="宋体" w:cs="宋体"/>
                <w:color w:val="auto"/>
                <w:highlight w:val="none"/>
                <w:lang w:val="en-US" w:eastAsia="zh-CN"/>
              </w:rPr>
              <w:t>11</w:t>
            </w:r>
            <w:r>
              <w:rPr>
                <w:rFonts w:hint="eastAsia" w:ascii="宋体" w:hAnsi="宋体" w:cs="宋体"/>
                <w:color w:val="auto"/>
                <w:highlight w:val="none"/>
              </w:rPr>
              <w:t xml:space="preserve"> 月 </w:t>
            </w:r>
            <w:r>
              <w:rPr>
                <w:rFonts w:hint="eastAsia" w:ascii="宋体" w:hAnsi="宋体" w:cs="宋体"/>
                <w:color w:val="auto"/>
                <w:highlight w:val="none"/>
                <w:lang w:val="en-US" w:eastAsia="zh-CN"/>
              </w:rPr>
              <w:t>21</w:t>
            </w:r>
            <w:r>
              <w:rPr>
                <w:rFonts w:hint="eastAsia" w:ascii="宋体" w:hAnsi="宋体" w:cs="宋体"/>
                <w:color w:val="auto"/>
                <w:highlight w:val="none"/>
              </w:rPr>
              <w:t xml:space="preserve"> 日09:30:00（北京时间）前提交响应文件。</w:t>
            </w:r>
          </w:p>
        </w:tc>
      </w:tr>
    </w:tbl>
    <w:p w14:paraId="28586E6A">
      <w:pPr>
        <w:spacing w:line="360" w:lineRule="auto"/>
        <w:ind w:firstLine="482" w:firstLineChars="200"/>
        <w:rPr>
          <w:rFonts w:hint="eastAsia" w:ascii="黑体" w:hAnsi="黑体" w:eastAsia="黑体" w:cs="宋体"/>
          <w:b/>
          <w:color w:val="auto"/>
          <w:kern w:val="44"/>
          <w:sz w:val="24"/>
          <w:szCs w:val="24"/>
          <w:highlight w:val="none"/>
        </w:rPr>
      </w:pPr>
      <w:r>
        <w:rPr>
          <w:rFonts w:hint="eastAsia" w:ascii="黑体" w:hAnsi="黑体" w:eastAsia="黑体" w:cs="宋体"/>
          <w:b/>
          <w:color w:val="auto"/>
          <w:kern w:val="44"/>
          <w:sz w:val="24"/>
          <w:szCs w:val="24"/>
          <w:highlight w:val="none"/>
        </w:rPr>
        <w:t>一、项目基本情况</w:t>
      </w:r>
    </w:p>
    <w:p w14:paraId="2CC39342">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b w:val="0"/>
          <w:bCs w:val="0"/>
          <w:color w:val="auto"/>
          <w:szCs w:val="21"/>
          <w:highlight w:val="none"/>
        </w:rPr>
        <w:t>GXZC2024-J1-006050-JGJD</w:t>
      </w:r>
    </w:p>
    <w:p w14:paraId="3623ED98">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2024年广西财经学院武鸣校区跨学科专业实验室建设项目</w:t>
      </w:r>
    </w:p>
    <w:p w14:paraId="0B5DB7FB">
      <w:pPr>
        <w:spacing w:line="360" w:lineRule="auto"/>
        <w:ind w:firstLine="422" w:firstLineChars="200"/>
        <w:rPr>
          <w:rFonts w:hint="eastAsia" w:ascii="宋体" w:hAnsi="宋体"/>
          <w:color w:val="auto"/>
          <w:szCs w:val="21"/>
          <w:highlight w:val="none"/>
          <w:u w:val="single"/>
        </w:rPr>
      </w:pPr>
      <w:r>
        <w:rPr>
          <w:rFonts w:hint="eastAsia" w:ascii="宋体" w:hAnsi="宋体"/>
          <w:b/>
          <w:bCs/>
          <w:color w:val="auto"/>
          <w:szCs w:val="21"/>
          <w:highlight w:val="none"/>
        </w:rPr>
        <w:t>预算金额（元）</w:t>
      </w:r>
      <w:r>
        <w:rPr>
          <w:rFonts w:hint="eastAsia" w:ascii="宋体" w:hAnsi="宋体"/>
          <w:color w:val="auto"/>
          <w:szCs w:val="21"/>
          <w:highlight w:val="none"/>
        </w:rPr>
        <w:t>：2449400.00</w:t>
      </w:r>
    </w:p>
    <w:p w14:paraId="34FCD5DC">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采购需求：</w:t>
      </w:r>
      <w:r>
        <w:rPr>
          <w:rFonts w:ascii="宋体" w:hAnsi="宋体"/>
          <w:b/>
          <w:bCs/>
          <w:color w:val="auto"/>
          <w:szCs w:val="21"/>
          <w:highlight w:val="none"/>
        </w:rPr>
        <w:t xml:space="preserve"> </w:t>
      </w:r>
    </w:p>
    <w:p w14:paraId="54FC8DF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2024年广西财经学院武鸣校区跨学科专业实验室建设项目</w:t>
      </w:r>
    </w:p>
    <w:p w14:paraId="4D2A433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14:paraId="23E381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预算金额（元）：2449400.00</w:t>
      </w:r>
    </w:p>
    <w:p w14:paraId="23F948C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简要规格描述或项目基本概况介绍、用途：采购跨学科专业实验室设备1批，如需进一步了解详细内容，详见竞争性谈判文件。</w:t>
      </w:r>
    </w:p>
    <w:p w14:paraId="0A2ACEF7">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最高限价：2449400.00</w:t>
      </w:r>
      <w:r>
        <w:rPr>
          <w:rFonts w:hint="eastAsia" w:ascii="宋体" w:hAnsi="宋体"/>
          <w:color w:val="auto"/>
          <w:szCs w:val="21"/>
          <w:highlight w:val="none"/>
          <w:lang w:val="en-US" w:eastAsia="zh-CN"/>
        </w:rPr>
        <w:t>元</w:t>
      </w:r>
    </w:p>
    <w:p w14:paraId="3C675D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合同履约期限：自合同签订之日起30日内交付并安装验收完毕。</w:t>
      </w:r>
    </w:p>
    <w:p w14:paraId="7643773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本标段（否）接受联合体竞标。</w:t>
      </w:r>
    </w:p>
    <w:p w14:paraId="7C79ED43">
      <w:pPr>
        <w:spacing w:line="360" w:lineRule="auto"/>
        <w:ind w:firstLine="482" w:firstLineChars="200"/>
        <w:rPr>
          <w:rFonts w:hint="eastAsia" w:ascii="黑体" w:hAnsi="黑体" w:eastAsia="黑体" w:cs="宋体"/>
          <w:bCs/>
          <w:color w:val="auto"/>
          <w:sz w:val="24"/>
          <w:szCs w:val="24"/>
          <w:highlight w:val="none"/>
        </w:rPr>
      </w:pPr>
      <w:bookmarkStart w:id="12" w:name="_Toc28359013"/>
      <w:bookmarkStart w:id="13" w:name="_Toc28359090"/>
      <w:bookmarkStart w:id="14" w:name="_Toc35393799"/>
      <w:bookmarkStart w:id="15" w:name="_Toc35393630"/>
      <w:bookmarkStart w:id="16" w:name="_Toc44229879"/>
      <w:r>
        <w:rPr>
          <w:rFonts w:hint="eastAsia" w:ascii="黑体" w:hAnsi="黑体" w:eastAsia="黑体" w:cs="宋体"/>
          <w:b/>
          <w:color w:val="auto"/>
          <w:kern w:val="44"/>
          <w:sz w:val="24"/>
          <w:szCs w:val="24"/>
          <w:highlight w:val="none"/>
        </w:rPr>
        <w:t>二、</w:t>
      </w:r>
      <w:bookmarkEnd w:id="12"/>
      <w:bookmarkEnd w:id="13"/>
      <w:bookmarkEnd w:id="14"/>
      <w:bookmarkEnd w:id="15"/>
      <w:bookmarkEnd w:id="16"/>
      <w:r>
        <w:rPr>
          <w:rFonts w:hint="eastAsia" w:ascii="黑体" w:hAnsi="黑体" w:eastAsia="黑体" w:cs="宋体"/>
          <w:b/>
          <w:color w:val="auto"/>
          <w:kern w:val="44"/>
          <w:sz w:val="24"/>
          <w:szCs w:val="24"/>
          <w:highlight w:val="none"/>
        </w:rPr>
        <w:t>申请人的资格要求</w:t>
      </w:r>
    </w:p>
    <w:p w14:paraId="5C3CBD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4AE77A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.落实政府采购政策需满足的资格要求：本项目非专门面向中小企业采购的项目。</w:t>
      </w:r>
    </w:p>
    <w:p w14:paraId="690BDD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3.本项目的特定资格要求：无。</w:t>
      </w:r>
    </w:p>
    <w:p w14:paraId="7D77C899">
      <w:pPr>
        <w:spacing w:line="360" w:lineRule="auto"/>
        <w:ind w:firstLine="482" w:firstLineChars="200"/>
        <w:rPr>
          <w:rFonts w:hint="eastAsia" w:ascii="黑体" w:hAnsi="黑体" w:eastAsia="黑体"/>
          <w:b/>
          <w:bCs/>
          <w:color w:val="auto"/>
          <w:sz w:val="24"/>
          <w:szCs w:val="24"/>
          <w:highlight w:val="none"/>
        </w:rPr>
      </w:pPr>
      <w:r>
        <w:rPr>
          <w:rFonts w:hint="eastAsia" w:ascii="黑体" w:hAnsi="黑体" w:eastAsia="黑体"/>
          <w:b/>
          <w:bCs/>
          <w:color w:val="auto"/>
          <w:sz w:val="24"/>
          <w:szCs w:val="24"/>
          <w:highlight w:val="none"/>
        </w:rPr>
        <w:t>三、获取采购文件</w:t>
      </w:r>
    </w:p>
    <w:p w14:paraId="7C677D62">
      <w:pPr>
        <w:snapToGrid w:val="0"/>
        <w:spacing w:line="360" w:lineRule="auto"/>
        <w:ind w:firstLine="420" w:firstLineChars="200"/>
        <w:rPr>
          <w:rFonts w:hint="eastAsia" w:ascii="宋体" w:hAnsi="宋体"/>
          <w:color w:val="auto"/>
          <w:szCs w:val="21"/>
          <w:highlight w:val="none"/>
        </w:rPr>
      </w:pPr>
      <w:bookmarkStart w:id="17" w:name="_Toc28359005"/>
      <w:bookmarkStart w:id="18" w:name="_Toc35393624"/>
      <w:bookmarkStart w:id="19" w:name="_Toc28359082"/>
      <w:bookmarkStart w:id="20" w:name="_Toc35393793"/>
      <w:r>
        <w:rPr>
          <w:rFonts w:hint="eastAsia" w:ascii="宋体" w:hAnsi="宋体"/>
          <w:color w:val="auto"/>
          <w:szCs w:val="21"/>
          <w:highlight w:val="none"/>
        </w:rPr>
        <w:t xml:space="preserve">时间：2024年 </w:t>
      </w:r>
      <w:r>
        <w:rPr>
          <w:rFonts w:hint="eastAsia" w:ascii="宋体" w:hAnsi="宋体"/>
          <w:color w:val="auto"/>
          <w:szCs w:val="21"/>
          <w:highlight w:val="none"/>
          <w:lang w:val="en-US" w:eastAsia="zh-CN"/>
        </w:rPr>
        <w:t>11</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14</w:t>
      </w:r>
      <w:r>
        <w:rPr>
          <w:rFonts w:hint="eastAsia" w:ascii="宋体" w:hAnsi="宋体"/>
          <w:color w:val="auto"/>
          <w:szCs w:val="21"/>
          <w:highlight w:val="none"/>
        </w:rPr>
        <w:t xml:space="preserve"> 日至2024年 </w:t>
      </w:r>
      <w:r>
        <w:rPr>
          <w:rFonts w:hint="eastAsia" w:ascii="宋体" w:hAnsi="宋体"/>
          <w:color w:val="auto"/>
          <w:szCs w:val="21"/>
          <w:highlight w:val="none"/>
          <w:lang w:val="en-US" w:eastAsia="zh-CN"/>
        </w:rPr>
        <w:t>11</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19</w:t>
      </w:r>
      <w:r>
        <w:rPr>
          <w:rFonts w:hint="eastAsia" w:ascii="宋体" w:hAnsi="宋体"/>
          <w:color w:val="auto"/>
          <w:szCs w:val="21"/>
          <w:highlight w:val="none"/>
        </w:rPr>
        <w:t xml:space="preserve"> 日，每天上午00:00至11:59，下午12:00至23:59（北京时间）</w:t>
      </w:r>
    </w:p>
    <w:p w14:paraId="289C787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地点（网址）：广西政府采购云平台（https://www.gcy.zfcg.gxzf.gov.cn/）</w:t>
      </w:r>
    </w:p>
    <w:p w14:paraId="3778B0F2">
      <w:pPr>
        <w:spacing w:line="360" w:lineRule="auto"/>
        <w:ind w:firstLine="420" w:firstLineChars="200"/>
        <w:rPr>
          <w:rFonts w:hint="eastAsia" w:ascii="黑体" w:hAnsi="黑体" w:eastAsia="黑体"/>
          <w:b/>
          <w:bCs/>
          <w:color w:val="auto"/>
          <w:sz w:val="24"/>
          <w:szCs w:val="24"/>
          <w:highlight w:val="none"/>
        </w:rPr>
      </w:pPr>
      <w:r>
        <w:rPr>
          <w:rFonts w:hint="eastAsia" w:ascii="宋体" w:hAnsi="宋体"/>
          <w:color w:val="auto"/>
          <w:szCs w:val="21"/>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29CC724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69C4A66E">
      <w:pPr>
        <w:spacing w:line="360" w:lineRule="auto"/>
        <w:ind w:firstLine="482" w:firstLineChars="200"/>
        <w:rPr>
          <w:rFonts w:hint="eastAsia" w:ascii="黑体" w:hAnsi="黑体" w:eastAsia="黑体"/>
          <w:b/>
          <w:bCs/>
          <w:color w:val="auto"/>
          <w:sz w:val="24"/>
          <w:szCs w:val="24"/>
          <w:highlight w:val="none"/>
        </w:rPr>
      </w:pPr>
      <w:r>
        <w:rPr>
          <w:rFonts w:hint="eastAsia" w:ascii="黑体" w:hAnsi="黑体" w:eastAsia="黑体"/>
          <w:b/>
          <w:bCs/>
          <w:color w:val="auto"/>
          <w:sz w:val="24"/>
          <w:szCs w:val="24"/>
          <w:highlight w:val="none"/>
        </w:rPr>
        <w:t>四、</w:t>
      </w:r>
      <w:bookmarkEnd w:id="17"/>
      <w:bookmarkEnd w:id="18"/>
      <w:bookmarkEnd w:id="19"/>
      <w:bookmarkEnd w:id="20"/>
      <w:r>
        <w:rPr>
          <w:rFonts w:hint="eastAsia" w:ascii="黑体" w:hAnsi="黑体" w:eastAsia="黑体"/>
          <w:b/>
          <w:bCs/>
          <w:color w:val="auto"/>
          <w:sz w:val="24"/>
          <w:szCs w:val="24"/>
          <w:highlight w:val="none"/>
        </w:rPr>
        <w:t>响应文件提交</w:t>
      </w:r>
    </w:p>
    <w:p w14:paraId="3A49479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1、首次响应文件提交截止时间</w:t>
      </w:r>
      <w:r>
        <w:rPr>
          <w:rFonts w:hint="eastAsia" w:ascii="宋体" w:hAnsi="宋体"/>
          <w:bCs/>
          <w:color w:val="auto"/>
          <w:szCs w:val="21"/>
          <w:highlight w:val="none"/>
        </w:rPr>
        <w:t xml:space="preserve">（北京时间）：2024年 </w:t>
      </w:r>
      <w:r>
        <w:rPr>
          <w:rFonts w:hint="eastAsia" w:ascii="宋体" w:hAnsi="宋体"/>
          <w:bCs/>
          <w:color w:val="auto"/>
          <w:szCs w:val="21"/>
          <w:highlight w:val="none"/>
          <w:lang w:val="en-US" w:eastAsia="zh-CN"/>
        </w:rPr>
        <w:t>11</w:t>
      </w:r>
      <w:r>
        <w:rPr>
          <w:rFonts w:hint="eastAsia" w:ascii="宋体" w:hAnsi="宋体"/>
          <w:bCs/>
          <w:color w:val="auto"/>
          <w:szCs w:val="21"/>
          <w:highlight w:val="none"/>
        </w:rPr>
        <w:t xml:space="preserve"> 月 </w:t>
      </w:r>
      <w:r>
        <w:rPr>
          <w:rFonts w:hint="eastAsia" w:ascii="宋体" w:hAnsi="宋体"/>
          <w:bCs/>
          <w:color w:val="auto"/>
          <w:szCs w:val="21"/>
          <w:highlight w:val="none"/>
          <w:lang w:val="en-US" w:eastAsia="zh-CN"/>
        </w:rPr>
        <w:t>21</w:t>
      </w:r>
      <w:r>
        <w:rPr>
          <w:rFonts w:hint="eastAsia" w:ascii="宋体" w:hAnsi="宋体"/>
          <w:bCs/>
          <w:color w:val="auto"/>
          <w:szCs w:val="21"/>
          <w:highlight w:val="none"/>
        </w:rPr>
        <w:t xml:space="preserve"> 日09:30:00</w:t>
      </w:r>
    </w:p>
    <w:p w14:paraId="445F5F7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2、首次响应文件提交地点：广西政府采购云平台（https://www.gcy.zfcg.gxzf.gov.cn/）</w:t>
      </w:r>
    </w:p>
    <w:p w14:paraId="0961FC71">
      <w:pPr>
        <w:spacing w:line="360" w:lineRule="auto"/>
        <w:ind w:firstLine="482" w:firstLineChars="200"/>
        <w:rPr>
          <w:rFonts w:hint="eastAsia" w:ascii="黑体" w:hAnsi="黑体" w:eastAsia="黑体"/>
          <w:b/>
          <w:bCs/>
          <w:color w:val="auto"/>
          <w:sz w:val="24"/>
          <w:szCs w:val="24"/>
          <w:highlight w:val="none"/>
        </w:rPr>
      </w:pPr>
      <w:r>
        <w:rPr>
          <w:rFonts w:hint="eastAsia" w:ascii="黑体" w:hAnsi="黑体" w:eastAsia="黑体"/>
          <w:b/>
          <w:bCs/>
          <w:color w:val="auto"/>
          <w:sz w:val="24"/>
          <w:szCs w:val="24"/>
          <w:highlight w:val="none"/>
        </w:rPr>
        <w:t>五、响应文件开启</w:t>
      </w:r>
    </w:p>
    <w:p w14:paraId="7727314C">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（北京时间）</w:t>
      </w:r>
      <w:r>
        <w:rPr>
          <w:rFonts w:hint="eastAsia" w:ascii="宋体" w:hAnsi="宋体"/>
          <w:color w:val="auto"/>
          <w:szCs w:val="21"/>
          <w:highlight w:val="none"/>
        </w:rPr>
        <w:t xml:space="preserve">：2024年 </w:t>
      </w:r>
      <w:r>
        <w:rPr>
          <w:rFonts w:hint="eastAsia" w:ascii="宋体" w:hAnsi="宋体"/>
          <w:color w:val="auto"/>
          <w:szCs w:val="21"/>
          <w:highlight w:val="none"/>
          <w:lang w:val="en-US" w:eastAsia="zh-CN"/>
        </w:rPr>
        <w:t>11</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21</w:t>
      </w:r>
      <w:r>
        <w:rPr>
          <w:rFonts w:hint="eastAsia" w:ascii="宋体" w:hAnsi="宋体"/>
          <w:color w:val="auto"/>
          <w:szCs w:val="21"/>
          <w:highlight w:val="none"/>
        </w:rPr>
        <w:t xml:space="preserve"> 日09:30:00后</w:t>
      </w:r>
    </w:p>
    <w:p w14:paraId="3A1FD05C">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地点：广西政府采购云平台电子开标大厅</w:t>
      </w:r>
    </w:p>
    <w:p w14:paraId="2D8FC95D">
      <w:pPr>
        <w:spacing w:line="360" w:lineRule="auto"/>
        <w:ind w:firstLine="482" w:firstLineChars="200"/>
        <w:rPr>
          <w:rFonts w:hint="eastAsia" w:ascii="黑体" w:hAnsi="黑体" w:eastAsia="黑体"/>
          <w:b/>
          <w:bCs/>
          <w:color w:val="auto"/>
          <w:sz w:val="24"/>
          <w:szCs w:val="24"/>
          <w:highlight w:val="none"/>
        </w:rPr>
      </w:pPr>
      <w:bookmarkStart w:id="21" w:name="_Toc28359084"/>
      <w:bookmarkStart w:id="22" w:name="_Toc35393625"/>
      <w:bookmarkStart w:id="23" w:name="_Toc35393794"/>
      <w:bookmarkStart w:id="24" w:name="_Toc28359007"/>
      <w:r>
        <w:rPr>
          <w:rFonts w:hint="eastAsia" w:ascii="黑体" w:hAnsi="黑体" w:eastAsia="黑体"/>
          <w:b/>
          <w:bCs/>
          <w:color w:val="auto"/>
          <w:sz w:val="24"/>
          <w:szCs w:val="24"/>
          <w:highlight w:val="none"/>
        </w:rPr>
        <w:t>六、公告期限</w:t>
      </w:r>
      <w:bookmarkEnd w:id="21"/>
      <w:bookmarkEnd w:id="22"/>
      <w:bookmarkEnd w:id="23"/>
      <w:bookmarkEnd w:id="24"/>
    </w:p>
    <w:p w14:paraId="3AE724F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6EF01DD">
      <w:pPr>
        <w:spacing w:line="360" w:lineRule="auto"/>
        <w:ind w:firstLine="482" w:firstLineChars="200"/>
        <w:rPr>
          <w:rFonts w:hint="eastAsia" w:ascii="黑体" w:hAnsi="黑体" w:eastAsia="黑体"/>
          <w:b/>
          <w:bCs/>
          <w:color w:val="auto"/>
          <w:sz w:val="24"/>
          <w:szCs w:val="24"/>
          <w:highlight w:val="none"/>
        </w:rPr>
      </w:pPr>
      <w:bookmarkStart w:id="25" w:name="_Toc35393795"/>
      <w:bookmarkStart w:id="26" w:name="_Toc35393626"/>
      <w:r>
        <w:rPr>
          <w:rFonts w:hint="eastAsia" w:ascii="黑体" w:hAnsi="黑体" w:eastAsia="黑体"/>
          <w:b/>
          <w:bCs/>
          <w:color w:val="auto"/>
          <w:sz w:val="24"/>
          <w:szCs w:val="24"/>
          <w:highlight w:val="none"/>
        </w:rPr>
        <w:t>七、其他补充事宜</w:t>
      </w:r>
      <w:bookmarkEnd w:id="25"/>
      <w:bookmarkEnd w:id="26"/>
    </w:p>
    <w:p w14:paraId="10D70AEB">
      <w:pPr>
        <w:spacing w:line="38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（一）谈判保证金： </w:t>
      </w:r>
    </w:p>
    <w:p w14:paraId="6107C6D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谈判保证金金额（元）：20000.00。</w:t>
      </w:r>
    </w:p>
    <w:p w14:paraId="5B4DAC7F">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谈判保证金的</w:t>
      </w:r>
      <w:r>
        <w:rPr>
          <w:rFonts w:hint="eastAsia" w:ascii="宋体" w:hAnsi="宋体" w:cs="宋体"/>
          <w:color w:val="auto"/>
          <w:szCs w:val="21"/>
          <w:highlight w:val="none"/>
        </w:rPr>
        <w:t>缴</w:t>
      </w:r>
      <w:r>
        <w:rPr>
          <w:rFonts w:hint="eastAsia" w:ascii="宋体" w:hAnsi="宋体" w:cs="宋体"/>
          <w:color w:val="auto"/>
          <w:kern w:val="0"/>
          <w:szCs w:val="21"/>
          <w:highlight w:val="none"/>
        </w:rPr>
        <w:t>纳方式：以银行转账、支票、汇票、本票或者金融机构、担保机构出具的保函等非现金形式提交。采用银行转账方式的，在首次响应文件提交截止时间前交至采购代理机构指定账户并且到账；缴纳谈判保证金指定账户的信息：</w:t>
      </w:r>
    </w:p>
    <w:p w14:paraId="046BA758">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开户银行：招商银行南宁分行营业部</w:t>
      </w:r>
    </w:p>
    <w:p w14:paraId="683AD41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开户名称：广西建设工程机电设备招标中心有限公司</w:t>
      </w:r>
    </w:p>
    <w:p w14:paraId="71FCA349">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银行账号： 7719  0142  3310  201             </w:t>
      </w:r>
    </w:p>
    <w:p w14:paraId="54956F59">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采用支票、汇票、本票或者保函等方式的，在首次响应文件提交截止时间前，供应商必须提交单独密封的支票、汇票、本票或者保函</w:t>
      </w:r>
      <w:r>
        <w:rPr>
          <w:rFonts w:hint="eastAsia"/>
          <w:color w:val="auto"/>
          <w:highlight w:val="none"/>
        </w:rPr>
        <w:t>（电子保函除外）</w:t>
      </w:r>
      <w:r>
        <w:rPr>
          <w:rFonts w:hint="eastAsia" w:ascii="宋体" w:hAnsi="宋体" w:cs="宋体"/>
          <w:color w:val="auto"/>
          <w:kern w:val="0"/>
          <w:szCs w:val="21"/>
          <w:highlight w:val="none"/>
        </w:rPr>
        <w:t>等原件给采购代理机构。否则视为无效谈判保证金。</w:t>
      </w:r>
    </w:p>
    <w:p w14:paraId="428C7F99">
      <w:pPr>
        <w:spacing w:line="380" w:lineRule="exact"/>
        <w:ind w:firstLine="420" w:firstLineChars="200"/>
        <w:rPr>
          <w:rFonts w:hint="eastAsia" w:ascii="宋体" w:hAnsi="宋体" w:cs="宋体"/>
          <w:color w:val="auto"/>
          <w:kern w:val="0"/>
          <w:szCs w:val="21"/>
          <w:highlight w:val="none"/>
        </w:rPr>
      </w:pPr>
      <w:bookmarkStart w:id="27" w:name="_Hlk37429595"/>
      <w:bookmarkStart w:id="28" w:name="_Hlk37429585"/>
      <w:r>
        <w:rPr>
          <w:rFonts w:hint="eastAsia" w:ascii="宋体" w:hAnsi="宋体" w:cs="宋体"/>
          <w:color w:val="auto"/>
          <w:kern w:val="0"/>
          <w:szCs w:val="21"/>
          <w:highlight w:val="none"/>
        </w:rPr>
        <w:t>（二）网上查询地址</w:t>
      </w:r>
    </w:p>
    <w:bookmarkEnd w:id="27"/>
    <w:bookmarkEnd w:id="28"/>
    <w:p w14:paraId="1A2D174F">
      <w:pPr>
        <w:widowControl/>
        <w:spacing w:before="60" w:after="60" w:line="360" w:lineRule="exact"/>
        <w:ind w:firstLine="324" w:firstLineChars="0"/>
        <w:jc w:val="left"/>
        <w:rPr>
          <w:rFonts w:hint="eastAsia" w:ascii="仿宋" w:hAnsi="仿宋" w:cs="宋体"/>
          <w:color w:val="auto"/>
          <w:kern w:val="0"/>
          <w:szCs w:val="21"/>
          <w:highlight w:val="none"/>
        </w:rPr>
      </w:pPr>
      <w:bookmarkStart w:id="29" w:name="_Hlk37429674"/>
      <w:r>
        <w:rPr>
          <w:rFonts w:hint="eastAsia" w:ascii="仿宋" w:hAnsi="仿宋" w:cs="宋体"/>
          <w:color w:val="auto"/>
          <w:kern w:val="0"/>
          <w:szCs w:val="21"/>
          <w:highlight w:val="none"/>
        </w:rPr>
        <w:t>中国政府采购网（www.ccgp.gov.cn）、广西壮族自治区政府采购网（zfcg.gxzf.gov.cn）</w:t>
      </w:r>
    </w:p>
    <w:p w14:paraId="6820CAED">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（三）本项目需要落实的政府采购政策</w:t>
      </w:r>
    </w:p>
    <w:p w14:paraId="0231EA14">
      <w:pPr>
        <w:spacing w:line="3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0AD3240">
      <w:pPr>
        <w:spacing w:line="3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2293821">
      <w:pPr>
        <w:spacing w:line="3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02EE720">
      <w:pPr>
        <w:spacing w:line="3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16035A3">
      <w:pPr>
        <w:spacing w:line="3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29"/>
    <w:p w14:paraId="2F3C9734">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7F84972">
      <w:pPr>
        <w:snapToGrid w:val="0"/>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（五）对在“信用中国”网站(www.creditchina.gov.cn)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080F6B">
      <w:pPr>
        <w:spacing w:line="38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（六）</w:t>
      </w:r>
      <w:r>
        <w:rPr>
          <w:rFonts w:hint="eastAsia" w:ascii="宋体" w:hAnsi="宋体" w:cs="宋体"/>
          <w:b/>
          <w:bCs/>
          <w:color w:val="auto"/>
          <w:szCs w:val="21"/>
          <w:highlight w:val="none"/>
        </w:rPr>
        <w:t>在线竞标的有关说明</w:t>
      </w:r>
      <w:r>
        <w:rPr>
          <w:rFonts w:hint="eastAsia" w:ascii="宋体" w:hAnsi="宋体" w:cs="宋体"/>
          <w:b/>
          <w:bCs/>
          <w:color w:val="auto"/>
          <w:kern w:val="0"/>
          <w:szCs w:val="21"/>
          <w:highlight w:val="none"/>
        </w:rPr>
        <w:t>：</w:t>
      </w:r>
    </w:p>
    <w:p w14:paraId="3F21DF2C">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bCs/>
          <w:color w:val="auto"/>
          <w:szCs w:val="21"/>
          <w:highlight w:val="none"/>
        </w:rPr>
        <w:t>供应商在广西政府采购云平台提交电子版响应文件时，请填写参加远程采购活动经办人联系方式</w:t>
      </w:r>
      <w:r>
        <w:rPr>
          <w:rFonts w:hint="eastAsia" w:ascii="宋体" w:hAnsi="宋体" w:cs="宋体"/>
          <w:color w:val="auto"/>
          <w:szCs w:val="21"/>
          <w:highlight w:val="none"/>
        </w:rPr>
        <w:t>。</w:t>
      </w:r>
    </w:p>
    <w:p w14:paraId="3C0F6CE9">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0A2E817F">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FDC1FAA">
      <w:pPr>
        <w:spacing w:line="38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6B439CBB">
      <w:pPr>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（4）CA证书在线解密：首次响应文件开启时，需要供应商登录广西政府采购云平台电子开标大厅按规定时间对加密的响应文件进行解密。</w:t>
      </w:r>
    </w:p>
    <w:p w14:paraId="50B3FCC6">
      <w:pPr>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（5）供应商需要在具备有摄像头及语音功能且互联网网络状况良好的电脑登录广西政府采购云平台远程开标大厅参与本次谈判，否则后果自负。</w:t>
      </w:r>
    </w:p>
    <w:p w14:paraId="349861D2">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（七）若对项目采购电子交易系统操作有疑问，可登录广西政府采购云平台（</w:t>
      </w:r>
      <w:r>
        <w:rPr>
          <w:rFonts w:hint="eastAsia" w:ascii="宋体" w:hAnsi="宋体"/>
          <w:color w:val="auto"/>
          <w:szCs w:val="21"/>
          <w:highlight w:val="none"/>
        </w:rPr>
        <w:t>https://www.gcy.zfcg.gxzf.gov.cn/</w:t>
      </w:r>
      <w:r>
        <w:rPr>
          <w:rFonts w:hint="eastAsia" w:ascii="宋体" w:hAnsi="宋体" w:cs="宋体"/>
          <w:color w:val="auto"/>
          <w:kern w:val="0"/>
          <w:szCs w:val="21"/>
          <w:highlight w:val="none"/>
        </w:rPr>
        <w:t>），点击右侧咨询小采，获取采小蜜智能服务管家帮助，或拨打广西政府采购云平台服务热线95763获取热线服务帮助。</w:t>
      </w:r>
    </w:p>
    <w:p w14:paraId="337A6ABB">
      <w:pPr>
        <w:spacing w:line="360" w:lineRule="auto"/>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14:paraId="51BEC1BC">
      <w:pPr>
        <w:spacing w:line="360" w:lineRule="auto"/>
        <w:ind w:firstLine="735" w:firstLineChars="350"/>
        <w:jc w:val="left"/>
        <w:rPr>
          <w:rFonts w:hint="eastAsia" w:ascii="宋体" w:hAnsi="宋体"/>
          <w:color w:val="auto"/>
          <w:szCs w:val="21"/>
          <w:highlight w:val="none"/>
        </w:rPr>
      </w:pPr>
      <w:r>
        <w:rPr>
          <w:rFonts w:hint="eastAsia" w:ascii="宋体" w:hAnsi="宋体" w:cs="宋体"/>
          <w:color w:val="auto"/>
          <w:szCs w:val="21"/>
          <w:highlight w:val="none"/>
        </w:rPr>
        <w:t>1.采购人信息</w:t>
      </w:r>
    </w:p>
    <w:p w14:paraId="5BA4EF9E">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 xml:space="preserve">名称：广西财经学院 </w:t>
      </w:r>
    </w:p>
    <w:p w14:paraId="6F98D3E6">
      <w:pPr>
        <w:spacing w:line="360" w:lineRule="auto"/>
        <w:ind w:firstLine="735" w:firstLineChars="350"/>
        <w:jc w:val="left"/>
        <w:rPr>
          <w:rFonts w:hint="eastAsia" w:ascii="宋体" w:hAnsi="宋体" w:cs="宋体"/>
          <w:color w:val="auto"/>
          <w:kern w:val="0"/>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rPr>
        <w:t>南宁市西乡塘区大学西路189号</w:t>
      </w:r>
    </w:p>
    <w:p w14:paraId="18F6AB22">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项目联系人：蔡玉结</w:t>
      </w:r>
    </w:p>
    <w:p w14:paraId="7722E8FA">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项目联系方式：0771-3833271</w:t>
      </w:r>
    </w:p>
    <w:p w14:paraId="648EB479">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02B48608">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名 称：广西建设工程机电设备招标中心有限公司</w:t>
      </w:r>
    </w:p>
    <w:p w14:paraId="7A13C9C3">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kern w:val="0"/>
          <w:szCs w:val="21"/>
          <w:highlight w:val="none"/>
        </w:rPr>
        <w:t>南宁市凯旋路15号绿地中心5号楼608室</w:t>
      </w:r>
    </w:p>
    <w:p w14:paraId="4C16578D">
      <w:pPr>
        <w:spacing w:line="360" w:lineRule="auto"/>
        <w:ind w:firstLine="735" w:firstLineChars="350"/>
        <w:jc w:val="left"/>
        <w:rPr>
          <w:rFonts w:hint="eastAsia" w:ascii="宋体" w:hAnsi="宋体" w:cs="宋体"/>
          <w:color w:val="auto"/>
          <w:szCs w:val="21"/>
          <w:highlight w:val="none"/>
        </w:rPr>
      </w:pPr>
      <w:r>
        <w:rPr>
          <w:rFonts w:hint="eastAsia" w:ascii="宋体" w:hAnsi="宋体" w:cs="宋体"/>
          <w:color w:val="auto"/>
          <w:szCs w:val="21"/>
          <w:highlight w:val="none"/>
        </w:rPr>
        <w:t>项目联系人：陈泰东、陆志腾</w:t>
      </w:r>
    </w:p>
    <w:p w14:paraId="7F03501B">
      <w:pPr>
        <w:spacing w:line="360" w:lineRule="auto"/>
        <w:ind w:firstLine="735" w:firstLineChars="350"/>
        <w:jc w:val="left"/>
        <w:rPr>
          <w:rFonts w:hint="eastAsia" w:ascii="宋体" w:hAnsi="宋体"/>
          <w:color w:val="auto"/>
          <w:szCs w:val="21"/>
          <w:highlight w:val="none"/>
        </w:rPr>
      </w:pPr>
      <w:r>
        <w:rPr>
          <w:rFonts w:hint="eastAsia" w:ascii="宋体" w:hAnsi="宋体" w:cs="宋体"/>
          <w:color w:val="auto"/>
          <w:szCs w:val="21"/>
          <w:highlight w:val="none"/>
        </w:rPr>
        <w:t>项目联系方式：</w:t>
      </w:r>
      <w:r>
        <w:rPr>
          <w:rFonts w:hint="eastAsia" w:ascii="宋体" w:hAnsi="宋体" w:cs="宋体"/>
          <w:color w:val="auto"/>
          <w:kern w:val="0"/>
          <w:szCs w:val="21"/>
          <w:highlight w:val="none"/>
        </w:rPr>
        <w:t>0771-5824250</w:t>
      </w:r>
    </w:p>
    <w:p w14:paraId="18CD9EE4">
      <w:pPr>
        <w:jc w:val="center"/>
        <w:rPr>
          <w:rFonts w:hint="eastAsia" w:ascii="宋体" w:hAnsi="宋体" w:cs="宋体"/>
          <w:b/>
          <w:bCs/>
          <w:color w:val="auto"/>
          <w:kern w:val="44"/>
          <w:sz w:val="44"/>
          <w:szCs w:val="44"/>
          <w:highlight w:val="none"/>
          <w:lang w:val="zh-CN"/>
        </w:rPr>
      </w:pPr>
      <w:r>
        <w:rPr>
          <w:rFonts w:hint="eastAsia" w:ascii="宋体" w:hAnsi="宋体" w:cs="宋体"/>
          <w:b/>
          <w:color w:val="auto"/>
          <w:kern w:val="44"/>
          <w:sz w:val="32"/>
          <w:szCs w:val="32"/>
          <w:highlight w:val="none"/>
          <w:lang w:val="zh-CN"/>
        </w:rPr>
        <w:br w:type="page"/>
      </w:r>
      <w:bookmarkStart w:id="30" w:name="_Toc23118"/>
      <w:r>
        <w:rPr>
          <w:rFonts w:hint="eastAsia" w:ascii="宋体" w:hAnsi="宋体" w:cs="宋体"/>
          <w:b/>
          <w:bCs/>
          <w:color w:val="auto"/>
          <w:kern w:val="44"/>
          <w:sz w:val="44"/>
          <w:szCs w:val="44"/>
          <w:highlight w:val="none"/>
          <w:lang w:val="zh-CN"/>
        </w:rPr>
        <w:t>第二章 采购需求</w:t>
      </w:r>
      <w:bookmarkEnd w:id="11"/>
      <w:bookmarkEnd w:id="30"/>
    </w:p>
    <w:p w14:paraId="0D5519A5">
      <w:pPr>
        <w:spacing w:line="38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可选用其他品牌型号替代，但这些替代的产品要实质上相当于或优于参考品牌型号及其技术参数性能（配置）要求。</w:t>
      </w:r>
    </w:p>
    <w:p w14:paraId="2753EEE4">
      <w:pPr>
        <w:spacing w:line="38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选用其他品牌型号替代的，请以详细、正确的品牌型号、技术参数（配置）同时填写</w:t>
      </w:r>
      <w:r>
        <w:rPr>
          <w:rFonts w:hint="eastAsia" w:ascii="宋体" w:hAnsi="宋体"/>
          <w:b/>
          <w:bCs/>
          <w:color w:val="auto"/>
          <w:szCs w:val="21"/>
          <w:highlight w:val="none"/>
          <w:lang w:eastAsia="zh-CN"/>
        </w:rPr>
        <w:t>响应</w:t>
      </w:r>
      <w:r>
        <w:rPr>
          <w:rFonts w:hint="eastAsia" w:ascii="宋体" w:hAnsi="宋体"/>
          <w:b/>
          <w:bCs/>
          <w:color w:val="auto"/>
          <w:szCs w:val="21"/>
          <w:highlight w:val="none"/>
        </w:rPr>
        <w:t>报价明细表和商务、技术响应偏离表。技术响应偏离表须按技术参数及配置要求一一对应响应。</w:t>
      </w:r>
    </w:p>
    <w:p w14:paraId="797614D9">
      <w:pPr>
        <w:spacing w:line="38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3．本一览表技术参数及性能（配置）要求及售后服务及其它要求中标明“</w:t>
      </w:r>
      <w:r>
        <w:rPr>
          <w:rFonts w:hint="eastAsia" w:ascii="宋体" w:hAnsi="宋体" w:cs="宋体"/>
          <w:color w:val="auto"/>
          <w:kern w:val="0"/>
          <w:szCs w:val="21"/>
          <w:highlight w:val="none"/>
        </w:rPr>
        <w:t>★</w:t>
      </w:r>
      <w:r>
        <w:rPr>
          <w:rFonts w:hint="eastAsia" w:ascii="宋体" w:hAnsi="宋体"/>
          <w:b/>
          <w:bCs/>
          <w:color w:val="auto"/>
          <w:szCs w:val="21"/>
          <w:highlight w:val="none"/>
        </w:rPr>
        <w:t>”号的条款或要求不响应活不满足的，其响应文件做竞标无效处理。未标注</w:t>
      </w:r>
      <w:r>
        <w:rPr>
          <w:rFonts w:hint="eastAsia" w:ascii="宋体" w:hAnsi="宋体" w:cs="宋体"/>
          <w:b/>
          <w:bCs/>
          <w:color w:val="auto"/>
          <w:kern w:val="0"/>
          <w:szCs w:val="21"/>
          <w:highlight w:val="none"/>
        </w:rPr>
        <w:t xml:space="preserve">“★”号的条款或技术要求有负偏离（或未作响应）达4项（含4项）以上的竞标无效。 </w:t>
      </w:r>
    </w:p>
    <w:p w14:paraId="1862529A">
      <w:pPr>
        <w:spacing w:line="38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4．采购标的对应的中小企业划分标准所属行业为：工业。</w:t>
      </w:r>
    </w:p>
    <w:p w14:paraId="484D96B7">
      <w:pPr>
        <w:spacing w:line="38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5.采购预算（人民币）：2449400.00元</w:t>
      </w:r>
    </w:p>
    <w:tbl>
      <w:tblPr>
        <w:tblStyle w:val="30"/>
        <w:tblW w:w="99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097"/>
        <w:gridCol w:w="833"/>
        <w:gridCol w:w="778"/>
        <w:gridCol w:w="6801"/>
      </w:tblGrid>
      <w:tr w14:paraId="233A3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E9A465E">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项号</w:t>
            </w:r>
          </w:p>
        </w:tc>
        <w:tc>
          <w:tcPr>
            <w:tcW w:w="1097" w:type="dxa"/>
            <w:tcBorders>
              <w:top w:val="single" w:color="auto" w:sz="4" w:space="0"/>
              <w:left w:val="single" w:color="auto" w:sz="4" w:space="0"/>
              <w:bottom w:val="single" w:color="auto" w:sz="4" w:space="0"/>
              <w:right w:val="single" w:color="auto" w:sz="4" w:space="0"/>
            </w:tcBorders>
            <w:vAlign w:val="center"/>
          </w:tcPr>
          <w:p w14:paraId="3DB03D6D">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货物名称</w:t>
            </w:r>
          </w:p>
        </w:tc>
        <w:tc>
          <w:tcPr>
            <w:tcW w:w="833" w:type="dxa"/>
            <w:tcBorders>
              <w:top w:val="single" w:color="auto" w:sz="4" w:space="0"/>
              <w:left w:val="single" w:color="auto" w:sz="4" w:space="0"/>
              <w:bottom w:val="single" w:color="auto" w:sz="4" w:space="0"/>
              <w:right w:val="single" w:color="auto" w:sz="4" w:space="0"/>
            </w:tcBorders>
            <w:vAlign w:val="center"/>
          </w:tcPr>
          <w:p w14:paraId="052889D8">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778" w:type="dxa"/>
            <w:tcBorders>
              <w:top w:val="single" w:color="auto" w:sz="4" w:space="0"/>
              <w:left w:val="single" w:color="auto" w:sz="4" w:space="0"/>
              <w:bottom w:val="single" w:color="auto" w:sz="4" w:space="0"/>
              <w:right w:val="single" w:color="auto" w:sz="4" w:space="0"/>
            </w:tcBorders>
            <w:vAlign w:val="center"/>
          </w:tcPr>
          <w:p w14:paraId="6E27DEA4">
            <w:pPr>
              <w:jc w:val="center"/>
              <w:rPr>
                <w:rFonts w:hint="eastAsia" w:asciiTheme="minorEastAsia" w:hAnsiTheme="minorEastAsia" w:eastAsiaTheme="minorEastAsia" w:cstheme="minorEastAsia"/>
                <w:b/>
                <w:color w:val="auto"/>
                <w:szCs w:val="21"/>
                <w:highlight w:val="none"/>
                <w:lang w:val="en"/>
              </w:rPr>
            </w:pPr>
            <w:r>
              <w:rPr>
                <w:rFonts w:hint="eastAsia" w:asciiTheme="minorEastAsia" w:hAnsiTheme="minorEastAsia" w:eastAsiaTheme="minorEastAsia" w:cstheme="minorEastAsia"/>
                <w:b/>
                <w:color w:val="auto"/>
                <w:szCs w:val="21"/>
                <w:highlight w:val="none"/>
                <w:lang w:val="en"/>
              </w:rPr>
              <w:t>单位</w:t>
            </w:r>
          </w:p>
        </w:tc>
        <w:tc>
          <w:tcPr>
            <w:tcW w:w="6801" w:type="dxa"/>
            <w:tcBorders>
              <w:top w:val="single" w:color="auto" w:sz="4" w:space="0"/>
              <w:left w:val="single" w:color="auto" w:sz="4" w:space="0"/>
              <w:bottom w:val="single" w:color="auto" w:sz="4" w:space="0"/>
            </w:tcBorders>
            <w:vAlign w:val="center"/>
          </w:tcPr>
          <w:p w14:paraId="468A6DED">
            <w:pPr>
              <w:pStyle w:val="116"/>
              <w:spacing w:after="0" w:line="24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主要技术参数及性能（配置）要求</w:t>
            </w:r>
          </w:p>
        </w:tc>
      </w:tr>
      <w:tr w14:paraId="3532F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28E4CC6B">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1097" w:type="dxa"/>
            <w:tcBorders>
              <w:top w:val="single" w:color="auto" w:sz="4" w:space="0"/>
              <w:left w:val="single" w:color="auto" w:sz="4" w:space="0"/>
              <w:bottom w:val="single" w:color="auto" w:sz="4" w:space="0"/>
              <w:right w:val="single" w:color="auto" w:sz="4" w:space="0"/>
            </w:tcBorders>
            <w:vAlign w:val="center"/>
          </w:tcPr>
          <w:p w14:paraId="51B86E08">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专业功放</w:t>
            </w:r>
          </w:p>
        </w:tc>
        <w:tc>
          <w:tcPr>
            <w:tcW w:w="833" w:type="dxa"/>
            <w:tcBorders>
              <w:top w:val="single" w:color="auto" w:sz="4" w:space="0"/>
              <w:left w:val="single" w:color="auto" w:sz="4" w:space="0"/>
              <w:bottom w:val="single" w:color="auto" w:sz="4" w:space="0"/>
              <w:right w:val="single" w:color="auto" w:sz="4" w:space="0"/>
            </w:tcBorders>
            <w:vAlign w:val="center"/>
          </w:tcPr>
          <w:p w14:paraId="3FBCC75D">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28D6B8E1">
            <w:pPr>
              <w:jc w:val="center"/>
              <w:rPr>
                <w:rFonts w:hint="eastAsia" w:asciiTheme="minorEastAsia" w:hAnsiTheme="minorEastAsia" w:eastAsiaTheme="minorEastAsia" w:cstheme="minorEastAsia"/>
                <w:bCs/>
                <w:color w:val="auto"/>
                <w:szCs w:val="21"/>
                <w:highlight w:val="none"/>
                <w:lang w:val="en"/>
              </w:rPr>
            </w:pPr>
            <w:r>
              <w:rPr>
                <w:rFonts w:hint="eastAsia" w:asciiTheme="minorEastAsia" w:hAnsiTheme="minorEastAsia" w:eastAsiaTheme="minorEastAsia" w:cstheme="minorEastAsia"/>
                <w:bCs/>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0E0B4769">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1.1U机箱</w:t>
            </w:r>
          </w:p>
          <w:p w14:paraId="0B6B0B05">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2.标准XLR输入接口，和LINK输出口。</w:t>
            </w:r>
          </w:p>
          <w:p w14:paraId="02D0760F">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3.内置智能削峰限幅器，支持开机软启动，防止开机时向电网吸收大电流，干扰其它用电设备。</w:t>
            </w:r>
          </w:p>
          <w:p w14:paraId="59EB5BED">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4.具有：过压保护、欠压保护、过流保护、直流保护、输出短路保护、温控风扇等功能。</w:t>
            </w:r>
          </w:p>
          <w:p w14:paraId="1900F174">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★5.输出功率：立体声@8Ω：≥500W×2；立体声@4Ω：≥850W×2；桥接@8Ω：≥1700W。</w:t>
            </w:r>
          </w:p>
          <w:p w14:paraId="5CBF49F1">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6.采用≥4.3寸触摸屏，具备按键和触摸屏双备份调试功能，具备2进2出DSP处理器，信号源支持模拟信号输入、正弦波信号输入、粉红噪声输入、白噪声输入、AES数字音频信号输入（供货时须提供具有相应检测资质的第三方检测机构出具的检测报告（原件备查），并加盖成交单位公章）</w:t>
            </w:r>
          </w:p>
          <w:p w14:paraId="25A21A3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7.输出通道具有≥10段EQ、BYPASS、高低通滤波器、通道增益、静音、极性、复制粘贴重置、延时、压缩器、限幅器等调节功能（供货时须提供具有相应检测资质的第三方检测机构出具的检测报告（原件备查），并加盖成交单位公章）</w:t>
            </w:r>
          </w:p>
          <w:p w14:paraId="5C8693B9">
            <w:pPr>
              <w:pStyle w:val="116"/>
              <w:spacing w:after="0" w:line="24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8.输入通道具有相位、静音、极性、消峰、通道增益、灵敏度调节、复制粘贴重置、噪声门、31段EQ、BYPASS、高低通滤波器、延时等调节功能。（供货时须提供具有相应检测资质的第三方检测机构出具的检测报告（原件备查），并加盖成交单位公章）</w:t>
            </w:r>
          </w:p>
        </w:tc>
      </w:tr>
      <w:tr w14:paraId="53556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5CA7F4E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97" w:type="dxa"/>
            <w:tcBorders>
              <w:top w:val="single" w:color="auto" w:sz="4" w:space="0"/>
              <w:left w:val="single" w:color="auto" w:sz="4" w:space="0"/>
              <w:bottom w:val="single" w:color="auto" w:sz="4" w:space="0"/>
              <w:right w:val="single" w:color="auto" w:sz="4" w:space="0"/>
            </w:tcBorders>
            <w:vAlign w:val="center"/>
          </w:tcPr>
          <w:p w14:paraId="606120DA">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专业音箱</w:t>
            </w:r>
          </w:p>
        </w:tc>
        <w:tc>
          <w:tcPr>
            <w:tcW w:w="833" w:type="dxa"/>
            <w:tcBorders>
              <w:top w:val="single" w:color="auto" w:sz="4" w:space="0"/>
              <w:left w:val="single" w:color="auto" w:sz="4" w:space="0"/>
              <w:bottom w:val="single" w:color="auto" w:sz="4" w:space="0"/>
              <w:right w:val="single" w:color="auto" w:sz="4" w:space="0"/>
            </w:tcBorders>
            <w:vAlign w:val="center"/>
          </w:tcPr>
          <w:p w14:paraId="698B55A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12</w:t>
            </w:r>
          </w:p>
        </w:tc>
        <w:tc>
          <w:tcPr>
            <w:tcW w:w="778" w:type="dxa"/>
            <w:tcBorders>
              <w:top w:val="single" w:color="auto" w:sz="4" w:space="0"/>
              <w:left w:val="single" w:color="auto" w:sz="4" w:space="0"/>
              <w:bottom w:val="single" w:color="auto" w:sz="4" w:space="0"/>
              <w:right w:val="single" w:color="auto" w:sz="4" w:space="0"/>
            </w:tcBorders>
            <w:vAlign w:val="center"/>
          </w:tcPr>
          <w:p w14:paraId="282D706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个</w:t>
            </w:r>
          </w:p>
        </w:tc>
        <w:tc>
          <w:tcPr>
            <w:tcW w:w="6801" w:type="dxa"/>
            <w:tcBorders>
              <w:top w:val="single" w:color="auto" w:sz="4" w:space="0"/>
              <w:left w:val="single" w:color="auto" w:sz="4" w:space="0"/>
              <w:bottom w:val="single" w:color="auto" w:sz="4" w:space="0"/>
            </w:tcBorders>
            <w:vAlign w:val="center"/>
          </w:tcPr>
          <w:p w14:paraId="2C373DF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1.阻抗≤8Ω</w:t>
            </w:r>
          </w:p>
          <w:p w14:paraId="6593EE60">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2.频响等同或优于50Hz~20KHz</w:t>
            </w:r>
          </w:p>
          <w:p w14:paraId="2F70132E">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★3.额定功率≥350W</w:t>
            </w:r>
          </w:p>
          <w:p w14:paraId="2589E8A1">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4.灵敏度≥99dB/W/M</w:t>
            </w:r>
          </w:p>
          <w:p w14:paraId="478AEED9">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5.水平覆盖角≥80°，垂直覆盖角≥60°</w:t>
            </w:r>
          </w:p>
          <w:p w14:paraId="27B12816">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6.高音≥1.7"压缩高音单元×17.低音≥12"低音×1</w:t>
            </w:r>
          </w:p>
          <w:p w14:paraId="54BA6AF5">
            <w:pPr>
              <w:widowControl/>
              <w:jc w:val="left"/>
              <w:textAlignment w:val="center"/>
              <w:rPr>
                <w:rStyle w:val="119"/>
                <w:rFonts w:hint="default"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bCs/>
                <w:color w:val="auto"/>
                <w:szCs w:val="21"/>
                <w:highlight w:val="none"/>
              </w:rPr>
              <w:t>7.含支架且</w:t>
            </w:r>
            <w:r>
              <w:rPr>
                <w:rStyle w:val="119"/>
                <w:rFonts w:asciiTheme="minorEastAsia" w:hAnsiTheme="minorEastAsia" w:eastAsiaTheme="minorEastAsia" w:cstheme="minorEastAsia"/>
                <w:color w:val="auto"/>
                <w:sz w:val="21"/>
                <w:szCs w:val="21"/>
                <w:highlight w:val="none"/>
                <w:lang w:bidi="ar"/>
              </w:rPr>
              <w:t>免费安装：所有货物（含配套设备）根据实验室现场定位安装，强弱电布线线路按甲方要求实施，含安装所需的所有辅材，实施前提供方案图纸及规划书备案，不破坏原有设施，经甲方同意开工建设方可实施，否则不予验收。</w:t>
            </w:r>
          </w:p>
        </w:tc>
      </w:tr>
      <w:tr w14:paraId="0CB8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03E97A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97" w:type="dxa"/>
            <w:tcBorders>
              <w:top w:val="single" w:color="auto" w:sz="4" w:space="0"/>
              <w:left w:val="single" w:color="auto" w:sz="4" w:space="0"/>
              <w:bottom w:val="single" w:color="auto" w:sz="4" w:space="0"/>
              <w:right w:val="single" w:color="auto" w:sz="4" w:space="0"/>
            </w:tcBorders>
            <w:vAlign w:val="center"/>
          </w:tcPr>
          <w:p w14:paraId="1A90D930">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调音台</w:t>
            </w:r>
          </w:p>
        </w:tc>
        <w:tc>
          <w:tcPr>
            <w:tcW w:w="833" w:type="dxa"/>
            <w:tcBorders>
              <w:top w:val="single" w:color="auto" w:sz="4" w:space="0"/>
              <w:left w:val="single" w:color="auto" w:sz="4" w:space="0"/>
              <w:bottom w:val="single" w:color="auto" w:sz="4" w:space="0"/>
              <w:right w:val="single" w:color="auto" w:sz="4" w:space="0"/>
            </w:tcBorders>
            <w:vAlign w:val="center"/>
          </w:tcPr>
          <w:p w14:paraId="35C95CC8">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44E5887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02096AFB">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★1.支持≥8路麦克风输入兼容6路线路输入接口，支持≥1路立体声输入接口，≥2路RCA输入，话筒接口幻象电源：+48V。</w:t>
            </w:r>
          </w:p>
          <w:p w14:paraId="13BA184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2.具有≥2组立体主输出、≥2路编组输出、≥2路辅助输出、≥1组立体声监听输出、≥1个耳机监听输出、≥1个效果输出、≥1组主混音断点插入、≥6个断点插入。</w:t>
            </w:r>
          </w:p>
          <w:p w14:paraId="416172EB">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3.内置≥24位DSP效果器。</w:t>
            </w:r>
          </w:p>
          <w:p w14:paraId="0B7784C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4.具备≥13个60mm行程的高精密碳膜推子。</w:t>
            </w:r>
          </w:p>
          <w:p w14:paraId="30683F0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5.内置USB声卡模块，支持连接电脑进行文件播放和声音录音；内置MP3播放器，支持≥1个USB接口接U盘播放文件。</w:t>
            </w:r>
          </w:p>
        </w:tc>
      </w:tr>
      <w:tr w14:paraId="57CE0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642EB6C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097" w:type="dxa"/>
            <w:tcBorders>
              <w:top w:val="single" w:color="auto" w:sz="4" w:space="0"/>
              <w:left w:val="single" w:color="auto" w:sz="4" w:space="0"/>
              <w:bottom w:val="single" w:color="auto" w:sz="4" w:space="0"/>
              <w:right w:val="single" w:color="auto" w:sz="4" w:space="0"/>
            </w:tcBorders>
            <w:vAlign w:val="center"/>
          </w:tcPr>
          <w:p w14:paraId="6F366DB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音频处理器</w:t>
            </w:r>
          </w:p>
        </w:tc>
        <w:tc>
          <w:tcPr>
            <w:tcW w:w="833" w:type="dxa"/>
            <w:tcBorders>
              <w:top w:val="single" w:color="auto" w:sz="4" w:space="0"/>
              <w:left w:val="single" w:color="auto" w:sz="4" w:space="0"/>
              <w:bottom w:val="single" w:color="auto" w:sz="4" w:space="0"/>
              <w:right w:val="single" w:color="auto" w:sz="4" w:space="0"/>
            </w:tcBorders>
            <w:vAlign w:val="center"/>
          </w:tcPr>
          <w:p w14:paraId="10FC3C49">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0F6717D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A7F4BBD">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★1.数字音频处理器支持≥8路平衡式话筒/线路输入通道，采用裸线接口端子，平衡接法；支持≥8路平衡式线路输出，采用裸线接口端子，平衡接法。</w:t>
            </w:r>
          </w:p>
          <w:p w14:paraId="6AE5D13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2.输入通道支持前级放大、信号发生器、扩展器、压缩器、≥12段参量均衡，≥31段图示均衡、闪避器、AGC自动增益、AM自动混音功能、AFC自适应反馈消除、AEC回声消除、ANC噪声消除、音频矩阵。</w:t>
            </w:r>
          </w:p>
          <w:p w14:paraId="5DC5AE7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3.输出通道支持≥12段参量均衡，≥31段图示均衡、延时器、分频器、高低通滤波器、限幅器。</w:t>
            </w:r>
          </w:p>
          <w:p w14:paraId="105FB49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4.含DSP处理器，支持≥32bit/48kHz的声音，支持输入通道48V幻象供电。</w:t>
            </w:r>
          </w:p>
          <w:p w14:paraId="3D066F6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5.含IPS真彩显示屏，显示设备网络信息、实时电平、通道静音状态。</w:t>
            </w:r>
          </w:p>
          <w:p w14:paraId="210C04A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6.配置双向RS-232接口，可用于控制外部设备；配置RS-485接口，可实现自动摄像跟踪功能。配置≥8通道可编程GPIO控制接口（可自定义输入输出）。</w:t>
            </w:r>
          </w:p>
          <w:p w14:paraId="57AE005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7.具备断电自动保护记忆、通道拷贝、粘贴、联控等功能。</w:t>
            </w:r>
          </w:p>
        </w:tc>
      </w:tr>
      <w:tr w14:paraId="21ACF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A96BD8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097" w:type="dxa"/>
            <w:tcBorders>
              <w:top w:val="single" w:color="auto" w:sz="4" w:space="0"/>
              <w:left w:val="single" w:color="auto" w:sz="4" w:space="0"/>
              <w:bottom w:val="single" w:color="auto" w:sz="4" w:space="0"/>
              <w:right w:val="single" w:color="auto" w:sz="4" w:space="0"/>
            </w:tcBorders>
            <w:vAlign w:val="center"/>
          </w:tcPr>
          <w:p w14:paraId="08101855">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无线话筒</w:t>
            </w:r>
          </w:p>
        </w:tc>
        <w:tc>
          <w:tcPr>
            <w:tcW w:w="833" w:type="dxa"/>
            <w:tcBorders>
              <w:top w:val="single" w:color="auto" w:sz="4" w:space="0"/>
              <w:left w:val="single" w:color="auto" w:sz="4" w:space="0"/>
              <w:bottom w:val="single" w:color="auto" w:sz="4" w:space="0"/>
              <w:right w:val="single" w:color="auto" w:sz="4" w:space="0"/>
            </w:tcBorders>
            <w:vAlign w:val="center"/>
          </w:tcPr>
          <w:p w14:paraId="2CA0CB5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52D6D68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套</w:t>
            </w:r>
          </w:p>
        </w:tc>
        <w:tc>
          <w:tcPr>
            <w:tcW w:w="6801" w:type="dxa"/>
            <w:tcBorders>
              <w:top w:val="single" w:color="auto" w:sz="4" w:space="0"/>
              <w:left w:val="single" w:color="auto" w:sz="4" w:space="0"/>
              <w:bottom w:val="single" w:color="auto" w:sz="4" w:space="0"/>
            </w:tcBorders>
            <w:vAlign w:val="center"/>
          </w:tcPr>
          <w:p w14:paraId="4CF211F7">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一、无线话筒</w:t>
            </w:r>
          </w:p>
          <w:p w14:paraId="324CC95D">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★1.具有≥1台接收主机、1台双手持发射机；频率范围640MHz-690MHz。</w:t>
            </w:r>
          </w:p>
          <w:p w14:paraId="43810CCF">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2.接收机具有≥2路平衡输出、≥1路非平衡混音输出。</w:t>
            </w:r>
          </w:p>
          <w:p w14:paraId="0CC30A59">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3.具有自动频率扫描功能，可快速地给麦克风找到清晰的频率。</w:t>
            </w:r>
          </w:p>
          <w:p w14:paraId="3B6D67D3">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★4.具有语音播报功能可设置开机语音提示。（供货时须提供具有相应检测资质的第三方检测机构出具的检测报告（原件备查），并加盖成交单位公章）</w:t>
            </w:r>
          </w:p>
          <w:p w14:paraId="619AF6AE">
            <w:pPr>
              <w:pStyle w:val="116"/>
              <w:spacing w:after="0" w:line="24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★5.摔落播报功能可设置个性化语音内容。（供货时须提供具有相应检测资质的第三方检测机构出具的检测报告（原件备查），并加盖成交单位公章）</w:t>
            </w:r>
          </w:p>
          <w:p w14:paraId="31B21036">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6.接收机具有显示屏，可通过显示屏查看设备发射功率强度、音频加密状态、电池电量、频率数值、智能静音状态、静音标志。</w:t>
            </w:r>
          </w:p>
          <w:p w14:paraId="3A11EB2D">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7.具有自动静音功能，麦克风跌落、抛掷时，毫秒级响应自动静音，避免冲击声；产品静置5秒自动静音。</w:t>
            </w:r>
          </w:p>
          <w:p w14:paraId="7D288A5A">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8.麦克风具有长时间静置自动关机功能，设备自动检测工作状态（使用状态、静置状态），静置时间≥8分钟后，设备自动关机。</w:t>
            </w:r>
          </w:p>
          <w:p w14:paraId="51D15157">
            <w:pPr>
              <w:pStyle w:val="116"/>
              <w:spacing w:after="0" w:line="24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二、话筒天线</w:t>
            </w:r>
          </w:p>
          <w:p w14:paraId="1C9A1756">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1.射频频率范围等同或优于470～950MHz</w:t>
            </w:r>
          </w:p>
          <w:p w14:paraId="4148BDB1">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2.驻波比：≤2.0</w:t>
            </w:r>
          </w:p>
          <w:p w14:paraId="6DCEBC60">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3.输入阻抗：≤50Ω</w:t>
            </w:r>
          </w:p>
          <w:p w14:paraId="58B39C5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4.指向性：≥180度指</w:t>
            </w:r>
          </w:p>
        </w:tc>
      </w:tr>
      <w:tr w14:paraId="3FB81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E0C9A7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097" w:type="dxa"/>
            <w:tcBorders>
              <w:top w:val="single" w:color="auto" w:sz="4" w:space="0"/>
              <w:left w:val="single" w:color="auto" w:sz="4" w:space="0"/>
              <w:bottom w:val="single" w:color="auto" w:sz="4" w:space="0"/>
              <w:right w:val="single" w:color="auto" w:sz="4" w:space="0"/>
            </w:tcBorders>
            <w:vAlign w:val="center"/>
          </w:tcPr>
          <w:p w14:paraId="2FF523F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数字化网络广播系统服务平台</w:t>
            </w:r>
          </w:p>
        </w:tc>
        <w:tc>
          <w:tcPr>
            <w:tcW w:w="833" w:type="dxa"/>
            <w:tcBorders>
              <w:top w:val="single" w:color="auto" w:sz="4" w:space="0"/>
              <w:left w:val="single" w:color="auto" w:sz="4" w:space="0"/>
              <w:bottom w:val="single" w:color="auto" w:sz="4" w:space="0"/>
              <w:right w:val="single" w:color="auto" w:sz="4" w:space="0"/>
            </w:tcBorders>
            <w:vAlign w:val="center"/>
          </w:tcPr>
          <w:p w14:paraId="7CD63BFA">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2E53F69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套</w:t>
            </w:r>
          </w:p>
        </w:tc>
        <w:tc>
          <w:tcPr>
            <w:tcW w:w="6801" w:type="dxa"/>
            <w:tcBorders>
              <w:top w:val="single" w:color="auto" w:sz="4" w:space="0"/>
              <w:left w:val="single" w:color="auto" w:sz="4" w:space="0"/>
              <w:bottom w:val="single" w:color="auto" w:sz="4" w:space="0"/>
            </w:tcBorders>
            <w:vAlign w:val="center"/>
          </w:tcPr>
          <w:p w14:paraId="370D445C">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eastAsia="zh-CN" w:bidi="ar"/>
              </w:rPr>
              <w:t>一、系统功能:</w:t>
            </w:r>
          </w:p>
          <w:p w14:paraId="371A1C23">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1.统一管理系统内所有音频终端，包括语音播控台、对讲终端、广播终端和消防接口设备，实时显示音频终端的IP地址、在线状态、任务状态、音量等运行状态。</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支撑各音频终端的运行，进行音频流传输管理，响应各音频终端播放请求和音频全双工交换，支持B/S架构，通过网页登陆可进行终端管理、用户管理、节目播放管理、音频文件管理、录音存贮、内部通讯调度处理等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3.提供全双工语音数据交换，响应各对讲终端的呼叫和通话请求，支持一键呼叫、一键对讲等通话模式，支持自动接听、手动接听，支持自定义接听提示音。</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４.具备新建用户功能，可对其权限进行管理，包括终端和分组权限；可进行高级任务优先级和角色权限分配；同时支持禁用或启用用户。支持对用户进行账号代管操作，支持一键控制代管操作。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５.多用户、多级别、指定权限、指定功能、指定终端对后台进行分类管理。多用户、任意级别的分控管理，实现远程节目播放管理。</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６.统一管理终端登陆密码，支持多级优先级管理，并支持轻松自动授权。支持任务优先级、终端优先级、用户优先级自定义。</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★７.支持对终端设置时间显示配置，可设置0-6级别亮度值，可设置离线后不显示时间等模式。</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８.终端自定义区域划分，实现对终端的实时状态分区域管理，支持任意分区播放与讲话。</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９.终端的上/下线状态以及占用状态进行实时监控，实时管理终端音量和当前任务；也可自定义终端分区，按区域划分管理终端状态，方便直观。</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10.可视化动态效果展示，让用户可以通过直观的图形化界面观看动态效果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11.遥控配置功能，可查阅遥控器列表、遥控任务、遥控话筒任务，配置20个按键任务，可配置任务音量、优先级、混音配置、播放音源等信息，播放音源支持选择话筒、快捷音源、音频播放。</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12.后台功能模块自定义，个性化界面；首页入口自由配置，方便高频功能使用。</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13.可设任意终端作为监听器，监听其他终端正在播放的内容；支持广播、对讲、终端监听进行录音。</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14.本地音频采集功能，播放到任意指定终端。</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15.资源共享功能，用户可以自定义共享权限，可共享分组管理、定时打铃、定时任务、云播音室、媒体库，具有权限的用户可以进行编辑协作。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16.媒体文件分类分用户管理，可配置公有/私有文件夹，私有文件单独使用，支持多级文件夹管理、文件搜索功能；支持节目库资源管理，支持MP3、WAV、FLAC、OGG、AAC、OPUS等主流音频格式语音软件上传，音源转码，试听，共享下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17.系统的录音功能，并进行录音数据存储。</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18.日志记录系统运行状态，实时记录系统运行及终端工作状态，每次呼叫、通话和广播操作均有记录。</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19.支持系统状态（CPU、内存、进程、负载均衡）、终端状态（CPU、内存、进程、负载均衡、播放状态、声卡状态）、网络状态（链路越点、网络丢包率、最大帧间隔）、音频识别等系统检测，一键导出报告。</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20.修改系统名称/LOGO，修改后三端统一展示。</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21.支持抗丢包功能，采用了数据冗余编解码算法，实现在网络丢包严重的网络环境下音频播放无卡顿。</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22.多套定时打铃方案同时启用，每套定时打铃方案支持多套任务同时进行，一键启用/停用所有方案。</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23.支持离线定时打铃功能，在终端断网断电的情况下，实现定时打铃自动播放。</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24.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25.编程定时任务，支持编程多套定时方案，支持选择任意终端和设置任意时间；支持定时任务执行测试、设置重复周期。支持定时任务多种音源选择（文件播放、声卡采集、终端采集）。</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26.批量修改定时任务的时间、音量、执行终端，对定时任务进行批量导入导出。</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27.终端短路输入联动触发，可任意设置联动触发方案和触发终端数量，触发方案包括短路输出、文件播放等。</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28.用户可选择特定的终端设备，并设定具体的时间点，系统将在该时间点自动对选定的终端执行音量均衡调整。</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29.支持定时插播模式，可设置执行时间点范围、间隔时间，批量自动生成打铃任务。</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30.支持终端音频采播功能，实现听力考试语音文件采播。</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31.支持配置指定终端在指定时间段内启用考试模式，考试模式下，数模备份能进行相互切换，支持一键结束所有设备的考试模式。</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32.启用考试模式功能，配置终端冻结时间。在考试期间，出现断网、断电的异常情况下，听力备份切换延时小于0.03秒，真正实现无卡顿、无丢字、无延时的考试听力备份效果。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33.一键巡检功能，支持拾取现场音箱声音状态并回传给系统，可逐个终端自动比对回传的数据与任务播放的数据，并将比对结果输出报告。</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34.支持终端列表的导入/导出功能，定时打铃的导入/导出功能，终端自动上线、终端手动添加使用、音量批量编辑。</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35.支持终端异常断电/断网监测，后台可显示终端异常状态，并可显示设备运行状态、终端资源使用率、外接设备状态、设备本地点播状态。</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36.任务回收站，支持将删除的定时打铃或定时任务放置在此模块中，可实现一键恢复/删除操作。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37.支持终端音量均衡调节，可自定义配置执行时间、执行终端，系统将在该时间点自动对选定的终端执行对音量进行等比例调节。</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38.内置TTS文本转语音功能，支持文本转语音，可调整1-10语速、循环次数、选择语音包，支持上传/下载音频文件和查看TTS转换日志。</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39.对接高精准基于GPS的定时系统</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40.设置广播超时自动挂断和对讲超时自动挂断功能，设置后按照规定时间自动结束任务。</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41.数字混音功能，任务自定义混音配置，对各端的广播/对讲/终端点播任务设置混音配置。麦克风前景音与背景音的配置选项，并允许用户调节背景音的音量强度。</w:t>
            </w:r>
          </w:p>
          <w:p w14:paraId="0B55F1C9">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42.支持对终端设置不同的灯光模式，可分别自定义设置红灯亮、红灯灭、绿灯亮、绿灯灭时间0.1S-10S.</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3B1C9A6A">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43.定时任务支持多台≥16路电源时序器管理，可定时开启与关闭，并具有全开关和单开关的功能选择</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27A7C55E">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44.通过广播系统后台可对终端进行5段均衡器调节：可对终端进行80Hz、300Hz、1KHz、3KHz、10KHz频点的±16dB调节，使得终端设备在现场使用环境不同而调节修饰</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8B04AC6">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45.可通过手机APP对网络音箱进行播放。</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661554DE">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二、广播控制主机1台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1.AC100-240V宽压输入。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2.兆芯KX-U6780A处理器，多核心多线程。服务器主板</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1个千兆网卡，</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4个USB接口。</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3.抽拉式键盘鼠标，VGA+DVI高清输出接口，同时支持蓝光高清硬解，支持网络或者本地1080P视频。</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4.具有一路短路触发开机运行接口，用于外部设备定时驱动开机运行。</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5.录音存储功能，可在后台自定义设置录音文件保存路径。</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6.显示屏</w:t>
            </w:r>
            <w:r>
              <w:rPr>
                <w:rFonts w:hint="eastAsia" w:asciiTheme="minorEastAsia" w:hAnsiTheme="minorEastAsia" w:eastAsiaTheme="minorEastAsia" w:cstheme="minorEastAsia"/>
                <w:color w:val="auto"/>
                <w:szCs w:val="21"/>
                <w:highlight w:val="none"/>
                <w:lang w:val="en-US" w:eastAsia="zh-CN" w:bidi="ar"/>
              </w:rPr>
              <w:t xml:space="preserve"> </w:t>
            </w:r>
            <w:r>
              <w:rPr>
                <w:rFonts w:hint="eastAsia" w:asciiTheme="minorEastAsia" w:hAnsiTheme="minorEastAsia" w:eastAsiaTheme="minorEastAsia" w:cstheme="minorEastAsia"/>
                <w:color w:val="auto"/>
                <w:szCs w:val="21"/>
                <w:highlight w:val="none"/>
                <w:lang w:bidi="ar"/>
              </w:rPr>
              <w:t>：</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17.3英寸，分辨率：</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1920(H)×1080(V——亮度：</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300cd/m²</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7.触摸屏：</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十点触控式电容触摸屏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8.CPU：</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2.7GHz，8核</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9.内存：</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8G DDR4台式机内存</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10.网口：</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1×RJ45</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11.硬盘位：</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1×256GM.2固态硬盘</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12.I/O接口：</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1×VGA、</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4×USB2.0、</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1×MICIN。</w:t>
            </w:r>
          </w:p>
        </w:tc>
      </w:tr>
      <w:tr w14:paraId="696CE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16258B5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097" w:type="dxa"/>
            <w:tcBorders>
              <w:top w:val="single" w:color="auto" w:sz="4" w:space="0"/>
              <w:left w:val="single" w:color="auto" w:sz="4" w:space="0"/>
              <w:bottom w:val="single" w:color="auto" w:sz="4" w:space="0"/>
              <w:right w:val="single" w:color="auto" w:sz="4" w:space="0"/>
            </w:tcBorders>
            <w:vAlign w:val="center"/>
          </w:tcPr>
          <w:p w14:paraId="4953D042">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分控管理客户端</w:t>
            </w:r>
          </w:p>
        </w:tc>
        <w:tc>
          <w:tcPr>
            <w:tcW w:w="833" w:type="dxa"/>
            <w:tcBorders>
              <w:top w:val="single" w:color="auto" w:sz="4" w:space="0"/>
              <w:left w:val="single" w:color="auto" w:sz="4" w:space="0"/>
              <w:bottom w:val="single" w:color="auto" w:sz="4" w:space="0"/>
              <w:right w:val="single" w:color="auto" w:sz="4" w:space="0"/>
            </w:tcBorders>
            <w:vAlign w:val="center"/>
          </w:tcPr>
          <w:p w14:paraId="5ED337A0">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39A811D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套</w:t>
            </w:r>
          </w:p>
        </w:tc>
        <w:tc>
          <w:tcPr>
            <w:tcW w:w="6801" w:type="dxa"/>
            <w:tcBorders>
              <w:top w:val="single" w:color="auto" w:sz="4" w:space="0"/>
              <w:left w:val="single" w:color="auto" w:sz="4" w:space="0"/>
              <w:bottom w:val="single" w:color="auto" w:sz="4" w:space="0"/>
            </w:tcBorders>
            <w:vAlign w:val="center"/>
          </w:tcPr>
          <w:p w14:paraId="458BAC14">
            <w:pPr>
              <w:pStyle w:val="116"/>
              <w:numPr>
                <w:ilvl w:val="0"/>
                <w:numId w:val="2"/>
              </w:numPr>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eastAsia="zh-CN" w:bidi="ar"/>
              </w:rPr>
              <w:t>系统功能：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1.客户端软件利用网络（局域网、广域网）远程登录到服务器，支持多套客户端软件同时登录到服务器，各套客户端软件独立工作。</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2.可实现终端状态查看（显示终端空闲、忙碌、冻结、故障、离线的状态统计数据，点击查看即可进入设备列表查看具体信息）、音频播放、监听、广播及对讲、会话状态监控等功能。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3.查看所有终端类型的状态和运行情况，可对对讲终端发起多方对讲，对广播终端发起广播。</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4.实时查看终端工作状态、音量、任务，并且可在终端状态界面设置终端音量。终端状态支持方块视图和列表视图两种模式。</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5.创建文本广播任务，可实现将文本转成语音，支持后台调整语速、设置播放语音、循环次数的功能。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6.创建声卡采集任务，可通过分控客户端所在电脑的声卡进行实时采播，并且支持将采播的内容进行录音存储。</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7.创建播放任务，可进行本地文件播放，可选择文件进行顺序播放或循环播放或随机播放。</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8.支持进行发起监听功能，在会话状态选择监听终端，可监听某任务播放的内容。</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9.支持远程对某终端/分区/全区进行实时的寻呼广播，支持选择网络寻呼话筒进行实时对讲。</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10.支持分控端查看终端上下线记录，可设置终端掉线弹窗提示。</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11.临时定时任务配置和管理，提供多种音源选择（声卡采集、终端采集）。</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12.对媒体文件分类分用户管理，可配置公有/私有文件夹，私有文件单独使用。</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13.支持展示服务器时间（年、月、日、时、分、秒），支持校对服务器时间同步。</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14.设置多个时间点以执行文件播放。</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15.多语言功能，多语言一键切换，中文简体、中文繁体、英文、语言切换。</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16.启用考试模式功能，支持配置终端冻结时间。在考试期间，出现断网、断电的异常情况下，听力备份切换延时小于0.03秒。</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17.用户在平台上实时查看与设备绑定的监控点现场画面，对指定监控设备关联的广播设备进行广播。</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18.支持本地日志记录,终端离线时支持弹窗和播放声音提醒,及时掌握终端信息；支持关闭弹窗提醒。</w:t>
            </w:r>
          </w:p>
        </w:tc>
      </w:tr>
      <w:tr w14:paraId="5737C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101EE58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097" w:type="dxa"/>
            <w:tcBorders>
              <w:top w:val="single" w:color="auto" w:sz="4" w:space="0"/>
              <w:left w:val="single" w:color="auto" w:sz="4" w:space="0"/>
              <w:bottom w:val="single" w:color="auto" w:sz="4" w:space="0"/>
              <w:right w:val="single" w:color="auto" w:sz="4" w:space="0"/>
            </w:tcBorders>
            <w:vAlign w:val="center"/>
          </w:tcPr>
          <w:p w14:paraId="69F91327">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对时服务器</w:t>
            </w:r>
          </w:p>
        </w:tc>
        <w:tc>
          <w:tcPr>
            <w:tcW w:w="833" w:type="dxa"/>
            <w:tcBorders>
              <w:top w:val="single" w:color="auto" w:sz="4" w:space="0"/>
              <w:left w:val="single" w:color="auto" w:sz="4" w:space="0"/>
              <w:bottom w:val="single" w:color="auto" w:sz="4" w:space="0"/>
              <w:right w:val="single" w:color="auto" w:sz="4" w:space="0"/>
            </w:tcBorders>
            <w:vAlign w:val="center"/>
          </w:tcPr>
          <w:p w14:paraId="7DFCD980">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2915967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04DB239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一、外观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1.linux操作系统。</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2.自动实现卫星自动校时，使用地球同步卫星作为校时基准，与格林威治时间误差小于0.1秒。</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3.支持与公共广播系统对接作为校时系统，保障公共广播系统和定时任务准确性。</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4.液晶显示屏可显示当前时间、当前时区等。</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5.系统带北斗卫星导航系统（BDS）+GPS卫星定位系统两大定位系统，可以实现后台远程切换两个不同系统。</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6.可一键恢复出厂功能。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1.网络接口：标准RJ45输入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2.传输速率：100Mbps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3.支持协议：TCP/IP，UDP，IGMP(组播)，IETFSIP</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4.电源：~190V-240V 50Hz-60Hz；DC24V/1A</w:t>
            </w:r>
          </w:p>
        </w:tc>
      </w:tr>
      <w:tr w14:paraId="2B44C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2298AF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097" w:type="dxa"/>
            <w:tcBorders>
              <w:top w:val="single" w:color="auto" w:sz="4" w:space="0"/>
              <w:left w:val="single" w:color="auto" w:sz="4" w:space="0"/>
              <w:bottom w:val="single" w:color="auto" w:sz="4" w:space="0"/>
              <w:right w:val="single" w:color="auto" w:sz="4" w:space="0"/>
            </w:tcBorders>
            <w:vAlign w:val="center"/>
          </w:tcPr>
          <w:p w14:paraId="70F0C79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网络寻呼话筒</w:t>
            </w:r>
          </w:p>
        </w:tc>
        <w:tc>
          <w:tcPr>
            <w:tcW w:w="833" w:type="dxa"/>
            <w:tcBorders>
              <w:top w:val="single" w:color="auto" w:sz="4" w:space="0"/>
              <w:left w:val="single" w:color="auto" w:sz="4" w:space="0"/>
              <w:bottom w:val="single" w:color="auto" w:sz="4" w:space="0"/>
              <w:right w:val="single" w:color="auto" w:sz="4" w:space="0"/>
            </w:tcBorders>
            <w:vAlign w:val="center"/>
          </w:tcPr>
          <w:p w14:paraId="712A2DA7">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636EC6C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5E72D411">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一、外观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1.桌面式设计，自带不小于10.1英寸高清IPS屏幕，分辨率不小于1024x600。支持进入休眠、低功耗省电模式，支持账号密码管理。</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2.自带数字键、功能键界面。支持呼叫分区及多个分区、呼叫全区广播；支持直接操作呼叫或对讲任意终端；支持直接操作监听（环境监听）任意终端根据实际环境，监听距离不低于5m。</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3.内置2×3W全频高保真扬声器单元。</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4.具有1路USB接口，支持本地音频文件自由点播播放，同时支持定制加密管理UKey功能。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5.具有1路音频线路输出，可外扩功率放大器；具有1路音频线路输入，提供多音源传输。</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6.双网络接口设计，端子支持冗余备份功能。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7.内置网络音频解码，支持MP3、WAV、FLAC、OGG、AAC、OPUS等主流音频格式，兼容8kHz-48kHz全采样率。</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8.远程播放、本地点播功能，支持音源从USB、本地存储、网络存储获取，可将音源播放到系统内任意终端；支持100级自定义音频优先级默音控制(支持多路信号放大、混音、三级优先控制、音调调节）。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9.求助信号铃声、闪灯提示，一键接受求助、对讲功能，同时也可以支持免提通话和接收广播，实现快速链接。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10.设备支持全双工双向对讲功能，同时还支持32路多方会议通话功能，可扩展至128路多方对讲和通话，支持多方通话可视化展示，设备自带回声消除抑制功能。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11.自动接听、手动接听，支持自定义接听提示音；支持转移时间、无人接听时间、呼叫等待时间自定义设置。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12.本地音量设置、均衡音量控制、任务音量控制。</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13.广播系统设备列表管理、状态实时监测和显示。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14.可本地IP、DHCP、IPv4、域名管理，支持服务器连接与状态监测。</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15.具备抗丢包恢复功能。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1.网络接口：标准RJ45×2输入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2.支持协议：TCP/IP、UDP、IGMP、ICMP</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3.音频格式：支持MP3、WAV、FLAC、OGG、AAC、OPUS等主流音频格式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4.采样率：约8kHz-48kHz</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5.传输速率：≥100Mbps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6.音频模式：≥16位</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7.显示屏尺寸：≥10.1英寸</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8.屏幕分辨率：≥1024x600</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9.屏幕类型：IPS显示屏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10.键盘类型：虚拟QWERTY键盘</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11.键盘输入方式：触控</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12.本地喇叭输出功率：≥8W(MAX)</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13.总偕波失真：≤1%</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14.频率响应：约80Hz-16kHz(+1dB/-3dB)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15.信噪比：≥65dB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16.PHONEOUT输出阻抗及最大功率：≥32Ω，40mW（MAX)</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17.LINEOUT输出电平：≥1000mV工业标准压线接线端子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18.LINEOUT输出阻抗：≥470Ω</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19.LINEIN输入灵敏度：≥350mV工业标准压线接线端子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20.MIC输入灵敏度（非平衡）：≥120mV</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21.USB接口：≥1个USB2.0</w:t>
            </w:r>
          </w:p>
        </w:tc>
      </w:tr>
      <w:tr w14:paraId="281CF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5E2FC4F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097" w:type="dxa"/>
            <w:tcBorders>
              <w:top w:val="single" w:color="auto" w:sz="4" w:space="0"/>
              <w:left w:val="single" w:color="auto" w:sz="4" w:space="0"/>
              <w:bottom w:val="single" w:color="auto" w:sz="4" w:space="0"/>
              <w:right w:val="single" w:color="auto" w:sz="4" w:space="0"/>
            </w:tcBorders>
            <w:vAlign w:val="center"/>
          </w:tcPr>
          <w:p w14:paraId="103CA696">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专业数字播放器</w:t>
            </w:r>
          </w:p>
        </w:tc>
        <w:tc>
          <w:tcPr>
            <w:tcW w:w="833" w:type="dxa"/>
            <w:tcBorders>
              <w:top w:val="single" w:color="auto" w:sz="4" w:space="0"/>
              <w:left w:val="single" w:color="auto" w:sz="4" w:space="0"/>
              <w:bottom w:val="single" w:color="auto" w:sz="4" w:space="0"/>
              <w:right w:val="single" w:color="auto" w:sz="4" w:space="0"/>
            </w:tcBorders>
            <w:vAlign w:val="center"/>
          </w:tcPr>
          <w:p w14:paraId="57B2449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18E3E56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1B4E0A9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一、外观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 1U设计。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 LCD屏显示。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3.支持光盘：CD-ROM/数据光盘、CD-DA/光盘、DVD-ROM/数据型光盘、DVD+R9(DL)刻录光盘。</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4.支持音频格式包括MP3、WMA、WAV、FLAC、AAC、M4A、APE等类型。</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5.内置音频延时输出功能，调节范围1ms~100000ms。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6.可读单分区U盘，支持FAT32、NTFS、exFAT格式。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7.可读单分区SD卡，支持FAT32、exFAT格式。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8.支持读取根目录及其一级子目录下音频文件，最大不超过100个。</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1.支持音频格式：MP3、WMA、WAV、FLAC、AIFF、AAC、AMR、M4A、AC3、MIDI、TAK、OGGVorbis、APE、MP2、M4R、MPC、MMF、TrueHD、RA(RealAudio)、OPUS、MKA、MLP、TTA、DTS、VOC、WV、AU、DFF、DSF、VQF、PVF、CAF、PAF、SF、W64、AVR、RF64、EAC3</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2.光盘格式：CD-ROM、CD-DA、DVD-ROM、DVD+R9(DL)</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3.U盘格式支持：FAT32、NTFS、exFAT</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4.SD卡格式支持：FAT32、exFAT</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5.U盘、SD卡分区支持：单分区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6.LINEOUT输出失真度：≤0.02%</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7.LINEOUT输出信噪比：＞90dB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8.监听喇叭频率响应：≥300Hz～8kHz</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9.LINEOUT频率响应：≥20Hz～20kHz+1/-1.5dB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10.LINEOUT输出幅度：≥1000mV</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11.LINEOUT输出源阻抗：≥470Ω</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12.耳机输出幅度：≥700mV</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13.耳机输出源阻抗：≥32Ω</w:t>
            </w:r>
          </w:p>
        </w:tc>
      </w:tr>
      <w:tr w14:paraId="7F93B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1C9D0A3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097" w:type="dxa"/>
            <w:tcBorders>
              <w:top w:val="single" w:color="auto" w:sz="4" w:space="0"/>
              <w:left w:val="single" w:color="auto" w:sz="4" w:space="0"/>
              <w:bottom w:val="single" w:color="auto" w:sz="4" w:space="0"/>
              <w:right w:val="single" w:color="auto" w:sz="4" w:space="0"/>
            </w:tcBorders>
            <w:vAlign w:val="center"/>
          </w:tcPr>
          <w:p w14:paraId="1309FFFC">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前置放大器</w:t>
            </w:r>
          </w:p>
        </w:tc>
        <w:tc>
          <w:tcPr>
            <w:tcW w:w="833" w:type="dxa"/>
            <w:tcBorders>
              <w:top w:val="single" w:color="auto" w:sz="4" w:space="0"/>
              <w:left w:val="single" w:color="auto" w:sz="4" w:space="0"/>
              <w:bottom w:val="single" w:color="auto" w:sz="4" w:space="0"/>
              <w:right w:val="single" w:color="auto" w:sz="4" w:space="0"/>
            </w:tcBorders>
            <w:vAlign w:val="center"/>
          </w:tcPr>
          <w:p w14:paraId="3A46232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18A9C6E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6C33CD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产品特点：</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1.2U设计；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2.具有≥5路话筒（MIC）输入，≥3路标准信号线路（AUX）输入，≥2路紧急线路（EMC）输入；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3.MIC1具有最高优先、强行切入优先功能；MIC5和EMC最高优先权限功能可通过拔动开关交替选择；</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4.紧急输入线路具有二级优先，强行切入优先功能；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5.MIC1、2、3、4、5和2路紧急输入（EMC）通道均附设有线路辅助输入接口功能；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7.话筒（MIC）输入通道和线路（AUX）输入通道均可独立调校音量，并设有总音量控制旋钮；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8.设有高音（TREBLE）和低音（BASS）独立调节；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9.具有默音深度调节旋钮和EMC输入增益调节旋钮。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1.话筒1-5的输入灵敏度：话筒:5mV/600Ω非平衡；线路RCA:775mV/10KΩ非平衡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2.辅助1-3输入：AUX1.2.3:350mV/10KΩ非平衡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3.EMC1-2输入：RAC:非平衡200mV～1000mV/10KΩ；MIC：非平衡5mV～25mV/600Ω</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4.频率响应：20Hz-20KHz(±3dB)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5.信噪比：MIC输入:50dB；AUX输入:80dB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6.音调调节：低音:±10dBat100Hz；高音:±10dBat10KHz</w:t>
            </w:r>
          </w:p>
        </w:tc>
      </w:tr>
      <w:tr w14:paraId="6DD5A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810C58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097" w:type="dxa"/>
            <w:tcBorders>
              <w:top w:val="single" w:color="auto" w:sz="4" w:space="0"/>
              <w:left w:val="single" w:color="auto" w:sz="4" w:space="0"/>
              <w:bottom w:val="single" w:color="auto" w:sz="4" w:space="0"/>
              <w:right w:val="single" w:color="auto" w:sz="4" w:space="0"/>
            </w:tcBorders>
            <w:vAlign w:val="center"/>
          </w:tcPr>
          <w:p w14:paraId="690BC89B">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网络音频采集器</w:t>
            </w:r>
          </w:p>
        </w:tc>
        <w:tc>
          <w:tcPr>
            <w:tcW w:w="833" w:type="dxa"/>
            <w:tcBorders>
              <w:top w:val="single" w:color="auto" w:sz="4" w:space="0"/>
              <w:left w:val="single" w:color="auto" w:sz="4" w:space="0"/>
              <w:bottom w:val="single" w:color="auto" w:sz="4" w:space="0"/>
              <w:right w:val="single" w:color="auto" w:sz="4" w:space="0"/>
            </w:tcBorders>
            <w:vAlign w:val="center"/>
          </w:tcPr>
          <w:p w14:paraId="319F8046">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755708F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1A5D6FC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一、产品特点</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1.支持不少于4分区独立打开、关闭采集功能，配套独立的指示灯显示。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2.支持定时采播任务、临时采播任务，采播任务优先级别可通过服务器设置。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3.支持音频触发采集任务；支持AUX输入自动触发采集任务。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4.内置网络音频解码，支持MP3、WAV、FLAC、OGG、AAC、OPUS等主流音频格式，兼容8kHz-48kHz全采样率。</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1.网络接口：标准RJ45输入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2.传输速率：100Mbps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3.支持协议：TCP/IP、UDP、IGMP、ICMP</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4.采样率：8kHz-48kHz</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5.AUX输入灵敏度：≥350mVRCA端子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6.输入频率响应：80Hz-16kHz(+1dB/-3dB)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7.AUX电平触发阀值：10mV</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8.谐波失真：≤0.1%</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9.信噪比：≥78dB</w:t>
            </w:r>
          </w:p>
        </w:tc>
      </w:tr>
      <w:tr w14:paraId="5724C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25EB14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097" w:type="dxa"/>
            <w:tcBorders>
              <w:top w:val="single" w:color="auto" w:sz="4" w:space="0"/>
              <w:left w:val="single" w:color="auto" w:sz="4" w:space="0"/>
              <w:bottom w:val="single" w:color="auto" w:sz="4" w:space="0"/>
              <w:right w:val="single" w:color="auto" w:sz="4" w:space="0"/>
            </w:tcBorders>
            <w:vAlign w:val="center"/>
          </w:tcPr>
          <w:p w14:paraId="1B2F09B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网络电源管理器</w:t>
            </w:r>
          </w:p>
        </w:tc>
        <w:tc>
          <w:tcPr>
            <w:tcW w:w="833" w:type="dxa"/>
            <w:tcBorders>
              <w:top w:val="single" w:color="auto" w:sz="4" w:space="0"/>
              <w:left w:val="single" w:color="auto" w:sz="4" w:space="0"/>
              <w:bottom w:val="single" w:color="auto" w:sz="4" w:space="0"/>
              <w:right w:val="single" w:color="auto" w:sz="4" w:space="0"/>
            </w:tcBorders>
            <w:vAlign w:val="center"/>
          </w:tcPr>
          <w:p w14:paraId="1ED1349C">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70A3A8F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5609233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1.具备主从机设置，通过主设备电源锁可一键开启或关闭所有从设备。</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2.提供智能化电源控制管理，设置定时任务。支持顺序打开或关闭电源功能，支持设置电源的开关时序间隔。</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3.具备≥8路电源输出插座，其中≥8路10A的插座规格，总电流达30A。支持实时监控插座功率。</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4.采用LCD显示屏，可显示输入电压信息，定时任务信息等。</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5.支持PC客户端软件管理，支持三层网络协议。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6.支持对每一路电源输出进行定时编，实现全自动无人值守的电源管理。</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7.支持离线模式，本地自带定时程序。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8.具备≥1个10M/100M网口，≥1路RS485接口。</w:t>
            </w:r>
          </w:p>
        </w:tc>
      </w:tr>
      <w:tr w14:paraId="7277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2252B05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097" w:type="dxa"/>
            <w:tcBorders>
              <w:top w:val="single" w:color="auto" w:sz="4" w:space="0"/>
              <w:left w:val="single" w:color="auto" w:sz="4" w:space="0"/>
              <w:bottom w:val="single" w:color="auto" w:sz="4" w:space="0"/>
              <w:right w:val="single" w:color="auto" w:sz="4" w:space="0"/>
            </w:tcBorders>
            <w:vAlign w:val="center"/>
          </w:tcPr>
          <w:p w14:paraId="02E75985">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音频保障主机</w:t>
            </w:r>
          </w:p>
        </w:tc>
        <w:tc>
          <w:tcPr>
            <w:tcW w:w="833" w:type="dxa"/>
            <w:tcBorders>
              <w:top w:val="single" w:color="auto" w:sz="4" w:space="0"/>
              <w:left w:val="single" w:color="auto" w:sz="4" w:space="0"/>
              <w:bottom w:val="single" w:color="auto" w:sz="4" w:space="0"/>
              <w:right w:val="single" w:color="auto" w:sz="4" w:space="0"/>
            </w:tcBorders>
            <w:vAlign w:val="center"/>
          </w:tcPr>
          <w:p w14:paraId="1C4EC3B4">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5B27287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50948C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一、产品特点</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2.采用标准机柜式设计。</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内置网络硬件连接模块，支持TCP/IP、UDP、IGMP(组播协议)传输协议，实现网络化传输16位CD音质的音频信号，支持MP3、WAV、FLAC、APE等主流音频格式。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4.内置监听喇叭，监听音量可本地调节，可实时监听本地输出音频状态。</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 ≥1路本地麦克风输入，实现本地广播功能。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 ≥4路独立交流电源输出座，可为CD播放器、有源音箱等设备供电，具备智能电源管理功能。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 ≥4路音频输出接口，输出音量可调节，用于连接后级功率放大器。</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 ≥2路音频输入接口，可一键切换输入通道；每路均支持调节延时0~80秒，支持调节延时步进1ms、10ms、100ms、1s。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 短路报警广播触发输入，每1路输入可触发分区在服务器端编程保存下发至本地存储执行。</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10.支持第一路音频输入通道断电直通输出功能，保障设备在异常断电情况下都可以有音频输出。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11.支持网络控制，接入服务器，进行功能配置。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12.支持离线定时广播功能，在服务器故障后，代替服务器进行离线广播。</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13.具有音频备份保障功能，为IP广播进行模拟备份，安全可靠。</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14.支持远程固件升级，支持通过网络对设备进行维护，减轻人员工作强度。</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1.网络接口：标准RJ45输入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2.传输速率：100Mbps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3.支持协议：兼容DHCP、TCP、UDP、ICMP、IGMP、ARP等标准网络协议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4.采样率：48kHz</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5.音频格式：MP3、WAV、FLAC、APE等主流音频格式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6.显示屏尺寸</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7英寸液晶显示屏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7.屏幕分辨率：</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800*480像素</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8.音频输入灵敏度：单端输入775mVrms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9.音频输出灵敏度：单端输出1000mVrms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10.频率响应：80Hz~20kHz,+1dB/-3dB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11.信噪比：≥78dB(A)</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12.谐波失真：≤0.05%,@1kHz,0dBu</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13.工作电源：～220V/50Hz</w:t>
            </w:r>
          </w:p>
        </w:tc>
      </w:tr>
      <w:tr w14:paraId="4B79F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DAFF65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097" w:type="dxa"/>
            <w:tcBorders>
              <w:top w:val="single" w:color="auto" w:sz="4" w:space="0"/>
              <w:left w:val="single" w:color="auto" w:sz="4" w:space="0"/>
              <w:bottom w:val="single" w:color="auto" w:sz="4" w:space="0"/>
              <w:right w:val="single" w:color="auto" w:sz="4" w:space="0"/>
            </w:tcBorders>
            <w:vAlign w:val="center"/>
          </w:tcPr>
          <w:p w14:paraId="5D9AD7C5">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网络监听音箱</w:t>
            </w:r>
          </w:p>
        </w:tc>
        <w:tc>
          <w:tcPr>
            <w:tcW w:w="833" w:type="dxa"/>
            <w:tcBorders>
              <w:top w:val="single" w:color="auto" w:sz="4" w:space="0"/>
              <w:left w:val="single" w:color="auto" w:sz="4" w:space="0"/>
              <w:bottom w:val="single" w:color="auto" w:sz="4" w:space="0"/>
              <w:right w:val="single" w:color="auto" w:sz="4" w:space="0"/>
            </w:tcBorders>
            <w:vAlign w:val="center"/>
          </w:tcPr>
          <w:p w14:paraId="555C809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3BA4154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套</w:t>
            </w:r>
          </w:p>
        </w:tc>
        <w:tc>
          <w:tcPr>
            <w:tcW w:w="6801" w:type="dxa"/>
            <w:tcBorders>
              <w:top w:val="single" w:color="auto" w:sz="4" w:space="0"/>
              <w:left w:val="single" w:color="auto" w:sz="4" w:space="0"/>
              <w:bottom w:val="single" w:color="auto" w:sz="4" w:space="0"/>
            </w:tcBorders>
            <w:vAlign w:val="center"/>
          </w:tcPr>
          <w:p w14:paraId="1E20ADE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一、产品特点</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1路MIC输入接口，其中1路支持接入麦克风可实现本地寻呼扩声功能，支持网络音量调节;</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2.内置麦克风。</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1路线路（AUX）输入接口，支持网络音量调节，具备断网本地扩声功能。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4.可扩展无线音频模块，实现无线麦克风进行本地扩音。可扩展连接蓝牙接收器实现接收蓝牙音频进行本地扩声。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5.双网络接口设计，端子支持冗余备份功能，有效避免了单点故障而导致设备无法永久连接系统的问题。</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lang w:bidi="ar"/>
              </w:rPr>
              <w:t>1路100V定压信号备份输入接口，在机器无网络的状态下切换到备份通道，避免本地信号与备份信号串扰。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支持网络与模拟100V主备切换功能。支持断电或断网自动切换到模拟100V定压备份线路，听力备份切换延时小于0.03秒，切换过程无延时、无卡顿、不掉字，不影响正常播出；当网络、供电恢复正常，自动切换到主通道，切换时间小于0.03秒，切换过程无延时、无卡顿、不掉字，不影响正常播出。</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8.主音箱内置不少于2×20W（MAX）的双通道D类数字功率放大器，1路外接到副音箱，采用高、低音分频设计；音质细腻，功率强劲；具有网络音量设置。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9.内置网络音频解码模块，支持MP3、WAV、FLAC、OGG、AAC、OPUS等主流音频格式，兼容8kHz-48kHz全采样率。</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10.内置DSP音频处理，支持超低延时数字混音，10段EQ均衡配置。</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11.系统采用数据冗余编解码算法，支持抗丢包恢复功能。</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二、技术参数</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1.网络接口：标准RJ45输入</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2.传输速率：100Mbps</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3.支持协议：TCP/IP、UDP、IGMP、ICMP</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4.音频格式：支持MP3、WAV、FLAC、OGG、AAC、OPUS等主流音频格式</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5.音频模式：16位CD级音质</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6.采样率：8kHz-48kHz</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7.辅助线路输入电平：350mV工业标准3.81mm压线端子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8.频率响应：80Hz-16kHz(+1dB/-3dB)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9.MIC输入灵敏度(非平衡)：120mV工业标准3.81mm压线端子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10.MIC频率响应：200Hz-10kHz(+1dB/-3dB)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11.谐波失真：≤1%</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12.信噪比：≥70dB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13.输出功率：≥2×20W（MAX）</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14.最大声压级：≥99dB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15.灵敏度：≥86dB</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16.整机功耗：≥60W</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17.短路输入：干接点输入工业标准3.81mm压线端子</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lang w:bidi="ar"/>
              </w:rPr>
              <w:t>18.备份100V输入：工业标准5.08mm压线端子</w:t>
            </w:r>
          </w:p>
        </w:tc>
      </w:tr>
      <w:tr w14:paraId="63DD8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4F841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097" w:type="dxa"/>
            <w:tcBorders>
              <w:top w:val="single" w:color="auto" w:sz="4" w:space="0"/>
              <w:left w:val="single" w:color="auto" w:sz="4" w:space="0"/>
              <w:bottom w:val="single" w:color="auto" w:sz="4" w:space="0"/>
              <w:right w:val="single" w:color="auto" w:sz="4" w:space="0"/>
            </w:tcBorders>
            <w:vAlign w:val="center"/>
          </w:tcPr>
          <w:p w14:paraId="5EC46B5C">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模拟备份功放</w:t>
            </w:r>
          </w:p>
        </w:tc>
        <w:tc>
          <w:tcPr>
            <w:tcW w:w="833" w:type="dxa"/>
            <w:tcBorders>
              <w:top w:val="single" w:color="auto" w:sz="4" w:space="0"/>
              <w:left w:val="single" w:color="auto" w:sz="4" w:space="0"/>
              <w:bottom w:val="single" w:color="auto" w:sz="4" w:space="0"/>
              <w:right w:val="single" w:color="auto" w:sz="4" w:space="0"/>
            </w:tcBorders>
            <w:vAlign w:val="center"/>
          </w:tcPr>
          <w:p w14:paraId="36251D15">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2E7CA33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53BBFB2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1.采用D类数字功放技术，功率放大电路设计</w:t>
            </w:r>
          </w:p>
          <w:p w14:paraId="0223418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★2.额定输出功率：≥1500W</w:t>
            </w:r>
          </w:p>
          <w:p w14:paraId="7F3EBA5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3.具有管道式散热结构，内置自动温度控制风扇冷却系统。</w:t>
            </w:r>
          </w:p>
          <w:p w14:paraId="0D41CA0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4.具有≥1通道LINE不平衡TRS/XLR高品质多功能输入接口，≥1通道LINE平衡XLR级联输出。</w:t>
            </w:r>
          </w:p>
          <w:p w14:paraId="2D3E16C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5.内置PFC电路和软开关电源技术，开关机自动软启动控制。</w:t>
            </w:r>
          </w:p>
          <w:p w14:paraId="443B304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6.功放电路，零交越失真。</w:t>
            </w:r>
          </w:p>
          <w:p w14:paraId="564AB68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7.内置智能削顶失真和过流压限系统，能保护扬声器单元。</w:t>
            </w:r>
          </w:p>
          <w:p w14:paraId="4854A50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8.具有过温、过压、欠压、过流、短路多重智能检测保护系统。</w:t>
            </w:r>
          </w:p>
          <w:p w14:paraId="54CE018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9.具有不少于2种定阻和定压输出模式:4-16Ω/100V可选择。</w:t>
            </w:r>
          </w:p>
        </w:tc>
      </w:tr>
      <w:tr w14:paraId="6FC9D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598899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097" w:type="dxa"/>
            <w:tcBorders>
              <w:top w:val="single" w:color="auto" w:sz="4" w:space="0"/>
              <w:left w:val="single" w:color="auto" w:sz="4" w:space="0"/>
              <w:bottom w:val="single" w:color="auto" w:sz="4" w:space="0"/>
              <w:right w:val="single" w:color="auto" w:sz="4" w:space="0"/>
            </w:tcBorders>
            <w:vAlign w:val="center"/>
          </w:tcPr>
          <w:p w14:paraId="0ABDA77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教室网络音箱</w:t>
            </w:r>
          </w:p>
        </w:tc>
        <w:tc>
          <w:tcPr>
            <w:tcW w:w="833" w:type="dxa"/>
            <w:tcBorders>
              <w:top w:val="single" w:color="auto" w:sz="4" w:space="0"/>
              <w:left w:val="single" w:color="auto" w:sz="4" w:space="0"/>
              <w:bottom w:val="single" w:color="auto" w:sz="4" w:space="0"/>
              <w:right w:val="single" w:color="auto" w:sz="4" w:space="0"/>
            </w:tcBorders>
            <w:vAlign w:val="center"/>
          </w:tcPr>
          <w:p w14:paraId="6443B56C">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26</w:t>
            </w:r>
          </w:p>
        </w:tc>
        <w:tc>
          <w:tcPr>
            <w:tcW w:w="778" w:type="dxa"/>
            <w:tcBorders>
              <w:top w:val="single" w:color="auto" w:sz="4" w:space="0"/>
              <w:left w:val="single" w:color="auto" w:sz="4" w:space="0"/>
              <w:bottom w:val="single" w:color="auto" w:sz="4" w:space="0"/>
              <w:right w:val="single" w:color="auto" w:sz="4" w:space="0"/>
            </w:tcBorders>
            <w:vAlign w:val="center"/>
          </w:tcPr>
          <w:p w14:paraId="46BA50F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w:t>
            </w:r>
          </w:p>
        </w:tc>
        <w:tc>
          <w:tcPr>
            <w:tcW w:w="6801" w:type="dxa"/>
            <w:tcBorders>
              <w:top w:val="single" w:color="auto" w:sz="4" w:space="0"/>
              <w:left w:val="single" w:color="auto" w:sz="4" w:space="0"/>
              <w:bottom w:val="single" w:color="auto" w:sz="4" w:space="0"/>
            </w:tcBorders>
            <w:vAlign w:val="center"/>
          </w:tcPr>
          <w:p w14:paraId="2A414569">
            <w:pPr>
              <w:pStyle w:val="116"/>
              <w:spacing w:after="0" w:line="240" w:lineRule="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eastAsia="zh-CN" w:bidi="ar"/>
              </w:rPr>
              <w:t>一、产品特点</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bidi="ar"/>
              </w:rPr>
              <w:t>1.≥1路MIC输入接口，可接入麦克风实现本地寻呼扩声功能，支持网络音量调节。</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2.内置麦克风。</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3.≥1路线路（AUX）输入接口，支持网络音量调节，支持断网本地扩声功能。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4.网络接口设计，端子支持冗余备份功能。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5.≥1路100V定压信号备份输入接口，在机器无网络的状态下切换到备份通道，避免本地信号与备份信号串扰。</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6.支持网络与模拟100V主备切换功能。支持断电或断网自动切换到模拟100V定压备份线路，听力备份切换延时小于0.03秒，切换过程无延时、无卡顿、不掉字，不影响正常播出；当网络、供电恢复正常，自动切换到主通道，切换时间小于0.03秒，切换过程无延时、无卡顿、不掉字，不影响正常播出。</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7.主音箱内置2×20W（MAX）的双通道D类数字功率放大器，1路外接到副音箱，具有网络音量设置。</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8.内置网络音频解码模块，支持MP3、WAV、FLAC、OGG、AAC、OPUS等主流音频格式，兼容8kHz-48kHz全采样率。</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9.内置DSP音频处理，支持超低延时数字混音，10段EQ均衡配置。</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10.该设备配备U段无线手持话筒，具备本地寻呼扩声功能，采用单通道双天线设计，频率范围覆盖640MHz~690MHz，并且通过红外对频技术实现频率匹配。</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11.系统采用数据冗余编解码算法，支持抗丢包恢复功能。</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二、技术参数</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1.网络接口：标准RJ45输入</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2.传输速率：100Mbps</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3.支持协议：TCP/IP、UDP、IGMP、ICMP</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4.音频格式：支持MP3、WAV、FLAC、OGG、AAC、OPUS等主流音频格式</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5.音频模式：16位CD级音质</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6.采样率：≥8kHz-48kHz</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7.辅助线路输入电平：≥350mV工业标准3.81mm压线端子</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8.频率响应：≥80Hz-16kHz(+1dB/-3dB)</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9.MIC输入灵敏度(非平衡)：≥120mV工业标准3.81mm压线端子</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10.MIC频率响应：200Hz-10kHz(+1dB/-3dB)</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11.谐波失真：≤1%</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12.信噪比：≥70dB</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13.输出功率：≥2×30W（MAX）</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14.最大声压级：≥99dB</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15.灵敏度：≥86dB</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16.整机功耗：≥60W</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17.短路输入：干接点输入工业标准3.81mm压线端子</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18.备份100V输入：工业标准5.08mm压线端子</w:t>
            </w:r>
            <w:r>
              <w:rPr>
                <w:rFonts w:hint="eastAsia" w:asciiTheme="minorEastAsia" w:hAnsiTheme="minorEastAsia" w:eastAsiaTheme="minorEastAsia" w:cstheme="minorEastAsia"/>
                <w:color w:val="auto"/>
                <w:sz w:val="21"/>
                <w:szCs w:val="21"/>
                <w:highlight w:val="none"/>
                <w:lang w:eastAsia="zh-CN" w:bidi="ar"/>
              </w:rPr>
              <w:br w:type="textWrapping"/>
            </w:r>
            <w:r>
              <w:rPr>
                <w:rFonts w:hint="eastAsia" w:asciiTheme="minorEastAsia" w:hAnsiTheme="minorEastAsia" w:eastAsiaTheme="minorEastAsia" w:cstheme="minorEastAsia"/>
                <w:color w:val="auto"/>
                <w:sz w:val="21"/>
                <w:szCs w:val="21"/>
                <w:highlight w:val="none"/>
                <w:lang w:eastAsia="zh-CN" w:bidi="ar"/>
              </w:rPr>
              <w:t>19.无线U段话筒：配置无线手持式话筒，采用单通道双天线设计，频率范围覆盖640MHz~690MHz，并且通过红外对频技术实现频率匹配。</w:t>
            </w:r>
          </w:p>
          <w:p w14:paraId="5C63935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20.</w:t>
            </w:r>
            <w:r>
              <w:rPr>
                <w:rStyle w:val="119"/>
                <w:rFonts w:asciiTheme="minorEastAsia" w:hAnsiTheme="minorEastAsia" w:eastAsiaTheme="minorEastAsia" w:cstheme="minorEastAsia"/>
                <w:color w:val="auto"/>
                <w:sz w:val="21"/>
                <w:szCs w:val="21"/>
                <w:highlight w:val="none"/>
                <w:lang w:bidi="ar"/>
              </w:rPr>
              <w:t>免费安装：所有货物（含配套设备）根据实验室现场定位安装，强弱电布线线路按甲方要求实施，含安装所需的所有辅材，实施前提供方案图纸及规划书备案，不破坏原有设施，经甲方同意开工建设方可实施，否则不予验收，线路提供5年免费保修服务，保修期内线路损坏免费维修。</w:t>
            </w:r>
          </w:p>
        </w:tc>
      </w:tr>
      <w:tr w14:paraId="0542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2DA6B6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097" w:type="dxa"/>
            <w:tcBorders>
              <w:top w:val="single" w:color="auto" w:sz="4" w:space="0"/>
              <w:left w:val="single" w:color="auto" w:sz="4" w:space="0"/>
              <w:bottom w:val="single" w:color="auto" w:sz="4" w:space="0"/>
              <w:right w:val="single" w:color="auto" w:sz="4" w:space="0"/>
            </w:tcBorders>
            <w:vAlign w:val="center"/>
          </w:tcPr>
          <w:p w14:paraId="2040018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弱电井机柜</w:t>
            </w:r>
          </w:p>
        </w:tc>
        <w:tc>
          <w:tcPr>
            <w:tcW w:w="833" w:type="dxa"/>
            <w:tcBorders>
              <w:top w:val="single" w:color="auto" w:sz="4" w:space="0"/>
              <w:left w:val="single" w:color="auto" w:sz="4" w:space="0"/>
              <w:bottom w:val="single" w:color="auto" w:sz="4" w:space="0"/>
              <w:right w:val="single" w:color="auto" w:sz="4" w:space="0"/>
            </w:tcBorders>
            <w:vAlign w:val="center"/>
          </w:tcPr>
          <w:p w14:paraId="16E6725B">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4C5F55F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476FAC60">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9U高，约550*600*490mm，根据场地实际定制。</w:t>
            </w:r>
          </w:p>
        </w:tc>
      </w:tr>
      <w:tr w14:paraId="5A46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63CCAA4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097" w:type="dxa"/>
            <w:tcBorders>
              <w:top w:val="single" w:color="auto" w:sz="4" w:space="0"/>
              <w:left w:val="single" w:color="auto" w:sz="4" w:space="0"/>
              <w:bottom w:val="single" w:color="auto" w:sz="4" w:space="0"/>
              <w:right w:val="single" w:color="auto" w:sz="4" w:space="0"/>
            </w:tcBorders>
            <w:vAlign w:val="center"/>
          </w:tcPr>
          <w:p w14:paraId="78B73BA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控制室机柜</w:t>
            </w:r>
          </w:p>
        </w:tc>
        <w:tc>
          <w:tcPr>
            <w:tcW w:w="833" w:type="dxa"/>
            <w:tcBorders>
              <w:top w:val="single" w:color="auto" w:sz="4" w:space="0"/>
              <w:left w:val="single" w:color="auto" w:sz="4" w:space="0"/>
              <w:bottom w:val="single" w:color="auto" w:sz="4" w:space="0"/>
              <w:right w:val="single" w:color="auto" w:sz="4" w:space="0"/>
            </w:tcBorders>
            <w:vAlign w:val="center"/>
          </w:tcPr>
          <w:p w14:paraId="1A449D0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56FA5B2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D578AFC">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32U机柜（约）：高、600*600*1645mm</w:t>
            </w:r>
          </w:p>
        </w:tc>
      </w:tr>
      <w:tr w14:paraId="29F97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7EA129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097" w:type="dxa"/>
            <w:tcBorders>
              <w:top w:val="single" w:color="auto" w:sz="4" w:space="0"/>
              <w:left w:val="single" w:color="auto" w:sz="4" w:space="0"/>
              <w:bottom w:val="single" w:color="auto" w:sz="4" w:space="0"/>
              <w:right w:val="single" w:color="auto" w:sz="4" w:space="0"/>
            </w:tcBorders>
            <w:vAlign w:val="center"/>
          </w:tcPr>
          <w:p w14:paraId="3FE35C6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接入交换机</w:t>
            </w:r>
          </w:p>
        </w:tc>
        <w:tc>
          <w:tcPr>
            <w:tcW w:w="833" w:type="dxa"/>
            <w:tcBorders>
              <w:top w:val="single" w:color="auto" w:sz="4" w:space="0"/>
              <w:left w:val="single" w:color="auto" w:sz="4" w:space="0"/>
              <w:bottom w:val="single" w:color="auto" w:sz="4" w:space="0"/>
              <w:right w:val="single" w:color="auto" w:sz="4" w:space="0"/>
            </w:tcBorders>
            <w:vAlign w:val="center"/>
          </w:tcPr>
          <w:p w14:paraId="2CD1D765">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22</w:t>
            </w:r>
          </w:p>
        </w:tc>
        <w:tc>
          <w:tcPr>
            <w:tcW w:w="778" w:type="dxa"/>
            <w:tcBorders>
              <w:top w:val="single" w:color="auto" w:sz="4" w:space="0"/>
              <w:left w:val="single" w:color="auto" w:sz="4" w:space="0"/>
              <w:bottom w:val="single" w:color="auto" w:sz="4" w:space="0"/>
              <w:right w:val="single" w:color="auto" w:sz="4" w:space="0"/>
            </w:tcBorders>
            <w:vAlign w:val="center"/>
          </w:tcPr>
          <w:p w14:paraId="0A68344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tcPr>
          <w:p w14:paraId="768C7AC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w:t>
            </w:r>
            <w:r>
              <w:rPr>
                <w:rFonts w:hint="eastAsia" w:asciiTheme="minorEastAsia" w:hAnsiTheme="minorEastAsia" w:eastAsiaTheme="minorEastAsia" w:cstheme="minorEastAsia"/>
                <w:color w:val="auto"/>
                <w:szCs w:val="21"/>
                <w:highlight w:val="none"/>
              </w:rPr>
              <w:t>1、端口：24个10/100/1000Base-T以太网端口，4个万兆SFP+。</w:t>
            </w:r>
          </w:p>
          <w:p w14:paraId="6BF1416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w:t>
            </w:r>
            <w:r>
              <w:rPr>
                <w:rFonts w:hint="eastAsia" w:asciiTheme="minorEastAsia" w:hAnsiTheme="minorEastAsia" w:eastAsiaTheme="minorEastAsia" w:cstheme="minorEastAsia"/>
                <w:color w:val="auto"/>
                <w:szCs w:val="21"/>
                <w:highlight w:val="none"/>
              </w:rPr>
              <w:t>2、背板带宽：336Gbps/3.36Tbps。</w:t>
            </w:r>
          </w:p>
          <w:p w14:paraId="616FF08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w:t>
            </w:r>
            <w:r>
              <w:rPr>
                <w:rFonts w:hint="eastAsia" w:asciiTheme="minorEastAsia" w:hAnsiTheme="minorEastAsia" w:eastAsiaTheme="minorEastAsia" w:cstheme="minorEastAsia"/>
                <w:color w:val="auto"/>
                <w:szCs w:val="21"/>
                <w:highlight w:val="none"/>
              </w:rPr>
              <w:t>3、包转发率：108/126Mpps。</w:t>
            </w:r>
          </w:p>
          <w:p w14:paraId="152070E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4、支持对端口速率限制。</w:t>
            </w:r>
          </w:p>
          <w:p w14:paraId="6411015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5、支持报文重定向。</w:t>
            </w:r>
          </w:p>
          <w:p w14:paraId="6B48DD6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6、支持4K VLAN。</w:t>
            </w:r>
          </w:p>
          <w:p w14:paraId="0DC65C7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7、支持Guest VLAN、Voice VLAN。</w:t>
            </w:r>
          </w:p>
          <w:p w14:paraId="7D8DE93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8、支持GVRP协议。</w:t>
            </w:r>
          </w:p>
          <w:p w14:paraId="38DDFE71">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9、支持虚拟电缆检测。</w:t>
            </w:r>
          </w:p>
          <w:p w14:paraId="0DF93E5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10、支持远程配置、维护。</w:t>
            </w:r>
          </w:p>
        </w:tc>
      </w:tr>
      <w:tr w14:paraId="757DD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30B720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1097" w:type="dxa"/>
            <w:tcBorders>
              <w:top w:val="single" w:color="auto" w:sz="4" w:space="0"/>
              <w:left w:val="single" w:color="auto" w:sz="4" w:space="0"/>
              <w:bottom w:val="single" w:color="auto" w:sz="4" w:space="0"/>
              <w:right w:val="single" w:color="auto" w:sz="4" w:space="0"/>
            </w:tcBorders>
            <w:vAlign w:val="center"/>
          </w:tcPr>
          <w:p w14:paraId="4AF870A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万兆光模块</w:t>
            </w:r>
          </w:p>
        </w:tc>
        <w:tc>
          <w:tcPr>
            <w:tcW w:w="833" w:type="dxa"/>
            <w:tcBorders>
              <w:top w:val="single" w:color="auto" w:sz="4" w:space="0"/>
              <w:left w:val="single" w:color="auto" w:sz="4" w:space="0"/>
              <w:bottom w:val="single" w:color="auto" w:sz="4" w:space="0"/>
              <w:right w:val="single" w:color="auto" w:sz="4" w:space="0"/>
            </w:tcBorders>
            <w:vAlign w:val="center"/>
          </w:tcPr>
          <w:p w14:paraId="0120053A">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36</w:t>
            </w:r>
          </w:p>
        </w:tc>
        <w:tc>
          <w:tcPr>
            <w:tcW w:w="778" w:type="dxa"/>
            <w:tcBorders>
              <w:top w:val="single" w:color="auto" w:sz="4" w:space="0"/>
              <w:left w:val="single" w:color="auto" w:sz="4" w:space="0"/>
              <w:bottom w:val="single" w:color="auto" w:sz="4" w:space="0"/>
              <w:right w:val="single" w:color="auto" w:sz="4" w:space="0"/>
            </w:tcBorders>
            <w:vAlign w:val="center"/>
          </w:tcPr>
          <w:p w14:paraId="786A633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个</w:t>
            </w:r>
          </w:p>
        </w:tc>
        <w:tc>
          <w:tcPr>
            <w:tcW w:w="6801" w:type="dxa"/>
            <w:tcBorders>
              <w:top w:val="single" w:color="auto" w:sz="4" w:space="0"/>
              <w:left w:val="single" w:color="auto" w:sz="4" w:space="0"/>
              <w:bottom w:val="single" w:color="auto" w:sz="4" w:space="0"/>
            </w:tcBorders>
            <w:vAlign w:val="center"/>
          </w:tcPr>
          <w:p w14:paraId="6452A67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1.封装类型：SFP+；</w:t>
            </w:r>
          </w:p>
          <w:p w14:paraId="70289DE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2.连接器类型：LC；</w:t>
            </w:r>
          </w:p>
          <w:p w14:paraId="5E1C603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3.光纤类型：单模；</w:t>
            </w:r>
          </w:p>
          <w:p w14:paraId="2467056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4.工作壳温[°C]：0°C～70°C；</w:t>
            </w:r>
          </w:p>
          <w:p w14:paraId="2C084E2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5.传输速率[bit/s]：10 Gbit/s；</w:t>
            </w:r>
          </w:p>
          <w:p w14:paraId="376D47F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6.最大传输距离：10km；</w:t>
            </w:r>
          </w:p>
          <w:p w14:paraId="7DC983C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7.中心波长[nm]：1310nm；</w:t>
            </w:r>
          </w:p>
          <w:p w14:paraId="64638BC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8.最大发送光功率[dBm]：0.5dBm；</w:t>
            </w:r>
          </w:p>
          <w:p w14:paraId="428F75A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9.最小发送光功率[dBm]:-8.2dBm；</w:t>
            </w:r>
          </w:p>
          <w:p w14:paraId="1F99BD6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10.最小消光比[dB]:≥3.5dB；</w:t>
            </w:r>
          </w:p>
          <w:p w14:paraId="5B3A671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11.接收灵敏度[dBm]:＜12.6dBm；</w:t>
            </w:r>
          </w:p>
          <w:p w14:paraId="00629EB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12.过载光功率[dBm]:0.5dBm；</w:t>
            </w:r>
          </w:p>
          <w:p w14:paraId="5A38AB6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13.辅材：配套光纤连接跳线（根据现场机房布线长度与实际为准），机房光纤熔接，需与原光纤链路连通至中心管理机房；</w:t>
            </w:r>
          </w:p>
          <w:p w14:paraId="43E0E34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w:t>
            </w:r>
            <w:r>
              <w:rPr>
                <w:rFonts w:hint="eastAsia" w:asciiTheme="minorEastAsia" w:hAnsiTheme="minorEastAsia" w:eastAsiaTheme="minorEastAsia" w:cstheme="minorEastAsia"/>
                <w:color w:val="auto"/>
                <w:szCs w:val="21"/>
                <w:highlight w:val="none"/>
              </w:rPr>
              <w:t>14.万兆光模块需与接入交换机兼容，提供原厂免费质保3年。</w:t>
            </w:r>
          </w:p>
        </w:tc>
      </w:tr>
      <w:tr w14:paraId="2B778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3010EB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p>
        </w:tc>
        <w:tc>
          <w:tcPr>
            <w:tcW w:w="1097" w:type="dxa"/>
            <w:tcBorders>
              <w:top w:val="single" w:color="auto" w:sz="4" w:space="0"/>
              <w:left w:val="single" w:color="auto" w:sz="4" w:space="0"/>
              <w:bottom w:val="single" w:color="auto" w:sz="4" w:space="0"/>
              <w:right w:val="single" w:color="auto" w:sz="4" w:space="0"/>
            </w:tcBorders>
            <w:vAlign w:val="center"/>
          </w:tcPr>
          <w:p w14:paraId="6D6FF50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实验室网络机柜</w:t>
            </w:r>
          </w:p>
        </w:tc>
        <w:tc>
          <w:tcPr>
            <w:tcW w:w="833" w:type="dxa"/>
            <w:tcBorders>
              <w:top w:val="single" w:color="auto" w:sz="4" w:space="0"/>
              <w:left w:val="single" w:color="auto" w:sz="4" w:space="0"/>
              <w:bottom w:val="single" w:color="auto" w:sz="4" w:space="0"/>
              <w:right w:val="single" w:color="auto" w:sz="4" w:space="0"/>
            </w:tcBorders>
            <w:vAlign w:val="center"/>
          </w:tcPr>
          <w:p w14:paraId="2277450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100BA8A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个</w:t>
            </w:r>
          </w:p>
        </w:tc>
        <w:tc>
          <w:tcPr>
            <w:tcW w:w="6801" w:type="dxa"/>
            <w:tcBorders>
              <w:top w:val="single" w:color="auto" w:sz="4" w:space="0"/>
              <w:left w:val="single" w:color="auto" w:sz="4" w:space="0"/>
              <w:bottom w:val="single" w:color="auto" w:sz="4" w:space="0"/>
            </w:tcBorders>
          </w:tcPr>
          <w:p w14:paraId="551C4E6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1、尺寸：≥22U，长*宽*高≥600*600*1116mm。</w:t>
            </w:r>
          </w:p>
          <w:p w14:paraId="1345D19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2、基材：采用冷轧钢板，设备安装方孔条厚度不低于2.0MM，框架厚度不低于1.5MM，其它不低于1.2MM。</w:t>
            </w:r>
          </w:p>
          <w:p w14:paraId="3D9AAB3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3、标配前门为钢化玻璃门，后门为钣金门，8孔位电源排插一套。</w:t>
            </w:r>
          </w:p>
          <w:p w14:paraId="44AB785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4、配满足交换机使用的理线架和六类配线架。</w:t>
            </w:r>
          </w:p>
        </w:tc>
      </w:tr>
      <w:tr w14:paraId="0C5BB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6F57DA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1097" w:type="dxa"/>
            <w:tcBorders>
              <w:top w:val="single" w:color="auto" w:sz="4" w:space="0"/>
              <w:left w:val="single" w:color="auto" w:sz="4" w:space="0"/>
              <w:bottom w:val="single" w:color="auto" w:sz="4" w:space="0"/>
              <w:right w:val="single" w:color="auto" w:sz="4" w:space="0"/>
            </w:tcBorders>
            <w:vAlign w:val="center"/>
          </w:tcPr>
          <w:p w14:paraId="29A225C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实训室网络机柜</w:t>
            </w:r>
          </w:p>
        </w:tc>
        <w:tc>
          <w:tcPr>
            <w:tcW w:w="833" w:type="dxa"/>
            <w:tcBorders>
              <w:top w:val="single" w:color="auto" w:sz="4" w:space="0"/>
              <w:left w:val="single" w:color="auto" w:sz="4" w:space="0"/>
              <w:bottom w:val="single" w:color="auto" w:sz="4" w:space="0"/>
              <w:right w:val="single" w:color="auto" w:sz="4" w:space="0"/>
            </w:tcBorders>
            <w:vAlign w:val="center"/>
          </w:tcPr>
          <w:p w14:paraId="6B979817">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p>
        </w:tc>
        <w:tc>
          <w:tcPr>
            <w:tcW w:w="778" w:type="dxa"/>
            <w:tcBorders>
              <w:top w:val="single" w:color="auto" w:sz="4" w:space="0"/>
              <w:left w:val="single" w:color="auto" w:sz="4" w:space="0"/>
              <w:bottom w:val="single" w:color="auto" w:sz="4" w:space="0"/>
              <w:right w:val="single" w:color="auto" w:sz="4" w:space="0"/>
            </w:tcBorders>
            <w:vAlign w:val="center"/>
          </w:tcPr>
          <w:p w14:paraId="6CEB7AD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个</w:t>
            </w:r>
          </w:p>
        </w:tc>
        <w:tc>
          <w:tcPr>
            <w:tcW w:w="6801" w:type="dxa"/>
            <w:tcBorders>
              <w:top w:val="single" w:color="auto" w:sz="4" w:space="0"/>
              <w:left w:val="single" w:color="auto" w:sz="4" w:space="0"/>
              <w:bottom w:val="single" w:color="auto" w:sz="4" w:space="0"/>
            </w:tcBorders>
          </w:tcPr>
          <w:p w14:paraId="7B48DAF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1、尺寸：≥42U，长*宽*高≥600*600*2000mm。</w:t>
            </w:r>
          </w:p>
          <w:p w14:paraId="0C39295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2、基材：采用冷轧钢板，设备安装方孔条厚度不低于2.0MM，框架厚度不低于1.5MM，其它不低于1.2MM。</w:t>
            </w:r>
          </w:p>
          <w:p w14:paraId="4EDB762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3、标配前门为钢化玻璃门，后门为钣金门，8孔位电源排插一套。</w:t>
            </w:r>
          </w:p>
          <w:p w14:paraId="5605D0B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4、配满足交换机使用的理线架和六类配线架。</w:t>
            </w:r>
          </w:p>
        </w:tc>
      </w:tr>
      <w:tr w14:paraId="6FD68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C96847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w:t>
            </w:r>
          </w:p>
        </w:tc>
        <w:tc>
          <w:tcPr>
            <w:tcW w:w="1097" w:type="dxa"/>
            <w:tcBorders>
              <w:top w:val="single" w:color="auto" w:sz="4" w:space="0"/>
              <w:left w:val="single" w:color="auto" w:sz="4" w:space="0"/>
              <w:bottom w:val="single" w:color="auto" w:sz="4" w:space="0"/>
              <w:right w:val="single" w:color="auto" w:sz="4" w:space="0"/>
            </w:tcBorders>
            <w:vAlign w:val="center"/>
          </w:tcPr>
          <w:p w14:paraId="3FB2D5E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实验室综合布线</w:t>
            </w:r>
          </w:p>
        </w:tc>
        <w:tc>
          <w:tcPr>
            <w:tcW w:w="833" w:type="dxa"/>
            <w:tcBorders>
              <w:top w:val="single" w:color="auto" w:sz="4" w:space="0"/>
              <w:left w:val="single" w:color="auto" w:sz="4" w:space="0"/>
              <w:bottom w:val="single" w:color="auto" w:sz="4" w:space="0"/>
              <w:right w:val="single" w:color="auto" w:sz="4" w:space="0"/>
            </w:tcBorders>
            <w:vAlign w:val="center"/>
          </w:tcPr>
          <w:p w14:paraId="494368B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13D9DE3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间</w:t>
            </w:r>
          </w:p>
        </w:tc>
        <w:tc>
          <w:tcPr>
            <w:tcW w:w="6801" w:type="dxa"/>
            <w:tcBorders>
              <w:top w:val="single" w:color="auto" w:sz="4" w:space="0"/>
              <w:left w:val="single" w:color="auto" w:sz="4" w:space="0"/>
              <w:bottom w:val="single" w:color="auto" w:sz="4" w:space="0"/>
            </w:tcBorders>
          </w:tcPr>
          <w:p w14:paraId="5EBF7167">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1、每间71个信息点，每个信息点包含：有线网络到各电脑终端及220v电源（满足终端主机及电脑显示器供电），强弱电分离。</w:t>
            </w:r>
          </w:p>
          <w:p w14:paraId="71F351EA">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2、每台电脑配三个五孔插座供电和一个网络模块。</w:t>
            </w:r>
          </w:p>
          <w:p w14:paraId="0FF47D78">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3、地槽用不锈钢保护，配套PVC线槽（线管）、电源插头接头、电工胶，水晶头等相关其它辅材配件等。</w:t>
            </w:r>
          </w:p>
          <w:p w14:paraId="10F228D8">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4、含所有电脑六类网线、国标4mm²、2.5mm²电线、电源插座，水晶头等所有施工材料、配件。</w:t>
            </w:r>
          </w:p>
          <w:p w14:paraId="7902B95B">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5、辅材：（1）国标4mm²：按实际现场布置。（2）2.5mm²电线：按实际现场布置。（3）计算机机房的机柜、交换机安装，每个信息点需打标签：按实际现场布置。</w:t>
            </w:r>
          </w:p>
          <w:p w14:paraId="7B139338">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6、主干网络每间实验室接通至核心交换机位置，用PVC线管套管安装。</w:t>
            </w:r>
          </w:p>
          <w:p w14:paraId="6164BB65">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7、空调电源：独立空调用电，按教室实际场景布置。</w:t>
            </w:r>
          </w:p>
          <w:p w14:paraId="31E09AA9">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8、网络广播、屏蔽设备预留电口和网口，同时预留网口的布线接入实验室内交换机柜。</w:t>
            </w:r>
          </w:p>
          <w:p w14:paraId="35C3E715">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9、根据实验室现场定位安装，强弱电布线线路按甲方要求实施，含安装所需的所有辅材，实施前提供方案图纸及规划书备案，不破坏原有设施，经甲方同意开工建设方可实施，否则不予验收</w:t>
            </w:r>
          </w:p>
          <w:p w14:paraId="6E338CF8">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10、线路提供5年免费保修服务，保修期内线路损坏免费维修。</w:t>
            </w:r>
          </w:p>
          <w:p w14:paraId="4FDECEA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11、需福禄克工具测试合格方可验收。</w:t>
            </w:r>
          </w:p>
        </w:tc>
      </w:tr>
      <w:tr w14:paraId="104E1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2C26A2A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w:t>
            </w:r>
          </w:p>
        </w:tc>
        <w:tc>
          <w:tcPr>
            <w:tcW w:w="1097" w:type="dxa"/>
            <w:tcBorders>
              <w:top w:val="single" w:color="auto" w:sz="4" w:space="0"/>
              <w:left w:val="single" w:color="auto" w:sz="4" w:space="0"/>
              <w:bottom w:val="single" w:color="auto" w:sz="4" w:space="0"/>
              <w:right w:val="single" w:color="auto" w:sz="4" w:space="0"/>
            </w:tcBorders>
            <w:vAlign w:val="center"/>
          </w:tcPr>
          <w:p w14:paraId="01C68BE4">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实训室综合布线</w:t>
            </w:r>
          </w:p>
        </w:tc>
        <w:tc>
          <w:tcPr>
            <w:tcW w:w="833" w:type="dxa"/>
            <w:tcBorders>
              <w:top w:val="single" w:color="auto" w:sz="4" w:space="0"/>
              <w:left w:val="single" w:color="auto" w:sz="4" w:space="0"/>
              <w:bottom w:val="single" w:color="auto" w:sz="4" w:space="0"/>
              <w:right w:val="single" w:color="auto" w:sz="4" w:space="0"/>
            </w:tcBorders>
            <w:vAlign w:val="center"/>
          </w:tcPr>
          <w:p w14:paraId="37AE919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11F888F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间</w:t>
            </w:r>
          </w:p>
        </w:tc>
        <w:tc>
          <w:tcPr>
            <w:tcW w:w="6801" w:type="dxa"/>
            <w:tcBorders>
              <w:top w:val="single" w:color="auto" w:sz="4" w:space="0"/>
              <w:left w:val="single" w:color="auto" w:sz="4" w:space="0"/>
              <w:bottom w:val="single" w:color="auto" w:sz="4" w:space="0"/>
            </w:tcBorders>
            <w:vAlign w:val="center"/>
          </w:tcPr>
          <w:p w14:paraId="29AD984E">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1、每间73个信息点，每个信息点包含：有线网络到各电脑终端及220v电源（满足终端主机及电脑显示器供电），强弱电分离。</w:t>
            </w:r>
          </w:p>
          <w:p w14:paraId="4033E3C8">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2、每个信息点配一个五孔按压地插供电和一个网络模块。</w:t>
            </w:r>
          </w:p>
          <w:p w14:paraId="5253C425">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3、地槽用不锈钢保护，配套PVC线槽（线管）、电源插头接头、电工胶，水晶头等相关其它辅材配件等。</w:t>
            </w:r>
          </w:p>
          <w:p w14:paraId="78CFF1E1">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4、含所有电脑六类网线、国标4mm²、2.5mm²电线、地插，水晶头等所有施工材料、配件。</w:t>
            </w:r>
          </w:p>
          <w:p w14:paraId="227198D3">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5、辅材：（1）国标4mm²：按实际现场布置。（2）2.5mm²电线：按实际现场布置。（3）计算机机房的机柜、交换机安装，每个信息点需打标签：按实际现场布置。</w:t>
            </w:r>
          </w:p>
          <w:p w14:paraId="742D58C4">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6、主干网络每间实验室接通至核心交换机位置，用PVC线管套管安装。</w:t>
            </w:r>
          </w:p>
          <w:p w14:paraId="20EA35AD">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7、空调电源：独立空调用电，按教室实际场景布置。</w:t>
            </w:r>
          </w:p>
          <w:p w14:paraId="1B6E6029">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8、网络广播、屏蔽设备预留电口和网口，同时预留网口的布线接入实验室内交换机柜。</w:t>
            </w:r>
          </w:p>
          <w:p w14:paraId="69C328CD">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9、整间铺设静音地胶，防滑、防火、耐磨。</w:t>
            </w:r>
          </w:p>
          <w:p w14:paraId="4B2799A0">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10、隔出设备隔间，用于存放实训室设备。</w:t>
            </w:r>
          </w:p>
          <w:p w14:paraId="246CA2FB">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11、根据实验室现场定位安装，强弱电布线线路按甲方要求实施，含安装所需的所有辅材，实施前提供方案图纸及规划书备案，不破坏原有设施，经甲方同意开工建设方可实施，否则不予验收</w:t>
            </w:r>
          </w:p>
          <w:p w14:paraId="0BF78BF5">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12、线路提供5年免费保修服务，保修期内线路损坏免费维修。</w:t>
            </w:r>
          </w:p>
          <w:p w14:paraId="22F128F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13、需福禄克工具测试合格方可验收。</w:t>
            </w:r>
          </w:p>
        </w:tc>
      </w:tr>
      <w:tr w14:paraId="2B474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180CFC3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1097" w:type="dxa"/>
            <w:tcBorders>
              <w:top w:val="single" w:color="auto" w:sz="4" w:space="0"/>
              <w:left w:val="single" w:color="auto" w:sz="4" w:space="0"/>
              <w:bottom w:val="single" w:color="auto" w:sz="4" w:space="0"/>
              <w:right w:val="single" w:color="auto" w:sz="4" w:space="0"/>
            </w:tcBorders>
            <w:vAlign w:val="center"/>
          </w:tcPr>
          <w:p w14:paraId="6484D42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无线AP控制器</w:t>
            </w:r>
          </w:p>
        </w:tc>
        <w:tc>
          <w:tcPr>
            <w:tcW w:w="833" w:type="dxa"/>
            <w:tcBorders>
              <w:top w:val="single" w:color="auto" w:sz="4" w:space="0"/>
              <w:left w:val="single" w:color="auto" w:sz="4" w:space="0"/>
              <w:bottom w:val="single" w:color="auto" w:sz="4" w:space="0"/>
              <w:right w:val="single" w:color="auto" w:sz="4" w:space="0"/>
            </w:tcBorders>
            <w:vAlign w:val="center"/>
          </w:tcPr>
          <w:p w14:paraId="0C605DC9">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37BB586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6BADDCC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1、最大AP数≥16</w:t>
            </w:r>
          </w:p>
          <w:p w14:paraId="7521FA1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2、接口:5*GE</w:t>
            </w:r>
          </w:p>
          <w:p w14:paraId="74CFCF5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3、整机功耗：≤15W</w:t>
            </w:r>
          </w:p>
          <w:p w14:paraId="09A41AC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4、POE供电</w:t>
            </w:r>
          </w:p>
        </w:tc>
      </w:tr>
      <w:tr w14:paraId="71C43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53E7688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w:t>
            </w:r>
          </w:p>
        </w:tc>
        <w:tc>
          <w:tcPr>
            <w:tcW w:w="1097" w:type="dxa"/>
            <w:tcBorders>
              <w:top w:val="single" w:color="auto" w:sz="4" w:space="0"/>
              <w:left w:val="single" w:color="auto" w:sz="4" w:space="0"/>
              <w:bottom w:val="single" w:color="auto" w:sz="4" w:space="0"/>
              <w:right w:val="single" w:color="auto" w:sz="4" w:space="0"/>
            </w:tcBorders>
            <w:vAlign w:val="center"/>
          </w:tcPr>
          <w:p w14:paraId="4D28F108">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无线AP</w:t>
            </w:r>
          </w:p>
        </w:tc>
        <w:tc>
          <w:tcPr>
            <w:tcW w:w="833" w:type="dxa"/>
            <w:tcBorders>
              <w:top w:val="single" w:color="auto" w:sz="4" w:space="0"/>
              <w:left w:val="single" w:color="auto" w:sz="4" w:space="0"/>
              <w:bottom w:val="single" w:color="auto" w:sz="4" w:space="0"/>
              <w:right w:val="single" w:color="auto" w:sz="4" w:space="0"/>
            </w:tcBorders>
            <w:vAlign w:val="center"/>
          </w:tcPr>
          <w:p w14:paraId="0FF60A7B">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778" w:type="dxa"/>
            <w:tcBorders>
              <w:top w:val="single" w:color="auto" w:sz="4" w:space="0"/>
              <w:left w:val="single" w:color="auto" w:sz="4" w:space="0"/>
              <w:bottom w:val="single" w:color="auto" w:sz="4" w:space="0"/>
              <w:right w:val="single" w:color="auto" w:sz="4" w:space="0"/>
            </w:tcBorders>
            <w:vAlign w:val="center"/>
          </w:tcPr>
          <w:p w14:paraId="60823C1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5F68FED">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1、≥2个1000M以太网口</w:t>
            </w:r>
          </w:p>
          <w:p w14:paraId="144B98D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2、≥1个USB 口</w:t>
            </w:r>
          </w:p>
          <w:p w14:paraId="4A44D58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3、内置天线，支持POE供电</w:t>
            </w:r>
          </w:p>
          <w:p w14:paraId="45F6DAB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4、传输频段2.4GHz频段及5GHz频段，</w:t>
            </w:r>
          </w:p>
          <w:p w14:paraId="0C682DB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5、传输速率:≥900M.</w:t>
            </w:r>
          </w:p>
        </w:tc>
      </w:tr>
      <w:tr w14:paraId="5E80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1712B06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1097" w:type="dxa"/>
            <w:tcBorders>
              <w:top w:val="single" w:color="auto" w:sz="4" w:space="0"/>
              <w:left w:val="single" w:color="auto" w:sz="4" w:space="0"/>
              <w:bottom w:val="single" w:color="auto" w:sz="4" w:space="0"/>
              <w:right w:val="single" w:color="auto" w:sz="4" w:space="0"/>
            </w:tcBorders>
            <w:vAlign w:val="center"/>
          </w:tcPr>
          <w:p w14:paraId="0C5C44F7">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集群存储</w:t>
            </w:r>
          </w:p>
        </w:tc>
        <w:tc>
          <w:tcPr>
            <w:tcW w:w="833" w:type="dxa"/>
            <w:tcBorders>
              <w:top w:val="single" w:color="auto" w:sz="4" w:space="0"/>
              <w:left w:val="single" w:color="auto" w:sz="4" w:space="0"/>
              <w:bottom w:val="single" w:color="auto" w:sz="4" w:space="0"/>
              <w:right w:val="single" w:color="auto" w:sz="4" w:space="0"/>
            </w:tcBorders>
            <w:vAlign w:val="center"/>
          </w:tcPr>
          <w:p w14:paraId="5B32481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778" w:type="dxa"/>
            <w:tcBorders>
              <w:top w:val="single" w:color="auto" w:sz="4" w:space="0"/>
              <w:left w:val="single" w:color="auto" w:sz="4" w:space="0"/>
              <w:bottom w:val="single" w:color="auto" w:sz="4" w:space="0"/>
              <w:right w:val="single" w:color="auto" w:sz="4" w:space="0"/>
            </w:tcBorders>
            <w:vAlign w:val="center"/>
          </w:tcPr>
          <w:p w14:paraId="5FE5D52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6D3C85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1.体系架构：存储采用2U盘控一体架构，控制器框提供≥25个硬盘槽位，本次配置SAN和NAS统一存储，配置NAS协议（包括NFS和CIFS）、IP SAN 协议。</w:t>
            </w:r>
          </w:p>
          <w:p w14:paraId="43A8C6F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★2.本次配置SAN和NAS统一存储，配置NAS协议（包括NFS和CIFS）、IP SAN协议，2个控制器采用对Active-Active架构，LUN不归属于某一个控制器，单个LUN业务负载均衡到所有控制器，达到控制器之间的均衡负载以及故障转移。</w:t>
            </w:r>
          </w:p>
          <w:p w14:paraId="4BA3148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★3.统一存储控制器：多控架构，存储支持控制器扩展，最大可扩展为8个控制器，控制器之间采用RDMA高速互联；本次存储控制器采用多核处理器，实配总物理核心数≥64核(不包含ASCI专用芯片核数)。</w:t>
            </w:r>
          </w:p>
          <w:p w14:paraId="356FB93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★4.存储缓存容量：系统内总一级缓存容量配置≥256GB，且任意控制器一级缓存容量≥128GB（不含任何性能加速模块、FlashCache、PAM 卡，SSD Cache 等），缓存具备UPS断电保护功能，在出现电源故障时，可提供充足的电源，将高速缓存内容转储至非易失性内部存储设备上。</w:t>
            </w:r>
          </w:p>
          <w:p w14:paraId="33BEDEB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5.主机接口类型：支持16/32Gbps FC/FC-NVMe，1/10/25/40/100GbpsETH类型接口。本次存储配置8个1GE 接口,8个10GE 光口和8个16G FC 接口（含光模块）。</w:t>
            </w:r>
          </w:p>
          <w:p w14:paraId="2172818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6.配置不少于8块 3.84T SAS SSD 硬盘和不少于12块10T NL-SAS硬盘。</w:t>
            </w:r>
          </w:p>
          <w:p w14:paraId="36A4A76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7.配置智能数据缓存加速、克隆、持续数据保护、远程复制、双活、快照、自动精简功能、多租户功能，配置原厂存储多路径软件。</w:t>
            </w:r>
          </w:p>
          <w:p w14:paraId="27E55CD1">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8.存储具有文件系统一体化备份功能，基于一体化备份功能实现本地数据备份与恢复和异地数据备份与恢复。</w:t>
            </w:r>
          </w:p>
          <w:p w14:paraId="686335AD">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9.配置后端磁盘通道带宽≥192Gbps。</w:t>
            </w:r>
          </w:p>
          <w:p w14:paraId="0D113A11">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10.存储系统可配置NVMe SSD、SAS SSD、SAS、NL-SAS多种类型硬盘，双控制器可插≥120块NVMe SSD硬盘。</w:t>
            </w:r>
          </w:p>
          <w:p w14:paraId="29E74ED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★11.存储系统支持SAN和NAS一体化，SAN和NAS共享同一个存储池，共用一个存储管理界面（不允许界面跳转和二次登录，不允许通过创建LUN做文件系统的容量空间），资源共享。</w:t>
            </w:r>
          </w:p>
          <w:p w14:paraId="39FC5BB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★12.存储支持RAID5、RAID6和容忍三盘同时失效。</w:t>
            </w:r>
          </w:p>
          <w:p w14:paraId="6CF449C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13.配置专有多路径（非操作系统自带多路径）软件，支持故障切换和负载均衡功能。</w:t>
            </w:r>
          </w:p>
          <w:p w14:paraId="64F33C22">
            <w:pPr>
              <w:pStyle w:val="116"/>
              <w:spacing w:after="0" w:line="24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14.存储系统支持SAN和NAS免网关一体化Active-Active双活，实现两套核心存储数据双活（对单个LUN和单个文件系统的访问可通过两个站点负载均衡到两套存储设备上），任何一套设备宕机均不影响上层业务系统运行。双活架构需具备独立的第三方仲裁设备。仲裁设备故障时，不影响业务运行；支持双仲裁模式，单台仲裁设备故障，不影响正常双活业务。一个站点发生故障后，另一个站点可以自动快速拉起业务（秒级）；一个站点故障恢复后，业务可自动回切，并自动负载均衡。</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3A14E533">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★15.存储的关键芯片（控制器 CPU、系统 BMC 管理芯片、接口卡处理芯片、SSD 控制芯片）均采用国产自主产品。</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35A78A27">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16.提供五年软硬件免费维保服务。</w:t>
            </w:r>
          </w:p>
          <w:p w14:paraId="0FC606FE">
            <w:pPr>
              <w:widowControl/>
              <w:tabs>
                <w:tab w:val="left" w:pos="312"/>
              </w:tabs>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17.兼容现有服务器设备（</w:t>
            </w:r>
            <w:r>
              <w:rPr>
                <w:rFonts w:hint="eastAsia" w:asciiTheme="minorEastAsia" w:hAnsiTheme="minorEastAsia" w:eastAsiaTheme="minorEastAsia" w:cstheme="minorEastAsia"/>
                <w:color w:val="auto"/>
                <w:kern w:val="0"/>
                <w:szCs w:val="21"/>
                <w:highlight w:val="none"/>
              </w:rPr>
              <w:t>H3C UniServer R4900 G5</w:t>
            </w:r>
            <w:r>
              <w:rPr>
                <w:rFonts w:hint="eastAsia" w:asciiTheme="minorEastAsia" w:hAnsiTheme="minorEastAsia" w:eastAsiaTheme="minorEastAsia" w:cstheme="minorEastAsia"/>
                <w:color w:val="auto"/>
                <w:szCs w:val="21"/>
                <w:highlight w:val="none"/>
              </w:rPr>
              <w:t>）。</w:t>
            </w:r>
          </w:p>
        </w:tc>
      </w:tr>
      <w:tr w14:paraId="3352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680556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w:t>
            </w:r>
          </w:p>
        </w:tc>
        <w:tc>
          <w:tcPr>
            <w:tcW w:w="1097" w:type="dxa"/>
            <w:tcBorders>
              <w:top w:val="single" w:color="auto" w:sz="4" w:space="0"/>
              <w:left w:val="single" w:color="auto" w:sz="4" w:space="0"/>
              <w:bottom w:val="single" w:color="auto" w:sz="4" w:space="0"/>
              <w:right w:val="single" w:color="auto" w:sz="4" w:space="0"/>
            </w:tcBorders>
            <w:vAlign w:val="center"/>
          </w:tcPr>
          <w:p w14:paraId="157D292D">
            <w:pPr>
              <w:widowControl/>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FC交换机</w:t>
            </w:r>
          </w:p>
        </w:tc>
        <w:tc>
          <w:tcPr>
            <w:tcW w:w="833" w:type="dxa"/>
            <w:tcBorders>
              <w:top w:val="single" w:color="auto" w:sz="4" w:space="0"/>
              <w:left w:val="single" w:color="auto" w:sz="4" w:space="0"/>
              <w:bottom w:val="single" w:color="auto" w:sz="4" w:space="0"/>
              <w:right w:val="single" w:color="auto" w:sz="4" w:space="0"/>
            </w:tcBorders>
            <w:vAlign w:val="center"/>
          </w:tcPr>
          <w:p w14:paraId="15CCF5EC">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2BB6139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7E912AA0">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bidi="ar"/>
              </w:rPr>
              <w:t>1.提供64个32Gbps 端口，激活不少于24个32Gbps端口（配置24个32Gb多模SFP模块，具备端口自动适应 8/16/32 G），配置交流电源。</w:t>
            </w:r>
          </w:p>
          <w:p w14:paraId="70D981F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2.光纤通道：4.25 Gbps线速全双工；8.5 Gbps线速全双工；10.53 Gbps线速全双工；14.025 Gbps线速全双工；28.05 Gbps全双工；112.2 Gbps全双工；4、8、16和32 Gbps端口速度自适应。</w:t>
            </w:r>
          </w:p>
          <w:p w14:paraId="33A3E446">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3.基于帧的链路捆绑，每条ISL捆绑链路最多8个32 Gbps端口；每条ISL捆绑链路最多2个128 Gbps QSFP端口。</w:t>
            </w:r>
          </w:p>
          <w:p w14:paraId="19F5136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4.含五年硬件免费维保服务。</w:t>
            </w:r>
          </w:p>
        </w:tc>
      </w:tr>
      <w:tr w14:paraId="2E5E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8545C0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1097" w:type="dxa"/>
            <w:tcBorders>
              <w:top w:val="single" w:color="auto" w:sz="4" w:space="0"/>
              <w:left w:val="single" w:color="auto" w:sz="4" w:space="0"/>
              <w:bottom w:val="single" w:color="auto" w:sz="4" w:space="0"/>
              <w:right w:val="single" w:color="auto" w:sz="4" w:space="0"/>
            </w:tcBorders>
            <w:vAlign w:val="center"/>
          </w:tcPr>
          <w:p w14:paraId="7585847A">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KVM</w:t>
            </w:r>
          </w:p>
        </w:tc>
        <w:tc>
          <w:tcPr>
            <w:tcW w:w="833" w:type="dxa"/>
            <w:tcBorders>
              <w:top w:val="single" w:color="auto" w:sz="4" w:space="0"/>
              <w:left w:val="single" w:color="auto" w:sz="4" w:space="0"/>
              <w:bottom w:val="single" w:color="auto" w:sz="4" w:space="0"/>
              <w:right w:val="single" w:color="auto" w:sz="4" w:space="0"/>
            </w:tcBorders>
            <w:vAlign w:val="center"/>
          </w:tcPr>
          <w:p w14:paraId="5E9381D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778" w:type="dxa"/>
            <w:tcBorders>
              <w:top w:val="single" w:color="auto" w:sz="4" w:space="0"/>
              <w:left w:val="single" w:color="auto" w:sz="4" w:space="0"/>
              <w:bottom w:val="single" w:color="auto" w:sz="4" w:space="0"/>
              <w:right w:val="single" w:color="auto" w:sz="4" w:space="0"/>
            </w:tcBorders>
            <w:vAlign w:val="center"/>
          </w:tcPr>
          <w:p w14:paraId="5531B00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0B7CC97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1.1U机架式KVM、具有32端口、双电源双网口冗余、双IP自动切换。</w:t>
            </w:r>
          </w:p>
          <w:p w14:paraId="062AD0A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2.KVM具有远程访问功能，内置LUC笔电接口，支持笔记本直接本地操作，</w:t>
            </w:r>
          </w:p>
          <w:p w14:paraId="134D97D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3.支持CAT线缆布线连接50米距离，具有音频接口、RJ45端口，具有VGA,HDMI,DVI,DP等视频接口。</w:t>
            </w:r>
          </w:p>
          <w:p w14:paraId="6F33F1D2">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4.操作终端能够画面分割监控，显示32个画面，能够实时监控服务器、设备内置4个温度感应器、6组调控风扇。</w:t>
            </w:r>
          </w:p>
          <w:p w14:paraId="616507E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5.KVM本地操作台集成17寸 LCD 液晶屏及键鼠触摸板，导轨式安装、分辨率不低于1280x1024@60Hz。</w:t>
            </w:r>
          </w:p>
          <w:p w14:paraId="081FB65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6.KVM配套连接模块：具有VGA视频接口、USB键鼠接口、RJ45端口，采用CAT线缆布线方式，具有自动信号补偿（ASC）、键鼠仿真功能，支持热拔插，远程连接分辨率可达1920*1200。</w:t>
            </w:r>
          </w:p>
        </w:tc>
      </w:tr>
      <w:tr w14:paraId="523DE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8D3304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1097" w:type="dxa"/>
            <w:tcBorders>
              <w:top w:val="single" w:color="auto" w:sz="4" w:space="0"/>
              <w:left w:val="single" w:color="auto" w:sz="4" w:space="0"/>
              <w:bottom w:val="single" w:color="auto" w:sz="4" w:space="0"/>
              <w:right w:val="single" w:color="auto" w:sz="4" w:space="0"/>
            </w:tcBorders>
            <w:vAlign w:val="center"/>
          </w:tcPr>
          <w:p w14:paraId="410F0DD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三层核心交换机</w:t>
            </w:r>
          </w:p>
        </w:tc>
        <w:tc>
          <w:tcPr>
            <w:tcW w:w="833" w:type="dxa"/>
            <w:tcBorders>
              <w:top w:val="single" w:color="auto" w:sz="4" w:space="0"/>
              <w:left w:val="single" w:color="auto" w:sz="4" w:space="0"/>
              <w:bottom w:val="single" w:color="auto" w:sz="4" w:space="0"/>
              <w:right w:val="single" w:color="auto" w:sz="4" w:space="0"/>
            </w:tcBorders>
            <w:vAlign w:val="center"/>
          </w:tcPr>
          <w:p w14:paraId="7A4D8987">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778" w:type="dxa"/>
            <w:tcBorders>
              <w:top w:val="single" w:color="auto" w:sz="4" w:space="0"/>
              <w:left w:val="single" w:color="auto" w:sz="4" w:space="0"/>
              <w:bottom w:val="single" w:color="auto" w:sz="4" w:space="0"/>
              <w:right w:val="single" w:color="auto" w:sz="4" w:space="0"/>
            </w:tcBorders>
            <w:vAlign w:val="center"/>
          </w:tcPr>
          <w:p w14:paraId="5F85896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台</w:t>
            </w:r>
          </w:p>
        </w:tc>
        <w:tc>
          <w:tcPr>
            <w:tcW w:w="6801" w:type="dxa"/>
            <w:tcBorders>
              <w:top w:val="single" w:color="auto" w:sz="4" w:space="0"/>
              <w:left w:val="single" w:color="auto" w:sz="4" w:space="0"/>
              <w:bottom w:val="single" w:color="auto" w:sz="4" w:space="0"/>
            </w:tcBorders>
            <w:vAlign w:val="center"/>
          </w:tcPr>
          <w:p w14:paraId="2FE9351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1.整机性能：交换容量≥76.8/384Tbps，转发性能≥57600Mpps。</w:t>
            </w:r>
          </w:p>
          <w:p w14:paraId="5137722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2.设备配置：提供万兆光口≥24个，千兆光口≥24个，千兆电口≥48个，万兆单模光模块≥2个，主控板卡≥2块，独立监控板卡≥2块，电源模块≥2个。</w:t>
            </w:r>
          </w:p>
          <w:p w14:paraId="46D4A35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★3.硬件规格：业务板槽位≥6个，主控板槽位≥2个，电源槽位≥4个，设备深度≤550mm，可以适用于600mm 深度机柜。</w:t>
            </w:r>
          </w:p>
          <w:p w14:paraId="14E63BB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4.可以配置RIP、OSPF、ISIS、BGP，支持IPv4/IPv6双协议栈。 </w:t>
            </w:r>
          </w:p>
          <w:p w14:paraId="63581ED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5.具有纵向虚拟化功能，将盒式交换机纵向虚拟为框式交换机板卡、将 AP 纵向虚拟为框式交换机端口，可以通过一台设备管理， 具有无线管理功能。 </w:t>
            </w:r>
          </w:p>
          <w:p w14:paraId="53DA542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6.具有VXLAN功能，BGP-EVPN协议，可以通过Netconf进行配置。</w:t>
            </w:r>
          </w:p>
          <w:p w14:paraId="76C26A8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★7.提供NetStream功能，可以对网络流量进行统计和分析。</w:t>
            </w:r>
          </w:p>
          <w:p w14:paraId="72FC98C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8.提供Telemetry功能，可以实时采集设备数据并上送至网络分析组件，由网络分析组件对网络数据进行分析，对故障进行定界以及定位故障发生原因。</w:t>
            </w:r>
          </w:p>
          <w:p w14:paraId="6E90DF1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9.提供独立可插拔风扇模块≥2个，当单个风扇模块被拔出维护时，还可以有其他风扇模块在位运行。</w:t>
            </w:r>
          </w:p>
          <w:p w14:paraId="3B379AC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10.提供独立的监控板卡槽位≥2个，与主控板卡物理槽位分离，可以对设备的电源模块和风扇模块进行管理，支持热插拔，并支持冗余备份功能。</w:t>
            </w:r>
          </w:p>
          <w:p w14:paraId="2435113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★11.所有可插拔板卡(主控板、业务板、电源模块)全部在设备机框正面。</w:t>
            </w:r>
          </w:p>
          <w:p w14:paraId="16C201BE">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12.</w:t>
            </w:r>
            <w:r>
              <w:rPr>
                <w:rFonts w:hint="eastAsia" w:asciiTheme="minorEastAsia" w:hAnsiTheme="minorEastAsia" w:eastAsiaTheme="minorEastAsia" w:cstheme="minorEastAsia"/>
                <w:bCs w:val="0"/>
                <w:color w:val="auto"/>
                <w:kern w:val="2"/>
                <w:sz w:val="21"/>
                <w:szCs w:val="21"/>
                <w:highlight w:val="none"/>
                <w:lang w:eastAsia="zh-CN"/>
              </w:rPr>
              <w:t>设备的关键元器件CPU芯片和以太网络处理器ENP芯片采用国产芯片。</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6E607DA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13.按采购方要求免费安装调试。</w:t>
            </w:r>
          </w:p>
        </w:tc>
      </w:tr>
      <w:tr w14:paraId="1E68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03087AB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1097" w:type="dxa"/>
            <w:tcBorders>
              <w:top w:val="single" w:color="auto" w:sz="4" w:space="0"/>
              <w:left w:val="single" w:color="auto" w:sz="4" w:space="0"/>
              <w:bottom w:val="single" w:color="auto" w:sz="4" w:space="0"/>
              <w:right w:val="single" w:color="auto" w:sz="4" w:space="0"/>
            </w:tcBorders>
            <w:vAlign w:val="center"/>
          </w:tcPr>
          <w:p w14:paraId="6285D27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汇聚交换机</w:t>
            </w:r>
          </w:p>
        </w:tc>
        <w:tc>
          <w:tcPr>
            <w:tcW w:w="833" w:type="dxa"/>
            <w:tcBorders>
              <w:top w:val="single" w:color="auto" w:sz="4" w:space="0"/>
              <w:left w:val="single" w:color="auto" w:sz="4" w:space="0"/>
              <w:bottom w:val="single" w:color="auto" w:sz="4" w:space="0"/>
              <w:right w:val="single" w:color="auto" w:sz="4" w:space="0"/>
            </w:tcBorders>
            <w:vAlign w:val="center"/>
          </w:tcPr>
          <w:p w14:paraId="1A05D772">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78" w:type="dxa"/>
            <w:tcBorders>
              <w:top w:val="single" w:color="auto" w:sz="4" w:space="0"/>
              <w:left w:val="single" w:color="auto" w:sz="4" w:space="0"/>
              <w:bottom w:val="single" w:color="auto" w:sz="4" w:space="0"/>
              <w:right w:val="single" w:color="auto" w:sz="4" w:space="0"/>
            </w:tcBorders>
            <w:vAlign w:val="center"/>
          </w:tcPr>
          <w:p w14:paraId="077A4C2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1EFDE52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1.整机性能：交换容量≥2.56Tbps，转发性能≥1620 Mpps。</w:t>
            </w:r>
          </w:p>
          <w:p w14:paraId="183CBA5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2.设备配置：提供 10GE光口≥48个，40GE光口≥6 个，万兆单模光模块≥4个，独立可插拔风扇模块≥4个，独立可插拔电源模块≥2个。</w:t>
            </w:r>
          </w:p>
          <w:p w14:paraId="1A162C1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3.能够直接对业务报文标记以获得丢包数和丢包率的实时统计，对网络级和设备级丢包数量和丢包率统计。</w:t>
            </w:r>
          </w:p>
          <w:p w14:paraId="03B2C50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4.具有VXLAN功能。</w:t>
            </w:r>
          </w:p>
          <w:p w14:paraId="07A5BA5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5.提供Telemetr 功能，可以实时采集设备数据并上送至网络分析组件，由网络分析组件对网络数据进行分析，对故障进行定界以及定位故障发生原因。</w:t>
            </w:r>
          </w:p>
          <w:p w14:paraId="4E5DA8B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6.提供音视频业务的智能运维功能，可以将设备作为监控节点周期统计并上报音视频业务类指标参数至网络分析组件，由网络分析组件结合多个节点的监控结果，对音视频业务质量类故障进行定界。</w:t>
            </w:r>
          </w:p>
          <w:p w14:paraId="2F6B856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7.可以配置静态路由、RIP、OSPF、ISIS、BGP、路由策略。</w:t>
            </w:r>
          </w:p>
          <w:p w14:paraId="691E637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8.可以配置IP、MAC、端口、VLAN 的组合绑定，可以配置IEEE 802.1X 认证、单端口最大用户数限制。</w:t>
            </w:r>
          </w:p>
          <w:p w14:paraId="50D961AE">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9.可以配置 Netstream、ERPS 以太环保护协议（G.8032），内置WEB网管。</w:t>
            </w:r>
          </w:p>
          <w:p w14:paraId="0288FBF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10.按采购方要求免费安装调试。</w:t>
            </w:r>
          </w:p>
        </w:tc>
      </w:tr>
      <w:tr w14:paraId="484D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BB4045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1097" w:type="dxa"/>
            <w:tcBorders>
              <w:top w:val="single" w:color="auto" w:sz="4" w:space="0"/>
              <w:left w:val="single" w:color="auto" w:sz="4" w:space="0"/>
              <w:bottom w:val="single" w:color="auto" w:sz="4" w:space="0"/>
              <w:right w:val="single" w:color="auto" w:sz="4" w:space="0"/>
            </w:tcBorders>
            <w:vAlign w:val="center"/>
          </w:tcPr>
          <w:p w14:paraId="6E8EC65E">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防火墙</w:t>
            </w:r>
          </w:p>
        </w:tc>
        <w:tc>
          <w:tcPr>
            <w:tcW w:w="833" w:type="dxa"/>
            <w:tcBorders>
              <w:top w:val="single" w:color="auto" w:sz="4" w:space="0"/>
              <w:left w:val="single" w:color="auto" w:sz="4" w:space="0"/>
              <w:bottom w:val="single" w:color="auto" w:sz="4" w:space="0"/>
              <w:right w:val="single" w:color="auto" w:sz="4" w:space="0"/>
            </w:tcBorders>
            <w:vAlign w:val="center"/>
          </w:tcPr>
          <w:p w14:paraId="6E33AC0F">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778" w:type="dxa"/>
            <w:tcBorders>
              <w:top w:val="single" w:color="auto" w:sz="4" w:space="0"/>
              <w:left w:val="single" w:color="auto" w:sz="4" w:space="0"/>
              <w:bottom w:val="single" w:color="auto" w:sz="4" w:space="0"/>
              <w:right w:val="single" w:color="auto" w:sz="4" w:space="0"/>
            </w:tcBorders>
            <w:vAlign w:val="center"/>
          </w:tcPr>
          <w:p w14:paraId="18A22E3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3938C173">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bidi="ar"/>
              </w:rPr>
              <w:t>1.整机性能：吞吐量≥15Gbps，IPSec VPN 吞吐量≥15Gbps，IPS吞吐量≥6Gbps，最大并发连接数≥1000万，每秒新建连接数≥25 万。</w:t>
            </w:r>
          </w:p>
          <w:p w14:paraId="391E1E4D">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bidi="ar"/>
              </w:rPr>
              <w:t>2.设备实配：产品型态1U，千兆 Combo口≥8 个，千兆电口≥4 个，千兆光口≥4 个，万兆光口≥6 个，万兆单模光模块≥2 个，USB3.0 接口≥1 个，扩展卡槽位≥2 个，本地存储空间≥200GB，虚拟防火墙数≥1000个，SSL VPN 并发用户数≥100 个，IPS+AV+URL远程查询特征库升级服务≥60 个月。</w:t>
            </w:r>
          </w:p>
          <w:p w14:paraId="6E26DC19">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3.路由协议：可以配置IS-IS、OSPF、BGP、IS-IS、SRv6等路由协议。</w:t>
            </w:r>
          </w:p>
          <w:p w14:paraId="06EF18E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4.带宽管理：可以配置带宽通道的整体限流和每IP限流，包括上下行的最大带宽和保证带宽及最大连接数，可以选择策略生效的时间段，可以选择流量的协议类型和流量的应用类型，包括但不限于 HTTP、FTP、Telnet、BT、PPLive、Thunder 等。</w:t>
            </w:r>
          </w:p>
          <w:p w14:paraId="1B648A7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★5.策略配置：新建安全策略可以基于源IP/目的IP、安全区域、服务类型、应用类型、时间段等字段进行配置，一条安全策略中可以同时配置IPv4和IPv6地址。</w:t>
            </w:r>
          </w:p>
          <w:p w14:paraId="3B244BE8">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6.URL过滤：URL分类支持远程查询，分类库≥1.2 亿，URL分类过滤可以根据不同的用户/组、时间段和安全区域等信息，对用户/ 组进行 URL 访问控制。</w:t>
            </w:r>
          </w:p>
          <w:p w14:paraId="6FD99D42">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★7.入侵防御：具有IPS功能，入侵防御特征库包含的签名数量不少于20000条，其中CVE签名数量不少于10000条，签名集默认启用率不低于 95%，签名集默认阻断率不低于85%。</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40187C0">
            <w:pPr>
              <w:pStyle w:val="11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bidi="ar"/>
              </w:rPr>
              <w:t>★8.病毒防护：具有反病毒功能，支持亿级病毒库，可以正常检出最大 100 层压缩后的病毒文件，设备生成相同类型的威胁日志，且能够查看到压缩格式和病毒名称。</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0D63DDA8">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9.应用识别：可以识别应用层协议数量≥6000 种，包括但不限于BT、迅雷、P2P影音、 P2P文件分享等，可以在配置策略路由、安全策略、带宽策略的时候引用应用。</w:t>
            </w:r>
          </w:p>
          <w:p w14:paraId="20C1E96F">
            <w:pPr>
              <w:widowControl/>
              <w:tabs>
                <w:tab w:val="left" w:pos="312"/>
              </w:tabs>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10.沙箱联动：可以配置本地沙箱联动检测， 并根据检测结果更新缓存中的恶意文件，当后续具有相同特征的流量命中恶意文件时可以进行阻断或告警等处理。</w:t>
            </w:r>
          </w:p>
          <w:p w14:paraId="4F003049">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★11.双机热备：双机链路故障切换，主备模式切换时间&lt;1秒。</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235BF09B">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★12.系统运维：提供Web配置和CLI 配置两种 方式，Web界面提供进入 CLI 控制台的操作按钮，可以从Web界面跳转到CLI 配置窗口开始命令行配置。</w:t>
            </w:r>
          </w:p>
          <w:p w14:paraId="60C64EA3">
            <w:pPr>
              <w:pStyle w:val="11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bidi="ar"/>
              </w:rPr>
              <w:t>★13.设备的关键元器件CPU芯片、交换芯片、NP转发芯片、流量管理芯片全部采用国产芯片。</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565AE7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13.按采购方要求免费安装调试。</w:t>
            </w:r>
          </w:p>
        </w:tc>
      </w:tr>
      <w:tr w14:paraId="49F9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3DE3DA4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w:t>
            </w:r>
          </w:p>
        </w:tc>
        <w:tc>
          <w:tcPr>
            <w:tcW w:w="1097" w:type="dxa"/>
            <w:tcBorders>
              <w:top w:val="single" w:color="auto" w:sz="4" w:space="0"/>
              <w:left w:val="single" w:color="auto" w:sz="4" w:space="0"/>
              <w:bottom w:val="single" w:color="auto" w:sz="4" w:space="0"/>
              <w:right w:val="single" w:color="auto" w:sz="4" w:space="0"/>
            </w:tcBorders>
            <w:vAlign w:val="center"/>
          </w:tcPr>
          <w:p w14:paraId="41BE03B9">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网络摄像机</w:t>
            </w:r>
          </w:p>
        </w:tc>
        <w:tc>
          <w:tcPr>
            <w:tcW w:w="833" w:type="dxa"/>
            <w:tcBorders>
              <w:top w:val="single" w:color="auto" w:sz="4" w:space="0"/>
              <w:left w:val="single" w:color="auto" w:sz="4" w:space="0"/>
              <w:bottom w:val="single" w:color="auto" w:sz="4" w:space="0"/>
              <w:right w:val="single" w:color="auto" w:sz="4" w:space="0"/>
            </w:tcBorders>
            <w:vAlign w:val="center"/>
          </w:tcPr>
          <w:p w14:paraId="3AE88D03">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155</w:t>
            </w:r>
          </w:p>
        </w:tc>
        <w:tc>
          <w:tcPr>
            <w:tcW w:w="778" w:type="dxa"/>
            <w:tcBorders>
              <w:top w:val="single" w:color="auto" w:sz="4" w:space="0"/>
              <w:left w:val="single" w:color="auto" w:sz="4" w:space="0"/>
              <w:bottom w:val="single" w:color="auto" w:sz="4" w:space="0"/>
              <w:right w:val="single" w:color="auto" w:sz="4" w:space="0"/>
            </w:tcBorders>
            <w:vAlign w:val="center"/>
          </w:tcPr>
          <w:p w14:paraId="4B3BF5F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个</w:t>
            </w:r>
          </w:p>
        </w:tc>
        <w:tc>
          <w:tcPr>
            <w:tcW w:w="6801" w:type="dxa"/>
            <w:tcBorders>
              <w:top w:val="single" w:color="auto" w:sz="4" w:space="0"/>
              <w:left w:val="single" w:color="auto" w:sz="4" w:space="0"/>
              <w:bottom w:val="single" w:color="auto" w:sz="4" w:space="0"/>
            </w:tcBorders>
            <w:vAlign w:val="center"/>
          </w:tcPr>
          <w:p w14:paraId="0C958716">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★1.类型：球型网络摄像机，像素不低于400 万。</w:t>
            </w:r>
          </w:p>
          <w:p w14:paraId="6C97CE9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2.分辨率：不低于2560 × 1440@30 fps，在该分辨率下可输出实时图像。</w:t>
            </w:r>
          </w:p>
          <w:p w14:paraId="6C40D043">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3.具有PoE功能；具有H.265高效压缩算法。</w:t>
            </w:r>
          </w:p>
          <w:p w14:paraId="1EA3C847">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4.采用红外阵列，低功耗，照射距离最远可达30 米。</w:t>
            </w:r>
          </w:p>
          <w:p w14:paraId="57E2B46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5.具有区域入侵侦测、越界侦测、移动侦测等侦测功能；具有断网续传功能保证录像不丢失，配合硬盘录像机实现事件录像的二次智能检索、分析和浓缩播放。</w:t>
            </w:r>
          </w:p>
          <w:p w14:paraId="21BE59E0">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6.能够350 °水平旋转，垂直方向 0 °～90°。</w:t>
            </w:r>
          </w:p>
          <w:p w14:paraId="52A7BA9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7.具有3D定位功能，可通过鼠标框选目标以实现目标的快速定位与捕捉；具有定时抓图与事件抓图功能；有定时任务、一键守望、一键巡航功能。</w:t>
            </w:r>
          </w:p>
          <w:p w14:paraId="1C3DE7EA">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8.内置麦克风，具有1 路音频输入和1 路音频输出。</w:t>
            </w:r>
          </w:p>
          <w:p w14:paraId="10B444E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9.内置扬声器（内置功放），可无须外接音频设备实现双向语音对讲。</w:t>
            </w:r>
          </w:p>
          <w:p w14:paraId="4ED597E9">
            <w:pPr>
              <w:widowControl/>
              <w:jc w:val="left"/>
              <w:textAlignment w:val="center"/>
              <w:rPr>
                <w:rFonts w:hint="eastAsia" w:asciiTheme="minorEastAsia" w:hAnsiTheme="minorEastAsia" w:eastAsiaTheme="minorEastAsia" w:cstheme="minorEastAsia"/>
                <w:strike/>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10.接口：RJ45 网口；音频内置麦克风，1 路音频输入。</w:t>
            </w:r>
          </w:p>
          <w:p w14:paraId="6106A6C4">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11.支持音频异常侦测，具有音频陡升检测、音频陡降检测、音频输入异常检测。</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46D5636E">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12.可通过浏览器填写最小瞳距、摄像机安装高度的参数。</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4C62017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13.供电方式：具有DC12V 及POE 供电二种模式。</w:t>
            </w:r>
          </w:p>
          <w:p w14:paraId="051264D2">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14.兼容性要求：摄像机品牌需与（NVR）硬盘录像机同品牌，部署同品牌正版视频监控管理软件等，不接受不同品牌产品。</w:t>
            </w:r>
          </w:p>
          <w:p w14:paraId="32B86455">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★15.供货时提供免费质保5年售后服务承诺函。</w:t>
            </w:r>
          </w:p>
          <w:p w14:paraId="68EA1CF8">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免费安装：根据实验楼实验室现场定位安装，弱电布线线路需全部汇总至甲方指定位置，含安装所需的辅材（如六类网线，线槽，六类水晶头，电源线等），实施前提供方案图纸及规划书备案，不破坏原有设备，经采购方同意开工建设方可实施，否则不予验收，线路提供 5 年免费保修服务，保修期内线路损坏免费维修。</w:t>
            </w:r>
          </w:p>
        </w:tc>
      </w:tr>
      <w:tr w14:paraId="32EA1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5E6D11E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1097" w:type="dxa"/>
            <w:tcBorders>
              <w:top w:val="single" w:color="auto" w:sz="4" w:space="0"/>
              <w:left w:val="single" w:color="auto" w:sz="4" w:space="0"/>
              <w:bottom w:val="single" w:color="auto" w:sz="4" w:space="0"/>
              <w:right w:val="single" w:color="auto" w:sz="4" w:space="0"/>
            </w:tcBorders>
            <w:vAlign w:val="center"/>
          </w:tcPr>
          <w:p w14:paraId="32CEE1D1">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硬盘录像机</w:t>
            </w:r>
          </w:p>
        </w:tc>
        <w:tc>
          <w:tcPr>
            <w:tcW w:w="833" w:type="dxa"/>
            <w:tcBorders>
              <w:top w:val="single" w:color="auto" w:sz="4" w:space="0"/>
              <w:left w:val="single" w:color="auto" w:sz="4" w:space="0"/>
              <w:bottom w:val="single" w:color="auto" w:sz="4" w:space="0"/>
              <w:right w:val="single" w:color="auto" w:sz="4" w:space="0"/>
            </w:tcBorders>
            <w:vAlign w:val="center"/>
          </w:tcPr>
          <w:p w14:paraId="199A4ACB">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778" w:type="dxa"/>
            <w:tcBorders>
              <w:top w:val="single" w:color="auto" w:sz="4" w:space="0"/>
              <w:left w:val="single" w:color="auto" w:sz="4" w:space="0"/>
              <w:bottom w:val="single" w:color="auto" w:sz="4" w:space="0"/>
              <w:right w:val="single" w:color="auto" w:sz="4" w:space="0"/>
            </w:tcBorders>
            <w:vAlign w:val="center"/>
          </w:tcPr>
          <w:p w14:paraId="1C1454D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台</w:t>
            </w:r>
          </w:p>
        </w:tc>
        <w:tc>
          <w:tcPr>
            <w:tcW w:w="6801" w:type="dxa"/>
            <w:tcBorders>
              <w:top w:val="single" w:color="auto" w:sz="4" w:space="0"/>
              <w:left w:val="single" w:color="auto" w:sz="4" w:space="0"/>
              <w:bottom w:val="single" w:color="auto" w:sz="4" w:space="0"/>
            </w:tcBorders>
            <w:vAlign w:val="center"/>
          </w:tcPr>
          <w:p w14:paraId="45AC1A9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★1.视频接入路数：64 路。</w:t>
            </w:r>
          </w:p>
          <w:p w14:paraId="04F40CF8">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2.可接驳符合 ONVIF、RTSP 标准及众多主流厂商的网络摄像机。</w:t>
            </w:r>
          </w:p>
          <w:p w14:paraId="37E14E6C">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3.具有H.265、Smart265、H.264、Smart264编码的前端设备自适应接入。</w:t>
            </w:r>
          </w:p>
          <w:p w14:paraId="23E061DA">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4.具有 1200 万像素高清网络视频的预览、存储与回放。</w:t>
            </w:r>
          </w:p>
          <w:p w14:paraId="553FDAD9">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5.解码性能强劲，具有32路1080P解码能力。</w:t>
            </w:r>
          </w:p>
          <w:p w14:paraId="311CA10F">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6.能够2个HDMI与1个VGA 同时输出，其中HDMI1 与 HDMI2 异源，HDMI1 与VGA1同源，HDMI1 4K 高清分辨率输出。</w:t>
            </w:r>
          </w:p>
          <w:p w14:paraId="1BC199F6">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★7.提供16个SATA 接口，本次单台需配置16块 8T 硬盘。</w:t>
            </w:r>
          </w:p>
          <w:p w14:paraId="092868D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8.提供硬盘配额和硬盘盘组两种存储模式，可对不同通道分配不同的录像保存容量或周期。</w:t>
            </w:r>
          </w:p>
          <w:p w14:paraId="7DB31062">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9.具有IP设备集中管理，包括IP设备参数配置、信息的导入/导出和升级等功能。</w:t>
            </w:r>
          </w:p>
          <w:p w14:paraId="1D6F87C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10.包含视频监控管理软件，带有即时回放功能,在预览画面对指定摄像机的当时录像进行回放,并且不影响其他摄像机预览，最大16 路多路同步回放；具有区域入侵侦测、越界侦测、移动侦测等功能。</w:t>
            </w:r>
          </w:p>
          <w:p w14:paraId="214B69C6">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11.具有萤石云服务及本地萤石云解绑，可实现手机远程预览回放。</w:t>
            </w:r>
          </w:p>
          <w:p w14:paraId="1538B8C4">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12.网络接口：2 个RJ45 10M/100M/1000M自适应以太网口；串行接口1 个，RS-232 DB9接口1 个，RS-485 串行接口（全双工）1个；USB 接口： 2 个 USB 2.0（前置），2 个 USB 3.0（后置）。</w:t>
            </w:r>
          </w:p>
          <w:p w14:paraId="2A52A915">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w:t>
            </w:r>
            <w:r>
              <w:rPr>
                <w:rFonts w:hint="eastAsia" w:asciiTheme="minorEastAsia" w:hAnsiTheme="minorEastAsia" w:eastAsiaTheme="minorEastAsia" w:cstheme="minorEastAsia"/>
                <w:color w:val="auto"/>
                <w:szCs w:val="21"/>
                <w:highlight w:val="none"/>
              </w:rPr>
              <w:t>支持</w:t>
            </w:r>
            <w:r>
              <w:rPr>
                <w:rFonts w:hint="eastAsia" w:asciiTheme="minorEastAsia" w:hAnsiTheme="minorEastAsia" w:eastAsiaTheme="minorEastAsia" w:cstheme="minorEastAsia"/>
                <w:color w:val="auto"/>
                <w:kern w:val="0"/>
                <w:szCs w:val="21"/>
                <w:highlight w:val="none"/>
                <w:lang w:bidi="ar"/>
              </w:rPr>
              <w:t>RAID0、 RAID1、 RAID5、 RAID10、支持全局热备。</w:t>
            </w:r>
          </w:p>
          <w:p w14:paraId="55FA9274">
            <w:pPr>
              <w:pStyle w:val="11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14.具备录像目标检索功能，目标检索支持单帧模式调整目标画面，可通过鼠标滚轮调整录像画面帧序列；事件中心，切片回放、回放支持目标检索快速入口；支持预览时对实时视频流进行手动打标签，通过标签检索可以检索到相关的录像片段。</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E1F70D4">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15.具备网络端口扫描行为预警，可自动封禁IP，并上报预警，支持远程下发IP拦截；支持自动跳转https功能，设备启用自动跳转https功能后不支持http协议访问，http访问入口连接会自动重定向到https入口。</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7BCCF3E4">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16.具备对切片回放片段进行目标检索、备份导出；具备切片回放，具备按月、日、小时维度进行切片展示，按月最大支持≥30个切片，按日最大支持≥24个切片，按时最大支持≥60个切片。</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70E0FD9">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17.支持≥4路视频流人脸识别，支持≥16路图片流人脸识别。</w:t>
            </w:r>
          </w:p>
          <w:p w14:paraId="643018F9">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18.支持对≥64路视频录像中的目标实现快速检索。</w:t>
            </w:r>
          </w:p>
          <w:p w14:paraId="44C6F3E3">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19.兼容性：硬盘录像机与网络摄像机同一品牌，并部署同品牌的视频监控管理软件等。</w:t>
            </w:r>
          </w:p>
          <w:p w14:paraId="6319E357">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★20.供货时提供免费质保 5 年售后服务承诺函。</w:t>
            </w:r>
          </w:p>
          <w:p w14:paraId="3BBC8C8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21.免费安装及调试：汇聚本次安装所有监控摄像机接入，设备存放至采购方指定位置，监控系统显示画面接入调试，并部署好视频监控正版。</w:t>
            </w:r>
          </w:p>
        </w:tc>
      </w:tr>
      <w:tr w14:paraId="19770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70D92AC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w:t>
            </w:r>
          </w:p>
        </w:tc>
        <w:tc>
          <w:tcPr>
            <w:tcW w:w="1097" w:type="dxa"/>
            <w:tcBorders>
              <w:top w:val="single" w:color="auto" w:sz="4" w:space="0"/>
              <w:left w:val="single" w:color="auto" w:sz="4" w:space="0"/>
              <w:bottom w:val="single" w:color="auto" w:sz="4" w:space="0"/>
              <w:right w:val="single" w:color="auto" w:sz="4" w:space="0"/>
            </w:tcBorders>
            <w:vAlign w:val="center"/>
          </w:tcPr>
          <w:p w14:paraId="58E49F7B">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Poe交换机</w:t>
            </w:r>
          </w:p>
        </w:tc>
        <w:tc>
          <w:tcPr>
            <w:tcW w:w="833" w:type="dxa"/>
            <w:tcBorders>
              <w:top w:val="single" w:color="auto" w:sz="4" w:space="0"/>
              <w:left w:val="single" w:color="auto" w:sz="4" w:space="0"/>
              <w:bottom w:val="single" w:color="auto" w:sz="4" w:space="0"/>
              <w:right w:val="single" w:color="auto" w:sz="4" w:space="0"/>
            </w:tcBorders>
            <w:vAlign w:val="center"/>
          </w:tcPr>
          <w:p w14:paraId="2FB21D42">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778" w:type="dxa"/>
            <w:tcBorders>
              <w:top w:val="single" w:color="auto" w:sz="4" w:space="0"/>
              <w:left w:val="single" w:color="auto" w:sz="4" w:space="0"/>
              <w:bottom w:val="single" w:color="auto" w:sz="4" w:space="0"/>
              <w:right w:val="single" w:color="auto" w:sz="4" w:space="0"/>
            </w:tcBorders>
            <w:vAlign w:val="center"/>
          </w:tcPr>
          <w:p w14:paraId="24DF4DC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5B0D355C">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★1.接口数量：24 个千兆 POE 电口，1 个千兆电口，1 个千兆光口。</w:t>
            </w:r>
          </w:p>
          <w:p w14:paraId="47FE177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2.接口类型：RJ45 电口，全双工，MDI/MDI-X 自适应。</w:t>
            </w:r>
          </w:p>
          <w:p w14:paraId="5FC0AAF2">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3.标 准 ：IEEE802.3，IEEE802.3u，IEEE802.3x。</w:t>
            </w:r>
          </w:p>
          <w:p w14:paraId="75C1A4F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4.交换容量：52Gbps。</w:t>
            </w:r>
          </w:p>
          <w:p w14:paraId="032A79F4">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5.包转发率：38.688Mpps。</w:t>
            </w:r>
          </w:p>
          <w:p w14:paraId="3711F028">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6.端口供电功率30W，整机供电功率：370W。</w:t>
            </w:r>
          </w:p>
          <w:p w14:paraId="5700B1E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★7.供货时提供免费质保 5 年售后服务承诺函。</w:t>
            </w:r>
          </w:p>
          <w:p w14:paraId="5A603B5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8.免费安装及调试。</w:t>
            </w:r>
          </w:p>
        </w:tc>
      </w:tr>
      <w:tr w14:paraId="4C151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400552D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1097" w:type="dxa"/>
            <w:tcBorders>
              <w:top w:val="single" w:color="auto" w:sz="4" w:space="0"/>
              <w:left w:val="single" w:color="auto" w:sz="4" w:space="0"/>
              <w:bottom w:val="single" w:color="auto" w:sz="4" w:space="0"/>
              <w:right w:val="single" w:color="auto" w:sz="4" w:space="0"/>
            </w:tcBorders>
            <w:vAlign w:val="center"/>
          </w:tcPr>
          <w:p w14:paraId="291D8ED8">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监控核心交换机</w:t>
            </w:r>
          </w:p>
        </w:tc>
        <w:tc>
          <w:tcPr>
            <w:tcW w:w="833" w:type="dxa"/>
            <w:tcBorders>
              <w:top w:val="single" w:color="auto" w:sz="4" w:space="0"/>
              <w:left w:val="single" w:color="auto" w:sz="4" w:space="0"/>
              <w:bottom w:val="single" w:color="auto" w:sz="4" w:space="0"/>
              <w:right w:val="single" w:color="auto" w:sz="4" w:space="0"/>
            </w:tcBorders>
            <w:vAlign w:val="center"/>
          </w:tcPr>
          <w:p w14:paraId="7AE66BC0">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778" w:type="dxa"/>
            <w:tcBorders>
              <w:top w:val="single" w:color="auto" w:sz="4" w:space="0"/>
              <w:left w:val="single" w:color="auto" w:sz="4" w:space="0"/>
              <w:bottom w:val="single" w:color="auto" w:sz="4" w:space="0"/>
              <w:right w:val="single" w:color="auto" w:sz="4" w:space="0"/>
            </w:tcBorders>
            <w:vAlign w:val="center"/>
          </w:tcPr>
          <w:p w14:paraId="19E0F30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台</w:t>
            </w:r>
          </w:p>
        </w:tc>
        <w:tc>
          <w:tcPr>
            <w:tcW w:w="6801" w:type="dxa"/>
            <w:tcBorders>
              <w:top w:val="single" w:color="auto" w:sz="4" w:space="0"/>
              <w:left w:val="single" w:color="auto" w:sz="4" w:space="0"/>
              <w:bottom w:val="single" w:color="auto" w:sz="4" w:space="0"/>
            </w:tcBorders>
            <w:vAlign w:val="center"/>
          </w:tcPr>
          <w:p w14:paraId="3051440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1.24 个 10/100/1000Base-T 以太网端口，4 个万兆 SFP+。</w:t>
            </w:r>
          </w:p>
          <w:p w14:paraId="402F6D85">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2.具有 1+1 电源备份，设备默认带 1 个 150W 交流电源模块。</w:t>
            </w:r>
          </w:p>
          <w:p w14:paraId="5B71A3AA">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★3.包转发率:222/396Mpps。</w:t>
            </w:r>
          </w:p>
          <w:p w14:paraId="6F94A39C">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★4.交换容量:758Gbps/7.58Tbps。</w:t>
            </w:r>
          </w:p>
        </w:tc>
      </w:tr>
      <w:tr w14:paraId="7E41D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7" w:type="dxa"/>
            <w:tcBorders>
              <w:top w:val="single" w:color="auto" w:sz="4" w:space="0"/>
              <w:bottom w:val="single" w:color="auto" w:sz="4" w:space="0"/>
              <w:right w:val="single" w:color="auto" w:sz="4" w:space="0"/>
            </w:tcBorders>
            <w:vAlign w:val="center"/>
          </w:tcPr>
          <w:p w14:paraId="544A7AA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w:t>
            </w:r>
          </w:p>
        </w:tc>
        <w:tc>
          <w:tcPr>
            <w:tcW w:w="1097" w:type="dxa"/>
            <w:tcBorders>
              <w:top w:val="single" w:color="auto" w:sz="4" w:space="0"/>
              <w:left w:val="single" w:color="auto" w:sz="4" w:space="0"/>
              <w:bottom w:val="single" w:color="auto" w:sz="4" w:space="0"/>
              <w:right w:val="single" w:color="auto" w:sz="4" w:space="0"/>
            </w:tcBorders>
            <w:vAlign w:val="center"/>
          </w:tcPr>
          <w:p w14:paraId="6264D24D">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高清解码器</w:t>
            </w:r>
          </w:p>
        </w:tc>
        <w:tc>
          <w:tcPr>
            <w:tcW w:w="833" w:type="dxa"/>
            <w:tcBorders>
              <w:top w:val="single" w:color="auto" w:sz="4" w:space="0"/>
              <w:left w:val="single" w:color="auto" w:sz="4" w:space="0"/>
              <w:bottom w:val="single" w:color="auto" w:sz="4" w:space="0"/>
              <w:right w:val="single" w:color="auto" w:sz="4" w:space="0"/>
            </w:tcBorders>
            <w:vAlign w:val="center"/>
          </w:tcPr>
          <w:p w14:paraId="5139F814">
            <w:pPr>
              <w:widowControl/>
              <w:jc w:val="center"/>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778" w:type="dxa"/>
            <w:tcBorders>
              <w:top w:val="single" w:color="auto" w:sz="4" w:space="0"/>
              <w:left w:val="single" w:color="auto" w:sz="4" w:space="0"/>
              <w:bottom w:val="single" w:color="auto" w:sz="4" w:space="0"/>
              <w:right w:val="single" w:color="auto" w:sz="4" w:space="0"/>
            </w:tcBorders>
            <w:vAlign w:val="center"/>
          </w:tcPr>
          <w:p w14:paraId="7AA8702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w:t>
            </w:r>
          </w:p>
        </w:tc>
        <w:tc>
          <w:tcPr>
            <w:tcW w:w="6801" w:type="dxa"/>
            <w:tcBorders>
              <w:top w:val="single" w:color="auto" w:sz="4" w:space="0"/>
              <w:left w:val="single" w:color="auto" w:sz="4" w:space="0"/>
              <w:bottom w:val="single" w:color="auto" w:sz="4" w:space="0"/>
            </w:tcBorders>
            <w:vAlign w:val="center"/>
          </w:tcPr>
          <w:p w14:paraId="014DD5E0">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★1.输出参数： ≥10 路 HDMI 高清输出接口，单 个 接 口 最 高  4K 高 清 视 频 输 出（3840*2160@30Hz）。</w:t>
            </w:r>
          </w:p>
          <w:p w14:paraId="44F6396B">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2.具有 H.265+\H.265\H.264 等多种主流编码格式视频。</w:t>
            </w:r>
          </w:p>
          <w:p w14:paraId="0522D58A">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3.解码能力：最高支18 路 800 万，或 36路 400 万，或 80路 200 万，或最高 ≥160路 VGA分辨率及以下同时解码。</w:t>
            </w:r>
          </w:p>
          <w:p w14:paraId="7DE365AF">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4.画面分割数：1/2/4/8/9/16/25/36路。</w:t>
            </w:r>
          </w:p>
          <w:p w14:paraId="0D062A83">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5.最多≥10块屏幕按照任意方式拼接，自定义屏幕摆放方式。</w:t>
            </w:r>
          </w:p>
          <w:p w14:paraId="2400A4F5">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 web 方式访问、配置和管理。</w:t>
            </w:r>
          </w:p>
          <w:p w14:paraId="613BBAA1">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7.具有远程重启、恢复默认配置、升级等日常维护功能。</w:t>
            </w:r>
          </w:p>
          <w:p w14:paraId="4A940763">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8.接口：≥2 个 RJ45 1000M 自适应以太网接口，≥2 个 100base-FX/1000base-X光口，≥2 个 USB 接口，≥4 路报警输入输出口。</w:t>
            </w:r>
          </w:p>
          <w:p w14:paraId="134F1CB4">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9.支持≥2路1080P@50/60 或≥1路4K@30，通过HDMI本地输入。</w:t>
            </w:r>
          </w:p>
          <w:p w14:paraId="28306EAE">
            <w:pPr>
              <w:pStyle w:val="11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10.通过IE浏览器进行网络模式设置，包括设置为流畅性优先、实时性优先。</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435D80F9">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bidi="ar"/>
              </w:rPr>
              <w:t>11.对输入的视频画面进行90°、180°、270°旋转显示。</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5E667C62">
            <w:pPr>
              <w:pStyle w:val="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w:t>
            </w:r>
            <w:r>
              <w:rPr>
                <w:rFonts w:hint="eastAsia" w:asciiTheme="minorEastAsia" w:hAnsiTheme="minorEastAsia" w:eastAsiaTheme="minorEastAsia" w:cstheme="minorEastAsia"/>
                <w:b/>
                <w:bCs/>
                <w:color w:val="auto"/>
                <w:kern w:val="0"/>
                <w:sz w:val="21"/>
                <w:szCs w:val="21"/>
                <w:highlight w:val="none"/>
                <w:lang w:bidi="ar"/>
              </w:rPr>
              <w:t>12.</w:t>
            </w:r>
            <w:r>
              <w:rPr>
                <w:rFonts w:hint="eastAsia" w:asciiTheme="minorEastAsia" w:hAnsiTheme="minorEastAsia" w:eastAsiaTheme="minorEastAsia" w:cstheme="minorEastAsia"/>
                <w:color w:val="auto"/>
                <w:sz w:val="21"/>
                <w:szCs w:val="21"/>
                <w:highlight w:val="none"/>
              </w:rPr>
              <w:t>可在本地将安装了本设备抓屏软件的设备桌面实时解码显示，</w:t>
            </w:r>
            <w:r>
              <w:rPr>
                <w:rFonts w:hint="eastAsia" w:asciiTheme="minorEastAsia" w:hAnsiTheme="minorEastAsia" w:eastAsiaTheme="minorEastAsia" w:cstheme="minorEastAsia"/>
                <w:bCs/>
                <w:color w:val="auto"/>
                <w:kern w:val="0"/>
                <w:sz w:val="21"/>
                <w:szCs w:val="21"/>
                <w:highlight w:val="none"/>
              </w:rPr>
              <w:t>画面帧率可达≥30fps。</w:t>
            </w:r>
            <w:r>
              <w:rPr>
                <w:rFonts w:hint="eastAsia" w:asciiTheme="minorEastAsia" w:hAnsiTheme="minorEastAsia" w:eastAsiaTheme="minorEastAsia" w:cstheme="minorEastAsia"/>
                <w:bCs/>
                <w:color w:val="auto"/>
                <w:sz w:val="21"/>
                <w:szCs w:val="21"/>
                <w:highlight w:val="none"/>
                <w:lang w:eastAsia="zh-CN"/>
              </w:rPr>
              <w:t>（供货时须提供具有相应检测资质的第三方检测机构出具的检测报告（原件备查），并加盖成交单位公章）</w:t>
            </w:r>
          </w:p>
          <w:p w14:paraId="78350E3B">
            <w:pPr>
              <w:widowControl/>
              <w:jc w:val="left"/>
              <w:textAlignment w:val="center"/>
              <w:rPr>
                <w:rFonts w:hint="eastAsia"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13.接入具有智能分析功能的摄像机，可解码显示智能分析信息，包括移动侦测、越界入侵、区域入侵等，并上传报警信息。</w:t>
            </w:r>
          </w:p>
          <w:p w14:paraId="158B1FEE">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 xml:space="preserve">★14.供货时提供免费质保 5 年售后服务承诺函。 </w:t>
            </w:r>
          </w:p>
          <w:p w14:paraId="0DA8048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15.免费安装及调试：按采购方需求进行部署，安装配套及相关辅材。</w:t>
            </w:r>
          </w:p>
        </w:tc>
      </w:tr>
      <w:tr w14:paraId="03920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36" w:type="dxa"/>
            <w:gridSpan w:val="5"/>
            <w:tcBorders>
              <w:top w:val="single" w:color="auto" w:sz="4" w:space="0"/>
              <w:bottom w:val="single" w:color="auto" w:sz="4" w:space="0"/>
            </w:tcBorders>
            <w:vAlign w:val="center"/>
          </w:tcPr>
          <w:p w14:paraId="639F46E6">
            <w:pPr>
              <w:pStyle w:val="116"/>
              <w:spacing w:after="0" w:line="24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商务及其他要求表</w:t>
            </w:r>
          </w:p>
        </w:tc>
      </w:tr>
      <w:tr w14:paraId="44115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7901E23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核心产品</w:t>
            </w:r>
          </w:p>
          <w:p w14:paraId="204579A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（只能写一项）</w:t>
            </w:r>
          </w:p>
        </w:tc>
        <w:tc>
          <w:tcPr>
            <w:tcW w:w="8412" w:type="dxa"/>
            <w:gridSpan w:val="3"/>
            <w:tcBorders>
              <w:top w:val="single" w:color="auto" w:sz="4" w:space="0"/>
              <w:left w:val="single" w:color="auto" w:sz="4" w:space="0"/>
              <w:bottom w:val="single" w:color="auto" w:sz="4" w:space="0"/>
            </w:tcBorders>
            <w:vAlign w:val="center"/>
          </w:tcPr>
          <w:p w14:paraId="62D280C8">
            <w:pPr>
              <w:adjustRightInd w:val="0"/>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本项目核心产品为：</w:t>
            </w:r>
            <w:r>
              <w:rPr>
                <w:rFonts w:hint="eastAsia" w:asciiTheme="minorEastAsia" w:hAnsiTheme="minorEastAsia" w:eastAsiaTheme="minorEastAsia" w:cstheme="minorEastAsia"/>
                <w:color w:val="auto"/>
                <w:szCs w:val="21"/>
                <w:highlight w:val="none"/>
              </w:rPr>
              <w:t>接入交换机</w:t>
            </w:r>
          </w:p>
        </w:tc>
      </w:tr>
      <w:tr w14:paraId="0CC51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62A0C01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报价</w:t>
            </w:r>
          </w:p>
        </w:tc>
        <w:tc>
          <w:tcPr>
            <w:tcW w:w="8412" w:type="dxa"/>
            <w:gridSpan w:val="3"/>
            <w:tcBorders>
              <w:top w:val="single" w:color="auto" w:sz="4" w:space="0"/>
              <w:left w:val="single" w:color="auto" w:sz="4" w:space="0"/>
              <w:bottom w:val="single" w:color="auto" w:sz="4" w:space="0"/>
            </w:tcBorders>
            <w:vAlign w:val="center"/>
          </w:tcPr>
          <w:p w14:paraId="31F5D8D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eastAsia="zh-CN"/>
              </w:rPr>
              <w:t>响应</w:t>
            </w:r>
            <w:r>
              <w:rPr>
                <w:rFonts w:hint="eastAsia" w:asciiTheme="minorEastAsia" w:hAnsiTheme="minorEastAsia" w:eastAsiaTheme="minorEastAsia" w:cstheme="minorEastAsia"/>
                <w:bCs/>
                <w:color w:val="auto"/>
                <w:szCs w:val="21"/>
                <w:highlight w:val="none"/>
              </w:rPr>
              <w:t>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线缆、管材、开孔、开槽及埋管和招标文件中有关的全部内容并完成所有工程和服务，所有成本费用的总和，采购人不再支付其它任何费用。</w:t>
            </w:r>
          </w:p>
        </w:tc>
      </w:tr>
      <w:tr w14:paraId="43BE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299CFE3C">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合同签订时间</w:t>
            </w:r>
          </w:p>
        </w:tc>
        <w:tc>
          <w:tcPr>
            <w:tcW w:w="8412" w:type="dxa"/>
            <w:gridSpan w:val="3"/>
            <w:tcBorders>
              <w:top w:val="single" w:color="auto" w:sz="4" w:space="0"/>
              <w:left w:val="single" w:color="auto" w:sz="4" w:space="0"/>
              <w:bottom w:val="single" w:color="auto" w:sz="4" w:space="0"/>
            </w:tcBorders>
            <w:vAlign w:val="center"/>
          </w:tcPr>
          <w:p w14:paraId="1E63009B">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自</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通知书发出之日起</w:t>
            </w:r>
            <w:r>
              <w:rPr>
                <w:rFonts w:hint="eastAsia" w:asciiTheme="minorEastAsia" w:hAnsiTheme="minorEastAsia" w:eastAsiaTheme="minorEastAsia" w:cstheme="minorEastAsia"/>
                <w:bCs/>
                <w:color w:val="auto"/>
                <w:szCs w:val="21"/>
                <w:highlight w:val="none"/>
                <w:u w:val="single"/>
              </w:rPr>
              <w:t>25</w:t>
            </w:r>
            <w:r>
              <w:rPr>
                <w:rFonts w:hint="eastAsia" w:asciiTheme="minorEastAsia" w:hAnsiTheme="minorEastAsia" w:eastAsiaTheme="minorEastAsia" w:cstheme="minorEastAsia"/>
                <w:bCs/>
                <w:color w:val="auto"/>
                <w:szCs w:val="21"/>
                <w:highlight w:val="none"/>
              </w:rPr>
              <w:t>日内签订采购合同。</w:t>
            </w:r>
          </w:p>
        </w:tc>
      </w:tr>
      <w:tr w14:paraId="20C5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7A68A580">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交货时间及地点</w:t>
            </w:r>
          </w:p>
        </w:tc>
        <w:tc>
          <w:tcPr>
            <w:tcW w:w="8412" w:type="dxa"/>
            <w:gridSpan w:val="3"/>
            <w:tcBorders>
              <w:top w:val="single" w:color="auto" w:sz="4" w:space="0"/>
              <w:left w:val="single" w:color="auto" w:sz="4" w:space="0"/>
              <w:bottom w:val="single" w:color="auto" w:sz="4" w:space="0"/>
            </w:tcBorders>
            <w:vAlign w:val="center"/>
          </w:tcPr>
          <w:p w14:paraId="7A60BC93">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1.交付使用时间：自合同签订后，接到采购人通知之日起30日内交付货物，设备安装调试验收等依据采购人通知实施。</w:t>
            </w:r>
          </w:p>
          <w:p w14:paraId="38DACD41">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2.交货地点：广西财经学院武鸣校区（广西南宁市采购人指定地点）</w:t>
            </w:r>
          </w:p>
        </w:tc>
      </w:tr>
      <w:tr w14:paraId="37AF8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3BE7D74B">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质量保证期</w:t>
            </w:r>
          </w:p>
        </w:tc>
        <w:tc>
          <w:tcPr>
            <w:tcW w:w="8412" w:type="dxa"/>
            <w:gridSpan w:val="3"/>
            <w:tcBorders>
              <w:top w:val="single" w:color="auto" w:sz="4" w:space="0"/>
              <w:left w:val="single" w:color="auto" w:sz="4" w:space="0"/>
              <w:bottom w:val="single" w:color="auto" w:sz="4" w:space="0"/>
            </w:tcBorders>
            <w:vAlign w:val="center"/>
          </w:tcPr>
          <w:p w14:paraId="2AE44679">
            <w:pPr>
              <w:adjustRightInd w:val="0"/>
              <w:snapToGrid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1.设备必须是全新原厂正品。</w:t>
            </w:r>
          </w:p>
          <w:p w14:paraId="69A408B4">
            <w:pPr>
              <w:adjustRightInd w:val="0"/>
              <w:snapToGrid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color w:val="auto"/>
                <w:kern w:val="0"/>
                <w:szCs w:val="21"/>
                <w:highlight w:val="none"/>
              </w:rPr>
              <w:t>分项有质保要求的按分项分项质保要求，</w:t>
            </w:r>
            <w:r>
              <w:rPr>
                <w:rFonts w:hint="eastAsia" w:asciiTheme="minorEastAsia" w:hAnsiTheme="minorEastAsia" w:eastAsiaTheme="minorEastAsia" w:cstheme="minorEastAsia"/>
                <w:color w:val="auto"/>
                <w:szCs w:val="21"/>
                <w:highlight w:val="none"/>
              </w:rPr>
              <w:t>分项没有</w:t>
            </w:r>
            <w:r>
              <w:rPr>
                <w:rFonts w:hint="eastAsia" w:asciiTheme="minorEastAsia" w:hAnsiTheme="minorEastAsia" w:eastAsiaTheme="minorEastAsia" w:cstheme="minorEastAsia"/>
                <w:color w:val="auto"/>
                <w:kern w:val="0"/>
                <w:szCs w:val="21"/>
                <w:highlight w:val="none"/>
              </w:rPr>
              <w:t>质保</w:t>
            </w:r>
            <w:r>
              <w:rPr>
                <w:rFonts w:hint="eastAsia" w:asciiTheme="minorEastAsia" w:hAnsiTheme="minorEastAsia" w:eastAsiaTheme="minorEastAsia" w:cstheme="minorEastAsia"/>
                <w:color w:val="auto"/>
                <w:szCs w:val="21"/>
                <w:highlight w:val="none"/>
              </w:rPr>
              <w:t>要求的</w:t>
            </w:r>
            <w:r>
              <w:rPr>
                <w:rFonts w:hint="eastAsia" w:asciiTheme="minorEastAsia" w:hAnsiTheme="minorEastAsia" w:eastAsiaTheme="minorEastAsia" w:cstheme="minorEastAsia"/>
                <w:color w:val="auto"/>
                <w:kern w:val="0"/>
                <w:szCs w:val="21"/>
                <w:highlight w:val="none"/>
              </w:rPr>
              <w:t>按国家有关产品“三包”规定执行“三包”政策且</w:t>
            </w:r>
            <w:r>
              <w:rPr>
                <w:rFonts w:hint="eastAsia" w:asciiTheme="minorEastAsia" w:hAnsiTheme="minorEastAsia" w:eastAsiaTheme="minorEastAsia" w:cstheme="minorEastAsia"/>
                <w:color w:val="auto"/>
                <w:szCs w:val="21"/>
                <w:highlight w:val="none"/>
              </w:rPr>
              <w:t>质保期不少于</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kern w:val="0"/>
                <w:szCs w:val="21"/>
                <w:highlight w:val="none"/>
              </w:rPr>
              <w:t>质保期以通过项目最终验收的验收报告签字日开始计算。</w:t>
            </w:r>
          </w:p>
          <w:p w14:paraId="092D0245">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3.质保期内所有由于质量问题导致的软、硬件产品故障及设备损坏，</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szCs w:val="21"/>
                <w:highlight w:val="none"/>
              </w:rPr>
              <w:t>提供保修、人工及更换备件的上门服务，并提供终身维护。</w:t>
            </w:r>
          </w:p>
        </w:tc>
      </w:tr>
      <w:tr w14:paraId="6EE2B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04D101A5">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售后及服务要求</w:t>
            </w:r>
          </w:p>
        </w:tc>
        <w:tc>
          <w:tcPr>
            <w:tcW w:w="8412" w:type="dxa"/>
            <w:gridSpan w:val="3"/>
            <w:tcBorders>
              <w:top w:val="single" w:color="auto" w:sz="4" w:space="0"/>
              <w:left w:val="single" w:color="auto" w:sz="4" w:space="0"/>
              <w:bottom w:val="single" w:color="auto" w:sz="4" w:space="0"/>
            </w:tcBorders>
            <w:vAlign w:val="center"/>
          </w:tcPr>
          <w:p w14:paraId="1035C0E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1．免费送货上门，免费安装调试合格；</w:t>
            </w:r>
          </w:p>
          <w:p w14:paraId="52E1F8F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供应商必须负责项目设备送货、建设、安装调试与培训，免费提供设备操作培训，提供全套说明书；免费现场培训 2～3 名相关人员至掌握设备操作及日常维护；</w:t>
            </w:r>
          </w:p>
          <w:p w14:paraId="3B5BBC1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1D624D8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4．提供定期回访及巡检服务；</w:t>
            </w:r>
          </w:p>
          <w:p w14:paraId="358C0F2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5．项目供货及安装过程中产生的残留物或垃圾，需由</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供应商自行清理至校外国家有关部门指定堆放处，产品包装箱及有关产品说明书等处置需经采购人确认后处理。</w:t>
            </w:r>
          </w:p>
          <w:p w14:paraId="6BF0A12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6．对于软件系统存在的安全漏洞包括但不限于数据库安全的情形，</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供应商应提供终身免费系统升级补丁及做好安全策略。</w:t>
            </w:r>
          </w:p>
        </w:tc>
      </w:tr>
      <w:tr w14:paraId="36259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3A088BD3">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8412" w:type="dxa"/>
            <w:gridSpan w:val="3"/>
            <w:tcBorders>
              <w:top w:val="single" w:color="auto" w:sz="4" w:space="0"/>
              <w:left w:val="single" w:color="auto" w:sz="4" w:space="0"/>
              <w:bottom w:val="single" w:color="auto" w:sz="4" w:space="0"/>
            </w:tcBorders>
            <w:vAlign w:val="center"/>
          </w:tcPr>
          <w:p w14:paraId="566B8429">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签订合同后，成交供应商须向采购人提供合同总金额50%的预付款保函（保函有效期不少于1年。保函到期前，若项目未完成，成交供应商须在保函到期前提前1个月提交新一期保函）及等额发票，采购人收到预付款保函及发票后10个工作日内向成交供应商一次性支付合同款总金额50%的预付款；项目验收合格后，采购人收到等额发票后10个工作日内采购人向成交供应商一次性支付剩余合同总金额的50%的合同款。</w:t>
            </w:r>
          </w:p>
        </w:tc>
      </w:tr>
      <w:tr w14:paraId="7E34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33E367F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8412" w:type="dxa"/>
            <w:gridSpan w:val="3"/>
            <w:tcBorders>
              <w:top w:val="single" w:color="auto" w:sz="4" w:space="0"/>
              <w:left w:val="single" w:color="auto" w:sz="4" w:space="0"/>
              <w:bottom w:val="single" w:color="auto" w:sz="4" w:space="0"/>
            </w:tcBorders>
            <w:vAlign w:val="center"/>
          </w:tcPr>
          <w:p w14:paraId="097C5B1D">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1.按本项目</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总金额的3%（如</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供应商为中小企业的，按本项目</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总金额的2%）；</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供应商在签订合同前交至指定账户。</w:t>
            </w:r>
          </w:p>
          <w:p w14:paraId="04F07198">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2.履约保证金递交方式：支票、汇票、本票、网上银行或者银行、担保机构出具的保函等非现金形式。</w:t>
            </w:r>
          </w:p>
          <w:p w14:paraId="23519236">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履约保证金指定账户：</w:t>
            </w:r>
          </w:p>
          <w:p w14:paraId="23ECCBF7">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开户名称：广西财经学院</w:t>
            </w:r>
          </w:p>
          <w:p w14:paraId="05F4F9DC">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开户银行：中国银行南宁明秀西路支行</w:t>
            </w:r>
          </w:p>
          <w:p w14:paraId="2D567B21">
            <w:pPr>
              <w:wordWrap w:val="0"/>
              <w:topLinePunct/>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银行帐号：611957485481</w:t>
            </w:r>
          </w:p>
          <w:p w14:paraId="11AA482F">
            <w:pPr>
              <w:jc w:val="left"/>
              <w:rPr>
                <w:rFonts w:hint="eastAsia" w:asciiTheme="minorEastAsia" w:hAnsiTheme="minorEastAsia" w:eastAsiaTheme="minorEastAsia" w:cstheme="minorEastAsia"/>
                <w:color w:val="auto"/>
                <w:szCs w:val="21"/>
                <w:highlight w:val="none"/>
                <w:lang w:val="en"/>
              </w:rPr>
            </w:pPr>
            <w:r>
              <w:rPr>
                <w:rFonts w:hint="eastAsia" w:asciiTheme="minorEastAsia" w:hAnsiTheme="minorEastAsia" w:eastAsiaTheme="minorEastAsia" w:cstheme="minorEastAsia"/>
                <w:color w:val="auto"/>
                <w:szCs w:val="21"/>
                <w:highlight w:val="none"/>
              </w:rPr>
              <w:t>3.履约保证金退付方式、时间及条件：</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供应商若不能完全履行合同，履约保证金不返还；</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供应商若完全履行合同，货物验收合格后，</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供应商向采购人递交退保申请函及凭履约保证金财务凭证，采购人按规定办理无息退还手续。</w:t>
            </w:r>
          </w:p>
        </w:tc>
      </w:tr>
      <w:tr w14:paraId="6BA1D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0F32387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采购标的验收标准</w:t>
            </w:r>
          </w:p>
        </w:tc>
        <w:tc>
          <w:tcPr>
            <w:tcW w:w="8412" w:type="dxa"/>
            <w:gridSpan w:val="3"/>
            <w:tcBorders>
              <w:top w:val="single" w:color="auto" w:sz="4" w:space="0"/>
              <w:left w:val="single" w:color="auto" w:sz="4" w:space="0"/>
              <w:bottom w:val="single" w:color="auto" w:sz="4" w:space="0"/>
            </w:tcBorders>
            <w:vAlign w:val="center"/>
          </w:tcPr>
          <w:p w14:paraId="6316F5F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产品须是按厂家出厂标准配置提供的整套全新，具备正规合法经销渠道，符合国家各项有关质量标准的合格产品。相关部件及服务须满足本表中各项要求。所有设备除满足招标文件要求及</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文件承诺的技术参数和配置外，其余均按国家标准及生产厂家出厂标准配置，若产品在运输过程中损坏须无偿调换同样产品。</w:t>
            </w:r>
          </w:p>
          <w:p w14:paraId="60111C2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所提供的产品必须为原装正品的、全新的、完好无破损、且为未开箱状态、符合有关质量标准的产品；设备到货安装前，采购人现场根据招标文件要求及</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文件承诺逐条对应进行核验（必要时，采购人有权要求供应商对各项指标进行现场演示），核验不合格或</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供应商未按采购人要求提供现场演示或技术功能无法达到相应技术要求的，按违约处理，采购人有权全部退货，同时报相关监督管理部门处理，由此造成采购人经济损失的由</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供应商负责承担全部赔偿责任。</w:t>
            </w:r>
          </w:p>
          <w:p w14:paraId="31A7AFD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3．验收方式和验收材料要求</w:t>
            </w:r>
          </w:p>
          <w:p w14:paraId="49A1626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（1）采购人在项目完成且收到</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供应商验收申请后5个工作日内组织开展履约验收；</w:t>
            </w:r>
          </w:p>
          <w:p w14:paraId="5C49015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供应商必须提供合格的验收材料，验收材料包括①验收申请书（原件）、②</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rPr>
              <w:t>通知书复印件、③合同（包括附件加盖采购代理机构章的格式合同中规定的附件）复印件；④项目实施过程文件、⑤货物的证明文件、⑥货物的技术资料、⑦培训记录。</w:t>
            </w:r>
          </w:p>
          <w:p w14:paraId="4496277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.采购人可以根据采购项目具体情况自行组织验收，或者委托第三方机构或部门开展采购项目履约验收工作，验收过程中所产生的费用均由成交人承担，供应商在竞标报价时应考虑相关费用。</w:t>
            </w:r>
          </w:p>
          <w:p w14:paraId="4011E842">
            <w:pPr>
              <w:rPr>
                <w:rFonts w:hint="eastAsia"/>
                <w:color w:val="auto"/>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.在验收过程中发现成交人有违约问题，可暂缓资金结算，待违约问题解决后，方可办理资金结算事宜。</w:t>
            </w:r>
          </w:p>
        </w:tc>
      </w:tr>
      <w:tr w14:paraId="58F1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4" w:type="dxa"/>
            <w:gridSpan w:val="2"/>
            <w:tcBorders>
              <w:top w:val="single" w:color="auto" w:sz="4" w:space="0"/>
              <w:bottom w:val="single" w:color="auto" w:sz="4" w:space="0"/>
              <w:right w:val="single" w:color="auto" w:sz="4" w:space="0"/>
            </w:tcBorders>
            <w:vAlign w:val="center"/>
          </w:tcPr>
          <w:p w14:paraId="51D546B3">
            <w:pPr>
              <w:widowControl/>
              <w:wordWrap w:val="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其他要求</w:t>
            </w:r>
          </w:p>
        </w:tc>
        <w:tc>
          <w:tcPr>
            <w:tcW w:w="8412" w:type="dxa"/>
            <w:gridSpan w:val="3"/>
            <w:tcBorders>
              <w:top w:val="single" w:color="auto" w:sz="4" w:space="0"/>
              <w:left w:val="single" w:color="auto" w:sz="4" w:space="0"/>
              <w:bottom w:val="single" w:color="auto" w:sz="4" w:space="0"/>
            </w:tcBorders>
            <w:vAlign w:val="center"/>
          </w:tcPr>
          <w:p w14:paraId="36A6F2B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
              </w:rPr>
              <w:t>本分标货物不接受进口产品（即通过中国海关报关验放进入中国境内且产自关境外的产品）参与投标。</w:t>
            </w:r>
          </w:p>
          <w:p w14:paraId="426787C3">
            <w:pPr>
              <w:autoSpaceDE w:val="0"/>
              <w:autoSpaceDN w:val="0"/>
              <w:snapToGrid w:val="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Cs/>
                <w:color w:val="auto"/>
                <w:szCs w:val="21"/>
                <w:highlight w:val="none"/>
                <w:lang w:eastAsia="zh-CN"/>
              </w:rPr>
              <w:t>供应商</w:t>
            </w:r>
            <w:r>
              <w:rPr>
                <w:rFonts w:hint="eastAsia" w:asciiTheme="minorEastAsia" w:hAnsiTheme="minorEastAsia" w:eastAsiaTheme="minorEastAsia" w:cstheme="minorEastAsia"/>
                <w:bCs/>
                <w:color w:val="auto"/>
                <w:szCs w:val="21"/>
                <w:highlight w:val="none"/>
              </w:rPr>
              <w:t>所提供的任何材料应当真实有效，如在评审过程中发现</w:t>
            </w:r>
            <w:r>
              <w:rPr>
                <w:rFonts w:hint="eastAsia" w:asciiTheme="minorEastAsia" w:hAnsiTheme="minorEastAsia" w:eastAsiaTheme="minorEastAsia" w:cstheme="minorEastAsia"/>
                <w:bCs/>
                <w:color w:val="auto"/>
                <w:szCs w:val="21"/>
                <w:highlight w:val="none"/>
                <w:lang w:eastAsia="zh-CN"/>
              </w:rPr>
              <w:t>供应商</w:t>
            </w:r>
            <w:r>
              <w:rPr>
                <w:rFonts w:hint="eastAsia" w:asciiTheme="minorEastAsia" w:hAnsiTheme="minorEastAsia" w:eastAsiaTheme="minorEastAsia" w:cstheme="minorEastAsia"/>
                <w:bCs/>
                <w:color w:val="auto"/>
                <w:szCs w:val="21"/>
                <w:highlight w:val="none"/>
              </w:rPr>
              <w:t>在</w:t>
            </w:r>
            <w:r>
              <w:rPr>
                <w:rFonts w:hint="eastAsia" w:asciiTheme="minorEastAsia" w:hAnsiTheme="minorEastAsia" w:eastAsiaTheme="minorEastAsia" w:cstheme="minorEastAsia"/>
                <w:bCs/>
                <w:color w:val="auto"/>
                <w:szCs w:val="21"/>
                <w:highlight w:val="none"/>
                <w:lang w:eastAsia="zh-CN"/>
              </w:rPr>
              <w:t>响应</w:t>
            </w:r>
            <w:r>
              <w:rPr>
                <w:rFonts w:hint="eastAsia" w:asciiTheme="minorEastAsia" w:hAnsiTheme="minorEastAsia" w:eastAsiaTheme="minorEastAsia" w:cstheme="minorEastAsia"/>
                <w:bCs/>
                <w:color w:val="auto"/>
                <w:szCs w:val="21"/>
                <w:highlight w:val="none"/>
              </w:rPr>
              <w:t>文件中提供任何虚假材料的，按</w:t>
            </w:r>
            <w:r>
              <w:rPr>
                <w:rFonts w:hint="eastAsia" w:asciiTheme="minorEastAsia" w:hAnsiTheme="minorEastAsia" w:eastAsiaTheme="minorEastAsia" w:cstheme="minorEastAsia"/>
                <w:bCs/>
                <w:color w:val="auto"/>
                <w:szCs w:val="21"/>
                <w:highlight w:val="none"/>
                <w:lang w:eastAsia="zh-CN"/>
              </w:rPr>
              <w:t>响应</w:t>
            </w:r>
            <w:r>
              <w:rPr>
                <w:rFonts w:hint="eastAsia" w:asciiTheme="minorEastAsia" w:hAnsiTheme="minorEastAsia" w:eastAsiaTheme="minorEastAsia" w:cstheme="minorEastAsia"/>
                <w:bCs/>
                <w:color w:val="auto"/>
                <w:szCs w:val="21"/>
                <w:highlight w:val="none"/>
              </w:rPr>
              <w:t>无效处理，采购人有权汇报监督管理部门处理；</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后，采购人发现</w:t>
            </w:r>
            <w:r>
              <w:rPr>
                <w:rFonts w:hint="eastAsia" w:asciiTheme="minorEastAsia" w:hAnsiTheme="minorEastAsia" w:eastAsiaTheme="minorEastAsia" w:cstheme="minorEastAsia"/>
                <w:bCs/>
                <w:color w:val="auto"/>
                <w:szCs w:val="21"/>
                <w:highlight w:val="none"/>
                <w:lang w:eastAsia="zh-CN"/>
              </w:rPr>
              <w:t>供应商</w:t>
            </w:r>
            <w:r>
              <w:rPr>
                <w:rFonts w:hint="eastAsia" w:asciiTheme="minorEastAsia" w:hAnsiTheme="minorEastAsia" w:eastAsiaTheme="minorEastAsia" w:cstheme="minorEastAsia"/>
                <w:bCs/>
                <w:color w:val="auto"/>
                <w:szCs w:val="21"/>
                <w:highlight w:val="none"/>
              </w:rPr>
              <w:t>在</w:t>
            </w:r>
            <w:r>
              <w:rPr>
                <w:rFonts w:hint="eastAsia" w:asciiTheme="minorEastAsia" w:hAnsiTheme="minorEastAsia" w:eastAsiaTheme="minorEastAsia" w:cstheme="minorEastAsia"/>
                <w:bCs/>
                <w:color w:val="auto"/>
                <w:szCs w:val="21"/>
                <w:highlight w:val="none"/>
                <w:lang w:eastAsia="zh-CN"/>
              </w:rPr>
              <w:t>响应</w:t>
            </w:r>
            <w:r>
              <w:rPr>
                <w:rFonts w:hint="eastAsia" w:asciiTheme="minorEastAsia" w:hAnsiTheme="minorEastAsia" w:eastAsiaTheme="minorEastAsia" w:cstheme="minorEastAsia"/>
                <w:bCs/>
                <w:color w:val="auto"/>
                <w:szCs w:val="21"/>
                <w:highlight w:val="none"/>
              </w:rPr>
              <w:t>文件中提供任何虚假材料的，采购人有权汇报监督管理部门处理，且</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供应商须依照《中华人民共和国消费者权益保护法》赔偿采购人，民事赔偿并不免除违法</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供应商的法律责任。</w:t>
            </w:r>
          </w:p>
          <w:p w14:paraId="57DB0EEC">
            <w:pPr>
              <w:autoSpaceDE w:val="0"/>
              <w:autoSpaceDN w:val="0"/>
              <w:snapToGrid w:val="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本项目货物涉及的产品及其配件包括但不限于各类芯片等必须符合国家有关政策规定，不得使用国家禁止使用范围内的产品及其配件</w:t>
            </w:r>
            <w:r>
              <w:rPr>
                <w:rFonts w:hint="eastAsia" w:asciiTheme="minorEastAsia" w:hAnsiTheme="minorEastAsia" w:eastAsiaTheme="minorEastAsia" w:cstheme="minorEastAsia"/>
                <w:color w:val="auto"/>
                <w:szCs w:val="21"/>
                <w:highlight w:val="none"/>
              </w:rPr>
              <w:t>。</w:t>
            </w:r>
          </w:p>
          <w:p w14:paraId="18E5A76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合同签订之后，采购人有权要求成交人提供所投主要产品进行功能测试，包括但不限于第20项货物，如有配置或功能不能满足采购文件要求，成交人必须在采购人要求期限内整改完毕，超过期限未完成整改的，采购人有权单方面终止合同。</w:t>
            </w:r>
          </w:p>
          <w:p w14:paraId="61E498B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本项目采购的投标产品如有属于政府采购强制节能产品的，应根据《市场监管总局关于发布参与实施政府采购节能产品、环境标志产品认证机构名录的公告》2019年第16号、财库〔2019〕9号以及财库〔2019〕19号文规定，</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的投标产品，投标时须提供国家确定的认证机构出具的、处于有效期之内的有效的节能产品认证证书复印件并加盖</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公章。</w:t>
            </w:r>
          </w:p>
          <w:p w14:paraId="68A2791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6.采购货物纳入强制性产品认证（3C认证）的，</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所投产品必须从其规定。</w:t>
            </w:r>
          </w:p>
        </w:tc>
      </w:tr>
      <w:tr w14:paraId="4F81E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36" w:type="dxa"/>
            <w:gridSpan w:val="5"/>
            <w:tcBorders>
              <w:top w:val="single" w:color="auto" w:sz="4" w:space="0"/>
              <w:bottom w:val="single" w:color="auto" w:sz="4" w:space="0"/>
            </w:tcBorders>
            <w:vAlign w:val="center"/>
          </w:tcPr>
          <w:p w14:paraId="4572832D">
            <w:pPr>
              <w:widowControl/>
              <w:wordWrap w:val="0"/>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现场勘查：本项目不安排现场勘查。</w:t>
            </w:r>
          </w:p>
        </w:tc>
      </w:tr>
    </w:tbl>
    <w:p w14:paraId="0AE10B24">
      <w:pPr>
        <w:rPr>
          <w:rFonts w:hint="eastAsia" w:ascii="宋体" w:hAnsi="宋体" w:cs="宋体"/>
          <w:color w:val="auto"/>
          <w:sz w:val="17"/>
          <w:szCs w:val="17"/>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附件1：</w:t>
      </w:r>
    </w:p>
    <w:p w14:paraId="49E42EF9">
      <w:pPr>
        <w:widowControl/>
        <w:spacing w:before="120" w:beforeLines="50" w:after="120" w:afterLines="50" w:line="280" w:lineRule="exact"/>
        <w:jc w:val="center"/>
        <w:rPr>
          <w:rFonts w:ascii="宋体" w:cs="宋体"/>
          <w:b/>
          <w:bCs/>
          <w:color w:val="auto"/>
          <w:kern w:val="0"/>
          <w:sz w:val="30"/>
          <w:szCs w:val="30"/>
          <w:highlight w:val="none"/>
        </w:rPr>
      </w:pPr>
      <w:bookmarkStart w:id="31" w:name="_Toc28361_WPSOffice_Level2"/>
      <w:bookmarkStart w:id="32" w:name="_Toc80205922"/>
      <w:r>
        <w:rPr>
          <w:rFonts w:hint="eastAsia" w:ascii="宋体" w:cs="宋体"/>
          <w:b/>
          <w:bCs/>
          <w:color w:val="auto"/>
          <w:kern w:val="0"/>
          <w:sz w:val="30"/>
          <w:szCs w:val="30"/>
          <w:highlight w:val="none"/>
        </w:rPr>
        <w:t>统计上大中小微型企业划分标准</w:t>
      </w:r>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83D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3AB6991E">
            <w:pPr>
              <w:widowControl/>
              <w:spacing w:line="280" w:lineRule="exact"/>
              <w:jc w:val="center"/>
              <w:rPr>
                <w:rFonts w:ascii="宋体" w:cs="宋体"/>
                <w:b/>
                <w:bCs/>
                <w:color w:val="auto"/>
                <w:kern w:val="0"/>
                <w:sz w:val="18"/>
                <w:szCs w:val="21"/>
                <w:highlight w:val="none"/>
              </w:rPr>
            </w:pPr>
            <w:r>
              <w:rPr>
                <w:rFonts w:hint="eastAsia" w:ascii="宋体" w:cs="宋体"/>
                <w:b/>
                <w:bCs/>
                <w:color w:val="auto"/>
                <w:kern w:val="0"/>
                <w:sz w:val="18"/>
                <w:szCs w:val="21"/>
                <w:highlight w:val="none"/>
              </w:rPr>
              <w:t>行业名称</w:t>
            </w:r>
          </w:p>
        </w:tc>
        <w:tc>
          <w:tcPr>
            <w:tcW w:w="1369" w:type="dxa"/>
            <w:shd w:val="clear" w:color="auto" w:fill="8DB3E2"/>
            <w:vAlign w:val="center"/>
          </w:tcPr>
          <w:p w14:paraId="55213180">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指标名称</w:t>
            </w:r>
          </w:p>
        </w:tc>
        <w:tc>
          <w:tcPr>
            <w:tcW w:w="709" w:type="dxa"/>
            <w:shd w:val="clear" w:color="auto" w:fill="8DB3E2"/>
            <w:vAlign w:val="center"/>
          </w:tcPr>
          <w:p w14:paraId="22953FD8">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计量</w:t>
            </w:r>
          </w:p>
          <w:p w14:paraId="66DB58F4">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单位</w:t>
            </w:r>
          </w:p>
        </w:tc>
        <w:tc>
          <w:tcPr>
            <w:tcW w:w="1125" w:type="dxa"/>
            <w:shd w:val="clear" w:color="auto" w:fill="8DB3E2"/>
            <w:vAlign w:val="center"/>
          </w:tcPr>
          <w:p w14:paraId="7E3B037F">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大型</w:t>
            </w:r>
          </w:p>
        </w:tc>
        <w:tc>
          <w:tcPr>
            <w:tcW w:w="1701" w:type="dxa"/>
            <w:shd w:val="clear" w:color="auto" w:fill="8DB3E2"/>
            <w:vAlign w:val="center"/>
          </w:tcPr>
          <w:p w14:paraId="66E2DD96">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中型</w:t>
            </w:r>
          </w:p>
        </w:tc>
        <w:tc>
          <w:tcPr>
            <w:tcW w:w="1426" w:type="dxa"/>
            <w:shd w:val="clear" w:color="auto" w:fill="8DB3E2"/>
            <w:vAlign w:val="center"/>
          </w:tcPr>
          <w:p w14:paraId="0CF68738">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小型</w:t>
            </w:r>
          </w:p>
        </w:tc>
        <w:tc>
          <w:tcPr>
            <w:tcW w:w="992" w:type="dxa"/>
            <w:shd w:val="clear" w:color="auto" w:fill="8DB3E2"/>
            <w:vAlign w:val="center"/>
          </w:tcPr>
          <w:p w14:paraId="740C35CF">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微型</w:t>
            </w:r>
          </w:p>
        </w:tc>
      </w:tr>
      <w:tr w14:paraId="30F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330B0CF">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农、林、牧、渔业</w:t>
            </w:r>
          </w:p>
        </w:tc>
        <w:tc>
          <w:tcPr>
            <w:tcW w:w="1369" w:type="dxa"/>
            <w:vAlign w:val="center"/>
          </w:tcPr>
          <w:p w14:paraId="7831ECD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3D540E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CBA57F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27F337A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7C3C283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50≤Y＜500</w:t>
            </w:r>
          </w:p>
        </w:tc>
        <w:tc>
          <w:tcPr>
            <w:tcW w:w="992" w:type="dxa"/>
            <w:vAlign w:val="center"/>
          </w:tcPr>
          <w:p w14:paraId="4980C37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5C73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4139D8">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工业 *</w:t>
            </w:r>
          </w:p>
        </w:tc>
        <w:tc>
          <w:tcPr>
            <w:tcW w:w="1369" w:type="dxa"/>
            <w:vAlign w:val="center"/>
          </w:tcPr>
          <w:p w14:paraId="4E160E1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D09A66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487044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0761E4C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1864F7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15AF139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4DB5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E9B8A7">
            <w:pPr>
              <w:rPr>
                <w:color w:val="auto"/>
                <w:highlight w:val="none"/>
              </w:rPr>
            </w:pPr>
          </w:p>
        </w:tc>
        <w:tc>
          <w:tcPr>
            <w:tcW w:w="1369" w:type="dxa"/>
            <w:vAlign w:val="center"/>
          </w:tcPr>
          <w:p w14:paraId="581ED93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4AD3F80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B0F47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1716BEE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2000≤Y＜40000</w:t>
            </w:r>
          </w:p>
        </w:tc>
        <w:tc>
          <w:tcPr>
            <w:tcW w:w="1426" w:type="dxa"/>
            <w:vAlign w:val="center"/>
          </w:tcPr>
          <w:p w14:paraId="63A3326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300≤Y＜2000</w:t>
            </w:r>
          </w:p>
        </w:tc>
        <w:tc>
          <w:tcPr>
            <w:tcW w:w="992" w:type="dxa"/>
            <w:vAlign w:val="center"/>
          </w:tcPr>
          <w:p w14:paraId="10C0EAF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22DD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A34995">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建筑业</w:t>
            </w:r>
          </w:p>
        </w:tc>
        <w:tc>
          <w:tcPr>
            <w:tcW w:w="1369" w:type="dxa"/>
            <w:vAlign w:val="center"/>
          </w:tcPr>
          <w:p w14:paraId="7A31AEC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34AAD7C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95CC51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Y≥80000</w:t>
            </w:r>
          </w:p>
        </w:tc>
        <w:tc>
          <w:tcPr>
            <w:tcW w:w="1701" w:type="dxa"/>
            <w:vAlign w:val="center"/>
          </w:tcPr>
          <w:p w14:paraId="17D7817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6000≤Y＜80000</w:t>
            </w:r>
          </w:p>
        </w:tc>
        <w:tc>
          <w:tcPr>
            <w:tcW w:w="1426" w:type="dxa"/>
            <w:vAlign w:val="center"/>
          </w:tcPr>
          <w:p w14:paraId="1F08AD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300≤Y＜6000</w:t>
            </w:r>
          </w:p>
        </w:tc>
        <w:tc>
          <w:tcPr>
            <w:tcW w:w="992" w:type="dxa"/>
            <w:vAlign w:val="center"/>
          </w:tcPr>
          <w:p w14:paraId="6291F70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2C5B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B4B8407">
            <w:pPr>
              <w:rPr>
                <w:color w:val="auto"/>
                <w:highlight w:val="none"/>
              </w:rPr>
            </w:pPr>
          </w:p>
        </w:tc>
        <w:tc>
          <w:tcPr>
            <w:tcW w:w="1369" w:type="dxa"/>
            <w:vAlign w:val="center"/>
          </w:tcPr>
          <w:p w14:paraId="332B5F0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7B19A6D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D860B4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Z≥80000</w:t>
            </w:r>
          </w:p>
        </w:tc>
        <w:tc>
          <w:tcPr>
            <w:tcW w:w="1701" w:type="dxa"/>
            <w:vAlign w:val="center"/>
          </w:tcPr>
          <w:p w14:paraId="0C21E3F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5000≤Z＜80000</w:t>
            </w:r>
          </w:p>
        </w:tc>
        <w:tc>
          <w:tcPr>
            <w:tcW w:w="1426" w:type="dxa"/>
            <w:vAlign w:val="center"/>
          </w:tcPr>
          <w:p w14:paraId="50133B1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300≤Z＜5000</w:t>
            </w:r>
          </w:p>
        </w:tc>
        <w:tc>
          <w:tcPr>
            <w:tcW w:w="992" w:type="dxa"/>
            <w:vAlign w:val="center"/>
          </w:tcPr>
          <w:p w14:paraId="6CD70F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Z＜300</w:t>
            </w:r>
          </w:p>
        </w:tc>
      </w:tr>
      <w:tr w14:paraId="0FE4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6647C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批发业</w:t>
            </w:r>
          </w:p>
        </w:tc>
        <w:tc>
          <w:tcPr>
            <w:tcW w:w="1369" w:type="dxa"/>
            <w:vAlign w:val="center"/>
          </w:tcPr>
          <w:p w14:paraId="4C4B00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502BEC8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F4A8C1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348360C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20≤X＜200</w:t>
            </w:r>
          </w:p>
        </w:tc>
        <w:tc>
          <w:tcPr>
            <w:tcW w:w="1426" w:type="dxa"/>
            <w:vAlign w:val="center"/>
          </w:tcPr>
          <w:p w14:paraId="2630679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5≤X＜20</w:t>
            </w:r>
          </w:p>
        </w:tc>
        <w:tc>
          <w:tcPr>
            <w:tcW w:w="992" w:type="dxa"/>
            <w:vAlign w:val="center"/>
          </w:tcPr>
          <w:p w14:paraId="2BC1DF7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X＜5</w:t>
            </w:r>
          </w:p>
        </w:tc>
      </w:tr>
      <w:tr w14:paraId="56C6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C5FDF2">
            <w:pPr>
              <w:rPr>
                <w:color w:val="auto"/>
                <w:highlight w:val="none"/>
              </w:rPr>
            </w:pPr>
          </w:p>
        </w:tc>
        <w:tc>
          <w:tcPr>
            <w:tcW w:w="1369" w:type="dxa"/>
            <w:vAlign w:val="center"/>
          </w:tcPr>
          <w:p w14:paraId="15D6A86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08BAA5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0DB077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0BB229E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5000≤Y＜40000</w:t>
            </w:r>
          </w:p>
        </w:tc>
        <w:tc>
          <w:tcPr>
            <w:tcW w:w="1426" w:type="dxa"/>
            <w:vAlign w:val="center"/>
          </w:tcPr>
          <w:p w14:paraId="50A7318D">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992" w:type="dxa"/>
            <w:vAlign w:val="center"/>
          </w:tcPr>
          <w:p w14:paraId="471158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w:t>
            </w:r>
          </w:p>
        </w:tc>
      </w:tr>
      <w:tr w14:paraId="7770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8E329EA">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零售业</w:t>
            </w:r>
          </w:p>
        </w:tc>
        <w:tc>
          <w:tcPr>
            <w:tcW w:w="1369" w:type="dxa"/>
            <w:vAlign w:val="center"/>
          </w:tcPr>
          <w:p w14:paraId="00480BE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1AE1ED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13CC65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3914BC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50≤X＜300</w:t>
            </w:r>
          </w:p>
        </w:tc>
        <w:tc>
          <w:tcPr>
            <w:tcW w:w="1426" w:type="dxa"/>
            <w:vAlign w:val="center"/>
          </w:tcPr>
          <w:p w14:paraId="6A943A5A">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10≤X＜50 </w:t>
            </w:r>
          </w:p>
        </w:tc>
        <w:tc>
          <w:tcPr>
            <w:tcW w:w="992" w:type="dxa"/>
            <w:vAlign w:val="center"/>
          </w:tcPr>
          <w:p w14:paraId="760DBC1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1892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AC2F9F">
            <w:pPr>
              <w:rPr>
                <w:color w:val="auto"/>
                <w:highlight w:val="none"/>
              </w:rPr>
            </w:pPr>
          </w:p>
        </w:tc>
        <w:tc>
          <w:tcPr>
            <w:tcW w:w="1369" w:type="dxa"/>
            <w:vAlign w:val="center"/>
          </w:tcPr>
          <w:p w14:paraId="37C3433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6F1773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C36C3F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3329E2A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78763E94">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100≤Y＜500</w:t>
            </w:r>
          </w:p>
        </w:tc>
        <w:tc>
          <w:tcPr>
            <w:tcW w:w="992" w:type="dxa"/>
            <w:vAlign w:val="center"/>
          </w:tcPr>
          <w:p w14:paraId="30A17A3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4674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0442DB">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交通运输业 *</w:t>
            </w:r>
          </w:p>
        </w:tc>
        <w:tc>
          <w:tcPr>
            <w:tcW w:w="1369" w:type="dxa"/>
            <w:vAlign w:val="center"/>
          </w:tcPr>
          <w:p w14:paraId="49ABD88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7D76E2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18A670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0945F4D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0CF0A6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34D3F71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6310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B5004B">
            <w:pPr>
              <w:rPr>
                <w:color w:val="auto"/>
                <w:highlight w:val="none"/>
              </w:rPr>
            </w:pPr>
          </w:p>
        </w:tc>
        <w:tc>
          <w:tcPr>
            <w:tcW w:w="1369" w:type="dxa"/>
            <w:vAlign w:val="center"/>
          </w:tcPr>
          <w:p w14:paraId="264CD32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05A720C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D88C50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0BB179C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3000≤Y＜30000</w:t>
            </w:r>
          </w:p>
        </w:tc>
        <w:tc>
          <w:tcPr>
            <w:tcW w:w="1426" w:type="dxa"/>
            <w:vAlign w:val="center"/>
          </w:tcPr>
          <w:p w14:paraId="516BD6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200≤Y＜3000</w:t>
            </w:r>
          </w:p>
        </w:tc>
        <w:tc>
          <w:tcPr>
            <w:tcW w:w="992" w:type="dxa"/>
            <w:vAlign w:val="center"/>
          </w:tcPr>
          <w:p w14:paraId="12D22E0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w:t>
            </w:r>
          </w:p>
        </w:tc>
      </w:tr>
      <w:tr w14:paraId="2BE0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63F287">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仓储业*</w:t>
            </w:r>
          </w:p>
        </w:tc>
        <w:tc>
          <w:tcPr>
            <w:tcW w:w="1369" w:type="dxa"/>
            <w:vAlign w:val="center"/>
          </w:tcPr>
          <w:p w14:paraId="393E12A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4CAB24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38286D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5DF5C832">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100≤X＜200</w:t>
            </w:r>
          </w:p>
        </w:tc>
        <w:tc>
          <w:tcPr>
            <w:tcW w:w="1426" w:type="dxa"/>
            <w:vAlign w:val="center"/>
          </w:tcPr>
          <w:p w14:paraId="07CD30C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20≤X＜100</w:t>
            </w:r>
          </w:p>
        </w:tc>
        <w:tc>
          <w:tcPr>
            <w:tcW w:w="992" w:type="dxa"/>
            <w:vAlign w:val="center"/>
          </w:tcPr>
          <w:p w14:paraId="6D907AD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755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E32FB0D">
            <w:pPr>
              <w:rPr>
                <w:color w:val="auto"/>
                <w:highlight w:val="none"/>
              </w:rPr>
            </w:pPr>
          </w:p>
        </w:tc>
        <w:tc>
          <w:tcPr>
            <w:tcW w:w="1369" w:type="dxa"/>
            <w:vAlign w:val="center"/>
          </w:tcPr>
          <w:p w14:paraId="43486FC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45129F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C535B2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36DB910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1000≤Y＜30000</w:t>
            </w:r>
          </w:p>
        </w:tc>
        <w:tc>
          <w:tcPr>
            <w:tcW w:w="1426" w:type="dxa"/>
            <w:vAlign w:val="center"/>
          </w:tcPr>
          <w:p w14:paraId="784BBD8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2790BBE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63A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0E104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邮政业</w:t>
            </w:r>
          </w:p>
        </w:tc>
        <w:tc>
          <w:tcPr>
            <w:tcW w:w="1369" w:type="dxa"/>
            <w:vAlign w:val="center"/>
          </w:tcPr>
          <w:p w14:paraId="1379F91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4F0A8A8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1DC55A4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2AD3302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711740F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4510F54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2A71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F7EB4D">
            <w:pPr>
              <w:rPr>
                <w:color w:val="auto"/>
                <w:highlight w:val="none"/>
              </w:rPr>
            </w:pPr>
          </w:p>
        </w:tc>
        <w:tc>
          <w:tcPr>
            <w:tcW w:w="1369" w:type="dxa"/>
            <w:vAlign w:val="center"/>
          </w:tcPr>
          <w:p w14:paraId="07EA6A3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E70E2A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00FB20C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41DB07A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2000≤Y＜30000</w:t>
            </w:r>
          </w:p>
        </w:tc>
        <w:tc>
          <w:tcPr>
            <w:tcW w:w="1426" w:type="dxa"/>
            <w:vAlign w:val="center"/>
          </w:tcPr>
          <w:p w14:paraId="0ECF9B6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4AF53B3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5227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B983D8">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住宿业</w:t>
            </w:r>
          </w:p>
        </w:tc>
        <w:tc>
          <w:tcPr>
            <w:tcW w:w="1369" w:type="dxa"/>
            <w:vAlign w:val="center"/>
          </w:tcPr>
          <w:p w14:paraId="4A157E5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0C33E07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0BC25D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07A792E5">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5B02FE8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6F24CCD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46AD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81726A2">
            <w:pPr>
              <w:rPr>
                <w:color w:val="auto"/>
                <w:highlight w:val="none"/>
              </w:rPr>
            </w:pPr>
          </w:p>
        </w:tc>
        <w:tc>
          <w:tcPr>
            <w:tcW w:w="1369" w:type="dxa"/>
            <w:vAlign w:val="center"/>
          </w:tcPr>
          <w:p w14:paraId="15D1C2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D2A281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0A7E44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11B1F4D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7F442CC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073357D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6D40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C2EF33">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餐饮业</w:t>
            </w:r>
          </w:p>
        </w:tc>
        <w:tc>
          <w:tcPr>
            <w:tcW w:w="1369" w:type="dxa"/>
            <w:vAlign w:val="center"/>
          </w:tcPr>
          <w:p w14:paraId="160F75D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A7CB02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377A253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77E8CFD9">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7151022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43BE6A2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26AA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B31C8D">
            <w:pPr>
              <w:rPr>
                <w:color w:val="auto"/>
                <w:highlight w:val="none"/>
              </w:rPr>
            </w:pPr>
          </w:p>
        </w:tc>
        <w:tc>
          <w:tcPr>
            <w:tcW w:w="1369" w:type="dxa"/>
            <w:vAlign w:val="center"/>
          </w:tcPr>
          <w:p w14:paraId="684062F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B7CBA9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4AE7DF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2CCF41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61ED1DD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3C17202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3CD3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CBE18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信息传输业 *</w:t>
            </w:r>
          </w:p>
        </w:tc>
        <w:tc>
          <w:tcPr>
            <w:tcW w:w="1369" w:type="dxa"/>
            <w:vAlign w:val="center"/>
          </w:tcPr>
          <w:p w14:paraId="63CB897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7F57C0B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766ADCB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X≥2000</w:t>
            </w:r>
          </w:p>
        </w:tc>
        <w:tc>
          <w:tcPr>
            <w:tcW w:w="1701" w:type="dxa"/>
            <w:vAlign w:val="center"/>
          </w:tcPr>
          <w:p w14:paraId="5C4C180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100≤X＜2000</w:t>
            </w:r>
          </w:p>
        </w:tc>
        <w:tc>
          <w:tcPr>
            <w:tcW w:w="1426" w:type="dxa"/>
            <w:vAlign w:val="center"/>
          </w:tcPr>
          <w:p w14:paraId="44930F6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35FE28D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0A04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C669258">
            <w:pPr>
              <w:rPr>
                <w:color w:val="auto"/>
                <w:highlight w:val="none"/>
              </w:rPr>
            </w:pPr>
          </w:p>
        </w:tc>
        <w:tc>
          <w:tcPr>
            <w:tcW w:w="1369" w:type="dxa"/>
            <w:vAlign w:val="center"/>
          </w:tcPr>
          <w:p w14:paraId="423561D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4AFD83F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781D962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Y≥100000</w:t>
            </w:r>
          </w:p>
        </w:tc>
        <w:tc>
          <w:tcPr>
            <w:tcW w:w="1701" w:type="dxa"/>
            <w:vAlign w:val="center"/>
          </w:tcPr>
          <w:p w14:paraId="396D2E6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1000≤Y＜100000</w:t>
            </w:r>
          </w:p>
        </w:tc>
        <w:tc>
          <w:tcPr>
            <w:tcW w:w="1426" w:type="dxa"/>
            <w:vAlign w:val="center"/>
          </w:tcPr>
          <w:p w14:paraId="08AB15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1006409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22B6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BA7F2F9">
            <w:pPr>
              <w:widowControl/>
              <w:spacing w:line="280" w:lineRule="exact"/>
              <w:jc w:val="left"/>
              <w:rPr>
                <w:rFonts w:ascii="宋体" w:cs="宋体"/>
                <w:color w:val="auto"/>
                <w:spacing w:val="-12"/>
                <w:kern w:val="0"/>
                <w:sz w:val="18"/>
                <w:szCs w:val="18"/>
                <w:highlight w:val="none"/>
              </w:rPr>
            </w:pPr>
            <w:r>
              <w:rPr>
                <w:rFonts w:hint="eastAsia" w:ascii="宋体" w:cs="宋体"/>
                <w:color w:val="auto"/>
                <w:spacing w:val="-12"/>
                <w:kern w:val="0"/>
                <w:sz w:val="18"/>
                <w:szCs w:val="18"/>
                <w:highlight w:val="none"/>
              </w:rPr>
              <w:t>软件和信息技术服</w:t>
            </w:r>
            <w:r>
              <w:rPr>
                <w:rFonts w:hint="eastAsia" w:ascii="宋体" w:cs="宋体"/>
                <w:color w:val="auto"/>
                <w:kern w:val="0"/>
                <w:sz w:val="18"/>
                <w:szCs w:val="18"/>
                <w:highlight w:val="none"/>
              </w:rPr>
              <w:t>务业</w:t>
            </w:r>
          </w:p>
        </w:tc>
        <w:tc>
          <w:tcPr>
            <w:tcW w:w="1369" w:type="dxa"/>
            <w:vAlign w:val="center"/>
          </w:tcPr>
          <w:p w14:paraId="4D47742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2EA4F89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D9BDC7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49872366">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37B3ADD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1B87A32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048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ED0CB3">
            <w:pPr>
              <w:rPr>
                <w:color w:val="auto"/>
                <w:highlight w:val="none"/>
              </w:rPr>
            </w:pPr>
          </w:p>
        </w:tc>
        <w:tc>
          <w:tcPr>
            <w:tcW w:w="1369" w:type="dxa"/>
            <w:vAlign w:val="center"/>
          </w:tcPr>
          <w:p w14:paraId="62DD8E3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52684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990F61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4503FD0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w:t>
            </w:r>
          </w:p>
        </w:tc>
        <w:tc>
          <w:tcPr>
            <w:tcW w:w="1426" w:type="dxa"/>
            <w:vAlign w:val="center"/>
          </w:tcPr>
          <w:p w14:paraId="233E604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50≤Y＜1000</w:t>
            </w:r>
          </w:p>
        </w:tc>
        <w:tc>
          <w:tcPr>
            <w:tcW w:w="992" w:type="dxa"/>
            <w:vAlign w:val="center"/>
          </w:tcPr>
          <w:p w14:paraId="5A6743F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688D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3508F96">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房地产开发经营</w:t>
            </w:r>
          </w:p>
        </w:tc>
        <w:tc>
          <w:tcPr>
            <w:tcW w:w="1369" w:type="dxa"/>
            <w:vAlign w:val="center"/>
          </w:tcPr>
          <w:p w14:paraId="4D2E5B1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480451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F47E09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Y≥200000</w:t>
            </w:r>
          </w:p>
        </w:tc>
        <w:tc>
          <w:tcPr>
            <w:tcW w:w="1701" w:type="dxa"/>
            <w:vAlign w:val="center"/>
          </w:tcPr>
          <w:p w14:paraId="09D1FC4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1000≤Y＜200000</w:t>
            </w:r>
          </w:p>
        </w:tc>
        <w:tc>
          <w:tcPr>
            <w:tcW w:w="1426" w:type="dxa"/>
            <w:vAlign w:val="center"/>
          </w:tcPr>
          <w:p w14:paraId="4D26BBB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0722C50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1AB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C3B4B10">
            <w:pPr>
              <w:rPr>
                <w:color w:val="auto"/>
                <w:highlight w:val="none"/>
              </w:rPr>
            </w:pPr>
          </w:p>
        </w:tc>
        <w:tc>
          <w:tcPr>
            <w:tcW w:w="1369" w:type="dxa"/>
            <w:vAlign w:val="center"/>
          </w:tcPr>
          <w:p w14:paraId="334704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0F696FE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75AAC66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Z≥10000</w:t>
            </w:r>
          </w:p>
        </w:tc>
        <w:tc>
          <w:tcPr>
            <w:tcW w:w="1701" w:type="dxa"/>
            <w:vAlign w:val="center"/>
          </w:tcPr>
          <w:p w14:paraId="33A3A8E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5000≤Z＜10000</w:t>
            </w:r>
          </w:p>
        </w:tc>
        <w:tc>
          <w:tcPr>
            <w:tcW w:w="1426" w:type="dxa"/>
            <w:vAlign w:val="center"/>
          </w:tcPr>
          <w:p w14:paraId="658928E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2000≤Z＜5000</w:t>
            </w:r>
          </w:p>
        </w:tc>
        <w:tc>
          <w:tcPr>
            <w:tcW w:w="992" w:type="dxa"/>
            <w:vAlign w:val="center"/>
          </w:tcPr>
          <w:p w14:paraId="37532FB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Z＜2000</w:t>
            </w:r>
          </w:p>
        </w:tc>
      </w:tr>
      <w:tr w14:paraId="4BC6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179BEB5">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物业管理</w:t>
            </w:r>
          </w:p>
        </w:tc>
        <w:tc>
          <w:tcPr>
            <w:tcW w:w="1369" w:type="dxa"/>
            <w:vAlign w:val="center"/>
          </w:tcPr>
          <w:p w14:paraId="7D99DF1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230DF67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3433365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47E3224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63D0824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992" w:type="dxa"/>
            <w:vAlign w:val="center"/>
          </w:tcPr>
          <w:p w14:paraId="34558CA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w:t>
            </w:r>
          </w:p>
        </w:tc>
      </w:tr>
      <w:tr w14:paraId="39D1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D112C1B">
            <w:pPr>
              <w:rPr>
                <w:color w:val="auto"/>
                <w:highlight w:val="none"/>
              </w:rPr>
            </w:pPr>
          </w:p>
        </w:tc>
        <w:tc>
          <w:tcPr>
            <w:tcW w:w="1369" w:type="dxa"/>
            <w:vAlign w:val="center"/>
          </w:tcPr>
          <w:p w14:paraId="28E783C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5F51C2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1555E78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Y≥5000</w:t>
            </w:r>
          </w:p>
        </w:tc>
        <w:tc>
          <w:tcPr>
            <w:tcW w:w="1701" w:type="dxa"/>
            <w:vAlign w:val="center"/>
          </w:tcPr>
          <w:p w14:paraId="619E8C06">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1426" w:type="dxa"/>
            <w:vAlign w:val="center"/>
          </w:tcPr>
          <w:p w14:paraId="2BA3062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500≤Y＜1000</w:t>
            </w:r>
          </w:p>
        </w:tc>
        <w:tc>
          <w:tcPr>
            <w:tcW w:w="992" w:type="dxa"/>
            <w:vAlign w:val="center"/>
          </w:tcPr>
          <w:p w14:paraId="08DE6A7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w:t>
            </w:r>
          </w:p>
        </w:tc>
      </w:tr>
      <w:tr w14:paraId="05C4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6D406C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租赁和商务服务业</w:t>
            </w:r>
          </w:p>
        </w:tc>
        <w:tc>
          <w:tcPr>
            <w:tcW w:w="1369" w:type="dxa"/>
            <w:vAlign w:val="center"/>
          </w:tcPr>
          <w:p w14:paraId="1576FF9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6E4FE6A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62A2A02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2784F16A">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2719BA4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72A6E96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261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34A2CF">
            <w:pPr>
              <w:rPr>
                <w:color w:val="auto"/>
                <w:highlight w:val="none"/>
              </w:rPr>
            </w:pPr>
          </w:p>
        </w:tc>
        <w:tc>
          <w:tcPr>
            <w:tcW w:w="1369" w:type="dxa"/>
            <w:vAlign w:val="center"/>
          </w:tcPr>
          <w:p w14:paraId="45CE00B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473D780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C209A9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Z≥120000</w:t>
            </w:r>
          </w:p>
        </w:tc>
        <w:tc>
          <w:tcPr>
            <w:tcW w:w="1701" w:type="dxa"/>
            <w:vAlign w:val="center"/>
          </w:tcPr>
          <w:p w14:paraId="69717AF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8000≤Z＜120000</w:t>
            </w:r>
          </w:p>
        </w:tc>
        <w:tc>
          <w:tcPr>
            <w:tcW w:w="1426" w:type="dxa"/>
            <w:vAlign w:val="center"/>
          </w:tcPr>
          <w:p w14:paraId="46EFCE6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100≤Z＜8000</w:t>
            </w:r>
          </w:p>
        </w:tc>
        <w:tc>
          <w:tcPr>
            <w:tcW w:w="992" w:type="dxa"/>
            <w:vAlign w:val="center"/>
          </w:tcPr>
          <w:p w14:paraId="370F45F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w:t>
            </w:r>
          </w:p>
        </w:tc>
      </w:tr>
      <w:tr w14:paraId="5C4C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4286F20">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其他未列明行业 *</w:t>
            </w:r>
          </w:p>
        </w:tc>
        <w:tc>
          <w:tcPr>
            <w:tcW w:w="1369" w:type="dxa"/>
            <w:vAlign w:val="center"/>
          </w:tcPr>
          <w:p w14:paraId="442D0E6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601A340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64E1613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1BCB7111">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660B004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0F6AE8E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bl>
    <w:p w14:paraId="1655E59A">
      <w:pPr>
        <w:widowControl/>
        <w:spacing w:line="280" w:lineRule="exact"/>
        <w:rPr>
          <w:rFonts w:ascii="宋体" w:cs="宋体"/>
          <w:color w:val="auto"/>
          <w:spacing w:val="8"/>
          <w:kern w:val="0"/>
          <w:sz w:val="24"/>
          <w:highlight w:val="none"/>
        </w:rPr>
      </w:pPr>
    </w:p>
    <w:p w14:paraId="3C59638C">
      <w:pPr>
        <w:widowControl/>
        <w:spacing w:line="360" w:lineRule="auto"/>
        <w:rPr>
          <w:rFonts w:ascii="宋体" w:cs="宋体"/>
          <w:color w:val="auto"/>
          <w:spacing w:val="8"/>
          <w:kern w:val="0"/>
          <w:szCs w:val="21"/>
          <w:highlight w:val="none"/>
        </w:rPr>
      </w:pPr>
      <w:r>
        <w:rPr>
          <w:rFonts w:hint="eastAsia" w:ascii="宋体" w:cs="宋体"/>
          <w:color w:val="auto"/>
          <w:spacing w:val="8"/>
          <w:kern w:val="0"/>
          <w:szCs w:val="21"/>
          <w:highlight w:val="none"/>
        </w:rPr>
        <w:t>说明：</w:t>
      </w:r>
    </w:p>
    <w:p w14:paraId="43A2E055">
      <w:pPr>
        <w:pStyle w:val="21"/>
        <w:adjustRightInd w:val="0"/>
        <w:spacing w:line="360" w:lineRule="auto"/>
        <w:ind w:firstLine="432" w:firstLineChars="200"/>
        <w:contextualSpacing/>
        <w:rPr>
          <w:rFonts w:cs="宋体"/>
          <w:color w:val="auto"/>
          <w:spacing w:val="8"/>
          <w:highlight w:val="none"/>
        </w:rPr>
      </w:pPr>
      <w:r>
        <w:rPr>
          <w:rFonts w:hint="eastAsia" w:cs="宋体"/>
          <w:color w:val="auto"/>
          <w:spacing w:val="8"/>
          <w:highlight w:val="none"/>
        </w:rPr>
        <w:t>1.大型、中型和小型企业须同时满足所列指标的下限，否则下划一档；微型企业只须满足所列指标中的一项即可。</w:t>
      </w:r>
    </w:p>
    <w:p w14:paraId="3C35940E">
      <w:pPr>
        <w:pStyle w:val="21"/>
        <w:adjustRightInd w:val="0"/>
        <w:spacing w:line="360" w:lineRule="auto"/>
        <w:ind w:firstLine="432" w:firstLineChars="200"/>
        <w:contextualSpacing/>
        <w:rPr>
          <w:rFonts w:cs="宋体"/>
          <w:color w:val="auto"/>
          <w:spacing w:val="8"/>
          <w:highlight w:val="none"/>
        </w:rPr>
      </w:pPr>
      <w:r>
        <w:rPr>
          <w:rFonts w:hint="eastAsia" w:cs="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CCC946">
      <w:pPr>
        <w:pStyle w:val="21"/>
        <w:adjustRightInd w:val="0"/>
        <w:spacing w:line="360" w:lineRule="auto"/>
        <w:ind w:firstLine="432" w:firstLineChars="200"/>
        <w:contextualSpacing/>
        <w:rPr>
          <w:rFonts w:hint="eastAsia" w:hAnsi="宋体" w:cs="宋体"/>
          <w:b/>
          <w:bCs/>
          <w:color w:val="auto"/>
          <w:sz w:val="30"/>
          <w:szCs w:val="30"/>
          <w:highlight w:val="none"/>
        </w:rPr>
      </w:pPr>
      <w:r>
        <w:rPr>
          <w:rFonts w:hint="eastAsia" w:cs="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D29BF07">
      <w:pPr>
        <w:widowControl/>
        <w:spacing w:before="120" w:beforeLines="50" w:after="120" w:afterLines="50" w:line="280" w:lineRule="exact"/>
        <w:jc w:val="center"/>
        <w:rPr>
          <w:rFonts w:hint="eastAsia" w:ascii="宋体" w:hAnsi="宋体" w:cs="宋体"/>
          <w:b/>
          <w:bCs/>
          <w:color w:val="auto"/>
          <w:kern w:val="0"/>
          <w:sz w:val="30"/>
          <w:szCs w:val="30"/>
          <w:highlight w:val="none"/>
        </w:rPr>
      </w:pPr>
    </w:p>
    <w:p w14:paraId="7F807AAC">
      <w:pPr>
        <w:widowControl/>
        <w:spacing w:before="120" w:beforeLines="50" w:after="120" w:afterLines="50" w:line="280" w:lineRule="exact"/>
        <w:jc w:val="center"/>
        <w:rPr>
          <w:rFonts w:hint="eastAsia" w:ascii="宋体" w:hAnsi="宋体" w:cs="宋体"/>
          <w:b/>
          <w:bCs/>
          <w:color w:val="auto"/>
          <w:kern w:val="0"/>
          <w:sz w:val="30"/>
          <w:szCs w:val="30"/>
          <w:highlight w:val="none"/>
        </w:rPr>
      </w:pPr>
    </w:p>
    <w:bookmarkEnd w:id="31"/>
    <w:p w14:paraId="5CC8BFB5">
      <w:pPr>
        <w:pStyle w:val="21"/>
        <w:spacing w:line="360" w:lineRule="auto"/>
        <w:ind w:firstLine="452" w:firstLineChars="200"/>
        <w:rPr>
          <w:rFonts w:hint="eastAsia" w:hAnsi="宋体" w:cs="宋体"/>
          <w:color w:val="auto"/>
          <w:spacing w:val="8"/>
          <w:sz w:val="21"/>
          <w:highlight w:val="none"/>
        </w:rPr>
      </w:pPr>
    </w:p>
    <w:p w14:paraId="3612E484">
      <w:pPr>
        <w:keepNext/>
        <w:keepLines/>
        <w:spacing w:before="340" w:after="330"/>
        <w:jc w:val="center"/>
        <w:outlineLvl w:val="0"/>
        <w:rPr>
          <w:rFonts w:hint="eastAsia" w:ascii="宋体" w:hAnsi="宋体" w:cs="宋体"/>
          <w:b/>
          <w:bCs/>
          <w:color w:val="auto"/>
          <w:kern w:val="44"/>
          <w:sz w:val="44"/>
          <w:szCs w:val="44"/>
          <w:highlight w:val="none"/>
          <w:lang w:val="zh-CN"/>
        </w:rPr>
      </w:pPr>
      <w:r>
        <w:rPr>
          <w:rFonts w:hint="eastAsia" w:ascii="宋体" w:hAnsi="宋体" w:cs="宋体"/>
          <w:color w:val="auto"/>
          <w:szCs w:val="21"/>
          <w:highlight w:val="none"/>
        </w:rPr>
        <w:br w:type="page"/>
      </w:r>
      <w:bookmarkStart w:id="33" w:name="_Toc14469"/>
      <w:r>
        <w:rPr>
          <w:rFonts w:hint="eastAsia" w:ascii="宋体" w:hAnsi="宋体" w:cs="宋体"/>
          <w:b/>
          <w:color w:val="auto"/>
          <w:kern w:val="44"/>
          <w:sz w:val="32"/>
          <w:szCs w:val="32"/>
          <w:highlight w:val="none"/>
          <w:lang w:val="zh-CN"/>
        </w:rPr>
        <w:t>第三章 供应商须知</w:t>
      </w:r>
      <w:bookmarkEnd w:id="32"/>
      <w:bookmarkEnd w:id="33"/>
    </w:p>
    <w:p w14:paraId="0D8A3E8D">
      <w:pPr>
        <w:keepNext/>
        <w:keepLines/>
        <w:spacing w:before="260" w:after="260"/>
        <w:jc w:val="center"/>
        <w:outlineLvl w:val="1"/>
        <w:rPr>
          <w:rFonts w:hint="eastAsia" w:ascii="宋体" w:hAnsi="宋体" w:cs="宋体"/>
          <w:bCs/>
          <w:color w:val="auto"/>
          <w:sz w:val="32"/>
          <w:szCs w:val="32"/>
          <w:highlight w:val="none"/>
          <w:lang w:val="zh-CN"/>
        </w:rPr>
      </w:pPr>
      <w:bookmarkStart w:id="34" w:name="_Toc80205923"/>
      <w:bookmarkStart w:id="35" w:name="_Toc23540"/>
      <w:bookmarkStart w:id="36" w:name="_Toc28252"/>
      <w:r>
        <w:rPr>
          <w:rFonts w:hint="eastAsia" w:ascii="宋体" w:hAnsi="宋体" w:cs="宋体"/>
          <w:bCs/>
          <w:color w:val="auto"/>
          <w:sz w:val="32"/>
          <w:szCs w:val="32"/>
          <w:highlight w:val="none"/>
          <w:lang w:val="zh-CN"/>
        </w:rPr>
        <w:t>第一节 供应商须知前附表</w:t>
      </w:r>
      <w:bookmarkEnd w:id="34"/>
      <w:bookmarkEnd w:id="35"/>
      <w:bookmarkEnd w:id="36"/>
    </w:p>
    <w:tbl>
      <w:tblPr>
        <w:tblStyle w:val="30"/>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282"/>
        <w:gridCol w:w="6686"/>
      </w:tblGrid>
      <w:tr w14:paraId="314D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41FDB2BD">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82" w:type="dxa"/>
            <w:vAlign w:val="center"/>
          </w:tcPr>
          <w:p w14:paraId="724E6EAE">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686" w:type="dxa"/>
          </w:tcPr>
          <w:p w14:paraId="23668252">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5B008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35CB6AB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282" w:type="dxa"/>
            <w:vAlign w:val="center"/>
          </w:tcPr>
          <w:p w14:paraId="48AA849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686" w:type="dxa"/>
          </w:tcPr>
          <w:p w14:paraId="11A39599">
            <w:pPr>
              <w:spacing w:line="38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供应商资格条件要求详见竞争性谈判公告。 </w:t>
            </w:r>
          </w:p>
        </w:tc>
      </w:tr>
      <w:tr w14:paraId="564EA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7D4E9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282" w:type="dxa"/>
            <w:vAlign w:val="center"/>
          </w:tcPr>
          <w:p w14:paraId="16A10A3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686" w:type="dxa"/>
            <w:vAlign w:val="center"/>
          </w:tcPr>
          <w:p w14:paraId="2124B95C">
            <w:pPr>
              <w:spacing w:line="380" w:lineRule="exact"/>
              <w:rPr>
                <w:rFonts w:hint="eastAsia" w:ascii="宋体" w:hAnsi="宋体" w:cs="宋体"/>
                <w:color w:val="auto"/>
                <w:szCs w:val="21"/>
                <w:highlight w:val="none"/>
              </w:rPr>
            </w:pPr>
            <w:bookmarkStart w:id="37" w:name="PO_3000001871_PM007_1"/>
            <w:r>
              <w:rPr>
                <w:rFonts w:hint="eastAsia" w:ascii="宋体" w:hAnsi="宋体" w:cs="宋体"/>
                <w:color w:val="auto"/>
                <w:szCs w:val="21"/>
                <w:highlight w:val="none"/>
              </w:rPr>
              <w:t>详见竞争性谈判公告</w:t>
            </w:r>
            <w:bookmarkEnd w:id="37"/>
            <w:r>
              <w:rPr>
                <w:rFonts w:hint="eastAsia" w:ascii="宋体" w:hAnsi="宋体" w:cs="宋体"/>
                <w:color w:val="auto"/>
                <w:szCs w:val="21"/>
                <w:highlight w:val="none"/>
              </w:rPr>
              <w:t>。</w:t>
            </w:r>
          </w:p>
        </w:tc>
      </w:tr>
      <w:tr w14:paraId="2440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F10A7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282" w:type="dxa"/>
            <w:vAlign w:val="center"/>
          </w:tcPr>
          <w:p w14:paraId="58C9851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686" w:type="dxa"/>
            <w:vAlign w:val="center"/>
          </w:tcPr>
          <w:p w14:paraId="56D53FF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无</w:t>
            </w:r>
          </w:p>
        </w:tc>
      </w:tr>
      <w:tr w14:paraId="62B0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vAlign w:val="center"/>
          </w:tcPr>
          <w:p w14:paraId="63E249B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282" w:type="dxa"/>
            <w:vAlign w:val="center"/>
          </w:tcPr>
          <w:p w14:paraId="1892F1A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686" w:type="dxa"/>
            <w:vAlign w:val="center"/>
          </w:tcPr>
          <w:p w14:paraId="25B0C274">
            <w:pPr>
              <w:spacing w:line="380" w:lineRule="exact"/>
              <w:jc w:val="left"/>
              <w:rPr>
                <w:rFonts w:hint="eastAsia" w:ascii="宋体" w:hAnsi="宋体" w:cs="宋体"/>
                <w:color w:val="auto"/>
                <w:szCs w:val="21"/>
                <w:highlight w:val="none"/>
              </w:rPr>
            </w:pPr>
            <w:bookmarkStart w:id="38" w:name="PO_3000001871_PM044"/>
            <w:r>
              <w:rPr>
                <w:rFonts w:hint="eastAsia" w:ascii="宋体" w:hAnsi="宋体" w:cs="宋体"/>
                <w:color w:val="auto"/>
                <w:highlight w:val="none"/>
              </w:rPr>
              <w:sym w:font="Wingdings 2" w:char="0052"/>
            </w:r>
            <w:r>
              <w:rPr>
                <w:rFonts w:hint="eastAsia" w:ascii="宋体" w:hAnsi="宋体" w:cs="宋体"/>
                <w:color w:val="auto"/>
                <w:szCs w:val="21"/>
                <w:highlight w:val="none"/>
              </w:rPr>
              <w:t>不允许分包</w:t>
            </w:r>
            <w:bookmarkEnd w:id="38"/>
          </w:p>
          <w:p w14:paraId="5FA6AF74">
            <w:pPr>
              <w:pStyle w:val="13"/>
              <w:spacing w:line="380" w:lineRule="exact"/>
              <w:rPr>
                <w:rFonts w:hint="eastAsia" w:ascii="宋体" w:hAnsi="宋体" w:cs="宋体"/>
                <w:color w:val="auto"/>
                <w:szCs w:val="21"/>
                <w:highlight w:val="none"/>
              </w:rPr>
            </w:pPr>
            <w:r>
              <w:rPr>
                <w:rFonts w:hint="eastAsia" w:ascii="宋体" w:hAnsi="宋体" w:cs="宋体"/>
                <w:color w:val="auto"/>
                <w:highlight w:val="none"/>
                <w:lang w:val="en-US"/>
              </w:rPr>
              <w:t>□允许分包</w:t>
            </w:r>
          </w:p>
        </w:tc>
      </w:tr>
      <w:tr w14:paraId="67E8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6409D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282" w:type="dxa"/>
            <w:vAlign w:val="center"/>
          </w:tcPr>
          <w:p w14:paraId="7A20DDCC">
            <w:pPr>
              <w:snapToGrid w:val="0"/>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686" w:type="dxa"/>
            <w:vAlign w:val="center"/>
          </w:tcPr>
          <w:p w14:paraId="5B6D79E1">
            <w:pP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1.供应商为法人或者其他组织的提供其营业执照复印件等证明文件（如营业执照或者事业单位法人证书或者执业许可证等），供应商为自然人的提供其有效身份证正反面复印件；（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5BF32F23">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2.供应商依法缴纳税收的相关材料（提供税款所属时期为2024年1月至首次响应文件提交截止时间止的任意3个月的依法缴纳税收的凭据复印件；</w:t>
            </w:r>
            <w:r>
              <w:rPr>
                <w:rFonts w:hint="eastAsia" w:ascii="宋体" w:hAnsi="宋体" w:cs="宋体"/>
                <w:color w:val="auto"/>
                <w:highlight w:val="none"/>
              </w:rPr>
              <w:t>依法免税的</w:t>
            </w:r>
            <w:r>
              <w:rPr>
                <w:rFonts w:hint="eastAsia" w:ascii="宋体" w:hAnsi="宋体" w:cs="宋体"/>
                <w:color w:val="auto"/>
                <w:szCs w:val="21"/>
                <w:highlight w:val="none"/>
              </w:rPr>
              <w:t>供应商</w:t>
            </w:r>
            <w:r>
              <w:rPr>
                <w:rFonts w:hint="eastAsia" w:ascii="宋体" w:hAnsi="宋体" w:cs="宋体"/>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4F941745">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3.供应商依法缴纳社会保障资金的相关材料（提供税款所属时期或缴费起始时间为2024年1月至首次响应文件提交截止时间止的任意3个月的依法缴纳社会保障资金的缴费凭证复印件；</w:t>
            </w:r>
            <w:r>
              <w:rPr>
                <w:rFonts w:hint="eastAsia" w:ascii="宋体" w:hAnsi="宋体" w:cs="宋体"/>
                <w:color w:val="auto"/>
                <w:highlight w:val="none"/>
              </w:rPr>
              <w:t>依法不需要缴纳社会保障资金的</w:t>
            </w:r>
            <w:r>
              <w:rPr>
                <w:rFonts w:hint="eastAsia" w:ascii="宋体" w:hAnsi="宋体" w:cs="宋体"/>
                <w:color w:val="auto"/>
                <w:szCs w:val="21"/>
                <w:highlight w:val="none"/>
              </w:rPr>
              <w:t>供应商</w:t>
            </w:r>
            <w:r>
              <w:rPr>
                <w:rFonts w:hint="eastAsia" w:ascii="宋体" w:hAnsi="宋体" w:cs="宋体"/>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1D99F24F">
            <w:pPr>
              <w:snapToGrid w:val="0"/>
              <w:spacing w:line="380" w:lineRule="exact"/>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4.供应商财务状况报告（提供2023年度经审计的财务报告复印件或者截标时间前半年内至少一个月能反映财务状况的报表或者供应商自拟的截标时间前半年内至少一个月的财务情况说明）；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bCs/>
                <w:color w:val="auto"/>
                <w:szCs w:val="21"/>
                <w:highlight w:val="none"/>
              </w:rPr>
              <w:t>）</w:t>
            </w:r>
          </w:p>
          <w:p w14:paraId="73D6638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51BDDF8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6.联合体竞标协议书（格式后附）；（</w:t>
            </w:r>
            <w:r>
              <w:rPr>
                <w:rFonts w:hint="eastAsia" w:ascii="宋体" w:hAnsi="宋体" w:cs="宋体"/>
                <w:b/>
                <w:bCs/>
                <w:color w:val="auto"/>
                <w:szCs w:val="21"/>
                <w:highlight w:val="none"/>
              </w:rPr>
              <w:t>若为</w:t>
            </w:r>
            <w:r>
              <w:rPr>
                <w:rFonts w:hint="eastAsia" w:ascii="宋体" w:hAnsi="宋体" w:cs="宋体"/>
                <w:b/>
                <w:color w:val="auto"/>
                <w:szCs w:val="21"/>
                <w:highlight w:val="none"/>
              </w:rPr>
              <w:t>联合体竞标，则必须提供，否则响应文件作无效响应处理</w:t>
            </w:r>
            <w:r>
              <w:rPr>
                <w:rFonts w:hint="eastAsia" w:ascii="宋体" w:hAnsi="宋体" w:cs="宋体"/>
                <w:color w:val="auto"/>
                <w:szCs w:val="21"/>
                <w:highlight w:val="none"/>
              </w:rPr>
              <w:t>）</w:t>
            </w:r>
          </w:p>
          <w:p w14:paraId="7E85221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7.除谈判文件规定必须提供以外，供应商认为需要提供的其他证明材料（</w:t>
            </w:r>
            <w:r>
              <w:rPr>
                <w:rFonts w:hint="eastAsia" w:ascii="宋体" w:hAnsi="宋体" w:cs="宋体"/>
                <w:bCs/>
                <w:color w:val="auto"/>
                <w:szCs w:val="21"/>
                <w:highlight w:val="none"/>
              </w:rPr>
              <w:t>格式自拟</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0F4C577">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17584BCC">
            <w:pPr>
              <w:snapToGrid w:val="0"/>
              <w:spacing w:line="38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1.以上标明“必须提供”的材料属于复印件的扫描件的，必须加盖供应商公章，否则响应文件作无效响应处理。</w:t>
            </w:r>
          </w:p>
          <w:p w14:paraId="2118379D">
            <w:pPr>
              <w:spacing w:line="38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2.联合体竞标时，第1-4项资格证明文件联合体各方均必须分别提供，联合体各方分别盖章和签字，否则响应文件作无效响应处理。</w:t>
            </w:r>
          </w:p>
        </w:tc>
      </w:tr>
      <w:tr w14:paraId="2AA0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716B76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282" w:type="dxa"/>
            <w:vAlign w:val="center"/>
          </w:tcPr>
          <w:p w14:paraId="1643FAAD">
            <w:pPr>
              <w:spacing w:line="3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686" w:type="dxa"/>
            <w:vAlign w:val="center"/>
          </w:tcPr>
          <w:p w14:paraId="5021FF3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32B867A7">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56BD8FA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3.法定代表人授权委托书（格式后附）及委托代理人有效身份证正反面复印件；（</w:t>
            </w:r>
            <w:r>
              <w:rPr>
                <w:rFonts w:hint="eastAsia" w:ascii="宋体" w:hAnsi="宋体" w:cs="宋体"/>
                <w:b/>
                <w:bCs/>
                <w:color w:val="auto"/>
                <w:szCs w:val="21"/>
                <w:highlight w:val="none"/>
              </w:rPr>
              <w:t>委托时必须提供，否则响应文件作无效响应处理</w:t>
            </w:r>
            <w:r>
              <w:rPr>
                <w:rFonts w:hint="eastAsia" w:ascii="宋体" w:hAnsi="宋体" w:cs="宋体"/>
                <w:color w:val="auto"/>
                <w:szCs w:val="21"/>
                <w:highlight w:val="none"/>
              </w:rPr>
              <w:t>）</w:t>
            </w:r>
          </w:p>
          <w:p w14:paraId="260AD72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4.谈判保证金提交凭证；（</w:t>
            </w:r>
            <w:r>
              <w:rPr>
                <w:rFonts w:hint="eastAsia" w:ascii="宋体" w:hAnsi="宋体" w:cs="宋体"/>
                <w:b/>
                <w:bCs/>
                <w:color w:val="auto"/>
                <w:szCs w:val="21"/>
                <w:highlight w:val="none"/>
              </w:rPr>
              <w:t>必须提供，否则响应文件作无效响应处理</w:t>
            </w:r>
            <w:r>
              <w:rPr>
                <w:rFonts w:hint="eastAsia" w:ascii="宋体" w:hAnsi="宋体" w:cs="宋体"/>
                <w:color w:val="auto"/>
                <w:szCs w:val="21"/>
                <w:highlight w:val="none"/>
              </w:rPr>
              <w:t>）</w:t>
            </w:r>
          </w:p>
          <w:p w14:paraId="19E7F5B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40B02E0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6.供应商情况介绍（格式自拟，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7FB01E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7.对应采购需求的商务条款提供的其他文件资料（格式自拟，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3D9256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8.供应商认为需要提供的其他有关资料（格式自拟，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133A8EF">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2E8CCEB0">
            <w:pPr>
              <w:snapToGrid w:val="0"/>
              <w:spacing w:line="38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1.法定代表人授权委托书必须由法定代表人及委托代理人签字，并加盖供应商公章，否则响应文件作无效响应处理。</w:t>
            </w:r>
          </w:p>
          <w:p w14:paraId="36EFD872">
            <w:pPr>
              <w:spacing w:line="38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2.以上标明“必须提供”的材料属于复印件的扫描件的，必须加盖供应商公章，否则响应文件作无效响应处理。</w:t>
            </w:r>
          </w:p>
        </w:tc>
      </w:tr>
      <w:tr w14:paraId="64B6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271A6C6">
            <w:pPr>
              <w:spacing w:line="380" w:lineRule="exact"/>
              <w:jc w:val="center"/>
              <w:rPr>
                <w:rFonts w:hint="eastAsia" w:ascii="宋体" w:hAnsi="宋体" w:cs="宋体"/>
                <w:color w:val="auto"/>
                <w:szCs w:val="21"/>
                <w:highlight w:val="none"/>
              </w:rPr>
            </w:pPr>
          </w:p>
        </w:tc>
        <w:tc>
          <w:tcPr>
            <w:tcW w:w="2282" w:type="dxa"/>
            <w:vAlign w:val="center"/>
          </w:tcPr>
          <w:p w14:paraId="3D96A7CC">
            <w:pPr>
              <w:spacing w:line="3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686" w:type="dxa"/>
            <w:vAlign w:val="center"/>
          </w:tcPr>
          <w:p w14:paraId="1D14C1B6">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color w:val="auto"/>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1005C36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2.售后服务方案（部分格式后附）；（</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14:paraId="3BBF262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3.项目实施人员一览表（格式后附）；（格式自拟，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C3CE3E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4.对应采购需求的技术需求提供的其他文件资料（格式自拟，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DCE424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5.供应商认为需要提供的其他有关资料（格式自拟，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6D5F982">
            <w:pPr>
              <w:spacing w:line="380" w:lineRule="exact"/>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注：1.以上标明“必须提供”的材料属于复印件的扫描件的，必须加盖供应商公章，否则响应文件作无效响应处理。</w:t>
            </w:r>
          </w:p>
        </w:tc>
      </w:tr>
      <w:tr w14:paraId="5CE5A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58CF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2282" w:type="dxa"/>
            <w:vAlign w:val="center"/>
          </w:tcPr>
          <w:p w14:paraId="1BA64843">
            <w:pPr>
              <w:spacing w:line="38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686" w:type="dxa"/>
            <w:vAlign w:val="center"/>
          </w:tcPr>
          <w:p w14:paraId="2E98B02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bCs/>
                <w:color w:val="auto"/>
                <w:szCs w:val="21"/>
                <w:highlight w:val="none"/>
              </w:rPr>
              <w:t>（必须提供，否则响应文件作无效响应处理）</w:t>
            </w:r>
          </w:p>
          <w:p w14:paraId="43EEE1E3">
            <w:pPr>
              <w:spacing w:line="380" w:lineRule="exact"/>
              <w:rPr>
                <w:rFonts w:hint="eastAsia" w:ascii="宋体" w:hAnsi="宋体" w:cs="宋体"/>
                <w:b/>
                <w:bCs/>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bCs/>
                <w:color w:val="auto"/>
                <w:szCs w:val="21"/>
                <w:highlight w:val="none"/>
              </w:rPr>
              <w:t>（必须提供，否则响应文件作无效响应处理）</w:t>
            </w:r>
          </w:p>
          <w:p w14:paraId="573F9656">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E42AC00">
            <w:pPr>
              <w:spacing w:line="380" w:lineRule="exact"/>
              <w:rPr>
                <w:rFonts w:hint="eastAsia" w:ascii="宋体" w:hAnsi="宋体" w:cs="宋体"/>
                <w:color w:val="auto"/>
                <w:highlight w:val="none"/>
              </w:rPr>
            </w:pPr>
            <w:r>
              <w:rPr>
                <w:rFonts w:hint="eastAsia" w:ascii="宋体" w:hAnsi="宋体" w:cs="宋体"/>
                <w:color w:val="auto"/>
                <w:szCs w:val="21"/>
                <w:highlight w:val="none"/>
              </w:rPr>
              <w:t>4.供应商针对报价需要说明的其他文件和说明（格式自拟，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tc>
      </w:tr>
      <w:tr w14:paraId="6FB0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453D2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282" w:type="dxa"/>
            <w:vAlign w:val="center"/>
          </w:tcPr>
          <w:p w14:paraId="3A5580B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686" w:type="dxa"/>
            <w:vAlign w:val="center"/>
          </w:tcPr>
          <w:p w14:paraId="261C3707">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1.响应文件电子版要求：按照本竞争性谈判文件“第五章 响应文件格式”编写，第五章未附格式的，由供应商自行拟定。</w:t>
            </w:r>
          </w:p>
          <w:p w14:paraId="77EA844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6F87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3F7E7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282" w:type="dxa"/>
            <w:vAlign w:val="center"/>
          </w:tcPr>
          <w:p w14:paraId="56EBBFB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686" w:type="dxa"/>
            <w:vAlign w:val="center"/>
          </w:tcPr>
          <w:p w14:paraId="08935B8F">
            <w:pPr>
              <w:snapToGrid w:val="0"/>
              <w:spacing w:line="380" w:lineRule="exact"/>
              <w:jc w:val="left"/>
              <w:rPr>
                <w:rFonts w:hint="eastAsia" w:ascii="宋体" w:hAnsi="宋体" w:cs="宋体"/>
                <w:color w:val="auto"/>
                <w:highlight w:val="none"/>
              </w:rPr>
            </w:pPr>
            <w:r>
              <w:rPr>
                <w:rFonts w:hint="eastAsia" w:ascii="宋体" w:hAnsi="宋体" w:cs="宋体"/>
                <w:color w:val="auto"/>
                <w:highlight w:val="none"/>
              </w:rPr>
              <w:t>应报价必须包含满足本次竞标全部采购需求所应提供的货物，以及伴随的服务和工程（如有）的价格；包含竞标货物、工程的成本、运输（含保险）、安装（如有）、调试、检验、技术服务、培训、税费等所有费用。（采购需求另有约定的，从其约定。）</w:t>
            </w:r>
          </w:p>
          <w:p w14:paraId="095BB24B">
            <w:pPr>
              <w:pStyle w:val="15"/>
              <w:spacing w:line="380" w:lineRule="exact"/>
              <w:rPr>
                <w:rFonts w:hint="eastAsia" w:ascii="宋体" w:hAnsi="宋体" w:cs="宋体"/>
                <w:b/>
                <w:bCs/>
                <w:color w:val="auto"/>
                <w:highlight w:val="none"/>
              </w:rPr>
            </w:pPr>
            <w:r>
              <w:rPr>
                <w:rFonts w:hint="eastAsia" w:ascii="宋体" w:hAnsi="宋体" w:cs="宋体"/>
                <w:b/>
                <w:bCs/>
                <w:color w:val="auto"/>
                <w:highlight w:val="none"/>
              </w:rPr>
              <w:sym w:font="Wingdings 2" w:char="0052"/>
            </w:r>
            <w:r>
              <w:rPr>
                <w:rFonts w:hint="eastAsia" w:ascii="宋体" w:hAnsi="宋体" w:cs="宋体"/>
                <w:b/>
                <w:bCs/>
                <w:color w:val="auto"/>
                <w:highlight w:val="none"/>
              </w:rPr>
              <w:t>响应报价包含验收费用</w:t>
            </w:r>
          </w:p>
          <w:p w14:paraId="7A5BCDF0">
            <w:pPr>
              <w:pStyle w:val="15"/>
              <w:spacing w:line="380" w:lineRule="exact"/>
              <w:rPr>
                <w:rFonts w:hint="eastAsia" w:ascii="宋体" w:hAnsi="宋体" w:cs="宋体"/>
                <w:color w:val="auto"/>
                <w:highlight w:val="none"/>
              </w:rPr>
            </w:pPr>
            <w:r>
              <w:rPr>
                <w:rFonts w:hint="eastAsia" w:ascii="宋体" w:hAnsi="宋体" w:cs="宋体"/>
                <w:b/>
                <w:bCs/>
                <w:color w:val="auto"/>
                <w:highlight w:val="none"/>
              </w:rPr>
              <w:t>□响应报价不包含验收费用</w:t>
            </w:r>
          </w:p>
        </w:tc>
      </w:tr>
      <w:tr w14:paraId="05A4C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9018A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82" w:type="dxa"/>
            <w:vAlign w:val="center"/>
          </w:tcPr>
          <w:p w14:paraId="5F7ED5A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686" w:type="dxa"/>
            <w:vAlign w:val="center"/>
          </w:tcPr>
          <w:p w14:paraId="4879D8D3">
            <w:pPr>
              <w:tabs>
                <w:tab w:val="left" w:pos="720"/>
                <w:tab w:val="left" w:pos="840"/>
              </w:tabs>
              <w:snapToGrid w:val="0"/>
              <w:spacing w:after="50" w:line="380" w:lineRule="exact"/>
              <w:ind w:left="283" w:hanging="283" w:hangingChars="135"/>
              <w:jc w:val="left"/>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自首次响应文件提交截止之日起90日。</w:t>
            </w:r>
          </w:p>
        </w:tc>
      </w:tr>
      <w:tr w14:paraId="463A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96358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282" w:type="dxa"/>
            <w:vAlign w:val="center"/>
          </w:tcPr>
          <w:p w14:paraId="1C97527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谈判保证金</w:t>
            </w:r>
          </w:p>
        </w:tc>
        <w:tc>
          <w:tcPr>
            <w:tcW w:w="6686" w:type="dxa"/>
            <w:vAlign w:val="center"/>
          </w:tcPr>
          <w:p w14:paraId="6C2DE2FD">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纳谈判</w:t>
            </w:r>
            <w:r>
              <w:rPr>
                <w:rFonts w:hint="eastAsia" w:ascii="宋体" w:hAnsi="宋体" w:cs="宋体"/>
                <w:b/>
                <w:bCs/>
                <w:color w:val="auto"/>
                <w:szCs w:val="21"/>
                <w:highlight w:val="none"/>
              </w:rPr>
              <w:t>保证金。</w:t>
            </w:r>
          </w:p>
          <w:p w14:paraId="6094DD37">
            <w:pPr>
              <w:snapToGrid w:val="0"/>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sym w:font="Wingdings 2" w:char="0052"/>
            </w:r>
            <w:r>
              <w:rPr>
                <w:rFonts w:hint="eastAsia" w:ascii="宋体" w:hAnsi="宋体" w:cs="宋体"/>
                <w:b/>
                <w:bCs/>
                <w:color w:val="auto"/>
                <w:szCs w:val="21"/>
                <w:highlight w:val="none"/>
              </w:rPr>
              <w:t xml:space="preserve"> 本项目需要缴</w:t>
            </w:r>
            <w:r>
              <w:rPr>
                <w:rFonts w:hint="eastAsia" w:ascii="宋体" w:hAnsi="宋体" w:cs="宋体"/>
                <w:b/>
                <w:bCs/>
                <w:color w:val="auto"/>
                <w:kern w:val="0"/>
                <w:szCs w:val="21"/>
                <w:highlight w:val="none"/>
              </w:rPr>
              <w:t>纳谈判</w:t>
            </w:r>
            <w:r>
              <w:rPr>
                <w:rFonts w:hint="eastAsia" w:ascii="宋体" w:hAnsi="宋体" w:cs="宋体"/>
                <w:b/>
                <w:bCs/>
                <w:color w:val="auto"/>
                <w:szCs w:val="21"/>
                <w:highlight w:val="none"/>
              </w:rPr>
              <w:t>保证金，相关要求如下：</w:t>
            </w:r>
          </w:p>
          <w:p w14:paraId="7BF143A6">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1.谈判保证金的缴纳方式：详见竞争性谈判公告。</w:t>
            </w:r>
          </w:p>
          <w:p w14:paraId="3F473F4B">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2.谈判保证金的金额：详见竞争性谈判公告。</w:t>
            </w:r>
          </w:p>
          <w:p w14:paraId="0DC102E9">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3.谈判保证金采用银行转账缴纳方式的，在首次响应文件提交截止时间前交至采购代理机构指定账户并且到账，供应商应将银行转账底单的复印件或者金融机构、担保机构出具的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作为谈判保证金提交凭证，放置于商务文件中，</w:t>
            </w:r>
            <w:r>
              <w:rPr>
                <w:rFonts w:hint="eastAsia" w:ascii="宋体" w:hAnsi="宋体" w:cs="宋体"/>
                <w:b/>
                <w:color w:val="auto"/>
                <w:szCs w:val="21"/>
                <w:highlight w:val="none"/>
              </w:rPr>
              <w:t>否则响应文件作无效响应处理</w:t>
            </w:r>
            <w:r>
              <w:rPr>
                <w:rFonts w:hint="eastAsia" w:ascii="宋体" w:hAnsi="宋体" w:cs="宋体"/>
                <w:color w:val="auto"/>
                <w:szCs w:val="21"/>
                <w:highlight w:val="none"/>
              </w:rPr>
              <w:t>。</w:t>
            </w:r>
          </w:p>
          <w:p w14:paraId="3C51D609">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4.谈判保证金采用支票、汇票、本票或者金融机构、担保机构出具的保函等缴纳方式的，供应商应将支票、汇票、本票或者金融机构、担保机构出具的保函等的复印件作为谈判保证金提交凭证，放置于商务文件中，</w:t>
            </w:r>
            <w:r>
              <w:rPr>
                <w:rFonts w:hint="eastAsia" w:ascii="宋体" w:hAnsi="宋体" w:cs="宋体"/>
                <w:b/>
                <w:color w:val="auto"/>
                <w:szCs w:val="21"/>
                <w:highlight w:val="none"/>
              </w:rPr>
              <w:t>否则响应文件作无效响应处理</w:t>
            </w:r>
            <w:r>
              <w:rPr>
                <w:rFonts w:hint="eastAsia" w:ascii="宋体" w:hAnsi="宋体" w:cs="宋体"/>
                <w:color w:val="auto"/>
                <w:szCs w:val="21"/>
                <w:highlight w:val="none"/>
              </w:rPr>
              <w:t>。供应商必须在首次响应文件提交截止时间前将支票、汇票、本票或者金融机构、担保机构出具的保函（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）等原件提交给采购代理机构，由采购代理机构向供应商出具回执，并妥善保管。</w:t>
            </w:r>
          </w:p>
          <w:p w14:paraId="45321884">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5.谈判保证金指定账户：详见竞争性谈判公告。</w:t>
            </w:r>
          </w:p>
          <w:p w14:paraId="23BBA98B">
            <w:pPr>
              <w:spacing w:line="380" w:lineRule="exact"/>
              <w:jc w:val="left"/>
              <w:rPr>
                <w:rFonts w:hint="eastAsia" w:ascii="宋体" w:hAnsi="宋体" w:cs="宋体"/>
                <w:b/>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.供应商为联合体的，可以由联合体中的一方或者多方共同缴纳</w:t>
            </w:r>
            <w:r>
              <w:rPr>
                <w:rFonts w:hint="eastAsia" w:ascii="宋体" w:hAnsi="宋体" w:cs="宋体"/>
                <w:color w:val="auto"/>
                <w:szCs w:val="24"/>
                <w:highlight w:val="none"/>
                <w:lang w:val="zh-CN"/>
              </w:rPr>
              <w:t>谈判保证金</w:t>
            </w:r>
            <w:r>
              <w:rPr>
                <w:rFonts w:hint="eastAsia" w:ascii="宋体" w:hAnsi="宋体" w:cs="宋体"/>
                <w:color w:val="auto"/>
                <w:szCs w:val="21"/>
                <w:highlight w:val="none"/>
                <w:lang w:val="zh-CN"/>
              </w:rPr>
              <w:t>，其缴纳的谈判保证金对联合体各方均具有约束力。</w:t>
            </w:r>
          </w:p>
          <w:p w14:paraId="2E1F16F2">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3C228317">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首次响应文件提交截止时间后提交的，或者未足额缴纳的，或者保函额度不足的，视为无效谈判保证金。</w:t>
            </w:r>
          </w:p>
          <w:p w14:paraId="213D4328">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2.供应商采用现金方式或者从个人账户（自然人竞标除外）转出的谈判保证金，视为无效谈判保证金。</w:t>
            </w:r>
          </w:p>
          <w:p w14:paraId="3476346D">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14:paraId="417E3FD8">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14:paraId="2BAED58B">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b/>
                <w:color w:val="auto"/>
                <w:szCs w:val="21"/>
                <w:highlight w:val="none"/>
              </w:rPr>
              <w:t>5.谈判保证金采用金融、担保机构出具的保函为有条件保函的，视为无效谈判保证金</w:t>
            </w:r>
            <w:r>
              <w:rPr>
                <w:rFonts w:hint="eastAsia" w:ascii="宋体" w:hAnsi="宋体" w:cs="宋体"/>
                <w:color w:val="auto"/>
                <w:szCs w:val="21"/>
                <w:highlight w:val="none"/>
              </w:rPr>
              <w:t>。</w:t>
            </w:r>
          </w:p>
        </w:tc>
      </w:tr>
      <w:tr w14:paraId="2455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1957CCF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282" w:type="dxa"/>
            <w:vAlign w:val="center"/>
          </w:tcPr>
          <w:p w14:paraId="52B08E4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w:t>
            </w:r>
          </w:p>
        </w:tc>
        <w:tc>
          <w:tcPr>
            <w:tcW w:w="6686" w:type="dxa"/>
            <w:vAlign w:val="center"/>
          </w:tcPr>
          <w:p w14:paraId="1A140D3F">
            <w:pPr>
              <w:snapToGrid w:val="0"/>
              <w:spacing w:line="38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详见竞争性谈判公告。</w:t>
            </w:r>
          </w:p>
        </w:tc>
      </w:tr>
      <w:tr w14:paraId="6E6A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25E7DDC5">
            <w:pPr>
              <w:spacing w:line="380" w:lineRule="exact"/>
              <w:jc w:val="center"/>
              <w:rPr>
                <w:rFonts w:hint="eastAsia" w:ascii="宋体" w:hAnsi="宋体" w:cs="宋体"/>
                <w:color w:val="auto"/>
                <w:szCs w:val="21"/>
                <w:highlight w:val="none"/>
              </w:rPr>
            </w:pPr>
          </w:p>
        </w:tc>
        <w:tc>
          <w:tcPr>
            <w:tcW w:w="2282" w:type="dxa"/>
            <w:vAlign w:val="center"/>
          </w:tcPr>
          <w:p w14:paraId="63A0A25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首次响应文件开启时间</w:t>
            </w:r>
          </w:p>
        </w:tc>
        <w:tc>
          <w:tcPr>
            <w:tcW w:w="6686" w:type="dxa"/>
            <w:vAlign w:val="center"/>
          </w:tcPr>
          <w:p w14:paraId="3F7FEF5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详见竞争性谈判公告。</w:t>
            </w:r>
          </w:p>
        </w:tc>
      </w:tr>
      <w:tr w14:paraId="4514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57F84D75">
            <w:pPr>
              <w:spacing w:line="380" w:lineRule="exact"/>
              <w:jc w:val="center"/>
              <w:rPr>
                <w:rFonts w:hint="eastAsia" w:ascii="宋体" w:hAnsi="宋体" w:cs="宋体"/>
                <w:color w:val="auto"/>
                <w:szCs w:val="21"/>
                <w:highlight w:val="none"/>
              </w:rPr>
            </w:pPr>
          </w:p>
        </w:tc>
        <w:tc>
          <w:tcPr>
            <w:tcW w:w="2282" w:type="dxa"/>
            <w:vAlign w:val="center"/>
          </w:tcPr>
          <w:p w14:paraId="33A6EE6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686" w:type="dxa"/>
            <w:vAlign w:val="center"/>
          </w:tcPr>
          <w:p w14:paraId="33524601">
            <w:pPr>
              <w:snapToGrid w:val="0"/>
              <w:spacing w:line="38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详见竞争性谈判公告。</w:t>
            </w:r>
          </w:p>
        </w:tc>
      </w:tr>
      <w:tr w14:paraId="0D30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5B50E85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282" w:type="dxa"/>
            <w:vAlign w:val="center"/>
          </w:tcPr>
          <w:p w14:paraId="6E43F0B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686" w:type="dxa"/>
            <w:vAlign w:val="center"/>
          </w:tcPr>
          <w:p w14:paraId="7C3A30E6">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068CF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E12879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282" w:type="dxa"/>
            <w:vAlign w:val="center"/>
          </w:tcPr>
          <w:p w14:paraId="59C8C09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686" w:type="dxa"/>
            <w:vAlign w:val="center"/>
          </w:tcPr>
          <w:p w14:paraId="38800F10">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F764E25">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4</w:t>
            </w:r>
            <w:r>
              <w:rPr>
                <w:rFonts w:hint="eastAsia" w:ascii="宋体" w:hAnsi="宋体" w:cs="宋体"/>
                <w:color w:val="auto"/>
                <w:szCs w:val="21"/>
                <w:highlight w:val="none"/>
              </w:rPr>
              <w:t>（含）</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38C23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64CDD26">
            <w:pPr>
              <w:spacing w:line="380" w:lineRule="exact"/>
              <w:jc w:val="center"/>
              <w:rPr>
                <w:rFonts w:hint="eastAsia" w:ascii="宋体" w:hAnsi="宋体" w:cs="宋体"/>
                <w:color w:val="auto"/>
                <w:szCs w:val="21"/>
                <w:highlight w:val="none"/>
              </w:rPr>
            </w:pPr>
          </w:p>
        </w:tc>
        <w:tc>
          <w:tcPr>
            <w:tcW w:w="2282" w:type="dxa"/>
            <w:vAlign w:val="center"/>
          </w:tcPr>
          <w:p w14:paraId="5284BDD1">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谈判的顺序</w:t>
            </w:r>
          </w:p>
        </w:tc>
        <w:tc>
          <w:tcPr>
            <w:tcW w:w="6686" w:type="dxa"/>
            <w:vAlign w:val="center"/>
          </w:tcPr>
          <w:p w14:paraId="3A47D829">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系统自动提取的顺序</w:t>
            </w:r>
          </w:p>
          <w:p w14:paraId="70F0297B">
            <w:pPr>
              <w:snapToGrid w:val="0"/>
              <w:spacing w:line="380" w:lineRule="exact"/>
              <w:rPr>
                <w:rFonts w:hint="eastAsia" w:ascii="宋体" w:hAnsi="宋体" w:cs="宋体"/>
                <w:b/>
                <w:color w:val="auto"/>
                <w:szCs w:val="21"/>
                <w:highlight w:val="none"/>
              </w:rPr>
            </w:pPr>
            <w:r>
              <w:rPr>
                <w:rFonts w:hint="eastAsia" w:ascii="宋体" w:hAnsi="宋体" w:cs="宋体"/>
                <w:color w:val="auto"/>
                <w:szCs w:val="21"/>
                <w:highlight w:val="none"/>
              </w:rPr>
              <w:t>参与谈判前，</w:t>
            </w:r>
            <w:r>
              <w:rPr>
                <w:rFonts w:hint="eastAsia" w:ascii="宋体" w:hAnsi="宋体" w:cs="宋体"/>
                <w:b/>
                <w:bCs/>
                <w:color w:val="auto"/>
                <w:szCs w:val="21"/>
                <w:highlight w:val="none"/>
              </w:rPr>
              <w:t>谈判小组如有要求</w:t>
            </w:r>
            <w:r>
              <w:rPr>
                <w:rFonts w:hint="eastAsia" w:ascii="宋体" w:hAnsi="宋体" w:cs="宋体"/>
                <w:color w:val="auto"/>
                <w:szCs w:val="21"/>
                <w:highlight w:val="none"/>
              </w:rPr>
              <w:t>，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FE9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4B4F6D7">
            <w:pPr>
              <w:spacing w:line="380" w:lineRule="exact"/>
              <w:jc w:val="center"/>
              <w:rPr>
                <w:rFonts w:hint="eastAsia" w:ascii="宋体" w:hAnsi="宋体" w:cs="宋体"/>
                <w:color w:val="auto"/>
                <w:szCs w:val="21"/>
                <w:highlight w:val="none"/>
              </w:rPr>
            </w:pPr>
          </w:p>
        </w:tc>
        <w:tc>
          <w:tcPr>
            <w:tcW w:w="2282" w:type="dxa"/>
            <w:vAlign w:val="center"/>
          </w:tcPr>
          <w:p w14:paraId="0938BBE3">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6686" w:type="dxa"/>
            <w:vAlign w:val="center"/>
          </w:tcPr>
          <w:p w14:paraId="24440FE8">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本项目采用最低评标价法。最低评标价法是指响应文件满足竞争性谈判文件全部实质性要求且评审价最低的供应商为成交候选人的评审方法。</w:t>
            </w:r>
          </w:p>
        </w:tc>
      </w:tr>
      <w:tr w14:paraId="4ADB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646340F">
            <w:pPr>
              <w:spacing w:line="380" w:lineRule="exact"/>
              <w:jc w:val="center"/>
              <w:rPr>
                <w:rFonts w:hint="eastAsia" w:ascii="宋体" w:hAnsi="宋体" w:cs="宋体"/>
                <w:color w:val="auto"/>
                <w:szCs w:val="21"/>
                <w:highlight w:val="none"/>
              </w:rPr>
            </w:pPr>
          </w:p>
        </w:tc>
        <w:tc>
          <w:tcPr>
            <w:tcW w:w="2282" w:type="dxa"/>
            <w:vAlign w:val="center"/>
          </w:tcPr>
          <w:p w14:paraId="41C1522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评审价相同时成交原则</w:t>
            </w:r>
          </w:p>
        </w:tc>
        <w:tc>
          <w:tcPr>
            <w:tcW w:w="6686" w:type="dxa"/>
            <w:vAlign w:val="center"/>
          </w:tcPr>
          <w:p w14:paraId="6795B45B">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4378F2DA">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依次按节能、环保产品累计项数多的优先、带“</w:t>
            </w:r>
            <w:r>
              <w:rPr>
                <w:rFonts w:hint="eastAsia" w:ascii="宋体" w:hAnsi="宋体"/>
                <w:color w:val="auto"/>
                <w:kern w:val="0"/>
                <w:szCs w:val="21"/>
                <w:highlight w:val="none"/>
                <w:lang w:bidi="ar"/>
              </w:rPr>
              <w:t>★</w:t>
            </w:r>
            <w:r>
              <w:rPr>
                <w:rFonts w:hint="eastAsia" w:ascii="宋体" w:hAnsi="宋体" w:cs="宋体"/>
                <w:color w:val="auto"/>
                <w:szCs w:val="21"/>
                <w:highlight w:val="none"/>
              </w:rPr>
              <w:t>”的实质性要求正偏离项数多的优先、均无正偏离或者正偏离项数一致时负偏离项数少的优先、保修期长优先、交付时间短优先、故障响应时间短优先的顺序排列。</w:t>
            </w:r>
          </w:p>
          <w:p w14:paraId="29606044">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65E3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B79AB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282" w:type="dxa"/>
            <w:vAlign w:val="center"/>
          </w:tcPr>
          <w:p w14:paraId="27AC1B5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686" w:type="dxa"/>
            <w:vAlign w:val="center"/>
          </w:tcPr>
          <w:p w14:paraId="03EFBC5A">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0537F1A3">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7F0318BD">
            <w:pPr>
              <w:snapToGrid w:val="0"/>
              <w:spacing w:line="380" w:lineRule="exact"/>
              <w:rPr>
                <w:rFonts w:hint="eastAsia" w:ascii="宋体" w:hAnsi="宋体" w:cs="宋体"/>
                <w:i/>
                <w:iCs/>
                <w:color w:val="auto"/>
                <w:szCs w:val="21"/>
                <w:highlight w:val="none"/>
              </w:rPr>
            </w:pPr>
            <w:r>
              <w:rPr>
                <w:rFonts w:hint="eastAsia" w:ascii="宋体" w:hAnsi="宋体" w:cs="宋体"/>
                <w:color w:val="auto"/>
                <w:szCs w:val="21"/>
                <w:highlight w:val="none"/>
              </w:rPr>
              <w:t>1.履约保证金金额：按项目成交总金额的3%（如</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供应商为中小企业的，按本项目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总金额的2%）。</w:t>
            </w:r>
          </w:p>
          <w:p w14:paraId="243F2E2E">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2.履约保证金提交方式：银行转账或电汇或其它政府采购法律法规允许的方式。</w:t>
            </w:r>
          </w:p>
          <w:p w14:paraId="52878676">
            <w:pPr>
              <w:snapToGrid w:val="0"/>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3.履约保证金退付方式、时间及条件：成交供应商在签订合同之前，足额提交履约保证金。未提交履约保证金的，不予签订合同。项目验收合格后一年退付（无息）。由</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人向履约保证金收取单位提供《采购项目合同验收书》、《采购项目履约保证金退付意见书》，保证金收取单位在收到合格材料后，根据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人相关违约处罚扣款后的实际数额在5个工作日内办理退还手续（不计利息）。若采购内容质保期各不相同的，也可按金额比例分次退付。</w:t>
            </w:r>
          </w:p>
          <w:p w14:paraId="67A25583">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4.缴纳履约保证金指定账户的信息：成交后按采购人提供账号缴纳。</w:t>
            </w:r>
          </w:p>
          <w:p w14:paraId="3BBAA00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备注：</w:t>
            </w:r>
          </w:p>
          <w:p w14:paraId="62CF1C52">
            <w:pPr>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1. </w:t>
            </w:r>
            <w:bookmarkStart w:id="39" w:name="_Hlk54170335"/>
            <w:r>
              <w:rPr>
                <w:rFonts w:hint="eastAsia" w:ascii="宋体" w:hAnsi="宋体" w:cs="宋体"/>
                <w:b/>
                <w:color w:val="auto"/>
                <w:szCs w:val="21"/>
                <w:highlight w:val="none"/>
              </w:rPr>
              <w:t>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39"/>
            <w:r>
              <w:rPr>
                <w:rFonts w:hint="eastAsia" w:ascii="宋体" w:hAnsi="宋体" w:cs="宋体"/>
                <w:color w:val="auto"/>
                <w:szCs w:val="21"/>
                <w:highlight w:val="none"/>
              </w:rPr>
              <w:br w:type="textWrapping"/>
            </w: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rPr>
              <w:br w:type="textWrapping"/>
            </w:r>
            <w:r>
              <w:rPr>
                <w:rFonts w:hint="eastAsia" w:ascii="宋体" w:hAnsi="宋体" w:cs="宋体"/>
                <w:b/>
                <w:color w:val="auto"/>
                <w:szCs w:val="21"/>
                <w:highlight w:val="none"/>
              </w:rPr>
              <w:t>3.采用金融、担保机构出具保函的，必须为无条件保函，否则视为未按规定提交履约保证金。</w:t>
            </w:r>
          </w:p>
          <w:p w14:paraId="2DBFABA9">
            <w:pPr>
              <w:spacing w:line="380" w:lineRule="exact"/>
              <w:rPr>
                <w:rFonts w:hint="eastAsia" w:ascii="宋体" w:hAnsi="宋体" w:cs="宋体"/>
                <w:color w:val="auto"/>
                <w:szCs w:val="21"/>
                <w:highlight w:val="none"/>
              </w:rPr>
            </w:pPr>
            <w:r>
              <w:rPr>
                <w:rFonts w:hint="eastAsia" w:ascii="宋体" w:hAnsi="宋体" w:cs="宋体"/>
                <w:b/>
                <w:color w:val="auto"/>
                <w:szCs w:val="21"/>
                <w:highlight w:val="none"/>
              </w:rPr>
              <w:t>4.供应商为联合体的，可由联合体任意一方或者联合体各方共同提交的履约保证金，视为有效履约保证金。</w:t>
            </w:r>
          </w:p>
        </w:tc>
      </w:tr>
      <w:tr w14:paraId="7B12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E6AA4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282" w:type="dxa"/>
            <w:vAlign w:val="center"/>
          </w:tcPr>
          <w:p w14:paraId="0606297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6686" w:type="dxa"/>
            <w:vAlign w:val="center"/>
          </w:tcPr>
          <w:p w14:paraId="680CC9E2">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DC61C9C">
            <w:pPr>
              <w:snapToGrid w:val="0"/>
              <w:spacing w:line="380" w:lineRule="exact"/>
              <w:rPr>
                <w:rFonts w:hint="eastAsia" w:ascii="宋体" w:hAnsi="宋体" w:cs="宋体"/>
                <w:color w:val="auto"/>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0EA3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15D594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282" w:type="dxa"/>
            <w:vAlign w:val="center"/>
          </w:tcPr>
          <w:p w14:paraId="38338A8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686" w:type="dxa"/>
            <w:vAlign w:val="center"/>
          </w:tcPr>
          <w:p w14:paraId="36532F91">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3A5DD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CB73168">
            <w:pPr>
              <w:spacing w:line="380" w:lineRule="exact"/>
              <w:jc w:val="center"/>
              <w:rPr>
                <w:rFonts w:hint="eastAsia" w:ascii="宋体" w:hAnsi="宋体" w:cs="宋体"/>
                <w:color w:val="auto"/>
                <w:szCs w:val="21"/>
                <w:highlight w:val="none"/>
              </w:rPr>
            </w:pPr>
          </w:p>
        </w:tc>
        <w:tc>
          <w:tcPr>
            <w:tcW w:w="2282" w:type="dxa"/>
            <w:vAlign w:val="center"/>
          </w:tcPr>
          <w:p w14:paraId="7E45D5F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686" w:type="dxa"/>
            <w:vAlign w:val="center"/>
          </w:tcPr>
          <w:p w14:paraId="5ED197C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（1）名称：广西财经学院 </w:t>
            </w:r>
          </w:p>
          <w:p w14:paraId="007D25B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联系电话：0771-3833271  </w:t>
            </w:r>
          </w:p>
          <w:p w14:paraId="0B648B8D">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南宁市西乡塘区大学西路189号</w:t>
            </w:r>
          </w:p>
          <w:p w14:paraId="270E833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（2）名称：广西建设工程机电设备招标中心有限公司</w:t>
            </w:r>
          </w:p>
          <w:p w14:paraId="7CB109A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联系电话：0771-5824250</w:t>
            </w:r>
          </w:p>
          <w:p w14:paraId="2DEE96B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 xml:space="preserve">南宁市凯旋路15号绿地中心5号楼608室 </w:t>
            </w:r>
          </w:p>
        </w:tc>
      </w:tr>
      <w:tr w14:paraId="4F64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9ABB040">
            <w:pPr>
              <w:spacing w:line="380" w:lineRule="exact"/>
              <w:jc w:val="center"/>
              <w:rPr>
                <w:rFonts w:hint="eastAsia" w:ascii="宋体" w:hAnsi="宋体" w:cs="宋体"/>
                <w:color w:val="auto"/>
                <w:szCs w:val="21"/>
                <w:highlight w:val="none"/>
              </w:rPr>
            </w:pPr>
          </w:p>
        </w:tc>
        <w:tc>
          <w:tcPr>
            <w:tcW w:w="2282" w:type="dxa"/>
            <w:vAlign w:val="center"/>
          </w:tcPr>
          <w:p w14:paraId="03920DC3">
            <w:pPr>
              <w:spacing w:line="380" w:lineRule="exact"/>
              <w:jc w:val="center"/>
              <w:rPr>
                <w:rFonts w:hint="eastAsia" w:ascii="宋体" w:hAnsi="宋体" w:cs="宋体"/>
                <w:color w:val="auto"/>
                <w:szCs w:val="21"/>
                <w:highlight w:val="none"/>
              </w:rPr>
            </w:pPr>
            <w:r>
              <w:rPr>
                <w:rFonts w:hint="eastAsia" w:ascii="宋体" w:hAnsi="宋体" w:cs="宋体"/>
                <w:color w:val="auto"/>
                <w:szCs w:val="24"/>
                <w:highlight w:val="none"/>
              </w:rPr>
              <w:t>现场提交质疑办理业务时间</w:t>
            </w:r>
          </w:p>
        </w:tc>
        <w:tc>
          <w:tcPr>
            <w:tcW w:w="6686" w:type="dxa"/>
            <w:vAlign w:val="center"/>
          </w:tcPr>
          <w:p w14:paraId="5AD28682">
            <w:pPr>
              <w:snapToGrid w:val="0"/>
              <w:spacing w:line="380" w:lineRule="exact"/>
              <w:rPr>
                <w:rFonts w:hint="eastAsia" w:ascii="宋体" w:hAnsi="宋体" w:cs="宋体"/>
                <w:color w:val="auto"/>
                <w:szCs w:val="21"/>
                <w:highlight w:val="none"/>
              </w:rPr>
            </w:pPr>
            <w:r>
              <w:rPr>
                <w:rFonts w:hint="eastAsia" w:ascii="宋体" w:hAnsi="宋体" w:cs="宋体"/>
                <w:color w:val="auto"/>
                <w:szCs w:val="24"/>
                <w:highlight w:val="none"/>
              </w:rPr>
              <w:t>质疑期内每个工作日</w:t>
            </w:r>
            <w:r>
              <w:rPr>
                <w:rFonts w:hint="eastAsia" w:ascii="宋体" w:hAnsi="宋体" w:cs="宋体"/>
                <w:color w:val="auto"/>
                <w:highlight w:val="none"/>
              </w:rPr>
              <w:t>（北京时间）上午8时00分到12时00分，下午15时00分到18时00分。</w:t>
            </w:r>
          </w:p>
        </w:tc>
      </w:tr>
      <w:tr w14:paraId="2D01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F49CB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282" w:type="dxa"/>
            <w:vAlign w:val="center"/>
          </w:tcPr>
          <w:p w14:paraId="5C5F0F7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686" w:type="dxa"/>
            <w:vAlign w:val="center"/>
          </w:tcPr>
          <w:p w14:paraId="09A3C906">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21F0C5BD">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2、通讯方式：</w:t>
            </w:r>
          </w:p>
          <w:p w14:paraId="64852302">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名称：</w:t>
            </w:r>
            <w:bookmarkStart w:id="40" w:name="PO_3000001867_PM036"/>
            <w:bookmarkStart w:id="41" w:name="PO_3000001871_PM036"/>
            <w:r>
              <w:rPr>
                <w:rFonts w:hint="eastAsia" w:ascii="宋体" w:hAnsi="宋体" w:cs="宋体"/>
                <w:color w:val="auto"/>
                <w:szCs w:val="21"/>
                <w:highlight w:val="none"/>
              </w:rPr>
              <w:t>广西壮族自治区财政厅政府采购监督管理</w:t>
            </w:r>
            <w:bookmarkEnd w:id="40"/>
            <w:r>
              <w:rPr>
                <w:rFonts w:hint="eastAsia" w:ascii="宋体" w:hAnsi="宋体" w:cs="宋体"/>
                <w:color w:val="auto"/>
                <w:szCs w:val="21"/>
                <w:highlight w:val="none"/>
              </w:rPr>
              <w:t>处</w:t>
            </w:r>
            <w:bookmarkEnd w:id="41"/>
          </w:p>
          <w:p w14:paraId="2D700409">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地址：</w:t>
            </w:r>
            <w:bookmarkStart w:id="42" w:name="PO_3000001871_PM039"/>
            <w:r>
              <w:rPr>
                <w:rFonts w:hint="eastAsia" w:ascii="宋体" w:hAnsi="宋体" w:cs="宋体"/>
                <w:color w:val="auto"/>
                <w:szCs w:val="21"/>
                <w:highlight w:val="none"/>
              </w:rPr>
              <w:t>南宁市桃源路69号广西财政大厦7楼</w:t>
            </w:r>
            <w:bookmarkEnd w:id="42"/>
          </w:p>
          <w:p w14:paraId="2878CFAE">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bookmarkStart w:id="43" w:name="PO_3000001871_PM038"/>
            <w:bookmarkStart w:id="44" w:name="PO_3000001867_PM038"/>
            <w:r>
              <w:rPr>
                <w:rFonts w:hint="eastAsia" w:ascii="宋体" w:hAnsi="宋体" w:cs="宋体"/>
                <w:color w:val="auto"/>
                <w:kern w:val="0"/>
                <w:szCs w:val="21"/>
                <w:highlight w:val="none"/>
              </w:rPr>
              <w:t>0771-2189091</w:t>
            </w:r>
            <w:bookmarkEnd w:id="43"/>
            <w:bookmarkEnd w:id="44"/>
            <w:r>
              <w:rPr>
                <w:rFonts w:hint="eastAsia" w:ascii="宋体" w:hAnsi="宋体" w:cs="宋体"/>
                <w:color w:val="auto"/>
                <w:kern w:val="0"/>
                <w:szCs w:val="21"/>
                <w:highlight w:val="none"/>
              </w:rPr>
              <w:t xml:space="preserve"> </w:t>
            </w:r>
          </w:p>
        </w:tc>
      </w:tr>
      <w:tr w14:paraId="3CEB4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2E187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282" w:type="dxa"/>
            <w:vAlign w:val="center"/>
          </w:tcPr>
          <w:p w14:paraId="3D8E206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6686" w:type="dxa"/>
            <w:vAlign w:val="center"/>
          </w:tcPr>
          <w:p w14:paraId="76183BA7">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 是否收取采购代理服务费：</w:t>
            </w:r>
          </w:p>
          <w:p w14:paraId="34596A1A">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是    □ 否</w:t>
            </w:r>
          </w:p>
          <w:p w14:paraId="0E571245">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14:paraId="5D1E37A5">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本项目采购代理服务费由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14:paraId="3F39D008">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□采购人支付：</w:t>
            </w:r>
            <w:r>
              <w:rPr>
                <w:rFonts w:hint="eastAsia" w:ascii="宋体" w:hAnsi="宋体" w:cs="宋体"/>
                <w:i/>
                <w:iCs/>
                <w:color w:val="auto"/>
                <w:highlight w:val="none"/>
                <w:u w:val="single"/>
              </w:rPr>
              <w:t>（支付方式）。</w:t>
            </w:r>
          </w:p>
          <w:p w14:paraId="2ED2E99D">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3.采购代理费收取标准：</w:t>
            </w:r>
          </w:p>
          <w:p w14:paraId="537BA97E">
            <w:pPr>
              <w:snapToGrid w:val="0"/>
              <w:spacing w:line="380" w:lineRule="exact"/>
              <w:rPr>
                <w:rFonts w:hint="eastAsia" w:ascii="宋体" w:hAnsi="宋体" w:cs="宋体"/>
                <w:color w:val="auto"/>
                <w:kern w:val="0"/>
                <w:szCs w:val="21"/>
                <w:highlight w:val="none"/>
              </w:rPr>
            </w:pPr>
            <w:bookmarkStart w:id="45" w:name="PO_3000001871_PM025"/>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以项目（</w:t>
            </w: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成交总金额/□采购预算/□暂定成交金额/□其他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货物类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采用差额定率累进法计算出收费基准价格，采购代理机构收费以（☑收费基准价格/□收费基准价格下浮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/□收费基准价格上浮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）收取。</w:t>
            </w:r>
            <w:bookmarkEnd w:id="45"/>
          </w:p>
          <w:p w14:paraId="7A544600">
            <w:pPr>
              <w:snapToGrid w:val="0"/>
              <w:spacing w:line="380" w:lineRule="exact"/>
              <w:rPr>
                <w:rFonts w:hint="eastAsia" w:ascii="宋体" w:hAnsi="宋体" w:cs="宋体"/>
                <w:color w:val="auto"/>
                <w:highlight w:val="none"/>
              </w:rPr>
            </w:pPr>
            <w:r>
              <w:rPr>
                <w:rFonts w:hint="eastAsia" w:ascii="宋体" w:hAnsi="宋体" w:cs="宋体"/>
                <w:color w:val="auto"/>
                <w:kern w:val="0"/>
                <w:szCs w:val="21"/>
                <w:highlight w:val="none"/>
              </w:rPr>
              <w:t>□固定采购代理收费：</w:t>
            </w:r>
            <w:r>
              <w:rPr>
                <w:rFonts w:hint="eastAsia" w:ascii="宋体" w:hAnsi="宋体" w:cs="宋体"/>
                <w:color w:val="auto"/>
                <w:kern w:val="0"/>
                <w:szCs w:val="21"/>
                <w:highlight w:val="none"/>
                <w:u w:val="single"/>
              </w:rPr>
              <w:t xml:space="preserve">           。</w:t>
            </w:r>
          </w:p>
          <w:p w14:paraId="53319131">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 采购代理服务费收取银行账户的信息</w:t>
            </w:r>
          </w:p>
          <w:p w14:paraId="14BA44A8">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开户名称：广西建设工程机电设备招标中心有限公司</w:t>
            </w:r>
          </w:p>
          <w:p w14:paraId="7B691514">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开户银行：招商银行南宁分行营业部</w:t>
            </w:r>
          </w:p>
          <w:p w14:paraId="43CB367C">
            <w:pPr>
              <w:snapToGrid w:val="0"/>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银行账号：7719  0142  3310  201</w:t>
            </w:r>
          </w:p>
        </w:tc>
      </w:tr>
      <w:tr w14:paraId="7129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78C0F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282" w:type="dxa"/>
            <w:vAlign w:val="center"/>
          </w:tcPr>
          <w:p w14:paraId="28F4B815">
            <w:pPr>
              <w:spacing w:line="380" w:lineRule="exact"/>
              <w:jc w:val="center"/>
              <w:rPr>
                <w:rFonts w:hint="eastAsia" w:ascii="宋体" w:hAnsi="宋体" w:cs="宋体"/>
                <w:color w:val="auto"/>
                <w:szCs w:val="21"/>
                <w:highlight w:val="none"/>
              </w:rPr>
            </w:pPr>
            <w:r>
              <w:rPr>
                <w:rFonts w:hint="eastAsia" w:ascii="宋体" w:hAnsi="宋体" w:cs="宋体"/>
                <w:color w:val="auto"/>
                <w:szCs w:val="24"/>
                <w:highlight w:val="none"/>
              </w:rPr>
              <w:t>解释</w:t>
            </w:r>
          </w:p>
        </w:tc>
        <w:tc>
          <w:tcPr>
            <w:tcW w:w="6686" w:type="dxa"/>
            <w:vAlign w:val="center"/>
          </w:tcPr>
          <w:p w14:paraId="4D8D16CB">
            <w:pPr>
              <w:tabs>
                <w:tab w:val="left" w:pos="1080"/>
              </w:tabs>
              <w:spacing w:line="38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rPr>
              <w:t>解释：</w:t>
            </w:r>
          </w:p>
          <w:p w14:paraId="6F07BA7B">
            <w:pPr>
              <w:tabs>
                <w:tab w:val="left" w:pos="1080"/>
              </w:tabs>
              <w:spacing w:line="380" w:lineRule="exact"/>
              <w:rPr>
                <w:rFonts w:hint="eastAsia" w:ascii="宋体" w:hAnsi="宋体" w:cs="宋体"/>
                <w:b/>
                <w:color w:val="auto"/>
                <w:kern w:val="0"/>
                <w:szCs w:val="21"/>
                <w:highlight w:val="none"/>
              </w:rPr>
            </w:pPr>
            <w:r>
              <w:rPr>
                <w:rFonts w:hint="eastAsia" w:ascii="宋体" w:hAnsi="宋体" w:cs="宋体"/>
                <w:color w:val="auto"/>
                <w:kern w:val="0"/>
                <w:szCs w:val="21"/>
                <w:highlight w:val="none"/>
              </w:rPr>
              <w:t>构成本谈判文件的各个组成文件应互为解释，互为说明；除谈判文件中有特别规定外，仅适用于竞标阶段的规定，按更正公告（澄清公告）、竞争性谈判公告、采购需求、供应商须知、评审程序、</w:t>
            </w:r>
            <w:r>
              <w:rPr>
                <w:rFonts w:hint="eastAsia" w:ascii="宋体" w:hAnsi="宋体" w:cs="宋体"/>
                <w:bCs/>
                <w:color w:val="auto"/>
                <w:kern w:val="44"/>
                <w:szCs w:val="44"/>
                <w:highlight w:val="none"/>
                <w:lang w:val="zh-CN"/>
              </w:rPr>
              <w:t>评审方法和成交标准</w:t>
            </w:r>
            <w:r>
              <w:rPr>
                <w:rFonts w:hint="eastAsia" w:ascii="宋体" w:hAnsi="宋体" w:cs="宋体"/>
                <w:color w:val="auto"/>
                <w:kern w:val="0"/>
                <w:szCs w:val="21"/>
                <w:highlight w:val="none"/>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44AACFE2">
            <w:pPr>
              <w:tabs>
                <w:tab w:val="left" w:pos="1080"/>
              </w:tabs>
              <w:spacing w:line="380" w:lineRule="exact"/>
              <w:rPr>
                <w:rFonts w:hint="eastAsia" w:ascii="宋体" w:hAnsi="宋体" w:cs="宋体"/>
                <w:color w:val="auto"/>
                <w:kern w:val="0"/>
                <w:szCs w:val="21"/>
                <w:highlight w:val="none"/>
              </w:rPr>
            </w:pPr>
            <w:r>
              <w:rPr>
                <w:rFonts w:hint="eastAsia" w:ascii="宋体" w:hAnsi="宋体" w:cs="宋体"/>
                <w:b/>
                <w:color w:val="auto"/>
                <w:kern w:val="0"/>
                <w:szCs w:val="21"/>
                <w:highlight w:val="none"/>
              </w:rPr>
              <w:t>法律责任：</w:t>
            </w:r>
          </w:p>
          <w:p w14:paraId="0C78640B">
            <w:pPr>
              <w:tabs>
                <w:tab w:val="left" w:pos="1080"/>
              </w:tabs>
              <w:spacing w:line="380" w:lineRule="exact"/>
              <w:rPr>
                <w:rFonts w:hint="eastAsia" w:ascii="宋体" w:hAnsi="宋体" w:cs="宋体"/>
                <w:color w:val="auto"/>
                <w:szCs w:val="24"/>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E3A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C3C59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282" w:type="dxa"/>
            <w:vAlign w:val="center"/>
          </w:tcPr>
          <w:p w14:paraId="07F8864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686" w:type="dxa"/>
            <w:vAlign w:val="center"/>
          </w:tcPr>
          <w:p w14:paraId="559D40FF">
            <w:pPr>
              <w:pStyle w:val="1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2D861371">
            <w:pPr>
              <w:pStyle w:val="1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14:paraId="4060ECA8">
            <w:pPr>
              <w:pStyle w:val="13"/>
              <w:tabs>
                <w:tab w:val="center" w:pos="4153"/>
                <w:tab w:val="right" w:pos="8306"/>
              </w:tabs>
              <w:spacing w:line="380" w:lineRule="exact"/>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BAF169C">
            <w:pPr>
              <w:pStyle w:val="1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20D6BB87">
            <w:pPr>
              <w:pStyle w:val="1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14:paraId="7077B163">
            <w:pPr>
              <w:snapToGrid w:val="0"/>
              <w:spacing w:line="380" w:lineRule="exact"/>
              <w:rPr>
                <w:rFonts w:hint="eastAsia" w:ascii="宋体" w:hAnsi="宋体" w:cs="宋体"/>
                <w:color w:val="auto"/>
                <w:kern w:val="0"/>
                <w:szCs w:val="21"/>
                <w:highlight w:val="none"/>
              </w:rPr>
            </w:pPr>
            <w:r>
              <w:rPr>
                <w:rFonts w:hint="eastAsia" w:ascii="宋体" w:hAnsi="宋体" w:cs="宋体"/>
                <w:color w:val="auto"/>
                <w:szCs w:val="21"/>
                <w:highlight w:val="none"/>
              </w:rPr>
              <w:t xml:space="preserve">    6.本竞争性谈判文件所称的“以上”“以下”“以内”“届满”，包括本数；所称的“不满”“超过”“以外”，不包括本数。</w:t>
            </w:r>
          </w:p>
        </w:tc>
      </w:tr>
    </w:tbl>
    <w:p w14:paraId="3159AE67">
      <w:pPr>
        <w:keepNext/>
        <w:keepLines/>
        <w:spacing w:before="260" w:after="260" w:line="420" w:lineRule="exact"/>
        <w:jc w:val="center"/>
        <w:outlineLvl w:val="1"/>
        <w:rPr>
          <w:rFonts w:hint="eastAsia" w:ascii="宋体" w:hAnsi="宋体" w:cs="宋体"/>
          <w:bCs/>
          <w:color w:val="auto"/>
          <w:sz w:val="32"/>
          <w:szCs w:val="32"/>
          <w:highlight w:val="none"/>
          <w:lang w:val="zh-CN"/>
        </w:rPr>
      </w:pPr>
      <w:r>
        <w:rPr>
          <w:rFonts w:hint="eastAsia" w:ascii="宋体" w:hAnsi="宋体" w:cs="宋体"/>
          <w:bCs/>
          <w:color w:val="auto"/>
          <w:sz w:val="32"/>
          <w:szCs w:val="32"/>
          <w:highlight w:val="none"/>
          <w:lang w:val="zh-CN"/>
        </w:rPr>
        <w:br w:type="page"/>
      </w:r>
      <w:bookmarkStart w:id="46" w:name="_Toc18642"/>
      <w:bookmarkStart w:id="47" w:name="_Toc80205924"/>
      <w:bookmarkStart w:id="48" w:name="_Toc31213"/>
      <w:r>
        <w:rPr>
          <w:rFonts w:hint="eastAsia" w:ascii="宋体" w:hAnsi="宋体" w:cs="宋体"/>
          <w:bCs/>
          <w:color w:val="auto"/>
          <w:sz w:val="32"/>
          <w:szCs w:val="32"/>
          <w:highlight w:val="none"/>
          <w:lang w:val="zh-CN"/>
        </w:rPr>
        <w:t>第二节 供应商须知正文</w:t>
      </w:r>
      <w:bookmarkEnd w:id="46"/>
      <w:bookmarkEnd w:id="47"/>
      <w:bookmarkEnd w:id="48"/>
    </w:p>
    <w:p w14:paraId="1C498175">
      <w:pPr>
        <w:keepNext/>
        <w:keepLines/>
        <w:spacing w:line="360" w:lineRule="auto"/>
        <w:ind w:firstLine="640" w:firstLineChars="200"/>
        <w:outlineLvl w:val="2"/>
        <w:rPr>
          <w:rFonts w:hint="eastAsia" w:ascii="宋体" w:hAnsi="宋体" w:cs="宋体"/>
          <w:bCs/>
          <w:color w:val="auto"/>
          <w:sz w:val="32"/>
          <w:szCs w:val="32"/>
          <w:highlight w:val="none"/>
          <w:lang w:val="zh-CN"/>
        </w:rPr>
      </w:pPr>
      <w:bookmarkStart w:id="49" w:name="_Toc30183"/>
      <w:bookmarkStart w:id="50" w:name="_Toc15664"/>
      <w:bookmarkStart w:id="51" w:name="_Toc80205925"/>
      <w:r>
        <w:rPr>
          <w:rFonts w:hint="eastAsia" w:ascii="宋体" w:hAnsi="宋体" w:cs="宋体"/>
          <w:bCs/>
          <w:color w:val="auto"/>
          <w:sz w:val="32"/>
          <w:szCs w:val="32"/>
          <w:highlight w:val="none"/>
          <w:lang w:val="zh-CN"/>
        </w:rPr>
        <w:t>一、总则</w:t>
      </w:r>
      <w:bookmarkEnd w:id="49"/>
      <w:bookmarkEnd w:id="50"/>
      <w:bookmarkEnd w:id="51"/>
    </w:p>
    <w:p w14:paraId="71E970F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1.适用范围</w:t>
      </w:r>
    </w:p>
    <w:p w14:paraId="630A86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A3CD0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398C0720">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szCs w:val="24"/>
          <w:highlight w:val="none"/>
        </w:rPr>
        <w:t>2.定义</w:t>
      </w:r>
    </w:p>
    <w:p w14:paraId="502E9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AB3A05">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2.2“采购代理机构”是指政府采购集中采购机构和集中采购机构以外的采购代理机构。</w:t>
      </w:r>
    </w:p>
    <w:p w14:paraId="0A9FA1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BB923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0E23EB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2.5“竞标”是指按照本项目竞争性谈判公告规定的方式供应商获取谈判文件、提交响应文件并希望获得标的的行为。</w:t>
      </w:r>
    </w:p>
    <w:p w14:paraId="7B97B7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615544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160560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是指：供应商根据本文件要求，编制包含报价、技术和货物等所有内容的文件。</w:t>
      </w:r>
    </w:p>
    <w:p w14:paraId="6A109D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“实质性要求”是指竞争性谈判文件中已经指明不满足则响应文件作无效响应处理的条款，或者不能负偏离的条款，或者采购需求中带“</w:t>
      </w:r>
      <w:r>
        <w:rPr>
          <w:rFonts w:hint="eastAsia" w:ascii="宋体" w:hAnsi="宋体" w:cs="宋体"/>
          <w:color w:val="auto"/>
          <w:kern w:val="0"/>
          <w:szCs w:val="21"/>
          <w:highlight w:val="none"/>
        </w:rPr>
        <w:t>★</w:t>
      </w:r>
      <w:r>
        <w:rPr>
          <w:rFonts w:hint="eastAsia" w:ascii="宋体" w:hAnsi="宋体" w:cs="宋体"/>
          <w:color w:val="auto"/>
          <w:szCs w:val="21"/>
          <w:highlight w:val="none"/>
        </w:rPr>
        <w:t>”的条款。</w:t>
      </w:r>
    </w:p>
    <w:p w14:paraId="7CB8C3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5907D2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72AE4A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3E02C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6B55C69F">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2.14“评审价”是指供应商提交的最后报价并经修正和政策功能价格扣除后的价格。</w:t>
      </w:r>
    </w:p>
    <w:p w14:paraId="0581A5D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3.供应商的资格条件</w:t>
      </w:r>
    </w:p>
    <w:p w14:paraId="18D60E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A093D4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4.谈判费用</w:t>
      </w:r>
    </w:p>
    <w:p w14:paraId="7765A3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5377FFB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5.联合体竞标</w:t>
      </w:r>
    </w:p>
    <w:p w14:paraId="697062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32510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4"/>
          <w:highlight w:val="none"/>
        </w:rPr>
        <w:t>如接受联合体竞标，</w:t>
      </w:r>
      <w:r>
        <w:rPr>
          <w:rFonts w:hint="eastAsia" w:ascii="宋体" w:hAnsi="宋体" w:cs="宋体"/>
          <w:color w:val="auto"/>
          <w:szCs w:val="21"/>
          <w:highlight w:val="none"/>
        </w:rPr>
        <w:t>联合体竞标要求详见“供应商须知前附表”。</w:t>
      </w:r>
    </w:p>
    <w:p w14:paraId="208D849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bCs/>
          <w:color w:val="auto"/>
          <w:szCs w:val="21"/>
          <w:highlight w:val="none"/>
        </w:rPr>
        <w:t>。</w:t>
      </w:r>
    </w:p>
    <w:p w14:paraId="027BDCC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6.转包与分包             </w:t>
      </w:r>
    </w:p>
    <w:p w14:paraId="711817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635CB4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30F468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bCs/>
          <w:color w:val="auto"/>
          <w:szCs w:val="21"/>
          <w:highlight w:val="none"/>
        </w:rPr>
        <w:t>。</w:t>
      </w:r>
    </w:p>
    <w:p w14:paraId="58050A11">
      <w:pPr>
        <w:spacing w:line="360" w:lineRule="auto"/>
        <w:ind w:firstLine="482" w:firstLineChars="200"/>
        <w:rPr>
          <w:rFonts w:hint="eastAsia" w:ascii="宋体" w:hAnsi="宋体" w:cs="宋体"/>
          <w:b/>
          <w:bCs/>
          <w:color w:val="auto"/>
          <w:sz w:val="24"/>
          <w:szCs w:val="24"/>
          <w:highlight w:val="none"/>
        </w:rPr>
      </w:pPr>
      <w:bookmarkStart w:id="52" w:name="_Toc254970673"/>
      <w:bookmarkStart w:id="53" w:name="_Toc254970532"/>
      <w:r>
        <w:rPr>
          <w:rFonts w:hint="eastAsia" w:ascii="宋体" w:hAnsi="宋体" w:cs="宋体"/>
          <w:b/>
          <w:bCs/>
          <w:color w:val="auto"/>
          <w:sz w:val="24"/>
          <w:szCs w:val="24"/>
          <w:highlight w:val="none"/>
        </w:rPr>
        <w:t>7.特别说明</w:t>
      </w:r>
      <w:bookmarkEnd w:id="52"/>
      <w:bookmarkEnd w:id="53"/>
    </w:p>
    <w:p w14:paraId="33368115">
      <w:pPr>
        <w:spacing w:line="360" w:lineRule="auto"/>
        <w:ind w:firstLine="420" w:firstLineChars="200"/>
        <w:rPr>
          <w:rFonts w:hint="eastAsia"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3A99B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7.2供应商应仔细阅读谈判文件的所有内容，按照谈判文件的要求提交响应文件，并对所提供的全部资料的真实性承担法律责任。</w:t>
      </w:r>
    </w:p>
    <w:p w14:paraId="76C20C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052CB8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45CC0FF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2D3F153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551D39B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3D858FE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1512CDE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3F62A25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AB660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3435584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（1）不同供应商的响应文件由同一单位或者个人编制；或不同供应商报名的IP地址一致的；</w:t>
      </w:r>
    </w:p>
    <w:p w14:paraId="12226F8A">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077F925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0EE66E5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719B83D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0DF89A9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（6）不同供应商的谈判保证金从同一单位或者个人账户转出。</w:t>
      </w:r>
    </w:p>
    <w:p w14:paraId="1DD2628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w:t>
      </w:r>
      <w:bookmarkStart w:id="55" w:name="_Hlk54682620"/>
      <w:r>
        <w:rPr>
          <w:rFonts w:hint="eastAsia" w:ascii="宋体" w:hAnsi="宋体" w:cs="宋体"/>
          <w:b/>
          <w:bCs/>
          <w:color w:val="auto"/>
          <w:szCs w:val="21"/>
          <w:highlight w:val="none"/>
        </w:rPr>
        <w:t>，将报同级监督管理部门</w:t>
      </w:r>
      <w:bookmarkEnd w:id="55"/>
      <w:r>
        <w:rPr>
          <w:rFonts w:hint="eastAsia" w:ascii="宋体" w:hAnsi="宋体" w:cs="宋体"/>
          <w:b/>
          <w:bCs/>
          <w:color w:val="auto"/>
          <w:szCs w:val="21"/>
          <w:highlight w:val="none"/>
        </w:rPr>
        <w:t>：</w:t>
      </w:r>
    </w:p>
    <w:p w14:paraId="37BDA3F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0EDA6A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6B0AA48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3A19652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7D05CB5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C224CC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1EED685B">
      <w:pPr>
        <w:spacing w:line="360" w:lineRule="auto"/>
        <w:ind w:firstLine="422" w:firstLineChars="200"/>
        <w:rPr>
          <w:rFonts w:hint="eastAsia" w:ascii="宋体" w:hAnsi="宋体" w:cs="宋体"/>
          <w:b/>
          <w:bCs/>
          <w:color w:val="auto"/>
          <w:szCs w:val="24"/>
          <w:highlight w:val="none"/>
        </w:rPr>
      </w:pPr>
      <w:r>
        <w:rPr>
          <w:rFonts w:hint="eastAsia" w:ascii="宋体" w:hAnsi="宋体" w:cs="宋体"/>
          <w:b/>
          <w:bCs/>
          <w:color w:val="auto"/>
          <w:szCs w:val="24"/>
          <w:highlight w:val="none"/>
        </w:rPr>
        <w:t>（7）供应商与采购人或者采购代理机构之间、供应商相互之间，为谋求特定供应商成交或者排斥其他供应商的其他串通行为。</w:t>
      </w:r>
      <w:bookmarkStart w:id="56" w:name="_Toc254970534"/>
      <w:bookmarkStart w:id="57" w:name="_Toc254970675"/>
    </w:p>
    <w:p w14:paraId="1320AE7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4"/>
          <w:highlight w:val="none"/>
        </w:rPr>
        <w:t>7.7</w:t>
      </w:r>
      <w:r>
        <w:rPr>
          <w:rFonts w:hint="eastAsia" w:ascii="宋体" w:hAnsi="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cs="宋体"/>
          <w:b/>
          <w:bCs/>
          <w:color w:val="auto"/>
          <w:kern w:val="0"/>
          <w:szCs w:val="21"/>
          <w:highlight w:val="none"/>
        </w:rPr>
        <w:t>其他竞标无效</w:t>
      </w:r>
      <w:r>
        <w:rPr>
          <w:rFonts w:hint="eastAsia" w:ascii="宋体" w:hAnsi="宋体" w:cs="宋体"/>
          <w:b/>
          <w:bCs/>
          <w:color w:val="auto"/>
          <w:szCs w:val="21"/>
          <w:highlight w:val="none"/>
        </w:rPr>
        <w:t>。</w:t>
      </w:r>
    </w:p>
    <w:p w14:paraId="1D1952C5">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szCs w:val="21"/>
          <w:highlight w:val="none"/>
        </w:rPr>
        <w:t>非单一产品采购项目，多家供应商提供的核心产品品牌相同的，按前款规定处理。</w:t>
      </w:r>
    </w:p>
    <w:p w14:paraId="4404E569">
      <w:pPr>
        <w:keepNext/>
        <w:keepLines/>
        <w:spacing w:line="360" w:lineRule="auto"/>
        <w:ind w:firstLine="640" w:firstLineChars="200"/>
        <w:outlineLvl w:val="2"/>
        <w:rPr>
          <w:rFonts w:hint="eastAsia" w:ascii="宋体" w:hAnsi="宋体" w:cs="宋体"/>
          <w:color w:val="auto"/>
          <w:sz w:val="32"/>
          <w:szCs w:val="32"/>
          <w:highlight w:val="none"/>
          <w:lang w:val="zh-CN"/>
        </w:rPr>
      </w:pPr>
      <w:bookmarkStart w:id="58" w:name="_Toc11715"/>
      <w:bookmarkStart w:id="59" w:name="_Toc12918"/>
      <w:bookmarkStart w:id="60" w:name="_Toc80205926"/>
    </w:p>
    <w:p w14:paraId="1E39F103">
      <w:pPr>
        <w:keepNext/>
        <w:keepLines/>
        <w:spacing w:line="360" w:lineRule="auto"/>
        <w:ind w:firstLine="640" w:firstLineChars="200"/>
        <w:outlineLvl w:val="2"/>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二、谈判文件</w:t>
      </w:r>
      <w:bookmarkEnd w:id="56"/>
      <w:bookmarkEnd w:id="57"/>
      <w:bookmarkEnd w:id="58"/>
      <w:bookmarkEnd w:id="59"/>
      <w:bookmarkEnd w:id="60"/>
    </w:p>
    <w:p w14:paraId="7B71A78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8.谈判文件的构成</w:t>
      </w:r>
    </w:p>
    <w:p w14:paraId="3C91EA6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竞争性谈判公告；</w:t>
      </w:r>
    </w:p>
    <w:p w14:paraId="69AF4B5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0EAE1B9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399CDA8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评审程序、评审方法和成交标准；</w:t>
      </w:r>
    </w:p>
    <w:p w14:paraId="78679FC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3CF21CF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5900BC7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241F633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9.供应商的询问</w:t>
      </w:r>
    </w:p>
    <w:p w14:paraId="0AF42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30D95AE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10.谈判文件的澄清和修改</w:t>
      </w:r>
    </w:p>
    <w:p w14:paraId="458AA5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5BEC7A6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13AC5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70BA3E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4F99CE3">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cs="宋体"/>
          <w:color w:val="auto"/>
          <w:kern w:val="0"/>
          <w:szCs w:val="21"/>
          <w:highlight w:val="none"/>
        </w:rPr>
        <w:t>（二）</w:t>
      </w:r>
      <w:r>
        <w:rPr>
          <w:rFonts w:hint="eastAsia" w:ascii="宋体" w:hAnsi="宋体" w:cs="宋体"/>
          <w:color w:val="auto"/>
          <w:szCs w:val="24"/>
          <w:highlight w:val="none"/>
        </w:rPr>
        <w:t>网上查询地址”规定的政府采购信息发布媒体上发布更正公告。</w:t>
      </w:r>
    </w:p>
    <w:p w14:paraId="6BCC0CC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响应文件未按谈判文件的澄清、修改的内容编制，又不符合实质性要求的，其响应文件作无效处理。</w:t>
      </w:r>
    </w:p>
    <w:p w14:paraId="61E8E262">
      <w:pPr>
        <w:keepNext/>
        <w:keepLines/>
        <w:spacing w:line="360" w:lineRule="auto"/>
        <w:ind w:firstLine="640" w:firstLineChars="200"/>
        <w:outlineLvl w:val="2"/>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p>
    <w:p w14:paraId="0655FA9F">
      <w:pPr>
        <w:keepNext/>
        <w:keepLines/>
        <w:spacing w:line="360" w:lineRule="auto"/>
        <w:ind w:firstLine="640" w:firstLineChars="200"/>
        <w:outlineLvl w:val="2"/>
        <w:rPr>
          <w:rFonts w:hint="eastAsia" w:ascii="宋体" w:hAnsi="宋体" w:cs="宋体"/>
          <w:color w:val="auto"/>
          <w:sz w:val="32"/>
          <w:szCs w:val="32"/>
          <w:highlight w:val="none"/>
          <w:lang w:val="zh-CN"/>
        </w:rPr>
      </w:pPr>
      <w:bookmarkStart w:id="61" w:name="_Toc5317"/>
      <w:bookmarkStart w:id="62" w:name="_Toc10295"/>
      <w:bookmarkStart w:id="63" w:name="_Toc80205927"/>
      <w:r>
        <w:rPr>
          <w:rFonts w:hint="eastAsia" w:ascii="宋体" w:hAnsi="宋体" w:cs="宋体"/>
          <w:color w:val="auto"/>
          <w:sz w:val="32"/>
          <w:szCs w:val="32"/>
          <w:highlight w:val="none"/>
          <w:lang w:val="zh-CN"/>
        </w:rPr>
        <w:t>三、响应文件的编制</w:t>
      </w:r>
      <w:bookmarkEnd w:id="61"/>
      <w:bookmarkEnd w:id="62"/>
      <w:bookmarkEnd w:id="63"/>
    </w:p>
    <w:p w14:paraId="42B80DD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11.响应文件的编制原则</w:t>
      </w:r>
    </w:p>
    <w:p w14:paraId="098808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31854AB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12.响应文件的组成</w:t>
      </w:r>
    </w:p>
    <w:p w14:paraId="18E282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572A84C6">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DE02E41">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2D567D5F">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0105024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3794E30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13.计量单位</w:t>
      </w:r>
    </w:p>
    <w:p w14:paraId="2BF5AB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192220B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14.竞标的风险</w:t>
      </w:r>
    </w:p>
    <w:p w14:paraId="279BE3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1A5F78C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15.响应报价要求和构成</w:t>
      </w:r>
    </w:p>
    <w:p w14:paraId="3CCD4141">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49DD01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9CE85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0EB489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15.3.1供应商的响应报价应符合以下要求，否则响应文件作无效响应处理：</w:t>
      </w:r>
    </w:p>
    <w:p w14:paraId="32E7A31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14:paraId="759BEE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14:paraId="5DD779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15.3.2响应报价（包含首次报价、最后报价）超过所竞标项目/分标规定的采购预算金额或者最高限价的（如本项目公布了最高限价），其响应文件将作无效处理。</w:t>
      </w:r>
    </w:p>
    <w:p w14:paraId="690B3D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64"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响应报价（包含首次报价、最后报价）超过分项采购预算金额或者最高限价的（如本项目公布了最高限价），其响应文件将作无效处理。</w:t>
      </w:r>
    </w:p>
    <w:bookmarkEnd w:id="64"/>
    <w:p w14:paraId="1C9EA77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16.竞标有效期</w:t>
      </w:r>
    </w:p>
    <w:p w14:paraId="32902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E1BC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04E48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D89DF7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17.谈判保证金</w:t>
      </w:r>
    </w:p>
    <w:p w14:paraId="6026B7A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17.1供应商须按“供应商须知前附表”的规定提交谈判保证金。</w:t>
      </w:r>
    </w:p>
    <w:p w14:paraId="200E9C0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17.2谈判保证金的退还</w:t>
      </w:r>
    </w:p>
    <w:p w14:paraId="7F8F92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成交供应商的谈判保证金自成交通知书发出之日起5个工作日内退还，退还方式如下：</w:t>
      </w:r>
    </w:p>
    <w:p w14:paraId="38DCF9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580868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4D4186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17.2.2成交供应商的谈判保证金自签订合同之日起5个工作日内退还，退还方式同未成交供应商的谈判保证金的退还方式；或者转为成交供应商的履约保证金。 </w:t>
      </w:r>
    </w:p>
    <w:p w14:paraId="044272F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17.3谈判保证金不计息。</w:t>
      </w:r>
    </w:p>
    <w:p w14:paraId="2844B8D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17.4供应商有下列情形之一的，谈判保证金将不予退还： </w:t>
      </w:r>
    </w:p>
    <w:p w14:paraId="655E450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D34F69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ECA4C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（3）除因不可抗力或者竞争性谈判文件认可的情形以外，成交供应商不与采购人签订合同的；</w:t>
      </w:r>
    </w:p>
    <w:p w14:paraId="3E4EA0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1EEC036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（5）竞争性谈判文件规定的其他情形。</w:t>
      </w:r>
    </w:p>
    <w:p w14:paraId="4242870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18.响应文件编制的要求</w:t>
      </w:r>
    </w:p>
    <w:p w14:paraId="4D9CEE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color w:val="auto"/>
          <w:szCs w:val="24"/>
          <w:highlight w:val="none"/>
        </w:rPr>
        <w:t>由此引发的</w:t>
      </w:r>
      <w:r>
        <w:rPr>
          <w:rFonts w:hint="eastAsia" w:ascii="宋体" w:hAnsi="宋体" w:cs="宋体"/>
          <w:color w:val="auto"/>
          <w:szCs w:val="21"/>
          <w:highlight w:val="none"/>
        </w:rPr>
        <w:t>后果由供应商承担。</w:t>
      </w:r>
    </w:p>
    <w:p w14:paraId="6E68C7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18.2响应文件应按资格证明、报价分别编制，商务技术文件合并编制，本谈判只接收电子版响应文件，要求见本章“12.2响应文件电子版要求”。</w:t>
      </w:r>
    </w:p>
    <w:p w14:paraId="6079C7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65" w:name="_Hlk65832699"/>
      <w:r>
        <w:rPr>
          <w:rFonts w:hint="eastAsia" w:ascii="宋体" w:hAnsi="宋体" w:cs="宋体"/>
          <w:color w:val="auto"/>
          <w:szCs w:val="21"/>
          <w:highlight w:val="none"/>
        </w:rPr>
        <w:t>3</w:t>
      </w:r>
      <w:bookmarkEnd w:id="65"/>
      <w:r>
        <w:rPr>
          <w:rFonts w:hint="eastAsia" w:ascii="宋体" w:hAnsi="宋体"/>
          <w:color w:val="auto"/>
          <w:szCs w:val="21"/>
          <w:highlight w:val="none"/>
        </w:rPr>
        <w:t>响应文件须由供应商按</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要求</w:t>
      </w:r>
      <w:r>
        <w:rPr>
          <w:rFonts w:hint="eastAsia" w:ascii="宋体" w:hAnsi="宋体" w:cs="仿宋_GB2312"/>
          <w:color w:val="auto"/>
          <w:szCs w:val="21"/>
          <w:highlight w:val="none"/>
        </w:rPr>
        <w:t>进行签署、盖章</w:t>
      </w:r>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否则其响应文件作无效响应处理。</w:t>
      </w:r>
    </w:p>
    <w:p w14:paraId="28094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w:t>
      </w:r>
      <w:r>
        <w:rPr>
          <w:rFonts w:hint="eastAsia" w:ascii="宋体" w:hAnsi="宋体" w:cs="宋体"/>
          <w:b/>
          <w:bCs/>
          <w:color w:val="auto"/>
          <w:szCs w:val="21"/>
          <w:highlight w:val="none"/>
        </w:rPr>
        <w:t>否则其响应文件作无效响应处理</w:t>
      </w:r>
      <w:r>
        <w:rPr>
          <w:rFonts w:hint="eastAsia" w:ascii="宋体" w:hAnsi="宋体" w:cs="宋体"/>
          <w:color w:val="auto"/>
          <w:szCs w:val="21"/>
          <w:highlight w:val="none"/>
        </w:rPr>
        <w:t>。</w:t>
      </w:r>
    </w:p>
    <w:p w14:paraId="06038E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18.5响应文件应尽量避免涂改、行间插字或者删除，响应文件因涂改、行间插字或者删除导致字迹潦草或者表达不清所引起的后果由供应商承担。</w:t>
      </w:r>
    </w:p>
    <w:p w14:paraId="1EFECDE1">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19.响应文件的密封和标记</w:t>
      </w:r>
    </w:p>
    <w:p w14:paraId="0C7DECD0">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19.1供应商进行电子交易应安装客户端软件—“广西政府采购云平台新版客户端”，并按照谈判文件和电子交易平台的要求编制并加密响应文件。供应商未按规定加密的响应文件，电子交易平台将拒收并提示。</w:t>
      </w:r>
    </w:p>
    <w:p w14:paraId="6294D883">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cs="仿宋_GB2312"/>
          <w:color w:val="auto"/>
          <w:kern w:val="0"/>
          <w:szCs w:val="21"/>
          <w:highlight w:val="none"/>
          <w:lang w:val="zh-CN"/>
        </w:rPr>
        <w:t>电子交易客户端”需要提前申领CA数字证书。</w:t>
      </w:r>
    </w:p>
    <w:p w14:paraId="43A0EBFD">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cs="仿宋_GB2312"/>
          <w:color w:val="auto"/>
          <w:kern w:val="0"/>
          <w:szCs w:val="21"/>
          <w:highlight w:val="none"/>
          <w:lang w:val="zh-CN"/>
        </w:rPr>
        <w:t>”的身份认证，确保在电子交易过程中能够对相关数据电文进行加密和使用电子签名。</w:t>
      </w:r>
    </w:p>
    <w:p w14:paraId="1BCC591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20.响应文件的提交</w:t>
      </w:r>
    </w:p>
    <w:p w14:paraId="2679AA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47938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17761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3803A3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89AC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C067CA1">
      <w:pPr>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0AF57FE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21.首次响应文件的补充、修改与撤回</w:t>
      </w:r>
    </w:p>
    <w:p w14:paraId="4E2C8851">
      <w:pPr>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9831CA0">
      <w:pPr>
        <w:spacing w:line="360" w:lineRule="auto"/>
        <w:ind w:firstLine="482" w:firstLineChars="200"/>
        <w:rPr>
          <w:rFonts w:hint="eastAsia" w:ascii="宋体" w:hAnsi="宋体" w:cs="宋体"/>
          <w:b/>
          <w:bCs/>
          <w:color w:val="auto"/>
          <w:sz w:val="24"/>
          <w:szCs w:val="24"/>
          <w:highlight w:val="none"/>
        </w:rPr>
      </w:pPr>
      <w:bookmarkStart w:id="66" w:name="_Hlk45702405"/>
      <w:r>
        <w:rPr>
          <w:rFonts w:hint="eastAsia" w:ascii="宋体" w:hAnsi="宋体" w:cs="宋体"/>
          <w:b/>
          <w:bCs/>
          <w:color w:val="auto"/>
          <w:sz w:val="24"/>
          <w:szCs w:val="24"/>
          <w:highlight w:val="none"/>
        </w:rPr>
        <w:t>22.首次响应文件的退回</w:t>
      </w:r>
    </w:p>
    <w:p w14:paraId="3E07B11D">
      <w:pPr>
        <w:spacing w:line="360" w:lineRule="auto"/>
        <w:ind w:firstLine="420" w:firstLineChars="200"/>
        <w:rPr>
          <w:rFonts w:hint="eastAsia" w:ascii="宋体" w:hAnsi="宋体" w:cs="宋体"/>
          <w:color w:val="auto"/>
          <w:szCs w:val="21"/>
          <w:highlight w:val="none"/>
        </w:rPr>
      </w:pPr>
      <w:r>
        <w:rPr>
          <w:rFonts w:hint="eastAsia" w:cs="宋体"/>
          <w:color w:val="auto"/>
          <w:szCs w:val="21"/>
          <w:highlight w:val="none"/>
        </w:rPr>
        <w:t>在首次响应文件提交截止时间止提交响应文件的供应商不足3家时，电子响应文件的退回由广西政府采购云平台自动操作。</w:t>
      </w:r>
    </w:p>
    <w:p w14:paraId="52C312E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23.截止时间后的撤回</w:t>
      </w:r>
      <w:bookmarkEnd w:id="66"/>
    </w:p>
    <w:p w14:paraId="7876EE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供应商在首次响应文件提交截止时间后向采购人、采购代理机构书面申请撤回响应文件的，如本项目收取谈判保证金的，将根据本须知正文第17.4条的规定不予退还其谈判保证金。</w:t>
      </w:r>
    </w:p>
    <w:p w14:paraId="0093F5E8">
      <w:pPr>
        <w:keepNext/>
        <w:keepLines/>
        <w:spacing w:line="360" w:lineRule="auto"/>
        <w:ind w:firstLine="640" w:firstLineChars="200"/>
        <w:outlineLvl w:val="2"/>
        <w:rPr>
          <w:rFonts w:hint="eastAsia" w:ascii="宋体" w:hAnsi="宋体" w:cs="宋体"/>
          <w:color w:val="auto"/>
          <w:sz w:val="32"/>
          <w:szCs w:val="32"/>
          <w:highlight w:val="none"/>
          <w:lang w:val="zh-CN"/>
        </w:rPr>
      </w:pPr>
      <w:bookmarkStart w:id="67" w:name="_Toc29891"/>
      <w:bookmarkStart w:id="68" w:name="_Toc80205928"/>
      <w:bookmarkStart w:id="69" w:name="_Toc27026"/>
    </w:p>
    <w:p w14:paraId="399CE161">
      <w:pPr>
        <w:keepNext/>
        <w:keepLines/>
        <w:spacing w:line="360" w:lineRule="auto"/>
        <w:ind w:firstLine="640" w:firstLineChars="200"/>
        <w:outlineLvl w:val="2"/>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四、评审及谈判</w:t>
      </w:r>
      <w:bookmarkEnd w:id="67"/>
      <w:bookmarkEnd w:id="68"/>
      <w:bookmarkEnd w:id="69"/>
    </w:p>
    <w:p w14:paraId="10CC483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24.谈判小组成立</w:t>
      </w:r>
    </w:p>
    <w:p w14:paraId="527E95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F6BB4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w:t>
      </w:r>
    </w:p>
    <w:p w14:paraId="64DA016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25.首次响应文件的开启</w:t>
      </w:r>
    </w:p>
    <w:p w14:paraId="3C31BE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25.1首次响应文件由谈判小组或者采购代理机构在“供应商须知前附表”规定的时间开启。</w:t>
      </w:r>
    </w:p>
    <w:p w14:paraId="201C7D16">
      <w:pPr>
        <w:spacing w:line="360" w:lineRule="auto"/>
        <w:ind w:firstLine="400" w:firstLineChars="200"/>
        <w:rPr>
          <w:rFonts w:hint="eastAsia" w:ascii="宋体" w:hAnsi="宋体" w:cs="宋体"/>
          <w:bCs/>
          <w:color w:val="auto"/>
          <w:kern w:val="0"/>
          <w:sz w:val="20"/>
          <w:szCs w:val="21"/>
          <w:highlight w:val="none"/>
          <w:lang w:val="zh-CN"/>
        </w:rPr>
      </w:pPr>
      <w:r>
        <w:rPr>
          <w:rFonts w:hint="eastAsia" w:ascii="宋体" w:hAnsi="宋体" w:cs="宋体"/>
          <w:color w:val="auto"/>
          <w:kern w:val="0"/>
          <w:sz w:val="20"/>
          <w:szCs w:val="21"/>
          <w:highlight w:val="none"/>
          <w:lang w:val="zh-CN"/>
        </w:rPr>
        <w:t xml:space="preserve">25.2 </w:t>
      </w:r>
      <w:r>
        <w:rPr>
          <w:rFonts w:hint="eastAsia" w:ascii="宋体" w:hAnsi="宋体" w:cs="宋体"/>
          <w:bCs/>
          <w:color w:val="auto"/>
          <w:kern w:val="0"/>
          <w:sz w:val="20"/>
          <w:szCs w:val="21"/>
          <w:highlight w:val="none"/>
          <w:lang w:val="zh-CN"/>
        </w:rPr>
        <w:t>响应文件解密</w:t>
      </w:r>
    </w:p>
    <w:p w14:paraId="601D8696">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bCs/>
          <w:color w:val="auto"/>
          <w:kern w:val="0"/>
          <w:szCs w:val="21"/>
          <w:highlight w:val="none"/>
          <w:lang w:val="zh-CN"/>
        </w:rPr>
        <w:t>采购代理机构将在“供应商须知前附表”规定的时</w:t>
      </w:r>
      <w:r>
        <w:rPr>
          <w:rFonts w:hint="eastAsia" w:ascii="宋体" w:hAnsi="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cs="宋体"/>
          <w:b/>
          <w:color w:val="auto"/>
          <w:kern w:val="0"/>
          <w:szCs w:val="21"/>
          <w:highlight w:val="none"/>
        </w:rPr>
        <w:t>规定的时间内</w:t>
      </w:r>
      <w:r>
        <w:rPr>
          <w:rFonts w:hint="eastAsia" w:ascii="宋体" w:hAnsi="宋体" w:cs="宋体"/>
          <w:b/>
          <w:color w:val="auto"/>
          <w:kern w:val="0"/>
          <w:szCs w:val="21"/>
          <w:highlight w:val="none"/>
          <w:lang w:val="zh-CN"/>
        </w:rPr>
        <w:t>完成对电子响应文件在线解密</w:t>
      </w:r>
      <w:r>
        <w:rPr>
          <w:rFonts w:hint="eastAsia" w:ascii="宋体" w:hAnsi="宋体" w:cs="宋体"/>
          <w:color w:val="auto"/>
          <w:kern w:val="0"/>
          <w:szCs w:val="21"/>
          <w:highlight w:val="none"/>
          <w:lang w:val="zh-CN"/>
        </w:rPr>
        <w:t>。</w:t>
      </w:r>
      <w:r>
        <w:rPr>
          <w:rFonts w:hint="eastAsia" w:ascii="宋体" w:hAnsi="宋体" w:cs="宋体"/>
          <w:color w:val="auto"/>
          <w:kern w:val="1"/>
          <w:szCs w:val="21"/>
          <w:highlight w:val="none"/>
        </w:rPr>
        <w:t>响应文件未按时</w:t>
      </w:r>
      <w:r>
        <w:rPr>
          <w:rFonts w:hint="eastAsia" w:ascii="宋体" w:hAnsi="宋体" w:cs="宋体"/>
          <w:color w:val="auto"/>
          <w:kern w:val="0"/>
          <w:szCs w:val="21"/>
          <w:highlight w:val="none"/>
          <w:lang w:val="zh-CN"/>
        </w:rPr>
        <w:t>解密的，</w:t>
      </w:r>
      <w:r>
        <w:rPr>
          <w:rFonts w:hint="eastAsia" w:ascii="宋体" w:hAnsi="宋体" w:cs="宋体"/>
          <w:b/>
          <w:color w:val="auto"/>
          <w:kern w:val="0"/>
          <w:szCs w:val="21"/>
          <w:highlight w:val="none"/>
          <w:lang w:val="zh-CN"/>
        </w:rPr>
        <w:t>视为响应文件无效。</w:t>
      </w:r>
      <w:r>
        <w:rPr>
          <w:rFonts w:hint="eastAsia" w:ascii="宋体" w:hAnsi="宋体" w:cs="宋体"/>
          <w:color w:val="auto"/>
          <w:kern w:val="0"/>
          <w:szCs w:val="21"/>
          <w:highlight w:val="none"/>
          <w:lang w:val="zh-CN"/>
        </w:rPr>
        <w:t>（解密</w:t>
      </w:r>
      <w:r>
        <w:rPr>
          <w:rFonts w:hint="eastAsia" w:ascii="宋体" w:hAnsi="宋体" w:cs="宋体"/>
          <w:bCs/>
          <w:color w:val="auto"/>
          <w:kern w:val="0"/>
          <w:szCs w:val="21"/>
          <w:highlight w:val="none"/>
          <w:lang w:val="zh-CN"/>
        </w:rPr>
        <w:t>异常情况处理：详见本章</w:t>
      </w:r>
      <w:r>
        <w:rPr>
          <w:rFonts w:hint="eastAsia" w:ascii="宋体" w:hAnsi="宋体" w:cs="宋体"/>
          <w:color w:val="auto"/>
          <w:kern w:val="0"/>
          <w:szCs w:val="21"/>
          <w:highlight w:val="none"/>
          <w:lang w:val="zh-CN"/>
        </w:rPr>
        <w:t>26.3 电子交易活动的中止。）</w:t>
      </w:r>
    </w:p>
    <w:p w14:paraId="06DBBA37">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w:t>
      </w:r>
      <w:r>
        <w:rPr>
          <w:rFonts w:hint="eastAsia" w:ascii="宋体" w:hAnsi="宋体" w:cs="宋体"/>
          <w:bCs/>
          <w:color w:val="auto"/>
          <w:kern w:val="0"/>
          <w:szCs w:val="21"/>
          <w:highlight w:val="none"/>
          <w:lang w:val="zh-CN"/>
        </w:rPr>
        <w:t>供应商成功解密响应文件，但未在广西政府采购云平台电子开标大厅参加谈判的，视同认可谈判过程和结果，</w:t>
      </w:r>
      <w:r>
        <w:rPr>
          <w:rFonts w:hint="eastAsia" w:ascii="宋体" w:hAnsi="宋体" w:cs="宋体"/>
          <w:color w:val="auto"/>
          <w:kern w:val="0"/>
          <w:szCs w:val="21"/>
          <w:highlight w:val="none"/>
          <w:lang w:val="zh-CN"/>
        </w:rPr>
        <w:t>由此产生的后果由供应商自行负责。 参与谈判的供应商不足3家的，不得谈判。</w:t>
      </w:r>
    </w:p>
    <w:p w14:paraId="38126F8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26.评审程序、评审方法和成交标准</w:t>
      </w:r>
    </w:p>
    <w:p w14:paraId="784724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w:t>
      </w:r>
      <w:r>
        <w:rPr>
          <w:rFonts w:hint="eastAsia" w:ascii="宋体" w:hAnsi="宋体" w:cs="宋体"/>
          <w:color w:val="auto"/>
          <w:highlight w:val="none"/>
        </w:rPr>
        <w:t>本项目的评审方法详见“供应商须知前附表”。</w:t>
      </w:r>
      <w:r>
        <w:rPr>
          <w:rFonts w:hint="eastAsia" w:ascii="宋体" w:hAnsi="宋体" w:cs="宋体"/>
          <w:color w:val="auto"/>
          <w:szCs w:val="21"/>
          <w:highlight w:val="none"/>
        </w:rPr>
        <w:t>谈判小组按照“第四章 评审程序、评审方法和成交标准”规定的方法、评审因素、标准和程序对响应文件进行评审。</w:t>
      </w:r>
    </w:p>
    <w:p w14:paraId="15D7D9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采购需求负偏离要求及谈判顺序详见 “供应商须知前附表”。</w:t>
      </w:r>
    </w:p>
    <w:p w14:paraId="7ECC83EA">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14:paraId="23E80172">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（1）电子交易平台发生故障而无法登录访问的； </w:t>
      </w:r>
    </w:p>
    <w:p w14:paraId="078A4A71">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（2）电子交易平台应用或数据库出现错误，不能进行正常操作的；</w:t>
      </w:r>
    </w:p>
    <w:p w14:paraId="43F8A92C">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（3）电子交易平台发现严重安全漏洞，有潜在泄密危险的；</w:t>
      </w:r>
    </w:p>
    <w:p w14:paraId="691AC3AB">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（4）病毒发作导致不能进行正常操作的； </w:t>
      </w:r>
    </w:p>
    <w:p w14:paraId="0C157C76">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（5）其他无法保证电子交易的公平、公正和安全的情况。</w:t>
      </w:r>
    </w:p>
    <w:p w14:paraId="036238C9">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FE35C9B">
      <w:pPr>
        <w:keepNext/>
        <w:keepLines/>
        <w:spacing w:line="360" w:lineRule="auto"/>
        <w:ind w:firstLine="640" w:firstLineChars="200"/>
        <w:outlineLvl w:val="2"/>
        <w:rPr>
          <w:rFonts w:hint="eastAsia" w:ascii="宋体" w:hAnsi="宋体" w:cs="宋体"/>
          <w:color w:val="auto"/>
          <w:sz w:val="32"/>
          <w:szCs w:val="32"/>
          <w:highlight w:val="none"/>
          <w:lang w:val="zh-CN"/>
        </w:rPr>
      </w:pPr>
      <w:bookmarkStart w:id="70" w:name="_Toc27888"/>
      <w:bookmarkStart w:id="71" w:name="_Toc14872"/>
      <w:bookmarkStart w:id="72" w:name="_Toc80205929"/>
    </w:p>
    <w:p w14:paraId="57681FD0">
      <w:pPr>
        <w:keepNext/>
        <w:keepLines/>
        <w:spacing w:line="360" w:lineRule="auto"/>
        <w:ind w:firstLine="640" w:firstLineChars="200"/>
        <w:outlineLvl w:val="2"/>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五、成交及合同</w:t>
      </w:r>
      <w:bookmarkEnd w:id="70"/>
      <w:bookmarkEnd w:id="71"/>
      <w:bookmarkEnd w:id="72"/>
    </w:p>
    <w:p w14:paraId="682C193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27.确定成交供应商及结果公告</w:t>
      </w:r>
    </w:p>
    <w:p w14:paraId="136A67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FDAD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751E12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73"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3"/>
    </w:p>
    <w:p w14:paraId="6F3774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DD17CA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p>
    <w:p w14:paraId="3EBB42A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28.履约保证金</w:t>
      </w:r>
    </w:p>
    <w:p w14:paraId="4BDD273C">
      <w:pPr>
        <w:pStyle w:val="13"/>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14:paraId="4E6F117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3FA62E1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28.3在履约保证金退还日期前，若成交供应商的开户名称、开户银行、账号有变动的，请以书面形式通知履约保证金收取单位，否则由此产生的后果由成交供应商自负。</w:t>
      </w:r>
    </w:p>
    <w:p w14:paraId="4F1BC44C">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29.签订合同</w:t>
      </w:r>
    </w:p>
    <w:p w14:paraId="13BACF66">
      <w:pPr>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color w:val="auto"/>
          <w:kern w:val="0"/>
          <w:szCs w:val="21"/>
          <w:highlight w:val="none"/>
          <w:lang w:val="zh-CN"/>
        </w:rPr>
        <w:t>如成交供应商为联合体的，由联合体成员各方法定代表人或其授权代表与采购人代表签订合同。</w:t>
      </w:r>
    </w:p>
    <w:p w14:paraId="49A696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222C1E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1399B2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CF5574C">
      <w:pPr>
        <w:spacing w:line="360" w:lineRule="auto"/>
        <w:ind w:firstLine="420" w:firstLineChars="200"/>
        <w:rPr>
          <w:rFonts w:hint="eastAsia" w:ascii="宋体" w:hAnsi="宋体" w:cs="宋体"/>
          <w:b/>
          <w:bCs/>
          <w:i/>
          <w:iCs/>
          <w:color w:val="auto"/>
          <w:szCs w:val="21"/>
          <w:highlight w:val="none"/>
        </w:rPr>
      </w:pPr>
      <w:r>
        <w:rPr>
          <w:rFonts w:hint="eastAsia" w:ascii="宋体" w:hAnsi="宋体" w:cs="宋体"/>
          <w:color w:val="auto"/>
          <w:kern w:val="0"/>
          <w:szCs w:val="21"/>
          <w:highlight w:val="none"/>
        </w:rPr>
        <w:t>29.5采购合同由采购人与成交供应商根据谈判文件、响应文件等内容签订，</w:t>
      </w:r>
      <w:r>
        <w:rPr>
          <w:rFonts w:hint="eastAsia" w:ascii="宋体" w:hAnsi="宋体" w:cs="宋体"/>
          <w:color w:val="auto"/>
          <w:szCs w:val="21"/>
          <w:highlight w:val="none"/>
        </w:rPr>
        <w:t>成交供应商应当在签订合同时按供应商须知前附表规定向采购人出示相关证明材料，经采购人核验合格后方可签订合同。</w:t>
      </w:r>
    </w:p>
    <w:p w14:paraId="15B7A6B1">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30.政府采购合同公告</w:t>
      </w:r>
    </w:p>
    <w:p w14:paraId="6BB515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1C9560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 询问、质疑和投诉</w:t>
      </w:r>
    </w:p>
    <w:p w14:paraId="5512810B">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31.1供应商对政府采购活动事项有疑问的，可以向采购人或者采购代理机构提出询问，采购人或者采购代理机构应当在3个工作日内对供应商依法提出的询问作出答复。</w:t>
      </w:r>
    </w:p>
    <w:p w14:paraId="6ADD37C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4"/>
          <w:highlight w:val="none"/>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zCs w:val="24"/>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szCs w:val="24"/>
          <w:highlight w:val="none"/>
        </w:rPr>
        <w:t>。</w:t>
      </w:r>
      <w:r>
        <w:rPr>
          <w:rFonts w:hint="eastAsia" w:ascii="宋体" w:hAnsi="宋体" w:cs="宋体"/>
          <w:b/>
          <w:color w:val="auto"/>
          <w:szCs w:val="21"/>
          <w:highlight w:val="none"/>
        </w:rPr>
        <w:t xml:space="preserve">具体质疑起算时间及处理方式如下： </w:t>
      </w:r>
    </w:p>
    <w:p w14:paraId="5A262D80">
      <w:pPr>
        <w:spacing w:line="360" w:lineRule="auto"/>
        <w:ind w:firstLine="420" w:firstLineChars="200"/>
        <w:rPr>
          <w:rFonts w:hint="eastAsia" w:ascii="宋体" w:hAnsi="宋体" w:cs="宋体"/>
          <w:bCs/>
          <w:color w:val="auto"/>
          <w:szCs w:val="24"/>
          <w:highlight w:val="none"/>
        </w:rPr>
      </w:pPr>
      <w:r>
        <w:rPr>
          <w:rFonts w:hint="eastAsia" w:ascii="宋体" w:hAnsi="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cs="宋体"/>
          <w:color w:val="auto"/>
          <w:szCs w:val="24"/>
          <w:highlight w:val="none"/>
        </w:rPr>
        <w:t>委托代理协议无特殊约定的，</w:t>
      </w:r>
      <w:r>
        <w:rPr>
          <w:rFonts w:hint="eastAsia" w:ascii="宋体" w:hAnsi="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0EE437E8">
      <w:pPr>
        <w:spacing w:line="360" w:lineRule="auto"/>
        <w:ind w:firstLine="420" w:firstLineChars="200"/>
        <w:rPr>
          <w:rFonts w:hint="eastAsia" w:ascii="宋体" w:hAnsi="宋体" w:cs="宋体"/>
          <w:bCs/>
          <w:color w:val="auto"/>
          <w:szCs w:val="24"/>
          <w:highlight w:val="none"/>
        </w:rPr>
      </w:pPr>
      <w:r>
        <w:rPr>
          <w:rFonts w:hint="eastAsia" w:ascii="宋体" w:hAnsi="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19163B27">
      <w:pPr>
        <w:spacing w:line="360" w:lineRule="auto"/>
        <w:ind w:firstLine="420" w:firstLineChars="200"/>
        <w:rPr>
          <w:rFonts w:hint="eastAsia" w:ascii="宋体" w:hAnsi="宋体" w:cs="宋体"/>
          <w:bCs/>
          <w:color w:val="auto"/>
          <w:szCs w:val="24"/>
          <w:highlight w:val="none"/>
        </w:rPr>
      </w:pPr>
      <w:r>
        <w:rPr>
          <w:rFonts w:hint="eastAsia" w:ascii="宋体" w:hAnsi="宋体" w:cs="宋体"/>
          <w:bCs/>
          <w:color w:val="auto"/>
          <w:szCs w:val="24"/>
          <w:highlight w:val="none"/>
        </w:rPr>
        <w:t>（3）供应商认为成交结果使自己的权益受到损害的，应当在成交结果公告期限届满之日起7个工作日内提出质疑，由采购人受理并负责答复。</w:t>
      </w:r>
    </w:p>
    <w:p w14:paraId="08C5EFA6">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C3F8B1E">
      <w:pPr>
        <w:spacing w:line="360" w:lineRule="auto"/>
        <w:ind w:firstLine="422" w:firstLineChars="200"/>
        <w:rPr>
          <w:rFonts w:hint="eastAsia" w:ascii="宋体" w:hAnsi="宋体" w:cs="宋体"/>
          <w:color w:val="auto"/>
          <w:szCs w:val="24"/>
          <w:highlight w:val="none"/>
        </w:rPr>
      </w:pPr>
      <w:r>
        <w:rPr>
          <w:rFonts w:hint="eastAsia" w:ascii="宋体" w:hAnsi="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14:paraId="5DC519B0">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（1）供应商的姓名或者名称、地址、邮编、联系人及联系电话；</w:t>
      </w:r>
    </w:p>
    <w:p w14:paraId="377E16FE">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（2）质疑项目的名称、编号；</w:t>
      </w:r>
    </w:p>
    <w:p w14:paraId="78F195DD">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（3）具体、明确的质疑事项和与质疑事项相关的请求；</w:t>
      </w:r>
    </w:p>
    <w:p w14:paraId="5D85A913">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（4）事实依据；</w:t>
      </w:r>
    </w:p>
    <w:p w14:paraId="5BF3BB0B">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（5）必要的法律依据；</w:t>
      </w:r>
    </w:p>
    <w:p w14:paraId="725C9F32">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（6）提出质疑的日期。</w:t>
      </w:r>
    </w:p>
    <w:p w14:paraId="4FF104DA">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供应商为自然人的，应当由本人签字；供应商为法人或者其他组织的，应当由法定代表人、主要负责人，或者其委托代理人签字或者盖章，并加盖公章。</w:t>
      </w:r>
    </w:p>
    <w:p w14:paraId="2AE95769">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6D7E940F">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6B180874">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5034CC1F">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质疑答复导致成交结果改变的，采购人或者采购代理机构应当将有关情况书面报告本级财政部门。</w:t>
      </w:r>
    </w:p>
    <w:p w14:paraId="5090522F">
      <w:pPr>
        <w:spacing w:line="360" w:lineRule="auto"/>
        <w:ind w:firstLine="422" w:firstLineChars="200"/>
        <w:rPr>
          <w:rFonts w:hint="eastAsia" w:ascii="宋体" w:hAnsi="宋体" w:cs="宋体"/>
          <w:b/>
          <w:bCs/>
          <w:color w:val="auto"/>
          <w:szCs w:val="24"/>
          <w:highlight w:val="none"/>
        </w:rPr>
      </w:pPr>
      <w:r>
        <w:rPr>
          <w:rFonts w:hint="eastAsia" w:ascii="宋体" w:hAnsi="宋体" w:cs="宋体"/>
          <w:b/>
          <w:bCs/>
          <w:color w:val="auto"/>
          <w:szCs w:val="24"/>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0FD6648">
      <w:pPr>
        <w:spacing w:line="360" w:lineRule="auto"/>
        <w:ind w:firstLine="420" w:firstLineChars="200"/>
        <w:rPr>
          <w:color w:val="auto"/>
          <w:highlight w:val="none"/>
        </w:rPr>
      </w:pPr>
    </w:p>
    <w:p w14:paraId="0922C862">
      <w:pPr>
        <w:keepNext/>
        <w:keepLines/>
        <w:spacing w:line="360" w:lineRule="auto"/>
        <w:ind w:firstLine="643" w:firstLineChars="200"/>
        <w:outlineLvl w:val="2"/>
        <w:rPr>
          <w:rFonts w:hint="eastAsia" w:ascii="宋体" w:hAnsi="宋体" w:cs="宋体"/>
          <w:bCs/>
          <w:color w:val="auto"/>
          <w:sz w:val="32"/>
          <w:szCs w:val="32"/>
          <w:highlight w:val="none"/>
          <w:lang w:val="zh-CN"/>
        </w:rPr>
      </w:pPr>
      <w:bookmarkStart w:id="74" w:name="_Toc80205930"/>
      <w:bookmarkStart w:id="75" w:name="_Toc3359"/>
      <w:bookmarkStart w:id="76" w:name="_Toc16052"/>
      <w:r>
        <w:rPr>
          <w:rFonts w:hint="eastAsia" w:ascii="宋体" w:hAnsi="宋体" w:cs="宋体"/>
          <w:b/>
          <w:bCs/>
          <w:color w:val="auto"/>
          <w:sz w:val="32"/>
          <w:szCs w:val="32"/>
          <w:highlight w:val="none"/>
          <w:lang w:val="zh-CN"/>
        </w:rPr>
        <w:t>六</w:t>
      </w:r>
      <w:r>
        <w:rPr>
          <w:rFonts w:hint="eastAsia" w:ascii="宋体" w:hAnsi="宋体" w:cs="宋体"/>
          <w:bCs/>
          <w:color w:val="auto"/>
          <w:sz w:val="32"/>
          <w:szCs w:val="32"/>
          <w:highlight w:val="none"/>
          <w:lang w:val="zh-CN"/>
        </w:rPr>
        <w:t>、</w:t>
      </w:r>
      <w:r>
        <w:rPr>
          <w:rFonts w:hint="eastAsia" w:ascii="宋体" w:hAnsi="宋体" w:cs="宋体"/>
          <w:b/>
          <w:color w:val="auto"/>
          <w:sz w:val="32"/>
          <w:szCs w:val="32"/>
          <w:highlight w:val="none"/>
          <w:lang w:val="zh-CN"/>
        </w:rPr>
        <w:t>验收</w:t>
      </w:r>
      <w:bookmarkEnd w:id="74"/>
      <w:bookmarkEnd w:id="75"/>
      <w:bookmarkEnd w:id="76"/>
    </w:p>
    <w:p w14:paraId="6E7971DD">
      <w:pPr>
        <w:tabs>
          <w:tab w:val="left" w:pos="0"/>
        </w:tabs>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32.验收</w:t>
      </w:r>
    </w:p>
    <w:p w14:paraId="3A187E69">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9383FB">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FD69852">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ascii="宋体" w:hAnsi="宋体" w:cs="宋体"/>
          <w:color w:val="auto"/>
          <w:kern w:val="0"/>
          <w:szCs w:val="21"/>
          <w:highlight w:val="none"/>
        </w:rPr>
        <w:t>返还条件挂钩。履约验收的各项资料应当存档备查。</w:t>
      </w:r>
    </w:p>
    <w:p w14:paraId="3F145202">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606C8">
      <w:pPr>
        <w:keepNext/>
        <w:keepLines/>
        <w:spacing w:line="360" w:lineRule="auto"/>
        <w:ind w:firstLine="643" w:firstLineChars="200"/>
        <w:outlineLvl w:val="2"/>
        <w:rPr>
          <w:rFonts w:hint="eastAsia" w:ascii="宋体" w:hAnsi="宋体" w:cs="宋体"/>
          <w:b/>
          <w:bCs/>
          <w:color w:val="auto"/>
          <w:sz w:val="32"/>
          <w:szCs w:val="32"/>
          <w:highlight w:val="none"/>
          <w:lang w:val="zh-CN"/>
        </w:rPr>
      </w:pPr>
      <w:bookmarkStart w:id="77" w:name="_Toc21057"/>
      <w:bookmarkStart w:id="78" w:name="_Toc32550"/>
      <w:bookmarkStart w:id="79" w:name="_Toc80205931"/>
      <w:r>
        <w:rPr>
          <w:rFonts w:hint="eastAsia" w:ascii="宋体" w:hAnsi="宋体" w:cs="宋体"/>
          <w:b/>
          <w:bCs/>
          <w:color w:val="auto"/>
          <w:sz w:val="32"/>
          <w:szCs w:val="32"/>
          <w:highlight w:val="none"/>
          <w:lang w:val="zh-CN"/>
        </w:rPr>
        <w:t>七、其他事项</w:t>
      </w:r>
      <w:bookmarkEnd w:id="77"/>
      <w:bookmarkEnd w:id="78"/>
      <w:bookmarkEnd w:id="79"/>
    </w:p>
    <w:p w14:paraId="7B09C49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33.采购代理服务费</w:t>
      </w:r>
    </w:p>
    <w:p w14:paraId="5057E3DE">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33.1采购代理服务费收费标准及缴费账户详见“供应商须知前附表”，供应商为联合体的，可以由联合体中的一方或者多方共同缴纳采购代理服务费。</w:t>
      </w:r>
    </w:p>
    <w:p w14:paraId="3055E8B9">
      <w:pPr>
        <w:pStyle w:val="15"/>
        <w:ind w:firstLine="420" w:firstLineChars="200"/>
        <w:rPr>
          <w:rFonts w:hint="eastAsia" w:ascii="宋体" w:hAnsi="宋体" w:cs="宋体"/>
          <w:color w:val="auto"/>
          <w:highlight w:val="none"/>
          <w:lang w:val="en-US"/>
        </w:rPr>
      </w:pPr>
      <w:r>
        <w:rPr>
          <w:rFonts w:hint="eastAsia" w:ascii="宋体" w:hAnsi="宋体" w:cs="宋体"/>
          <w:color w:val="auto"/>
          <w:highlight w:val="none"/>
          <w:lang w:val="en-US"/>
        </w:rPr>
        <w:t>33.2采购代理服务费收费计算标准：</w:t>
      </w:r>
    </w:p>
    <w:tbl>
      <w:tblPr>
        <w:tblStyle w:val="3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A4E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464BD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C1B86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5062459">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D0F23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3A7923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5EF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2CAF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148205F7">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0F6326D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9B417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B70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52A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07DB208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6CE8B15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BD1DFA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5C6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CB18F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64216688">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D284FB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1B4642B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EC5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F184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44DEBE2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2175747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69C9503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1E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34BB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F476A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230C51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33504D7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0FFB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2507B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A5D7F1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32A566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66D8C2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3ACC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96E7C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3929C4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0C817D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13D2493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2D6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30D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C12B44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29BEC36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67FA165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3CF4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45DD7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04795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79F50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6A664873">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03C5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ADC3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30444F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E43DC0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4FDF44C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2EB34A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注： </w:t>
      </w:r>
    </w:p>
    <w:p w14:paraId="4CDB8A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4E22F0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799155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14:paraId="244B7F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7CD507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×1.1％＝ 0.55 万元</w:t>
      </w:r>
    </w:p>
    <w:p w14:paraId="57CFACE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合计收费＝ 1.5 ＋ 0.55＝ 2.05 （万元）</w:t>
      </w:r>
    </w:p>
    <w:p w14:paraId="20B2778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34.需要补充的其他内容</w:t>
      </w:r>
    </w:p>
    <w:p w14:paraId="031E312A">
      <w:pPr>
        <w:spacing w:line="360" w:lineRule="auto"/>
        <w:ind w:firstLine="420" w:firstLineChars="200"/>
        <w:contextualSpacing/>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34.1本谈判文件解释规则详见“供应商须知前附表”。</w:t>
      </w:r>
    </w:p>
    <w:p w14:paraId="6E6C3728">
      <w:pPr>
        <w:spacing w:line="360" w:lineRule="auto"/>
        <w:ind w:firstLine="420" w:firstLineChars="200"/>
        <w:contextualSpacing/>
        <w:rPr>
          <w:rFonts w:hint="eastAsia" w:ascii="宋体" w:hAnsi="宋体" w:cs="宋体"/>
          <w:color w:val="auto"/>
          <w:szCs w:val="24"/>
          <w:highlight w:val="none"/>
        </w:rPr>
      </w:pPr>
      <w:r>
        <w:rPr>
          <w:rFonts w:hint="eastAsia" w:ascii="宋体" w:hAnsi="宋体" w:cs="宋体"/>
          <w:color w:val="auto"/>
          <w:kern w:val="0"/>
          <w:szCs w:val="21"/>
          <w:highlight w:val="none"/>
        </w:rPr>
        <w:t>34.2 其他事</w:t>
      </w:r>
      <w:r>
        <w:rPr>
          <w:rFonts w:hint="eastAsia" w:ascii="宋体" w:hAnsi="宋体" w:cs="宋体"/>
          <w:color w:val="auto"/>
          <w:szCs w:val="24"/>
          <w:highlight w:val="none"/>
        </w:rPr>
        <w:t>项详见“供应商须知前附表”。</w:t>
      </w:r>
    </w:p>
    <w:p w14:paraId="4DFAC6F2">
      <w:pPr>
        <w:spacing w:line="360" w:lineRule="auto"/>
        <w:ind w:firstLine="400" w:firstLineChars="200"/>
        <w:contextualSpacing/>
        <w:rPr>
          <w:rFonts w:hint="eastAsia" w:hAnsi="宋体" w:cs="宋体"/>
          <w:color w:val="auto"/>
          <w:highlight w:val="none"/>
        </w:rPr>
      </w:pPr>
      <w:r>
        <w:rPr>
          <w:rFonts w:hint="eastAsia" w:ascii="宋体" w:hAnsi="宋体" w:cs="宋体"/>
          <w:color w:val="auto"/>
          <w:kern w:val="0"/>
          <w:sz w:val="20"/>
          <w:szCs w:val="21"/>
          <w:highlight w:val="none"/>
          <w:lang w:val="zh-CN"/>
        </w:rPr>
        <w:t>34.3</w:t>
      </w:r>
      <w:bookmarkStart w:id="80" w:name="_Hlk65857140"/>
      <w:r>
        <w:rPr>
          <w:rFonts w:hint="eastAsia" w:ascii="宋体" w:hAnsi="宋体"/>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20E9BC47">
      <w:pPr>
        <w:spacing w:line="360" w:lineRule="auto"/>
        <w:ind w:firstLine="420" w:firstLineChars="200"/>
        <w:contextualSpacing/>
        <w:rPr>
          <w:rFonts w:hint="eastAsia" w:ascii="宋体" w:hAnsi="宋体" w:cs="宋体"/>
          <w:color w:val="auto"/>
          <w:kern w:val="0"/>
          <w:szCs w:val="21"/>
          <w:highlight w:val="none"/>
          <w:lang w:val="zh-CN"/>
        </w:rPr>
      </w:pPr>
      <w:r>
        <w:rPr>
          <w:rFonts w:hint="eastAsia" w:hAnsi="宋体" w:cs="宋体"/>
          <w:color w:val="auto"/>
          <w:highlight w:val="none"/>
        </w:rPr>
        <w:t>在货物采购项目中，供应商提供的货物既有中小企业制造货物，也有大型企业制造货物的，不享受本文件规定的中小企业扶持政策。</w:t>
      </w: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r>
        <w:rPr>
          <w:rFonts w:hint="eastAsia" w:ascii="宋体" w:hAnsi="宋体" w:cs="宋体"/>
          <w:color w:val="auto"/>
          <w:kern w:val="0"/>
          <w:szCs w:val="21"/>
          <w:highlight w:val="none"/>
          <w:lang w:val="zh-CN"/>
        </w:rPr>
        <w:t>。</w:t>
      </w:r>
    </w:p>
    <w:p w14:paraId="2BAE7AF7">
      <w:pPr>
        <w:spacing w:line="360" w:lineRule="auto"/>
        <w:ind w:firstLine="420" w:firstLineChars="200"/>
        <w:textAlignment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依据本文件规定享受扶持政策获得政府采购合同的，小微企业不得将合同分包给大中型企业，中型企业不得将合同分包给大型企业。</w:t>
      </w:r>
      <w:bookmarkEnd w:id="80"/>
    </w:p>
    <w:p w14:paraId="00B636DC">
      <w:pPr>
        <w:spacing w:line="360" w:lineRule="auto"/>
        <w:ind w:firstLine="480" w:firstLineChars="200"/>
        <w:rPr>
          <w:rFonts w:hint="eastAsia" w:ascii="宋体" w:hAnsi="宋体" w:cs="宋体"/>
          <w:color w:val="auto"/>
          <w:sz w:val="24"/>
          <w:szCs w:val="24"/>
          <w:highlight w:val="none"/>
        </w:rPr>
      </w:pPr>
    </w:p>
    <w:p w14:paraId="37242B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w:t>
      </w:r>
      <w:r>
        <w:rPr>
          <w:rFonts w:hint="eastAsia" w:ascii="宋体" w:hAnsi="宋体" w:cs="宋体"/>
          <w:color w:val="auto"/>
          <w:sz w:val="24"/>
          <w:highlight w:val="none"/>
        </w:rPr>
        <w:t>广西线上“政采贷”</w:t>
      </w:r>
      <w:r>
        <w:rPr>
          <w:rFonts w:hint="eastAsia" w:ascii="宋体" w:hAnsi="宋体" w:cs="宋体"/>
          <w:color w:val="auto"/>
          <w:sz w:val="24"/>
          <w:szCs w:val="24"/>
          <w:highlight w:val="none"/>
        </w:rPr>
        <w:t>政策告知函：</w:t>
      </w:r>
    </w:p>
    <w:p w14:paraId="74F45BBA">
      <w:pPr>
        <w:spacing w:line="5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35A48577">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29A66D01">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6E9FA122">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EEACA1D">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6"/>
          <w:rFonts w:hint="eastAsia" w:ascii="宋体" w:hAnsi="宋体" w:cs="宋体"/>
          <w:color w:val="auto"/>
          <w:szCs w:val="21"/>
          <w:highlight w:val="none"/>
        </w:rPr>
        <w:t>https://www.crcrfsp.com/</w:t>
      </w:r>
      <w:r>
        <w:rPr>
          <w:rStyle w:val="36"/>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4B494DE0">
      <w:pPr>
        <w:spacing w:line="360" w:lineRule="auto"/>
        <w:ind w:firstLine="402" w:firstLineChars="200"/>
        <w:contextualSpacing/>
        <w:rPr>
          <w:rFonts w:hint="eastAsia" w:ascii="宋体" w:hAnsi="宋体" w:cs="宋体"/>
          <w:b/>
          <w:color w:val="auto"/>
          <w:kern w:val="0"/>
          <w:sz w:val="20"/>
          <w:szCs w:val="21"/>
          <w:highlight w:val="none"/>
        </w:rPr>
      </w:pPr>
    </w:p>
    <w:p w14:paraId="79DC0A81">
      <w:pPr>
        <w:rPr>
          <w:rFonts w:hint="eastAsia" w:ascii="宋体" w:hAnsi="宋体" w:cs="宋体"/>
          <w:b/>
          <w:color w:val="auto"/>
          <w:kern w:val="0"/>
          <w:sz w:val="20"/>
          <w:szCs w:val="21"/>
          <w:highlight w:val="none"/>
        </w:rPr>
      </w:pPr>
    </w:p>
    <w:p w14:paraId="26F6E4A3">
      <w:pPr>
        <w:spacing w:line="360" w:lineRule="auto"/>
        <w:ind w:firstLine="402" w:firstLineChars="200"/>
        <w:contextualSpacing/>
        <w:rPr>
          <w:rFonts w:hint="eastAsia" w:ascii="宋体" w:hAnsi="宋体" w:cs="宋体"/>
          <w:color w:val="auto"/>
          <w:kern w:val="0"/>
          <w:sz w:val="20"/>
          <w:szCs w:val="21"/>
          <w:highlight w:val="none"/>
        </w:rPr>
      </w:pPr>
      <w:r>
        <w:rPr>
          <w:rFonts w:hint="eastAsia" w:ascii="宋体" w:hAnsi="宋体" w:cs="宋体"/>
          <w:b/>
          <w:color w:val="auto"/>
          <w:kern w:val="0"/>
          <w:sz w:val="20"/>
          <w:szCs w:val="21"/>
          <w:highlight w:val="none"/>
        </w:rPr>
        <w:br w:type="page"/>
      </w:r>
    </w:p>
    <w:p w14:paraId="5A8D6D63">
      <w:pPr>
        <w:keepNext/>
        <w:keepLines/>
        <w:spacing w:before="340" w:after="330" w:line="578" w:lineRule="auto"/>
        <w:jc w:val="center"/>
        <w:outlineLvl w:val="0"/>
        <w:rPr>
          <w:rFonts w:hint="eastAsia" w:ascii="宋体" w:hAnsi="宋体" w:cs="宋体"/>
          <w:b/>
          <w:bCs/>
          <w:color w:val="auto"/>
          <w:kern w:val="44"/>
          <w:sz w:val="44"/>
          <w:szCs w:val="44"/>
          <w:highlight w:val="none"/>
          <w:lang w:val="zh-CN"/>
        </w:rPr>
      </w:pPr>
      <w:bookmarkStart w:id="81" w:name="_Toc80205932"/>
      <w:bookmarkStart w:id="82" w:name="_Toc11059"/>
      <w:r>
        <w:rPr>
          <w:rFonts w:hint="eastAsia" w:ascii="宋体" w:hAnsi="宋体" w:cs="宋体"/>
          <w:b/>
          <w:bCs/>
          <w:color w:val="auto"/>
          <w:kern w:val="44"/>
          <w:sz w:val="44"/>
          <w:szCs w:val="44"/>
          <w:highlight w:val="none"/>
          <w:lang w:val="zh-CN"/>
        </w:rPr>
        <w:t>第四章  评审程序、评审方法和成交标准</w:t>
      </w:r>
      <w:bookmarkEnd w:id="81"/>
      <w:bookmarkEnd w:id="82"/>
    </w:p>
    <w:p w14:paraId="455E7DFA">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83" w:name="_Toc5719"/>
      <w:bookmarkStart w:id="84" w:name="_Toc80205933"/>
      <w:bookmarkStart w:id="85" w:name="_Toc14049"/>
      <w:r>
        <w:rPr>
          <w:rFonts w:hint="eastAsia" w:ascii="宋体" w:hAnsi="宋体" w:cs="宋体"/>
          <w:bCs/>
          <w:color w:val="auto"/>
          <w:sz w:val="32"/>
          <w:szCs w:val="32"/>
          <w:highlight w:val="none"/>
          <w:lang w:val="zh-CN"/>
        </w:rPr>
        <w:t>第一节 评审程序和评审方法</w:t>
      </w:r>
      <w:bookmarkEnd w:id="83"/>
      <w:bookmarkEnd w:id="84"/>
      <w:bookmarkEnd w:id="85"/>
    </w:p>
    <w:p w14:paraId="3D05F6BC">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1.确认谈判文件</w:t>
      </w:r>
    </w:p>
    <w:p w14:paraId="02FAC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114D5A84">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2.资格审查</w:t>
      </w:r>
    </w:p>
    <w:p w14:paraId="726F88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14:paraId="6B3037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5930C6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u w:val="single"/>
        </w:rPr>
        <w:t>www.creditchina.gov.cn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u w:val="single"/>
        </w:rPr>
        <w:t>www.ccgp.gov.cn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)链接入口。</w:t>
      </w:r>
    </w:p>
    <w:p w14:paraId="6EF68A7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AD9764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69CC38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8795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14DFC43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2.3供应商有下列情形之一的，资格审查不通过，其响应文件作无效响应处理：</w:t>
      </w:r>
    </w:p>
    <w:p w14:paraId="4A332E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5C37BE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58235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2374066">
      <w:pPr>
        <w:spacing w:line="360" w:lineRule="auto"/>
        <w:ind w:firstLine="420" w:firstLineChars="200"/>
        <w:rPr>
          <w:rFonts w:hint="eastAsia" w:ascii="宋体" w:hAnsi="宋体" w:cs="宋体"/>
          <w:color w:val="auto"/>
          <w:szCs w:val="21"/>
          <w:highlight w:val="none"/>
        </w:rPr>
      </w:pPr>
      <w:bookmarkStart w:id="8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6"/>
    </w:p>
    <w:p w14:paraId="1A8B38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0433AC1">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3.符合性审查</w:t>
      </w:r>
    </w:p>
    <w:p w14:paraId="7BBFC77A">
      <w:pPr>
        <w:spacing w:line="360" w:lineRule="auto"/>
        <w:ind w:firstLine="420" w:firstLineChars="200"/>
        <w:rPr>
          <w:rFonts w:hint="eastAsia" w:ascii="宋体" w:hAnsi="宋体" w:cs="宋体"/>
          <w:color w:val="auto"/>
          <w:szCs w:val="21"/>
          <w:highlight w:val="none"/>
        </w:rPr>
      </w:pPr>
      <w:bookmarkStart w:id="87" w:name="_Hlk42528882"/>
      <w:r>
        <w:rPr>
          <w:rFonts w:hint="eastAsia" w:ascii="宋体" w:hAnsi="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87"/>
    <w:p w14:paraId="00A713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D19776">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cs="宋体"/>
          <w:color w:val="auto"/>
          <w:spacing w:val="-6"/>
          <w:szCs w:val="21"/>
          <w:highlight w:val="none"/>
        </w:rPr>
        <w:t>。供应商为自然人的，必须由本人签字并附身份证明。</w:t>
      </w:r>
    </w:p>
    <w:p w14:paraId="42E7DEC0">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75881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7738B0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71FB7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1753D5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64525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14:paraId="6A8B7C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3D194AB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3BD154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46074E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w:t>
      </w:r>
    </w:p>
    <w:p w14:paraId="5C5B40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BA641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C8B76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”的</w:t>
      </w:r>
      <w:r>
        <w:rPr>
          <w:rFonts w:hint="eastAsia" w:ascii="宋体" w:hAnsi="宋体" w:cs="宋体"/>
          <w:color w:val="auto"/>
          <w:szCs w:val="21"/>
          <w:highlight w:val="none"/>
        </w:rPr>
        <w:t>条款发生负偏离的或者允许负偏离的条款数超过“供应商须知前附表”规定项数的或者标明实质性的要求发生负偏离；</w:t>
      </w:r>
    </w:p>
    <w:p w14:paraId="53B95C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5）未对竞标有效期作出响应或者响应文件承诺的竞标有效期不满足谈判文件要求；</w:t>
      </w:r>
    </w:p>
    <w:p w14:paraId="72BE50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6）响应文件的实质性内容未使用中文表述、使用计量单位不符合谈判文件要求；</w:t>
      </w:r>
    </w:p>
    <w:p w14:paraId="6CE669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7）响应文件中的文件资料因填写不齐全或者内容虚假或者出现其他情形而导致被谈判小组认定无效；</w:t>
      </w:r>
    </w:p>
    <w:p w14:paraId="067E0B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26B7A4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880E7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1D6C7C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11）虚假竞标，或者出现其他情形而导致被谈判小组认定无效；</w:t>
      </w:r>
    </w:p>
    <w:p w14:paraId="55CB8B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12）竞标技术方案不明确，谈判文件未允许但响应文件中存在一个或者一个以上备选（替代）竞标方案；</w:t>
      </w:r>
    </w:p>
    <w:p w14:paraId="51F36D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13）响应文件标注的项目名称或者项目编号与竞争性谈判文件标注的项目名称或者项目编号不一致的；</w:t>
      </w:r>
    </w:p>
    <w:p w14:paraId="3C3A3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14）未响应谈判文件实质性要求；</w:t>
      </w:r>
    </w:p>
    <w:p w14:paraId="00343EC3">
      <w:pPr>
        <w:pStyle w:val="15"/>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14:paraId="658FB7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16）法律、法规和谈判文件规定的其他无效情形。</w:t>
      </w:r>
    </w:p>
    <w:p w14:paraId="6F6873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6F81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53BADD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w:t>
      </w:r>
    </w:p>
    <w:p w14:paraId="6A2946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14:paraId="29F72D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w:t>
      </w:r>
      <w:bookmarkStart w:id="88" w:name="_Hlk42596405"/>
      <w:r>
        <w:rPr>
          <w:rFonts w:hint="eastAsia" w:ascii="宋体" w:hAnsi="宋体" w:cs="宋体"/>
          <w:color w:val="auto"/>
          <w:szCs w:val="21"/>
          <w:highlight w:val="none"/>
        </w:rPr>
        <w:t>响应报价（包含首次报价、最后报价）</w:t>
      </w:r>
      <w:bookmarkEnd w:id="88"/>
      <w:bookmarkStart w:id="89" w:name="_Hlk42596276"/>
      <w:r>
        <w:rPr>
          <w:rFonts w:hint="eastAsia" w:ascii="宋体" w:hAnsi="宋体" w:cs="宋体"/>
          <w:color w:val="auto"/>
          <w:szCs w:val="21"/>
          <w:highlight w:val="none"/>
        </w:rPr>
        <w:t>超过谈判文件分项采购预算金额或者最高限价的</w:t>
      </w:r>
      <w:bookmarkEnd w:id="89"/>
      <w:r>
        <w:rPr>
          <w:rFonts w:hint="eastAsia" w:ascii="宋体" w:hAnsi="宋体" w:cs="宋体"/>
          <w:color w:val="auto"/>
          <w:szCs w:val="21"/>
          <w:highlight w:val="none"/>
        </w:rPr>
        <w:t>（如本项目公布了最高限价）；</w:t>
      </w:r>
    </w:p>
    <w:p w14:paraId="5540B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14:paraId="323ECF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6）响应文件响应的标的数量及单位与竞争性谈判文件要求实质性不一致的。</w:t>
      </w:r>
    </w:p>
    <w:p w14:paraId="32AC80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44DDC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3.7通过符合性审查的合格供应商不足3家的，不得进入谈判环节，应当重新开展采购活动。</w:t>
      </w:r>
    </w:p>
    <w:p w14:paraId="292AB9D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4.谈判程序</w:t>
      </w:r>
    </w:p>
    <w:p w14:paraId="7B58DE04">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4.1谈判小组按照“供应商须知前附表”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Cs w:val="21"/>
          <w:highlight w:val="none"/>
        </w:rPr>
        <w:t>其响应文件作无效响应处理。</w:t>
      </w:r>
    </w:p>
    <w:p w14:paraId="540409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69C159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14:paraId="53DF82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273E4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4.5谈判中，</w:t>
      </w:r>
      <w:r>
        <w:rPr>
          <w:rFonts w:hint="eastAsia" w:ascii="宋体" w:hAnsi="宋体" w:cs="宋体"/>
          <w:color w:val="auto"/>
          <w:spacing w:val="-6"/>
          <w:szCs w:val="21"/>
          <w:highlight w:val="none"/>
        </w:rPr>
        <w:t>谈判的任何一方不得透露与谈判有关的其他供应商的技术资料、价格和其他信息。</w:t>
      </w:r>
    </w:p>
    <w:p w14:paraId="7238F881">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4.6谈判小组应对谈判过程和重要谈判内容进行记录，作为评审报告一部分，谈判小组在记录上签字确认。</w:t>
      </w:r>
      <w:r>
        <w:rPr>
          <w:rFonts w:hint="eastAsia" w:ascii="宋体" w:hAnsi="宋体" w:cs="宋体"/>
          <w:b/>
          <w:color w:val="auto"/>
          <w:szCs w:val="24"/>
          <w:highlight w:val="none"/>
        </w:rPr>
        <w:t>主要内容包括：</w:t>
      </w:r>
    </w:p>
    <w:p w14:paraId="1007C9A5">
      <w:pPr>
        <w:adjustRightInd w:val="0"/>
        <w:spacing w:line="360" w:lineRule="auto"/>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556554D1">
      <w:pPr>
        <w:adjustRightInd w:val="0"/>
        <w:spacing w:line="360" w:lineRule="auto"/>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（2）谈判日期和地点，谈判人员名单；</w:t>
      </w:r>
    </w:p>
    <w:p w14:paraId="230372C2">
      <w:pPr>
        <w:adjustRightInd w:val="0"/>
        <w:spacing w:line="360" w:lineRule="auto"/>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6F685C2A">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4.7谈判过程中重新提交的响应文件，供应商可以在开启前补充、修改。</w:t>
      </w:r>
    </w:p>
    <w:p w14:paraId="0C16F0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10113B3F">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szCs w:val="24"/>
          <w:highlight w:val="none"/>
        </w:rPr>
        <w:t>5.最后报价</w:t>
      </w:r>
    </w:p>
    <w:p w14:paraId="077101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5563E4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496655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w:t>
      </w:r>
    </w:p>
    <w:p w14:paraId="164BD2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5.4已经提交响应文件的供应商，在提交最后报价之前，可以根据谈判情况退出谈判，退出谈判的供应商的响应文件作无效响应处理。</w:t>
      </w:r>
    </w:p>
    <w:p w14:paraId="6664F9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w:t>
      </w:r>
      <w:r>
        <w:rPr>
          <w:rFonts w:hint="eastAsia" w:ascii="宋体" w:hAnsi="宋体" w:cs="宋体"/>
          <w:b/>
          <w:color w:val="auto"/>
          <w:szCs w:val="21"/>
          <w:highlight w:val="none"/>
        </w:rPr>
        <w:t>，视同放弃报价权利退出谈判。</w:t>
      </w:r>
    </w:p>
    <w:p w14:paraId="0F7511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5.6最终响应文件的报价出现前后不一致的，按照本章第3.4条的规定修正。 </w:t>
      </w:r>
    </w:p>
    <w:p w14:paraId="420CE0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5.7修正后的最后报价出现下列情形的，作无效响应处理：</w:t>
      </w:r>
    </w:p>
    <w:p w14:paraId="4E8ECD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D17B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全流程电子化评标多轮报价设置了上线控制价，即预算价）；</w:t>
      </w:r>
    </w:p>
    <w:p w14:paraId="0D3C9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239142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5.8经供应商确认修正后的最后报价作为评审及签订合同的依据。</w:t>
      </w:r>
    </w:p>
    <w:p w14:paraId="0BD008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5.9供应商出现最后报价作无效响应处理或者响应文件作无效处理时</w:t>
      </w:r>
      <w:r>
        <w:rPr>
          <w:rFonts w:hint="eastAsia" w:ascii="宋体" w:hAnsi="宋体" w:cs="宋体"/>
          <w:color w:val="auto"/>
          <w:sz w:val="22"/>
          <w:highlight w:val="none"/>
        </w:rPr>
        <w:t>，谈判小组应当告知有关供应商</w:t>
      </w:r>
      <w:r>
        <w:rPr>
          <w:rFonts w:hint="eastAsia" w:ascii="宋体" w:hAnsi="宋体" w:cs="宋体"/>
          <w:color w:val="auto"/>
          <w:szCs w:val="21"/>
          <w:highlight w:val="none"/>
        </w:rPr>
        <w:t>。</w:t>
      </w:r>
    </w:p>
    <w:p w14:paraId="574E90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5.10最后报价结束后，谈判小组不得再与供应商进行任何形式的商谈。</w:t>
      </w:r>
    </w:p>
    <w:p w14:paraId="0B018963">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6.最后报价政府采购政策性扣除</w:t>
      </w:r>
    </w:p>
    <w:p w14:paraId="124A9B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EF5A1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cs="宋体"/>
          <w:color w:val="auto"/>
          <w:highlight w:val="none"/>
        </w:rPr>
        <w:t>供应商在其</w:t>
      </w:r>
      <w:r>
        <w:rPr>
          <w:rFonts w:hint="eastAsia" w:ascii="宋体" w:hAnsi="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响应文件中提供《中小企业声明函》，且其提供的货物全部由符合政策要求的小型、微型企业制造，即货物由小型、微型企业生产且使用该小型、微型企业商号或者注册商标，对其最后报价给予20%的扣除。</w:t>
      </w:r>
    </w:p>
    <w:p w14:paraId="5E228EA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9C4EFE3">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67E45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6.5政策性扣除计算方法。</w:t>
      </w:r>
    </w:p>
    <w:p w14:paraId="665761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供应商被评定为监狱企业或者残疾人福利性单位或者其</w:t>
      </w:r>
      <w:r>
        <w:rPr>
          <w:rFonts w:hint="eastAsia" w:ascii="宋体" w:hAnsi="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cs="宋体"/>
          <w:color w:val="auto"/>
          <w:highlight w:val="none"/>
        </w:rPr>
        <w:t>，该供应商的最后报价给予20%的扣除，扣除后的价格为评审价，即评审价=最后报价×（1-20%）；</w:t>
      </w:r>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cs="宋体"/>
          <w:color w:val="auto"/>
          <w:highlight w:val="none"/>
        </w:rPr>
        <w:t>扣除后的价格为评审价，即评审价=最后报价×（1-</w:t>
      </w:r>
      <w:r>
        <w:rPr>
          <w:rFonts w:hint="eastAsia" w:ascii="宋体" w:hAnsi="宋体" w:cs="宋体"/>
          <w:color w:val="auto"/>
          <w:szCs w:val="21"/>
          <w:highlight w:val="none"/>
        </w:rPr>
        <w:t>6%</w:t>
      </w:r>
      <w:r>
        <w:rPr>
          <w:rFonts w:hint="eastAsia" w:ascii="宋体" w:hAnsi="宋体" w:cs="宋体"/>
          <w:color w:val="auto"/>
          <w:highlight w:val="none"/>
        </w:rPr>
        <w:t>）。</w:t>
      </w:r>
    </w:p>
    <w:p w14:paraId="54C1C5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6.6除上述情况外，评审价＝最后报价。</w:t>
      </w:r>
    </w:p>
    <w:p w14:paraId="1E083340">
      <w:pPr>
        <w:pStyle w:val="15"/>
        <w:rPr>
          <w:rFonts w:hint="eastAsia" w:ascii="宋体" w:hAnsi="宋体" w:cs="宋体"/>
          <w:color w:val="auto"/>
          <w:highlight w:val="none"/>
        </w:rPr>
      </w:pPr>
    </w:p>
    <w:p w14:paraId="1DCBF3FB">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90" w:name="_Toc26106"/>
      <w:bookmarkStart w:id="91" w:name="_Toc80205934"/>
      <w:bookmarkStart w:id="92" w:name="_Toc23270"/>
      <w:r>
        <w:rPr>
          <w:rFonts w:hint="eastAsia" w:ascii="宋体" w:hAnsi="宋体" w:cs="宋体"/>
          <w:bCs/>
          <w:color w:val="auto"/>
          <w:sz w:val="32"/>
          <w:szCs w:val="32"/>
          <w:highlight w:val="none"/>
          <w:lang w:val="zh-CN"/>
        </w:rPr>
        <w:t>第二节 评审原则</w:t>
      </w:r>
      <w:bookmarkEnd w:id="90"/>
      <w:bookmarkEnd w:id="91"/>
      <w:bookmarkEnd w:id="92"/>
    </w:p>
    <w:p w14:paraId="1F0DBFC8">
      <w:pPr>
        <w:spacing w:line="360" w:lineRule="auto"/>
        <w:ind w:firstLine="482" w:firstLineChars="200"/>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1.评审原则</w:t>
      </w:r>
    </w:p>
    <w:p w14:paraId="64454D4C">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36D6FEB">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1.2根据《政府采购非招标采购方式管理办法》（财政部令第74号）第二十一条规定，</w:t>
      </w:r>
      <w:r>
        <w:rPr>
          <w:rFonts w:hint="eastAsia" w:ascii="宋体" w:hAnsi="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cs="宋体"/>
          <w:color w:val="auto"/>
          <w:szCs w:val="24"/>
          <w:highlight w:val="none"/>
        </w:rPr>
        <w:t>。</w:t>
      </w:r>
      <w:bookmarkStart w:id="93" w:name="_Toc321836413"/>
      <w:bookmarkStart w:id="94" w:name="_Toc432194885"/>
      <w:bookmarkStart w:id="95" w:name="_Toc432106535"/>
    </w:p>
    <w:bookmarkEnd w:id="93"/>
    <w:bookmarkEnd w:id="94"/>
    <w:bookmarkEnd w:id="95"/>
    <w:p w14:paraId="6A8A9AA5">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309958B">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2.终止竞争性谈判采购活动</w:t>
      </w:r>
    </w:p>
    <w:p w14:paraId="6A8420D0">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出现下列情形之一的，采购人或者采购代理机构应当终止竞争性谈判采购活动，发布项目终止公告并说明原因，重新开展采购活动：</w:t>
      </w:r>
    </w:p>
    <w:p w14:paraId="5FAEE34E">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（1）因情况变化，不再符合规定的竞争性谈判采购方式适用情形的； </w:t>
      </w:r>
    </w:p>
    <w:p w14:paraId="71628E6A">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（2）出现影响采购公正的违法、违规行为的；</w:t>
      </w:r>
    </w:p>
    <w:p w14:paraId="1C97775A">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09568DD2">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96" w:name="_Toc14810"/>
      <w:bookmarkStart w:id="97" w:name="_Toc80205935"/>
    </w:p>
    <w:p w14:paraId="1814D4C2">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98" w:name="_Toc26387"/>
      <w:r>
        <w:rPr>
          <w:rFonts w:hint="eastAsia" w:ascii="宋体" w:hAnsi="宋体" w:cs="宋体"/>
          <w:bCs/>
          <w:color w:val="auto"/>
          <w:sz w:val="32"/>
          <w:szCs w:val="32"/>
          <w:highlight w:val="none"/>
          <w:lang w:val="zh-CN"/>
        </w:rPr>
        <w:t>第三节 评审报告</w:t>
      </w:r>
      <w:bookmarkEnd w:id="96"/>
      <w:bookmarkEnd w:id="97"/>
      <w:bookmarkEnd w:id="98"/>
    </w:p>
    <w:p w14:paraId="1527BCAC">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1.成交标准</w:t>
      </w:r>
    </w:p>
    <w:p w14:paraId="47B182E7">
      <w:pPr>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7BB3BA29">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2.评标争议事项处理</w:t>
      </w:r>
    </w:p>
    <w:p w14:paraId="7184F88F">
      <w:pPr>
        <w:adjustRightIn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谈判小组成员对需要共同认定的事项存在争议的，应当按照少数服从多数的原则作出结论。持不同意见的谈判小组成员应当在评审报告上签署不同意见及理由，否则视为同意评审报告。</w:t>
      </w:r>
    </w:p>
    <w:p w14:paraId="60F62651">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99" w:name="_Toc32162"/>
      <w:bookmarkStart w:id="100" w:name="_Toc80205936"/>
    </w:p>
    <w:p w14:paraId="006908BE">
      <w:pPr>
        <w:keepNext/>
        <w:keepLines/>
        <w:spacing w:line="360" w:lineRule="auto"/>
        <w:ind w:firstLine="640" w:firstLineChars="200"/>
        <w:jc w:val="center"/>
        <w:outlineLvl w:val="1"/>
        <w:rPr>
          <w:rFonts w:hint="eastAsia" w:ascii="宋体" w:hAnsi="宋体" w:cs="宋体"/>
          <w:bCs/>
          <w:color w:val="auto"/>
          <w:sz w:val="32"/>
          <w:szCs w:val="32"/>
          <w:highlight w:val="none"/>
          <w:lang w:val="zh-CN"/>
        </w:rPr>
      </w:pPr>
      <w:bookmarkStart w:id="101" w:name="_Toc27182"/>
      <w:r>
        <w:rPr>
          <w:rFonts w:hint="eastAsia" w:ascii="宋体" w:hAnsi="宋体" w:cs="宋体"/>
          <w:bCs/>
          <w:color w:val="auto"/>
          <w:sz w:val="32"/>
          <w:szCs w:val="32"/>
          <w:highlight w:val="none"/>
          <w:lang w:val="zh-CN"/>
        </w:rPr>
        <w:t>第四节 评审过程的保密与录像</w:t>
      </w:r>
      <w:bookmarkEnd w:id="99"/>
      <w:bookmarkEnd w:id="100"/>
      <w:bookmarkEnd w:id="101"/>
    </w:p>
    <w:p w14:paraId="7FB4F5FB">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1.保密。</w:t>
      </w:r>
    </w:p>
    <w:p w14:paraId="144C3091">
      <w:pPr>
        <w:widowControl/>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评审活动在严格保密的情况下进行。评审过程中凡是与采购响应文件评审和比较、成交供应商推荐等评审有关的情况，以及涉及国家秘密和商业秘密等信息，谈判小组成员、采购人和采购机构工作人员、相关监督人员等与评审有关的人员应当予以保密。</w:t>
      </w:r>
    </w:p>
    <w:p w14:paraId="3E9422E2">
      <w:pPr>
        <w:widowControl/>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2.录音录像。</w:t>
      </w:r>
    </w:p>
    <w:p w14:paraId="656A464C">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采购代理机构对评审工作现场及操作屏幕进行全过程录音录像，录音录像资料作为采购项目文件随其他文件一并存档。</w:t>
      </w:r>
      <w:r>
        <w:rPr>
          <w:rFonts w:hint="eastAsia" w:ascii="宋体" w:hAnsi="宋体" w:cs="宋体"/>
          <w:color w:val="auto"/>
          <w:szCs w:val="24"/>
          <w:highlight w:val="none"/>
        </w:rPr>
        <w:br w:type="page"/>
      </w:r>
    </w:p>
    <w:p w14:paraId="0557FBE2">
      <w:pPr>
        <w:keepNext/>
        <w:keepLines/>
        <w:spacing w:before="260" w:after="260" w:line="416" w:lineRule="auto"/>
        <w:jc w:val="center"/>
        <w:outlineLvl w:val="1"/>
        <w:rPr>
          <w:rFonts w:hint="eastAsia" w:ascii="宋体" w:hAnsi="宋体" w:cs="宋体"/>
          <w:b/>
          <w:bCs/>
          <w:color w:val="auto"/>
          <w:sz w:val="32"/>
          <w:szCs w:val="32"/>
          <w:highlight w:val="none"/>
          <w:lang w:val="zh-CN"/>
        </w:rPr>
      </w:pPr>
    </w:p>
    <w:p w14:paraId="302D359A">
      <w:pPr>
        <w:keepNext/>
        <w:keepLines/>
        <w:spacing w:before="260" w:after="260" w:line="416" w:lineRule="auto"/>
        <w:jc w:val="center"/>
        <w:outlineLvl w:val="1"/>
        <w:rPr>
          <w:rFonts w:hint="eastAsia" w:ascii="宋体" w:hAnsi="宋体" w:cs="宋体"/>
          <w:b/>
          <w:bCs/>
          <w:color w:val="auto"/>
          <w:sz w:val="32"/>
          <w:szCs w:val="32"/>
          <w:highlight w:val="none"/>
          <w:lang w:val="zh-CN"/>
        </w:rPr>
      </w:pPr>
    </w:p>
    <w:p w14:paraId="0270E9E1">
      <w:pPr>
        <w:keepNext/>
        <w:keepLines/>
        <w:spacing w:before="260" w:after="260" w:line="416" w:lineRule="auto"/>
        <w:jc w:val="center"/>
        <w:outlineLvl w:val="1"/>
        <w:rPr>
          <w:rFonts w:hint="eastAsia" w:ascii="宋体" w:hAnsi="宋体" w:cs="宋体"/>
          <w:b/>
          <w:bCs/>
          <w:color w:val="auto"/>
          <w:sz w:val="32"/>
          <w:szCs w:val="32"/>
          <w:highlight w:val="none"/>
          <w:lang w:val="zh-CN"/>
        </w:rPr>
      </w:pPr>
    </w:p>
    <w:p w14:paraId="37D970CB">
      <w:pPr>
        <w:keepNext/>
        <w:keepLines/>
        <w:spacing w:before="260" w:after="260" w:line="416" w:lineRule="auto"/>
        <w:jc w:val="center"/>
        <w:outlineLvl w:val="1"/>
        <w:rPr>
          <w:rFonts w:hint="eastAsia" w:ascii="宋体" w:hAnsi="宋体" w:cs="宋体"/>
          <w:b/>
          <w:bCs/>
          <w:color w:val="auto"/>
          <w:sz w:val="32"/>
          <w:szCs w:val="32"/>
          <w:highlight w:val="none"/>
          <w:lang w:val="zh-CN"/>
        </w:rPr>
      </w:pPr>
    </w:p>
    <w:p w14:paraId="2E3255F0">
      <w:pPr>
        <w:keepNext/>
        <w:keepLines/>
        <w:spacing w:before="260" w:after="260" w:line="416" w:lineRule="auto"/>
        <w:jc w:val="center"/>
        <w:outlineLvl w:val="1"/>
        <w:rPr>
          <w:rFonts w:hint="eastAsia" w:ascii="宋体" w:hAnsi="宋体" w:cs="宋体"/>
          <w:b/>
          <w:bCs/>
          <w:color w:val="auto"/>
          <w:sz w:val="32"/>
          <w:szCs w:val="32"/>
          <w:highlight w:val="none"/>
          <w:lang w:val="zh-CN"/>
        </w:rPr>
      </w:pPr>
    </w:p>
    <w:p w14:paraId="439D1D86">
      <w:pPr>
        <w:keepNext/>
        <w:keepLines/>
        <w:spacing w:before="340" w:after="330" w:line="578" w:lineRule="auto"/>
        <w:jc w:val="center"/>
        <w:outlineLvl w:val="0"/>
        <w:rPr>
          <w:rFonts w:hint="eastAsia" w:ascii="宋体" w:hAnsi="宋体" w:cs="宋体"/>
          <w:b/>
          <w:bCs/>
          <w:color w:val="auto"/>
          <w:kern w:val="44"/>
          <w:sz w:val="44"/>
          <w:szCs w:val="44"/>
          <w:highlight w:val="none"/>
          <w:lang w:val="zh-CN"/>
        </w:rPr>
      </w:pPr>
      <w:bookmarkStart w:id="102" w:name="_Toc80205937"/>
      <w:bookmarkStart w:id="103" w:name="_Toc2649"/>
      <w:r>
        <w:rPr>
          <w:rFonts w:hint="eastAsia" w:ascii="宋体" w:hAnsi="宋体" w:cs="宋体"/>
          <w:b/>
          <w:bCs/>
          <w:color w:val="auto"/>
          <w:kern w:val="44"/>
          <w:sz w:val="44"/>
          <w:szCs w:val="44"/>
          <w:highlight w:val="none"/>
          <w:lang w:val="zh-CN"/>
        </w:rPr>
        <w:t>第五章 响应文件格式</w:t>
      </w:r>
      <w:bookmarkEnd w:id="102"/>
      <w:r>
        <w:rPr>
          <w:rFonts w:hint="eastAsia" w:ascii="宋体" w:hAnsi="宋体" w:cs="宋体"/>
          <w:b/>
          <w:bCs/>
          <w:color w:val="auto"/>
          <w:kern w:val="44"/>
          <w:sz w:val="44"/>
          <w:szCs w:val="44"/>
          <w:highlight w:val="none"/>
          <w:lang w:val="zh-CN"/>
        </w:rPr>
        <w:br w:type="page"/>
      </w:r>
      <w:bookmarkEnd w:id="103"/>
    </w:p>
    <w:p w14:paraId="0F462503">
      <w:pPr>
        <w:spacing w:line="240" w:lineRule="atLeast"/>
        <w:rPr>
          <w:rFonts w:hint="eastAsia" w:ascii="宋体" w:hAnsi="宋体" w:cs="宋体"/>
          <w:b/>
          <w:bCs/>
          <w:color w:val="auto"/>
          <w:szCs w:val="24"/>
          <w:highlight w:val="none"/>
        </w:rPr>
      </w:pPr>
    </w:p>
    <w:p w14:paraId="2AF459B1">
      <w:pPr>
        <w:snapToGrid w:val="0"/>
        <w:spacing w:before="120" w:beforeLines="50" w:after="50" w:line="360" w:lineRule="auto"/>
        <w:jc w:val="center"/>
        <w:outlineLvl w:val="1"/>
        <w:rPr>
          <w:rFonts w:hint="eastAsia" w:ascii="宋体" w:hAnsi="宋体" w:cs="宋体"/>
          <w:bCs/>
          <w:color w:val="auto"/>
          <w:sz w:val="32"/>
          <w:szCs w:val="32"/>
          <w:highlight w:val="none"/>
        </w:rPr>
      </w:pPr>
      <w:bookmarkStart w:id="104" w:name="_Toc80205939"/>
      <w:bookmarkStart w:id="105" w:name="_Toc23452"/>
      <w:bookmarkStart w:id="106" w:name="_Toc14170"/>
      <w:r>
        <w:rPr>
          <w:rFonts w:hint="eastAsia" w:ascii="宋体" w:hAnsi="宋体" w:cs="宋体"/>
          <w:bCs/>
          <w:color w:val="auto"/>
          <w:sz w:val="32"/>
          <w:szCs w:val="32"/>
          <w:highlight w:val="none"/>
        </w:rPr>
        <w:t>第一节 资格证明文件格式</w:t>
      </w:r>
      <w:bookmarkEnd w:id="104"/>
      <w:bookmarkEnd w:id="105"/>
      <w:bookmarkEnd w:id="106"/>
    </w:p>
    <w:p w14:paraId="4CD2D330">
      <w:pPr>
        <w:snapToGrid w:val="0"/>
        <w:spacing w:before="120" w:beforeLines="50" w:after="50"/>
        <w:rPr>
          <w:rFonts w:hint="eastAsia" w:ascii="宋体" w:hAnsi="宋体" w:cs="宋体"/>
          <w:color w:val="auto"/>
          <w:sz w:val="24"/>
          <w:szCs w:val="24"/>
          <w:highlight w:val="none"/>
        </w:rPr>
      </w:pPr>
      <w:r>
        <w:rPr>
          <w:rFonts w:hint="eastAsia" w:ascii="宋体" w:hAnsi="宋体" w:cs="宋体"/>
          <w:b/>
          <w:bCs/>
          <w:color w:val="auto"/>
          <w:sz w:val="28"/>
          <w:szCs w:val="28"/>
          <w:highlight w:val="none"/>
        </w:rPr>
        <w:t>1.资格证明文件封面的格式：</w:t>
      </w:r>
    </w:p>
    <w:p w14:paraId="2C385FD6">
      <w:pPr>
        <w:snapToGrid w:val="0"/>
        <w:spacing w:before="120" w:beforeLines="50" w:after="50"/>
        <w:rPr>
          <w:rFonts w:hint="eastAsia" w:ascii="宋体" w:hAnsi="宋体" w:cs="宋体"/>
          <w:color w:val="auto"/>
          <w:sz w:val="24"/>
          <w:szCs w:val="24"/>
          <w:highlight w:val="none"/>
        </w:rPr>
      </w:pPr>
    </w:p>
    <w:p w14:paraId="37EECC7C">
      <w:pPr>
        <w:snapToGrid w:val="0"/>
        <w:spacing w:before="120" w:beforeLines="50" w:after="50"/>
        <w:rPr>
          <w:rFonts w:hint="eastAsia" w:ascii="宋体" w:hAnsi="宋体" w:cs="宋体"/>
          <w:color w:val="auto"/>
          <w:sz w:val="24"/>
          <w:szCs w:val="24"/>
          <w:highlight w:val="none"/>
        </w:rPr>
      </w:pPr>
    </w:p>
    <w:p w14:paraId="0ECF9226">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szCs w:val="24"/>
          <w:highlight w:val="none"/>
        </w:rPr>
        <w:t xml:space="preserve">                                </w:t>
      </w:r>
      <w:r>
        <w:rPr>
          <w:rFonts w:hint="eastAsia" w:ascii="宋体" w:hAnsi="宋体" w:cs="宋体"/>
          <w:bCs/>
          <w:color w:val="auto"/>
          <w:szCs w:val="24"/>
          <w:highlight w:val="none"/>
        </w:rPr>
        <w:t>全流程电子文件</w:t>
      </w:r>
    </w:p>
    <w:p w14:paraId="268CFE0B">
      <w:pPr>
        <w:snapToGrid w:val="0"/>
        <w:spacing w:before="120" w:beforeLines="50" w:after="50"/>
        <w:rPr>
          <w:rFonts w:hint="eastAsia" w:ascii="宋体" w:hAnsi="宋体" w:cs="宋体"/>
          <w:color w:val="auto"/>
          <w:sz w:val="24"/>
          <w:szCs w:val="20"/>
          <w:highlight w:val="none"/>
        </w:rPr>
      </w:pPr>
    </w:p>
    <w:p w14:paraId="7FEFA290">
      <w:pPr>
        <w:snapToGrid w:val="0"/>
        <w:spacing w:before="120" w:beforeLines="50" w:after="50"/>
        <w:rPr>
          <w:rFonts w:hint="eastAsia" w:ascii="宋体" w:hAnsi="宋体" w:cs="宋体"/>
          <w:color w:val="auto"/>
          <w:sz w:val="24"/>
          <w:szCs w:val="20"/>
          <w:highlight w:val="none"/>
        </w:rPr>
      </w:pPr>
    </w:p>
    <w:p w14:paraId="61B21300">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5921DAF9">
      <w:pPr>
        <w:snapToGrid w:val="0"/>
        <w:spacing w:before="120" w:beforeLines="50" w:after="50"/>
        <w:rPr>
          <w:rFonts w:hint="eastAsia" w:ascii="宋体" w:hAnsi="宋体" w:cs="宋体"/>
          <w:bCs/>
          <w:color w:val="auto"/>
          <w:sz w:val="24"/>
          <w:szCs w:val="20"/>
          <w:highlight w:val="none"/>
        </w:rPr>
      </w:pPr>
    </w:p>
    <w:p w14:paraId="3DF96254">
      <w:pPr>
        <w:snapToGrid w:val="0"/>
        <w:spacing w:before="120" w:beforeLines="50" w:after="50"/>
        <w:rPr>
          <w:rFonts w:hint="eastAsia" w:ascii="宋体" w:hAnsi="宋体" w:cs="宋体"/>
          <w:bCs/>
          <w:color w:val="auto"/>
          <w:sz w:val="24"/>
          <w:szCs w:val="20"/>
          <w:highlight w:val="none"/>
        </w:rPr>
      </w:pPr>
    </w:p>
    <w:p w14:paraId="220B6EA1">
      <w:pPr>
        <w:snapToGrid w:val="0"/>
        <w:spacing w:before="120" w:beforeLines="50" w:after="50"/>
        <w:rPr>
          <w:rFonts w:hint="eastAsia" w:ascii="宋体" w:hAnsi="宋体" w:cs="宋体"/>
          <w:bCs/>
          <w:color w:val="auto"/>
          <w:sz w:val="24"/>
          <w:szCs w:val="20"/>
          <w:highlight w:val="none"/>
        </w:rPr>
      </w:pPr>
    </w:p>
    <w:p w14:paraId="30854705">
      <w:pPr>
        <w:snapToGrid w:val="0"/>
        <w:spacing w:before="120" w:beforeLines="50" w:after="50"/>
        <w:rPr>
          <w:rFonts w:hint="eastAsia" w:ascii="宋体" w:hAnsi="宋体" w:cs="宋体"/>
          <w:bCs/>
          <w:color w:val="auto"/>
          <w:sz w:val="24"/>
          <w:szCs w:val="20"/>
          <w:highlight w:val="none"/>
        </w:rPr>
      </w:pPr>
    </w:p>
    <w:p w14:paraId="39EF2687">
      <w:pPr>
        <w:snapToGrid w:val="0"/>
        <w:spacing w:before="120" w:beforeLines="50" w:after="50"/>
        <w:rPr>
          <w:rFonts w:hint="eastAsia" w:ascii="宋体" w:hAnsi="宋体" w:cs="宋体"/>
          <w:bCs/>
          <w:color w:val="auto"/>
          <w:sz w:val="24"/>
          <w:szCs w:val="20"/>
          <w:highlight w:val="none"/>
        </w:rPr>
      </w:pPr>
    </w:p>
    <w:p w14:paraId="01E49B9D">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项目名称： </w:t>
      </w:r>
    </w:p>
    <w:p w14:paraId="009F84C1">
      <w:pPr>
        <w:snapToGrid w:val="0"/>
        <w:spacing w:before="120" w:beforeLines="50" w:after="50"/>
        <w:ind w:firstLine="720" w:firstLineChars="225"/>
        <w:rPr>
          <w:rFonts w:hint="eastAsia" w:ascii="宋体" w:hAnsi="宋体" w:cs="宋体"/>
          <w:bCs/>
          <w:color w:val="auto"/>
          <w:sz w:val="32"/>
          <w:szCs w:val="32"/>
          <w:highlight w:val="none"/>
        </w:rPr>
      </w:pPr>
    </w:p>
    <w:p w14:paraId="774F0F30">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项目编号： </w:t>
      </w:r>
    </w:p>
    <w:p w14:paraId="72B1D8AA">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DBB256B">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91A4F4A">
      <w:pPr>
        <w:snapToGrid w:val="0"/>
        <w:spacing w:before="120" w:beforeLines="50" w:after="50"/>
        <w:ind w:firstLine="720" w:firstLineChars="225"/>
        <w:rPr>
          <w:rFonts w:hint="eastAsia" w:ascii="宋体" w:hAnsi="宋体" w:cs="宋体"/>
          <w:bCs/>
          <w:color w:val="auto"/>
          <w:sz w:val="32"/>
          <w:szCs w:val="32"/>
          <w:highlight w:val="none"/>
        </w:rPr>
      </w:pPr>
    </w:p>
    <w:p w14:paraId="3AC60BD1">
      <w:pPr>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D3AD195">
      <w:pPr>
        <w:snapToGrid w:val="0"/>
        <w:spacing w:before="50" w:after="50"/>
        <w:ind w:firstLine="720" w:firstLineChars="225"/>
        <w:rPr>
          <w:rFonts w:hint="eastAsia" w:ascii="宋体" w:hAnsi="宋体" w:cs="宋体"/>
          <w:bCs/>
          <w:color w:val="auto"/>
          <w:sz w:val="32"/>
          <w:szCs w:val="32"/>
          <w:highlight w:val="none"/>
        </w:rPr>
      </w:pPr>
    </w:p>
    <w:p w14:paraId="4D7EEFA0">
      <w:pPr>
        <w:snapToGrid w:val="0"/>
        <w:spacing w:before="50" w:after="50"/>
        <w:ind w:firstLine="720" w:firstLineChars="225"/>
        <w:rPr>
          <w:rFonts w:hint="eastAsia" w:ascii="宋体" w:hAnsi="宋体" w:cs="宋体"/>
          <w:bCs/>
          <w:color w:val="auto"/>
          <w:sz w:val="32"/>
          <w:szCs w:val="32"/>
          <w:highlight w:val="none"/>
        </w:rPr>
      </w:pPr>
    </w:p>
    <w:p w14:paraId="6E774703">
      <w:pPr>
        <w:snapToGrid w:val="0"/>
        <w:spacing w:before="50" w:after="50"/>
        <w:ind w:firstLine="720" w:firstLineChars="225"/>
        <w:rPr>
          <w:rFonts w:hint="eastAsia" w:ascii="宋体" w:hAnsi="宋体" w:cs="宋体"/>
          <w:bCs/>
          <w:color w:val="auto"/>
          <w:sz w:val="32"/>
          <w:szCs w:val="32"/>
          <w:highlight w:val="none"/>
        </w:rPr>
      </w:pPr>
    </w:p>
    <w:p w14:paraId="4FBF8157">
      <w:pPr>
        <w:snapToGrid w:val="0"/>
        <w:spacing w:before="50" w:after="50"/>
        <w:ind w:firstLine="1280" w:firstLineChars="400"/>
        <w:rPr>
          <w:rFonts w:hint="eastAsia" w:ascii="宋体" w:hAnsi="宋体" w:cs="宋体"/>
          <w:bCs/>
          <w:color w:val="auto"/>
          <w:sz w:val="32"/>
          <w:szCs w:val="32"/>
          <w:highlight w:val="none"/>
        </w:rPr>
      </w:pPr>
    </w:p>
    <w:p w14:paraId="03FD5CDA">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679408A3">
      <w:pPr>
        <w:snapToGrid w:val="0"/>
        <w:spacing w:before="120" w:beforeLines="50" w:after="50" w:line="360" w:lineRule="auto"/>
        <w:ind w:left="14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E922FE0">
      <w:pPr>
        <w:snapToGrid w:val="0"/>
        <w:spacing w:before="120" w:beforeLines="50" w:after="50" w:line="360" w:lineRule="auto"/>
        <w:ind w:left="142"/>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2.资格证明文件目录</w:t>
      </w:r>
    </w:p>
    <w:p w14:paraId="221DC644">
      <w:pPr>
        <w:snapToGrid w:val="0"/>
        <w:spacing w:before="120" w:beforeLines="50" w:after="50" w:line="360" w:lineRule="auto"/>
        <w:ind w:left="142" w:firstLine="560" w:firstLineChars="200"/>
        <w:jc w:val="left"/>
        <w:rPr>
          <w:rFonts w:hint="eastAsia" w:ascii="宋体" w:hAnsi="宋体" w:cs="宋体"/>
          <w:color w:val="auto"/>
          <w:sz w:val="24"/>
          <w:szCs w:val="24"/>
          <w:highlight w:val="none"/>
        </w:rPr>
      </w:pPr>
      <w:r>
        <w:rPr>
          <w:rFonts w:hint="eastAsia" w:ascii="宋体" w:hAnsi="宋体" w:cs="宋体"/>
          <w:color w:val="auto"/>
          <w:sz w:val="28"/>
          <w:szCs w:val="28"/>
          <w:highlight w:val="none"/>
        </w:rPr>
        <w:t>根据竞争性谈判文件规定及供应商提供的材料自行编写目录（部分格式后附）。</w:t>
      </w:r>
    </w:p>
    <w:p w14:paraId="4A10F908">
      <w:pPr>
        <w:snapToGrid w:val="0"/>
        <w:spacing w:before="120" w:beforeLines="50" w:after="50" w:line="360" w:lineRule="auto"/>
        <w:ind w:left="142" w:firstLine="480" w:firstLineChars="200"/>
        <w:jc w:val="left"/>
        <w:rPr>
          <w:rFonts w:hint="eastAsia" w:ascii="宋体" w:hAnsi="宋体" w:cs="宋体"/>
          <w:color w:val="auto"/>
          <w:sz w:val="24"/>
          <w:szCs w:val="24"/>
          <w:highlight w:val="none"/>
        </w:rPr>
      </w:pPr>
    </w:p>
    <w:p w14:paraId="32CDAFAD">
      <w:pP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14:paraId="4B57B215">
      <w:pPr>
        <w:spacing w:line="320" w:lineRule="exact"/>
        <w:jc w:val="left"/>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rPr>
        <w:t>3</w:t>
      </w:r>
      <w:r>
        <w:rPr>
          <w:rFonts w:hint="eastAsia" w:ascii="宋体" w:hAnsi="宋体" w:cs="宋体"/>
          <w:b/>
          <w:color w:val="auto"/>
          <w:kern w:val="0"/>
          <w:sz w:val="28"/>
          <w:szCs w:val="28"/>
          <w:highlight w:val="none"/>
        </w:rPr>
        <w:t>、声明函的格式：</w:t>
      </w:r>
    </w:p>
    <w:p w14:paraId="0838FB05">
      <w:pPr>
        <w:spacing w:line="320" w:lineRule="exact"/>
        <w:jc w:val="center"/>
        <w:rPr>
          <w:rFonts w:hint="eastAsia" w:ascii="宋体" w:hAnsi="宋体"/>
          <w:b/>
          <w:color w:val="auto"/>
          <w:sz w:val="32"/>
          <w:szCs w:val="32"/>
          <w:highlight w:val="none"/>
        </w:rPr>
      </w:pPr>
    </w:p>
    <w:p w14:paraId="541EC185">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声明函</w:t>
      </w:r>
    </w:p>
    <w:p w14:paraId="2759A68C">
      <w:pPr>
        <w:spacing w:line="320" w:lineRule="exact"/>
        <w:jc w:val="center"/>
        <w:rPr>
          <w:rFonts w:hint="eastAsia" w:ascii="宋体" w:hAnsi="宋体"/>
          <w:color w:val="auto"/>
          <w:sz w:val="24"/>
          <w:szCs w:val="20"/>
          <w:highlight w:val="none"/>
        </w:rPr>
      </w:pPr>
    </w:p>
    <w:p w14:paraId="6D1E26D2">
      <w:pPr>
        <w:spacing w:line="36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广西建设工程机电设备招标中心有限公司</w:t>
      </w:r>
      <w:r>
        <w:rPr>
          <w:rFonts w:hint="eastAsia" w:ascii="宋体" w:hAnsi="宋体" w:cs="宋体"/>
          <w:color w:val="auto"/>
          <w:sz w:val="24"/>
          <w:szCs w:val="24"/>
          <w:highlight w:val="none"/>
        </w:rPr>
        <w:t>：</w:t>
      </w:r>
    </w:p>
    <w:p w14:paraId="202C75E5">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i/>
          <w:iCs/>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93229F">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bookmarkStart w:id="107" w:name="PO_3000001871_PM002_4"/>
      <w:r>
        <w:rPr>
          <w:rFonts w:hint="eastAsia" w:ascii="宋体" w:hAnsi="宋体" w:cs="宋体"/>
          <w:i/>
          <w:iCs/>
          <w:color w:val="auto"/>
          <w:sz w:val="24"/>
          <w:szCs w:val="24"/>
          <w:highlight w:val="none"/>
        </w:rPr>
        <w:t>（</w:t>
      </w:r>
      <w:bookmarkEnd w:id="107"/>
      <w:r>
        <w:rPr>
          <w:rFonts w:hint="eastAsia" w:ascii="宋体" w:hAnsi="宋体" w:cs="宋体"/>
          <w:i/>
          <w:iCs/>
          <w:color w:val="auto"/>
          <w:sz w:val="24"/>
          <w:szCs w:val="24"/>
          <w:highlight w:val="none"/>
          <w:u w:val="single"/>
        </w:rPr>
        <w:t>项目名称</w:t>
      </w:r>
      <w:r>
        <w:rPr>
          <w:rFonts w:hint="eastAsia" w:ascii="宋体" w:hAnsi="宋体" w:cs="宋体"/>
          <w:i/>
          <w:iCs/>
          <w:color w:val="auto"/>
          <w:sz w:val="24"/>
          <w:szCs w:val="24"/>
          <w:highlight w:val="none"/>
        </w:rPr>
        <w:t>）</w:t>
      </w:r>
      <w:r>
        <w:rPr>
          <w:rFonts w:hint="eastAsia" w:ascii="宋体" w:hAnsi="宋体" w:cs="宋体"/>
          <w:color w:val="auto"/>
          <w:sz w:val="24"/>
          <w:szCs w:val="24"/>
          <w:highlight w:val="none"/>
        </w:rPr>
        <w:t>项目的竞标，为便于贵方公正、择优地确定成交供应商及其竞标产品和服务，我方就本次竞标有关事项郑重声明如下：</w:t>
      </w:r>
    </w:p>
    <w:p w14:paraId="333EC303">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21DFA9F9">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518872">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7DEDD024">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（1）将按谈判文件的约定履行合同责任和义务；</w:t>
      </w:r>
    </w:p>
    <w:p w14:paraId="245A9DAB">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（2）已详细审查谈判文件的全部内容，包括澄清或者更正公告（如有）；</w:t>
      </w:r>
    </w:p>
    <w:p w14:paraId="776D133C">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（3）同意提供按照贵方可能要求的与谈判有关的一切数据或者资料。</w:t>
      </w:r>
    </w:p>
    <w:p w14:paraId="76DFB5D6">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8D90C6E">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4B972897">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442CF026">
      <w:pPr>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124CCB6">
      <w:pPr>
        <w:tabs>
          <w:tab w:val="left" w:pos="939"/>
        </w:tabs>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6.以上事项如有虚假或者隐瞒，我方愿意承担一切后果，并不再寻求任何旨在减轻或者免除法律责任的辩解。</w:t>
      </w:r>
    </w:p>
    <w:p w14:paraId="6C69102A">
      <w:pPr>
        <w:tabs>
          <w:tab w:val="left" w:pos="939"/>
        </w:tabs>
        <w:spacing w:line="360" w:lineRule="exact"/>
        <w:ind w:left="141" w:leftChars="67" w:firstLine="360" w:firstLineChars="15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17B80894">
      <w:pPr>
        <w:tabs>
          <w:tab w:val="left" w:pos="939"/>
        </w:tabs>
        <w:spacing w:line="36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注：如为联合体竞标，盖章处须加盖联合体各方公章，否则其响应文件作无效响应处理。</w:t>
      </w:r>
    </w:p>
    <w:p w14:paraId="0CF50905">
      <w:pPr>
        <w:tabs>
          <w:tab w:val="left" w:pos="939"/>
        </w:tabs>
        <w:spacing w:line="360" w:lineRule="exact"/>
        <w:ind w:firstLine="480" w:firstLineChars="200"/>
        <w:contextualSpacing/>
        <w:rPr>
          <w:rFonts w:hint="eastAsia" w:ascii="宋体" w:hAnsi="宋体" w:cs="宋体"/>
          <w:color w:val="auto"/>
          <w:sz w:val="24"/>
          <w:szCs w:val="24"/>
          <w:highlight w:val="none"/>
        </w:rPr>
      </w:pPr>
    </w:p>
    <w:p w14:paraId="0390179A">
      <w:pPr>
        <w:autoSpaceDE w:val="0"/>
        <w:autoSpaceDN w:val="0"/>
        <w:spacing w:line="360" w:lineRule="exact"/>
        <w:ind w:left="4365" w:leftChars="1850" w:hanging="480" w:hanging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2E9A35CA">
      <w:pPr>
        <w:autoSpaceDE w:val="0"/>
        <w:autoSpaceDN w:val="0"/>
        <w:spacing w:line="360" w:lineRule="exact"/>
        <w:ind w:firstLine="6120" w:firstLineChars="255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3CCE75BE">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0E07D6F7">
      <w:pPr>
        <w:autoSpaceDE w:val="0"/>
        <w:autoSpaceDN w:val="0"/>
        <w:spacing w:line="360" w:lineRule="exact"/>
        <w:rPr>
          <w:rFonts w:hint="eastAsia" w:ascii="宋体" w:hAnsi="宋体"/>
          <w:b/>
          <w:bCs/>
          <w:color w:val="auto"/>
          <w:sz w:val="32"/>
          <w:szCs w:val="32"/>
          <w:highlight w:val="none"/>
        </w:rPr>
      </w:pPr>
      <w:r>
        <w:rPr>
          <w:rFonts w:hint="eastAsia" w:ascii="宋体" w:hAnsi="宋体" w:cs="宋体"/>
          <w:b/>
          <w:color w:val="auto"/>
          <w:kern w:val="0"/>
          <w:sz w:val="28"/>
          <w:szCs w:val="28"/>
          <w:highlight w:val="none"/>
        </w:rPr>
        <w:t>4、联合体竞标协议书的格式：</w:t>
      </w:r>
    </w:p>
    <w:p w14:paraId="1D4CF099">
      <w:pPr>
        <w:spacing w:line="600" w:lineRule="exact"/>
        <w:jc w:val="center"/>
        <w:rPr>
          <w:rFonts w:hint="eastAsia" w:ascii="Arial Unicode MS" w:hAnsi="Arial Unicode MS" w:eastAsia="Arial Unicode MS" w:cs="Arial Unicode MS"/>
          <w:color w:val="auto"/>
          <w:sz w:val="44"/>
          <w:szCs w:val="44"/>
          <w:highlight w:val="none"/>
          <w:lang w:val="zh-CN"/>
        </w:rPr>
      </w:pPr>
    </w:p>
    <w:p w14:paraId="7E2D5D94">
      <w:pPr>
        <w:spacing w:line="600" w:lineRule="exact"/>
        <w:jc w:val="center"/>
        <w:rPr>
          <w:rFonts w:hint="eastAsia" w:ascii="宋体" w:hAnsi="宋体" w:cs="宋体"/>
          <w:color w:val="auto"/>
          <w:sz w:val="44"/>
          <w:szCs w:val="44"/>
          <w:highlight w:val="none"/>
          <w:lang w:val="zh-CN"/>
        </w:rPr>
      </w:pPr>
      <w:r>
        <w:rPr>
          <w:rFonts w:hint="eastAsia" w:ascii="宋体" w:hAnsi="宋体" w:cs="宋体"/>
          <w:b/>
          <w:bCs/>
          <w:color w:val="auto"/>
          <w:sz w:val="32"/>
          <w:szCs w:val="32"/>
          <w:highlight w:val="none"/>
          <w:lang w:val="zh-CN"/>
        </w:rPr>
        <w:t>联合体竞标协议书</w:t>
      </w:r>
    </w:p>
    <w:p w14:paraId="0D09CD66">
      <w:pPr>
        <w:autoSpaceDE w:val="0"/>
        <w:autoSpaceDN w:val="0"/>
        <w:adjustRightInd w:val="0"/>
        <w:spacing w:line="360" w:lineRule="auto"/>
        <w:jc w:val="left"/>
        <w:rPr>
          <w:rFonts w:hint="eastAsia" w:ascii="宋体" w:hAnsi="宋体" w:cs="宋体"/>
          <w:color w:val="auto"/>
          <w:kern w:val="0"/>
          <w:szCs w:val="21"/>
          <w:highlight w:val="none"/>
          <w:u w:val="single"/>
        </w:rPr>
      </w:pPr>
    </w:p>
    <w:p w14:paraId="142C0C5A">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（所有成员单位名称）自愿组成联合体，共同参加</w:t>
      </w:r>
      <w:r>
        <w:rPr>
          <w:rFonts w:hint="eastAsia" w:ascii="宋体" w:hAnsi="宋体" w:cs="宋体"/>
          <w:color w:val="auto"/>
          <w:kern w:val="0"/>
          <w:sz w:val="24"/>
          <w:szCs w:val="24"/>
          <w:highlight w:val="none"/>
          <w:u w:val="single"/>
        </w:rPr>
        <w:t xml:space="preserve"> 广西建设工程机电设备招标中心有限公司 </w:t>
      </w:r>
      <w:r>
        <w:rPr>
          <w:rFonts w:hint="eastAsia" w:ascii="宋体" w:hAnsi="宋体" w:cs="宋体"/>
          <w:color w:val="auto"/>
          <w:kern w:val="0"/>
          <w:sz w:val="24"/>
          <w:szCs w:val="24"/>
          <w:highlight w:val="none"/>
        </w:rPr>
        <w:t>组织的</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 （项目名称）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（项目编号：</w:t>
      </w:r>
      <w:r>
        <w:rPr>
          <w:rFonts w:hint="eastAsia" w:ascii="宋体" w:hAnsi="宋体" w:cs="宋体"/>
          <w:i/>
          <w:iCs/>
          <w:color w:val="auto"/>
          <w:kern w:val="0"/>
          <w:sz w:val="24"/>
          <w:szCs w:val="24"/>
          <w:highlight w:val="none"/>
        </w:rPr>
        <w:t>（</w:t>
      </w:r>
      <w:r>
        <w:rPr>
          <w:rFonts w:hint="eastAsia" w:ascii="宋体" w:hAnsi="宋体" w:cs="宋体"/>
          <w:i/>
          <w:iCs/>
          <w:color w:val="auto"/>
          <w:kern w:val="0"/>
          <w:sz w:val="24"/>
          <w:szCs w:val="24"/>
          <w:highlight w:val="none"/>
          <w:u w:val="single"/>
        </w:rPr>
        <w:t>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）竞争性谈判采购。现就联合体竞标事宜订立如下协议：</w:t>
      </w:r>
    </w:p>
    <w:p w14:paraId="0B9169B1">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（某成员单位名称）为联合体名称牵头人。</w:t>
      </w:r>
    </w:p>
    <w:p w14:paraId="3BED68FB">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67D5D185">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5CCB1F8E">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964ECDB">
      <w:pPr>
        <w:spacing w:line="36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5、本联合体中，</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（请填写：中型、小型、微型）企业，其协议合同金额占联合体协议合同总金额的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%。【如联合体成员中有小型、微型企业的，请填写此条，否则无需填写；如联合体成员中有多个小型、微型企业的，请逐一列出。】</w:t>
      </w:r>
    </w:p>
    <w:p w14:paraId="62064304">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6、本协议书自签署之日起生效，合同履行完毕后自动失效。</w:t>
      </w:r>
    </w:p>
    <w:p w14:paraId="50710C73">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份，联合体成员和采购代理机构各执一份。</w:t>
      </w:r>
    </w:p>
    <w:p w14:paraId="60930F6F">
      <w:pPr>
        <w:autoSpaceDE w:val="0"/>
        <w:autoSpaceDN w:val="0"/>
        <w:adjustRightInd w:val="0"/>
        <w:spacing w:line="36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注：本协议书由法定代表人签字的，应附法定代表人身份证明；本协议书由委托代理人签字的，应附法定代表人授权委托书。</w:t>
      </w:r>
    </w:p>
    <w:p w14:paraId="02FAF239">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（盖公章）</w:t>
      </w:r>
    </w:p>
    <w:p w14:paraId="1DC594C2">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3BEFE281">
      <w:pPr>
        <w:autoSpaceDE w:val="0"/>
        <w:autoSpaceDN w:val="0"/>
        <w:adjustRightInd w:val="0"/>
        <w:spacing w:line="360" w:lineRule="exact"/>
        <w:jc w:val="left"/>
        <w:rPr>
          <w:rFonts w:hint="eastAsia" w:ascii="宋体" w:hAnsi="宋体" w:cs="宋体"/>
          <w:color w:val="auto"/>
          <w:kern w:val="0"/>
          <w:sz w:val="24"/>
          <w:szCs w:val="24"/>
          <w:highlight w:val="none"/>
        </w:rPr>
      </w:pPr>
    </w:p>
    <w:p w14:paraId="4D18BD2F">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成员一名称：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（盖公章）</w:t>
      </w:r>
    </w:p>
    <w:p w14:paraId="028F3EB6">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2980A715">
      <w:pPr>
        <w:autoSpaceDE w:val="0"/>
        <w:autoSpaceDN w:val="0"/>
        <w:adjustRightInd w:val="0"/>
        <w:spacing w:line="360" w:lineRule="exact"/>
        <w:jc w:val="left"/>
        <w:rPr>
          <w:rFonts w:hint="eastAsia" w:ascii="宋体" w:hAnsi="宋体" w:cs="宋体"/>
          <w:color w:val="auto"/>
          <w:kern w:val="0"/>
          <w:szCs w:val="21"/>
          <w:highlight w:val="none"/>
        </w:rPr>
      </w:pPr>
    </w:p>
    <w:p w14:paraId="3EAB9019">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成员二名称：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（盖公章）</w:t>
      </w:r>
    </w:p>
    <w:p w14:paraId="25B249F1">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                         （签字）</w:t>
      </w:r>
    </w:p>
    <w:p w14:paraId="59D49B74">
      <w:pPr>
        <w:pStyle w:val="7"/>
        <w:overflowPunct w:val="0"/>
        <w:spacing w:line="360" w:lineRule="exact"/>
        <w:ind w:firstLineChars="175"/>
        <w:rPr>
          <w:rFonts w:hint="eastAsia" w:ascii="宋体" w:hAnsi="宋体" w:cs="宋体"/>
          <w:color w:val="auto"/>
          <w:sz w:val="24"/>
          <w:highlight w:val="none"/>
        </w:rPr>
      </w:pPr>
      <w:r>
        <w:rPr>
          <w:rFonts w:hint="eastAsia" w:ascii="宋体" w:hAnsi="宋体" w:cs="宋体"/>
          <w:color w:val="auto"/>
          <w:sz w:val="24"/>
          <w:highlight w:val="none"/>
        </w:rPr>
        <w:t>……</w:t>
      </w:r>
    </w:p>
    <w:p w14:paraId="6F9D753E">
      <w:pPr>
        <w:autoSpaceDE w:val="0"/>
        <w:autoSpaceDN w:val="0"/>
        <w:adjustRightInd w:val="0"/>
        <w:spacing w:line="360" w:lineRule="exact"/>
        <w:jc w:val="left"/>
        <w:rPr>
          <w:rFonts w:hint="eastAsia" w:ascii="宋体" w:hAnsi="宋体" w:cs="宋体"/>
          <w:color w:val="auto"/>
          <w:kern w:val="0"/>
          <w:sz w:val="24"/>
          <w:szCs w:val="24"/>
          <w:highlight w:val="none"/>
        </w:rPr>
      </w:pPr>
    </w:p>
    <w:p w14:paraId="355C4A57">
      <w:pPr>
        <w:autoSpaceDE w:val="0"/>
        <w:autoSpaceDN w:val="0"/>
        <w:adjustRightInd w:val="0"/>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日期：  年  月   日</w:t>
      </w:r>
    </w:p>
    <w:p w14:paraId="6879D949">
      <w:pPr>
        <w:rPr>
          <w:rFonts w:hint="eastAsia" w:ascii="宋体" w:hAnsi="宋体" w:cs="宋体"/>
          <w:color w:val="auto"/>
          <w:sz w:val="24"/>
          <w:szCs w:val="24"/>
          <w:highlight w:val="none"/>
        </w:rPr>
      </w:pPr>
    </w:p>
    <w:p w14:paraId="48654763">
      <w:pPr>
        <w:keepNext/>
        <w:keepLines/>
        <w:spacing w:before="260" w:after="260" w:line="416" w:lineRule="auto"/>
        <w:jc w:val="center"/>
        <w:outlineLvl w:val="1"/>
        <w:rPr>
          <w:rFonts w:hint="eastAsia" w:ascii="宋体" w:hAnsi="宋体" w:cs="宋体"/>
          <w:bCs/>
          <w:color w:val="auto"/>
          <w:sz w:val="32"/>
          <w:szCs w:val="32"/>
          <w:highlight w:val="none"/>
          <w:lang w:val="zh-CN"/>
        </w:rPr>
      </w:pPr>
      <w:bookmarkStart w:id="108" w:name="_Toc10749"/>
      <w:bookmarkStart w:id="109" w:name="_Toc29107"/>
      <w:bookmarkStart w:id="110" w:name="_Toc80205940"/>
      <w:r>
        <w:rPr>
          <w:rFonts w:hint="eastAsia" w:ascii="宋体" w:hAnsi="宋体" w:cs="宋体"/>
          <w:color w:val="auto"/>
          <w:sz w:val="32"/>
          <w:szCs w:val="32"/>
          <w:highlight w:val="none"/>
          <w:lang w:val="zh-CN"/>
        </w:rPr>
        <w:t xml:space="preserve">第二节 </w:t>
      </w:r>
      <w:r>
        <w:rPr>
          <w:rFonts w:hint="eastAsia" w:ascii="宋体" w:hAnsi="宋体" w:cs="宋体"/>
          <w:bCs/>
          <w:color w:val="auto"/>
          <w:sz w:val="32"/>
          <w:szCs w:val="32"/>
          <w:highlight w:val="none"/>
          <w:lang w:val="zh-CN"/>
        </w:rPr>
        <w:t>商务技术文件格式</w:t>
      </w:r>
      <w:bookmarkEnd w:id="108"/>
      <w:bookmarkEnd w:id="109"/>
      <w:bookmarkEnd w:id="110"/>
    </w:p>
    <w:p w14:paraId="7CC62F18">
      <w:pPr>
        <w:snapToGrid w:val="0"/>
        <w:spacing w:before="120" w:beforeLines="50" w:after="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8"/>
          <w:szCs w:val="28"/>
          <w:highlight w:val="none"/>
        </w:rPr>
        <w:t>1.商务技术文件封面的格式</w:t>
      </w:r>
      <w:r>
        <w:rPr>
          <w:rFonts w:hint="eastAsia" w:ascii="宋体" w:hAnsi="宋体" w:cs="宋体"/>
          <w:b/>
          <w:bCs/>
          <w:color w:val="auto"/>
          <w:sz w:val="28"/>
          <w:szCs w:val="28"/>
          <w:highlight w:val="none"/>
        </w:rPr>
        <w:t>（参照此格式自拟）</w:t>
      </w:r>
      <w:r>
        <w:rPr>
          <w:rFonts w:hint="eastAsia" w:ascii="宋体" w:hAnsi="宋体" w:cs="宋体"/>
          <w:b/>
          <w:color w:val="auto"/>
          <w:sz w:val="28"/>
          <w:szCs w:val="28"/>
          <w:highlight w:val="none"/>
        </w:rPr>
        <w:t>：</w:t>
      </w:r>
      <w:r>
        <w:rPr>
          <w:rFonts w:hint="eastAsia" w:ascii="宋体" w:hAnsi="宋体" w:cs="宋体"/>
          <w:color w:val="auto"/>
          <w:sz w:val="24"/>
          <w:szCs w:val="24"/>
          <w:highlight w:val="none"/>
        </w:rPr>
        <w:t xml:space="preserve">                                                 </w:t>
      </w:r>
    </w:p>
    <w:p w14:paraId="224D8E84">
      <w:pPr>
        <w:snapToGrid w:val="0"/>
        <w:spacing w:before="120" w:beforeLines="50" w:after="50"/>
        <w:rPr>
          <w:rFonts w:hint="eastAsia" w:ascii="宋体" w:hAnsi="宋体" w:cs="宋体"/>
          <w:color w:val="auto"/>
          <w:sz w:val="24"/>
          <w:szCs w:val="24"/>
          <w:highlight w:val="none"/>
        </w:rPr>
      </w:pPr>
    </w:p>
    <w:p w14:paraId="010C169D">
      <w:pPr>
        <w:snapToGrid w:val="0"/>
        <w:spacing w:before="120" w:beforeLines="50" w:after="50"/>
        <w:jc w:val="right"/>
        <w:rPr>
          <w:rFonts w:hint="eastAsia" w:ascii="宋体" w:hAnsi="宋体" w:cs="宋体"/>
          <w:bCs/>
          <w:color w:val="auto"/>
          <w:sz w:val="32"/>
          <w:szCs w:val="20"/>
          <w:highlight w:val="none"/>
        </w:rPr>
      </w:pPr>
      <w:r>
        <w:rPr>
          <w:rFonts w:hint="eastAsia" w:ascii="宋体" w:hAnsi="宋体" w:cs="宋体"/>
          <w:color w:val="auto"/>
          <w:sz w:val="24"/>
          <w:szCs w:val="24"/>
          <w:highlight w:val="none"/>
        </w:rPr>
        <w:t xml:space="preserve"> </w:t>
      </w:r>
      <w:r>
        <w:rPr>
          <w:rFonts w:hint="eastAsia" w:ascii="宋体" w:hAnsi="宋体" w:cs="宋体"/>
          <w:bCs/>
          <w:color w:val="auto"/>
          <w:szCs w:val="24"/>
          <w:highlight w:val="none"/>
        </w:rPr>
        <w:t>全流程电子文件</w:t>
      </w:r>
    </w:p>
    <w:p w14:paraId="27298DDB">
      <w:pPr>
        <w:snapToGrid w:val="0"/>
        <w:spacing w:before="120" w:beforeLines="50" w:after="50"/>
        <w:rPr>
          <w:rFonts w:hint="eastAsia" w:ascii="宋体" w:hAnsi="宋体" w:cs="宋体"/>
          <w:color w:val="auto"/>
          <w:sz w:val="24"/>
          <w:szCs w:val="20"/>
          <w:highlight w:val="none"/>
        </w:rPr>
      </w:pPr>
    </w:p>
    <w:p w14:paraId="1CDC64BC">
      <w:pPr>
        <w:snapToGrid w:val="0"/>
        <w:spacing w:before="120" w:beforeLines="50" w:after="50"/>
        <w:rPr>
          <w:rFonts w:hint="eastAsia" w:ascii="宋体" w:hAnsi="宋体" w:cs="宋体"/>
          <w:color w:val="auto"/>
          <w:sz w:val="24"/>
          <w:szCs w:val="20"/>
          <w:highlight w:val="none"/>
        </w:rPr>
      </w:pPr>
    </w:p>
    <w:p w14:paraId="57694141">
      <w:pPr>
        <w:snapToGrid w:val="0"/>
        <w:spacing w:before="120" w:beforeLines="50" w:after="50"/>
        <w:rPr>
          <w:rFonts w:hint="eastAsia" w:ascii="宋体" w:hAnsi="宋体" w:cs="宋体"/>
          <w:color w:val="auto"/>
          <w:sz w:val="24"/>
          <w:szCs w:val="20"/>
          <w:highlight w:val="none"/>
        </w:rPr>
      </w:pPr>
    </w:p>
    <w:p w14:paraId="6AC607B1">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4AE2A8B5">
      <w:pPr>
        <w:snapToGrid w:val="0"/>
        <w:spacing w:before="120" w:beforeLines="50" w:after="50"/>
        <w:rPr>
          <w:rFonts w:hint="eastAsia" w:ascii="宋体" w:hAnsi="宋体" w:cs="宋体"/>
          <w:bCs/>
          <w:color w:val="auto"/>
          <w:sz w:val="24"/>
          <w:szCs w:val="20"/>
          <w:highlight w:val="none"/>
        </w:rPr>
      </w:pPr>
    </w:p>
    <w:p w14:paraId="62711F88">
      <w:pPr>
        <w:snapToGrid w:val="0"/>
        <w:spacing w:before="120" w:beforeLines="50" w:after="50"/>
        <w:rPr>
          <w:rFonts w:hint="eastAsia" w:ascii="宋体" w:hAnsi="宋体" w:cs="宋体"/>
          <w:bCs/>
          <w:color w:val="auto"/>
          <w:sz w:val="24"/>
          <w:szCs w:val="20"/>
          <w:highlight w:val="none"/>
        </w:rPr>
      </w:pPr>
    </w:p>
    <w:p w14:paraId="54427836">
      <w:pPr>
        <w:snapToGrid w:val="0"/>
        <w:spacing w:before="120" w:beforeLines="50" w:after="50"/>
        <w:rPr>
          <w:rFonts w:hint="eastAsia" w:ascii="宋体" w:hAnsi="宋体" w:cs="宋体"/>
          <w:bCs/>
          <w:color w:val="auto"/>
          <w:sz w:val="24"/>
          <w:szCs w:val="20"/>
          <w:highlight w:val="none"/>
        </w:rPr>
      </w:pPr>
    </w:p>
    <w:p w14:paraId="490BC7BB">
      <w:pPr>
        <w:snapToGrid w:val="0"/>
        <w:spacing w:before="120" w:beforeLines="50" w:after="50"/>
        <w:rPr>
          <w:rFonts w:hint="eastAsia" w:ascii="宋体" w:hAnsi="宋体" w:cs="宋体"/>
          <w:bCs/>
          <w:color w:val="auto"/>
          <w:sz w:val="24"/>
          <w:szCs w:val="20"/>
          <w:highlight w:val="none"/>
        </w:rPr>
      </w:pPr>
    </w:p>
    <w:p w14:paraId="4E0A82D9">
      <w:pPr>
        <w:snapToGrid w:val="0"/>
        <w:spacing w:before="120" w:beforeLines="50" w:after="50"/>
        <w:rPr>
          <w:rFonts w:hint="eastAsia" w:ascii="宋体" w:hAnsi="宋体" w:cs="宋体"/>
          <w:bCs/>
          <w:color w:val="auto"/>
          <w:sz w:val="24"/>
          <w:szCs w:val="20"/>
          <w:highlight w:val="none"/>
        </w:rPr>
      </w:pPr>
    </w:p>
    <w:p w14:paraId="39130A10">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项目名称： </w:t>
      </w:r>
    </w:p>
    <w:p w14:paraId="0D861105">
      <w:pPr>
        <w:snapToGrid w:val="0"/>
        <w:spacing w:before="120" w:beforeLines="50" w:after="50"/>
        <w:ind w:firstLine="720" w:firstLineChars="225"/>
        <w:rPr>
          <w:rFonts w:hint="eastAsia" w:ascii="宋体" w:hAnsi="宋体" w:cs="宋体"/>
          <w:bCs/>
          <w:color w:val="auto"/>
          <w:sz w:val="32"/>
          <w:szCs w:val="32"/>
          <w:highlight w:val="none"/>
        </w:rPr>
      </w:pPr>
    </w:p>
    <w:p w14:paraId="06D50F82">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项目编号： </w:t>
      </w:r>
    </w:p>
    <w:p w14:paraId="4E2BE82D">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0EE1749">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2B25BD3">
      <w:pPr>
        <w:snapToGrid w:val="0"/>
        <w:spacing w:before="120" w:beforeLines="50" w:after="50"/>
        <w:ind w:firstLine="720" w:firstLineChars="225"/>
        <w:rPr>
          <w:rFonts w:hint="eastAsia" w:ascii="宋体" w:hAnsi="宋体" w:cs="宋体"/>
          <w:bCs/>
          <w:color w:val="auto"/>
          <w:sz w:val="32"/>
          <w:szCs w:val="32"/>
          <w:highlight w:val="none"/>
        </w:rPr>
      </w:pPr>
    </w:p>
    <w:p w14:paraId="2EBF7D7E">
      <w:pPr>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70338B5">
      <w:pPr>
        <w:snapToGrid w:val="0"/>
        <w:spacing w:before="50" w:after="50"/>
        <w:ind w:firstLine="720" w:firstLineChars="225"/>
        <w:rPr>
          <w:rFonts w:hint="eastAsia" w:ascii="宋体" w:hAnsi="宋体" w:cs="宋体"/>
          <w:bCs/>
          <w:color w:val="auto"/>
          <w:sz w:val="32"/>
          <w:szCs w:val="32"/>
          <w:highlight w:val="none"/>
        </w:rPr>
      </w:pPr>
    </w:p>
    <w:p w14:paraId="613E85EE">
      <w:pPr>
        <w:snapToGrid w:val="0"/>
        <w:spacing w:before="50" w:after="50"/>
        <w:ind w:firstLine="720" w:firstLineChars="225"/>
        <w:rPr>
          <w:rFonts w:hint="eastAsia" w:ascii="宋体" w:hAnsi="宋体" w:cs="宋体"/>
          <w:bCs/>
          <w:color w:val="auto"/>
          <w:sz w:val="32"/>
          <w:szCs w:val="32"/>
          <w:highlight w:val="none"/>
        </w:rPr>
      </w:pPr>
    </w:p>
    <w:p w14:paraId="1AD748B1">
      <w:pPr>
        <w:snapToGrid w:val="0"/>
        <w:spacing w:before="50" w:after="50"/>
        <w:ind w:firstLine="1280" w:firstLineChars="400"/>
        <w:rPr>
          <w:rFonts w:hint="eastAsia" w:ascii="宋体" w:hAnsi="宋体" w:cs="宋体"/>
          <w:bCs/>
          <w:color w:val="auto"/>
          <w:sz w:val="32"/>
          <w:szCs w:val="32"/>
          <w:highlight w:val="none"/>
        </w:rPr>
      </w:pPr>
    </w:p>
    <w:p w14:paraId="17A06B3D">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2B7E395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7301EFB">
      <w:pPr>
        <w:spacing w:line="360" w:lineRule="auto"/>
        <w:ind w:right="420"/>
        <w:rPr>
          <w:rFonts w:hint="eastAsia" w:ascii="宋体" w:hAnsi="宋体" w:cs="宋体"/>
          <w:b/>
          <w:bCs/>
          <w:color w:val="auto"/>
          <w:sz w:val="28"/>
          <w:szCs w:val="28"/>
          <w:highlight w:val="none"/>
        </w:rPr>
      </w:pPr>
    </w:p>
    <w:p w14:paraId="525E9C05">
      <w:pPr>
        <w:spacing w:line="360" w:lineRule="auto"/>
        <w:ind w:right="420"/>
        <w:rPr>
          <w:rFonts w:hint="eastAsia"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14:paraId="4F59A43F">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根据竞争性谈判文件规定及供应商提供的材料自行编写目录（部分格式后附）。</w:t>
      </w:r>
    </w:p>
    <w:p w14:paraId="4E2F9C29">
      <w:pPr>
        <w:jc w:val="center"/>
        <w:rPr>
          <w:rFonts w:hint="eastAsia" w:ascii="宋体" w:hAnsi="宋体" w:cs="宋体"/>
          <w:color w:val="auto"/>
          <w:sz w:val="24"/>
          <w:szCs w:val="24"/>
          <w:highlight w:val="none"/>
        </w:rPr>
      </w:pPr>
    </w:p>
    <w:p w14:paraId="3CE527CC">
      <w:pPr>
        <w:spacing w:line="520" w:lineRule="exact"/>
        <w:jc w:val="left"/>
        <w:rPr>
          <w:rFonts w:hint="eastAsia" w:ascii="宋体" w:hAnsi="宋体" w:cs="宋体"/>
          <w:b/>
          <w:color w:val="auto"/>
          <w:sz w:val="28"/>
          <w:szCs w:val="28"/>
          <w:highlight w:val="none"/>
        </w:rPr>
      </w:pPr>
    </w:p>
    <w:p w14:paraId="68B3F163">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A1C1995">
      <w:pPr>
        <w:spacing w:line="520" w:lineRule="exact"/>
        <w:jc w:val="left"/>
        <w:rPr>
          <w:rFonts w:hint="eastAsia" w:ascii="宋体" w:hAnsi="宋体" w:cs="宋体"/>
          <w:color w:val="auto"/>
          <w:sz w:val="28"/>
          <w:szCs w:val="28"/>
          <w:highlight w:val="none"/>
        </w:rPr>
      </w:pPr>
      <w:r>
        <w:rPr>
          <w:rFonts w:hint="eastAsia" w:ascii="宋体" w:hAnsi="宋体" w:cs="宋体"/>
          <w:b/>
          <w:color w:val="auto"/>
          <w:sz w:val="28"/>
          <w:szCs w:val="28"/>
          <w:highlight w:val="none"/>
        </w:rPr>
        <w:t>3.无串通竞标行为的承诺函的格式：</w:t>
      </w:r>
    </w:p>
    <w:p w14:paraId="2569E8BA">
      <w:pPr>
        <w:spacing w:line="520" w:lineRule="exact"/>
        <w:jc w:val="center"/>
        <w:rPr>
          <w:rFonts w:hint="eastAsia" w:ascii="Arial Unicode MS" w:hAnsi="Arial Unicode MS" w:eastAsia="Arial Unicode MS" w:cs="Arial Unicode MS"/>
          <w:color w:val="auto"/>
          <w:sz w:val="44"/>
          <w:szCs w:val="44"/>
          <w:highlight w:val="none"/>
        </w:rPr>
      </w:pPr>
    </w:p>
    <w:p w14:paraId="22F6C3B6">
      <w:pPr>
        <w:spacing w:line="520" w:lineRule="exact"/>
        <w:jc w:val="center"/>
        <w:rPr>
          <w:rFonts w:hint="eastAsia" w:ascii="宋体" w:hAnsi="宋体" w:cs="宋体"/>
          <w:color w:val="auto"/>
          <w:sz w:val="36"/>
          <w:szCs w:val="36"/>
          <w:highlight w:val="none"/>
        </w:rPr>
      </w:pPr>
      <w:r>
        <w:rPr>
          <w:rFonts w:hint="eastAsia" w:ascii="宋体" w:hAnsi="宋体" w:cs="宋体"/>
          <w:b/>
          <w:bCs/>
          <w:color w:val="auto"/>
          <w:sz w:val="32"/>
          <w:szCs w:val="32"/>
          <w:highlight w:val="none"/>
        </w:rPr>
        <w:t>无串通竞标行为的承诺函</w:t>
      </w:r>
    </w:p>
    <w:p w14:paraId="21A686EF">
      <w:pPr>
        <w:spacing w:line="400" w:lineRule="exact"/>
        <w:contextualSpacing/>
        <w:rPr>
          <w:rFonts w:hint="eastAsia" w:ascii="仿宋_GB2312" w:hAnsi="仿宋_GB2312" w:eastAsia="仿宋_GB2312" w:cs="仿宋_GB2312"/>
          <w:color w:val="auto"/>
          <w:sz w:val="32"/>
          <w:szCs w:val="32"/>
          <w:highlight w:val="none"/>
        </w:rPr>
      </w:pPr>
    </w:p>
    <w:p w14:paraId="69DA0A08">
      <w:pPr>
        <w:spacing w:line="400" w:lineRule="exact"/>
        <w:ind w:firstLine="482" w:firstLineChars="200"/>
        <w:contextualSpacing/>
        <w:rPr>
          <w:rFonts w:hint="eastAsia" w:ascii="宋体" w:hAnsi="宋体" w:cs="仿宋_GB2312"/>
          <w:b/>
          <w:bCs/>
          <w:color w:val="auto"/>
          <w:sz w:val="24"/>
          <w:szCs w:val="24"/>
          <w:highlight w:val="none"/>
        </w:rPr>
      </w:pPr>
      <w:r>
        <w:rPr>
          <w:rFonts w:hint="eastAsia" w:ascii="宋体" w:hAnsi="宋体" w:cs="仿宋_GB2312"/>
          <w:b/>
          <w:bCs/>
          <w:color w:val="auto"/>
          <w:sz w:val="24"/>
          <w:szCs w:val="24"/>
          <w:highlight w:val="none"/>
        </w:rPr>
        <w:t>一、我方承诺无下列相互串通竞标的情形：</w:t>
      </w:r>
    </w:p>
    <w:p w14:paraId="59A5E8A7">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1.不同供应商的响应文件由同一单位或者个人编制；或不同供应商报名的IP地址一致的；</w:t>
      </w:r>
    </w:p>
    <w:p w14:paraId="6236BB79">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2.不同供应商委托同一单位或者个人办理竞标事宜；</w:t>
      </w:r>
    </w:p>
    <w:p w14:paraId="608A5506">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3.不同的供应商的响应文件载明的项目管理员为同一个人；</w:t>
      </w:r>
    </w:p>
    <w:p w14:paraId="1074C981">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4.不</w:t>
      </w:r>
      <w:r>
        <w:rPr>
          <w:rFonts w:hint="eastAsia" w:ascii="宋体" w:hAnsi="宋体" w:cs="仿宋_GB2312"/>
          <w:color w:val="auto"/>
          <w:spacing w:val="-6"/>
          <w:sz w:val="24"/>
          <w:szCs w:val="24"/>
          <w:highlight w:val="none"/>
        </w:rPr>
        <w:t>同供应商的响应文件异常一致或者竞标报价呈规律性差异；</w:t>
      </w:r>
    </w:p>
    <w:p w14:paraId="2080B759">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5.不同供应商的响应文件相互混装；</w:t>
      </w:r>
    </w:p>
    <w:p w14:paraId="4F07A4E4">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6.不同供应商的谈判保证金从同一单位或者个人账户转出。</w:t>
      </w:r>
    </w:p>
    <w:p w14:paraId="31738B68">
      <w:pPr>
        <w:spacing w:line="400" w:lineRule="exact"/>
        <w:ind w:firstLine="482" w:firstLineChars="200"/>
        <w:contextualSpacing/>
        <w:rPr>
          <w:rFonts w:hint="eastAsia" w:ascii="宋体" w:hAnsi="宋体" w:cs="仿宋_GB2312"/>
          <w:b/>
          <w:bCs/>
          <w:color w:val="auto"/>
          <w:sz w:val="24"/>
          <w:szCs w:val="24"/>
          <w:highlight w:val="none"/>
        </w:rPr>
      </w:pPr>
      <w:r>
        <w:rPr>
          <w:rFonts w:hint="eastAsia" w:ascii="宋体" w:hAnsi="宋体" w:cs="仿宋_GB2312"/>
          <w:b/>
          <w:bCs/>
          <w:color w:val="auto"/>
          <w:sz w:val="24"/>
          <w:szCs w:val="24"/>
          <w:highlight w:val="none"/>
        </w:rPr>
        <w:t>二、我方承诺无下列恶意串通的情形：</w:t>
      </w:r>
    </w:p>
    <w:p w14:paraId="076007EA">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1.供应商直接或者间接从采购人或者采购代理机构处获得其他供应商的相关信息并修改其响应文件；</w:t>
      </w:r>
    </w:p>
    <w:p w14:paraId="06A1B219">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2.供应商按照采购人或者采购代理机构的授意撤换、修改响应文件；</w:t>
      </w:r>
    </w:p>
    <w:p w14:paraId="0D913B83">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3.供</w:t>
      </w:r>
      <w:r>
        <w:rPr>
          <w:rFonts w:hint="eastAsia" w:ascii="宋体" w:hAnsi="宋体" w:cs="仿宋_GB2312"/>
          <w:color w:val="auto"/>
          <w:spacing w:val="-6"/>
          <w:sz w:val="24"/>
          <w:szCs w:val="24"/>
          <w:highlight w:val="none"/>
        </w:rPr>
        <w:t>应商之间协商报价、技术方案等响应文件的实质性内容；</w:t>
      </w:r>
    </w:p>
    <w:p w14:paraId="7E00E99A">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4.属于同一集团、协会、商会等组织成员的供应商按照该组织要求协同参加政府采购活动；</w:t>
      </w:r>
    </w:p>
    <w:p w14:paraId="74255CAB">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09627C4A">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6.供应商之间商定部分供应商放弃参加政府采购活动或者放弃成交；</w:t>
      </w:r>
    </w:p>
    <w:p w14:paraId="4B1B5D34">
      <w:pPr>
        <w:spacing w:line="400" w:lineRule="exact"/>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7.供应商与采购人或者采购代理机构之间、供应商相互之间，为</w:t>
      </w:r>
      <w:r>
        <w:rPr>
          <w:rFonts w:hint="eastAsia" w:ascii="宋体" w:hAnsi="宋体" w:cs="仿宋_GB2312"/>
          <w:color w:val="auto"/>
          <w:spacing w:val="-6"/>
          <w:sz w:val="24"/>
          <w:szCs w:val="24"/>
          <w:highlight w:val="none"/>
        </w:rPr>
        <w:t>谋求特定供应商成交或者排斥其他供应商的其他串通行为。</w:t>
      </w:r>
    </w:p>
    <w:p w14:paraId="1BDF6E9E">
      <w:pPr>
        <w:spacing w:line="400" w:lineRule="exact"/>
        <w:ind w:firstLine="480" w:firstLineChars="200"/>
        <w:contextualSpacing/>
        <w:rPr>
          <w:rFonts w:hint="eastAsia" w:ascii="宋体" w:hAnsi="宋体" w:cs="仿宋_GB2312"/>
          <w:color w:val="auto"/>
          <w:sz w:val="24"/>
          <w:szCs w:val="24"/>
          <w:highlight w:val="none"/>
        </w:rPr>
      </w:pPr>
    </w:p>
    <w:p w14:paraId="2CC50132">
      <w:pPr>
        <w:spacing w:line="400" w:lineRule="exact"/>
        <w:ind w:firstLine="482" w:firstLineChars="200"/>
        <w:contextualSpacing/>
        <w:rPr>
          <w:rFonts w:hint="eastAsia" w:ascii="宋体" w:hAnsi="宋体" w:cs="仿宋_GB2312"/>
          <w:b/>
          <w:bCs/>
          <w:color w:val="auto"/>
          <w:sz w:val="24"/>
          <w:szCs w:val="24"/>
          <w:highlight w:val="none"/>
        </w:rPr>
      </w:pPr>
      <w:r>
        <w:rPr>
          <w:rFonts w:hint="eastAsia" w:ascii="宋体" w:hAnsi="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仿宋_GB2312"/>
          <w:b/>
          <w:bCs/>
          <w:color w:val="auto"/>
          <w:sz w:val="24"/>
          <w:szCs w:val="24"/>
          <w:highlight w:val="none"/>
        </w:rPr>
        <w:t>。</w:t>
      </w:r>
    </w:p>
    <w:p w14:paraId="2DF5D8BF">
      <w:pPr>
        <w:pStyle w:val="2"/>
        <w:rPr>
          <w:rFonts w:hint="eastAsia" w:ascii="宋体" w:hAnsi="宋体" w:cs="仿宋_GB2312"/>
          <w:b/>
          <w:bCs/>
          <w:color w:val="auto"/>
          <w:sz w:val="24"/>
          <w:szCs w:val="24"/>
          <w:highlight w:val="none"/>
        </w:rPr>
      </w:pPr>
    </w:p>
    <w:p w14:paraId="566DBC56">
      <w:pPr>
        <w:pStyle w:val="2"/>
        <w:rPr>
          <w:rFonts w:hint="eastAsia" w:ascii="宋体" w:hAnsi="宋体" w:cs="仿宋_GB2312"/>
          <w:b/>
          <w:bCs/>
          <w:color w:val="auto"/>
          <w:sz w:val="24"/>
          <w:szCs w:val="24"/>
          <w:highlight w:val="none"/>
        </w:rPr>
      </w:pPr>
    </w:p>
    <w:p w14:paraId="03D0FAA6">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4AD6797C">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b/>
          <w:bCs/>
          <w:color w:val="auto"/>
          <w:sz w:val="32"/>
          <w:szCs w:val="32"/>
          <w:highlight w:val="none"/>
        </w:rPr>
        <w:br w:type="page"/>
      </w:r>
      <w:r>
        <w:rPr>
          <w:rFonts w:hint="eastAsia" w:ascii="宋体" w:hAnsi="宋体" w:cs="宋体"/>
          <w:b/>
          <w:color w:val="auto"/>
          <w:sz w:val="28"/>
          <w:szCs w:val="28"/>
          <w:highlight w:val="none"/>
        </w:rPr>
        <w:t>4.法定代表人身份证明的格式：</w:t>
      </w:r>
    </w:p>
    <w:p w14:paraId="005B620E">
      <w:pPr>
        <w:pStyle w:val="2"/>
        <w:rPr>
          <w:color w:val="auto"/>
          <w:highlight w:val="none"/>
        </w:rPr>
      </w:pPr>
    </w:p>
    <w:p w14:paraId="03143365">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cs="宋体"/>
          <w:b/>
          <w:color w:val="auto"/>
          <w:sz w:val="32"/>
          <w:szCs w:val="32"/>
          <w:highlight w:val="none"/>
        </w:rPr>
        <w:t>法定代表人身份证明</w:t>
      </w:r>
    </w:p>
    <w:p w14:paraId="038E5A9A">
      <w:pPr>
        <w:spacing w:line="360" w:lineRule="auto"/>
        <w:ind w:left="540"/>
        <w:contextualSpacing/>
        <w:rPr>
          <w:rFonts w:hint="eastAsia" w:ascii="仿宋_GB2312" w:hAnsi="仿宋_GB2312" w:eastAsia="仿宋_GB2312" w:cs="仿宋_GB2312"/>
          <w:color w:val="auto"/>
          <w:sz w:val="32"/>
          <w:szCs w:val="32"/>
          <w:highlight w:val="none"/>
        </w:rPr>
      </w:pPr>
    </w:p>
    <w:p w14:paraId="30AF00FB">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p>
    <w:p w14:paraId="758B0D2E">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5094D08B">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     别：</w:t>
      </w:r>
      <w:r>
        <w:rPr>
          <w:rFonts w:hint="eastAsia" w:ascii="宋体" w:hAnsi="宋体" w:cs="宋体"/>
          <w:color w:val="auto"/>
          <w:sz w:val="24"/>
          <w:szCs w:val="24"/>
          <w:highlight w:val="none"/>
          <w:u w:val="single"/>
        </w:rPr>
        <w:t xml:space="preserve">                </w:t>
      </w:r>
    </w:p>
    <w:p w14:paraId="2B82C5BD">
      <w:pPr>
        <w:spacing w:line="360" w:lineRule="auto"/>
        <w:ind w:left="540"/>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p>
    <w:p w14:paraId="1A36159F">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4BD2B00">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i/>
          <w:iCs/>
          <w:color w:val="auto"/>
          <w:sz w:val="24"/>
          <w:szCs w:val="24"/>
          <w:highlight w:val="none"/>
          <w:u w:val="single"/>
        </w:rPr>
        <w:t>（供应商名称）</w:t>
      </w:r>
      <w:r>
        <w:rPr>
          <w:rFonts w:hint="eastAsia" w:ascii="宋体" w:hAnsi="宋体" w:cs="宋体"/>
          <w:color w:val="auto"/>
          <w:sz w:val="24"/>
          <w:szCs w:val="24"/>
          <w:highlight w:val="none"/>
        </w:rPr>
        <w:t>的法定代表人。</w:t>
      </w:r>
    </w:p>
    <w:p w14:paraId="376DCD06">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366BD9E8">
      <w:pPr>
        <w:spacing w:line="360" w:lineRule="auto"/>
        <w:ind w:left="540"/>
        <w:contextualSpacing/>
        <w:rPr>
          <w:rFonts w:hint="eastAsia" w:ascii="宋体" w:hAnsi="宋体" w:cs="宋体"/>
          <w:color w:val="auto"/>
          <w:sz w:val="24"/>
          <w:szCs w:val="24"/>
          <w:highlight w:val="none"/>
        </w:rPr>
      </w:pPr>
    </w:p>
    <w:p w14:paraId="049E5920">
      <w:pPr>
        <w:spacing w:line="360" w:lineRule="auto"/>
        <w:ind w:left="540"/>
        <w:contextualSpacing/>
        <w:rPr>
          <w:rFonts w:hint="eastAsia" w:ascii="宋体" w:hAnsi="宋体" w:cs="宋体"/>
          <w:color w:val="auto"/>
          <w:sz w:val="24"/>
          <w:szCs w:val="24"/>
          <w:highlight w:val="none"/>
        </w:rPr>
      </w:pPr>
    </w:p>
    <w:p w14:paraId="779191C0">
      <w:pPr>
        <w:spacing w:line="360" w:lineRule="auto"/>
        <w:ind w:left="540"/>
        <w:contextualSpacing/>
        <w:rPr>
          <w:rFonts w:hint="eastAsia" w:ascii="宋体" w:hAnsi="宋体" w:cs="宋体"/>
          <w:color w:val="auto"/>
          <w:sz w:val="24"/>
          <w:szCs w:val="24"/>
          <w:highlight w:val="none"/>
        </w:rPr>
      </w:pPr>
    </w:p>
    <w:p w14:paraId="6BC5EE51">
      <w:pPr>
        <w:spacing w:line="360" w:lineRule="auto"/>
        <w:ind w:left="54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附件：法定代表人有效身份证正反面复印件</w:t>
      </w:r>
    </w:p>
    <w:p w14:paraId="1B1F22AC">
      <w:pPr>
        <w:spacing w:line="360" w:lineRule="auto"/>
        <w:ind w:left="540"/>
        <w:contextualSpacing/>
        <w:rPr>
          <w:rFonts w:hint="eastAsia" w:ascii="宋体" w:hAnsi="宋体" w:cs="宋体"/>
          <w:color w:val="auto"/>
          <w:sz w:val="24"/>
          <w:szCs w:val="24"/>
          <w:highlight w:val="none"/>
        </w:rPr>
      </w:pPr>
    </w:p>
    <w:p w14:paraId="7219CA8B">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370A8AB7">
      <w:pPr>
        <w:spacing w:line="360" w:lineRule="auto"/>
        <w:contextualSpacing/>
        <w:jc w:val="center"/>
        <w:rPr>
          <w:rFonts w:hint="eastAsia" w:ascii="宋体" w:hAnsi="宋体" w:cs="宋体"/>
          <w:b/>
          <w:color w:val="auto"/>
          <w:sz w:val="24"/>
          <w:szCs w:val="24"/>
          <w:highlight w:val="none"/>
        </w:rPr>
      </w:pPr>
      <w:r>
        <w:rPr>
          <w:rFonts w:hint="eastAsia" w:ascii="宋体" w:hAnsi="宋体" w:cs="宋体"/>
          <w:color w:val="auto"/>
          <w:kern w:val="0"/>
          <w:sz w:val="24"/>
          <w:szCs w:val="24"/>
          <w:highlight w:val="none"/>
          <w:lang w:val="zh-CN"/>
        </w:rPr>
        <w:t xml:space="preserve">                                                   日期：  年  月   日</w:t>
      </w:r>
    </w:p>
    <w:p w14:paraId="6B28AA94">
      <w:pPr>
        <w:spacing w:line="360" w:lineRule="auto"/>
        <w:contextualSpacing/>
        <w:jc w:val="left"/>
        <w:rPr>
          <w:rFonts w:hint="eastAsia" w:ascii="宋体" w:hAnsi="宋体" w:cs="宋体"/>
          <w:color w:val="auto"/>
          <w:sz w:val="24"/>
          <w:szCs w:val="24"/>
          <w:highlight w:val="none"/>
        </w:rPr>
      </w:pPr>
    </w:p>
    <w:p w14:paraId="567CEB42">
      <w:pPr>
        <w:spacing w:line="360" w:lineRule="auto"/>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注：1.自然人竞标的无需提供，联合体竞标的只需牵头人出具。</w:t>
      </w:r>
    </w:p>
    <w:p w14:paraId="1504F687">
      <w:pPr>
        <w:pStyle w:val="7"/>
        <w:rPr>
          <w:color w:val="auto"/>
          <w:highlight w:val="none"/>
        </w:rPr>
      </w:pPr>
      <w:r>
        <w:rPr>
          <w:rFonts w:hint="eastAsia" w:ascii="宋体" w:hAns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8FE6D42">
      <w:pPr>
        <w:rPr>
          <w:rFonts w:hint="eastAsia" w:ascii="Times New Roman" w:hAnsi="宋体"/>
          <w:b/>
          <w:color w:val="auto"/>
          <w:sz w:val="24"/>
          <w:szCs w:val="24"/>
          <w:highlight w:val="none"/>
        </w:rPr>
      </w:pPr>
      <w:r>
        <w:rPr>
          <w:rFonts w:hint="eastAsia" w:ascii="Times New Roman" w:hAnsi="宋体"/>
          <w:b/>
          <w:color w:val="auto"/>
          <w:sz w:val="24"/>
          <w:szCs w:val="24"/>
          <w:highlight w:val="none"/>
        </w:rPr>
        <w:br w:type="page"/>
      </w:r>
    </w:p>
    <w:p w14:paraId="2F2EF617">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b/>
          <w:color w:val="auto"/>
          <w:sz w:val="24"/>
          <w:szCs w:val="24"/>
          <w:highlight w:val="none"/>
        </w:rPr>
        <w:t>附件：</w:t>
      </w:r>
    </w:p>
    <w:tbl>
      <w:tblPr>
        <w:tblStyle w:val="3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05F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03443506">
            <w:pPr>
              <w:spacing w:line="360" w:lineRule="auto"/>
              <w:ind w:firstLine="480" w:firstLineChars="200"/>
              <w:contextualSpacing/>
              <w:jc w:val="left"/>
              <w:rPr>
                <w:rFonts w:ascii="宋体" w:hAnsi="Times New Roman"/>
                <w:b/>
                <w:color w:val="auto"/>
                <w:sz w:val="24"/>
                <w:szCs w:val="24"/>
                <w:highlight w:val="none"/>
              </w:rPr>
            </w:pPr>
            <w:r>
              <w:rPr>
                <w:rFonts w:hint="eastAsia" w:ascii="宋体" w:hAnsi="宋体" w:cs="仿宋_GB2312"/>
                <w:color w:val="auto"/>
                <w:sz w:val="24"/>
                <w:szCs w:val="24"/>
                <w:highlight w:val="none"/>
              </w:rPr>
              <w:br w:type="page"/>
            </w:r>
          </w:p>
          <w:p w14:paraId="0B4DA364">
            <w:pPr>
              <w:spacing w:line="360" w:lineRule="auto"/>
              <w:rPr>
                <w:rFonts w:ascii="宋体" w:hAnsi="Times New Roman"/>
                <w:b/>
                <w:color w:val="auto"/>
                <w:sz w:val="24"/>
                <w:szCs w:val="24"/>
                <w:highlight w:val="none"/>
              </w:rPr>
            </w:pPr>
            <w:r>
              <w:rPr>
                <w:rFonts w:hint="eastAsia" w:ascii="宋体" w:hAnsi="Times New Roman"/>
                <w:b/>
                <w:color w:val="auto"/>
                <w:sz w:val="24"/>
                <w:szCs w:val="24"/>
                <w:highlight w:val="none"/>
              </w:rPr>
              <w:t>法定代表身份证复印件粘帖处（正、反面）</w:t>
            </w:r>
          </w:p>
        </w:tc>
      </w:tr>
    </w:tbl>
    <w:p w14:paraId="09A95D7F">
      <w:pPr>
        <w:adjustRightInd w:val="0"/>
        <w:snapToGrid w:val="0"/>
        <w:spacing w:line="300" w:lineRule="auto"/>
        <w:jc w:val="left"/>
        <w:rPr>
          <w:rFonts w:hint="eastAsia" w:ascii="宋体" w:hAnsi="宋体"/>
          <w:b/>
          <w:color w:val="auto"/>
          <w:szCs w:val="21"/>
          <w:highlight w:val="none"/>
        </w:rPr>
      </w:pPr>
    </w:p>
    <w:p w14:paraId="773F89EE">
      <w:pPr>
        <w:snapToGrid w:val="0"/>
        <w:spacing w:line="360" w:lineRule="auto"/>
        <w:jc w:val="left"/>
        <w:rPr>
          <w:rFonts w:hint="eastAsia" w:ascii="宋体" w:hAnsi="宋体" w:cs="宋体"/>
          <w:b/>
          <w:color w:val="auto"/>
          <w:sz w:val="28"/>
          <w:szCs w:val="28"/>
          <w:highlight w:val="none"/>
        </w:rPr>
      </w:pPr>
      <w:r>
        <w:rPr>
          <w:rFonts w:hint="eastAsia" w:ascii="Arial Unicode MS" w:hAnsi="Arial Unicode MS" w:eastAsia="Arial Unicode MS" w:cs="Arial Unicode MS"/>
          <w:color w:val="auto"/>
          <w:sz w:val="44"/>
          <w:szCs w:val="44"/>
          <w:highlight w:val="none"/>
        </w:rPr>
        <w:br w:type="page"/>
      </w:r>
      <w:r>
        <w:rPr>
          <w:rFonts w:hint="eastAsia" w:ascii="宋体" w:hAnsi="宋体" w:cs="宋体"/>
          <w:b/>
          <w:color w:val="auto"/>
          <w:sz w:val="28"/>
          <w:szCs w:val="28"/>
          <w:highlight w:val="none"/>
        </w:rPr>
        <w:t>5.法定代表人授权委托书的格式：</w:t>
      </w:r>
    </w:p>
    <w:p w14:paraId="01666A9C">
      <w:pPr>
        <w:spacing w:line="500" w:lineRule="exact"/>
        <w:jc w:val="center"/>
        <w:rPr>
          <w:rFonts w:hint="eastAsia" w:ascii="Arial Unicode MS" w:hAnsi="Arial Unicode MS" w:eastAsia="Arial Unicode MS" w:cs="Arial Unicode MS"/>
          <w:color w:val="auto"/>
          <w:sz w:val="44"/>
          <w:szCs w:val="44"/>
          <w:highlight w:val="none"/>
        </w:rPr>
      </w:pPr>
    </w:p>
    <w:p w14:paraId="630606FD">
      <w:pPr>
        <w:spacing w:line="5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授权委托书（非联合体竞标格式）</w:t>
      </w:r>
    </w:p>
    <w:p w14:paraId="2847519A">
      <w:pPr>
        <w:spacing w:line="5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53720FDC">
      <w:pPr>
        <w:spacing w:line="520" w:lineRule="exact"/>
        <w:rPr>
          <w:rFonts w:hint="eastAsia" w:ascii="仿宋_GB2312" w:hAnsi="仿宋_GB2312" w:eastAsia="仿宋_GB2312" w:cs="仿宋_GB2312"/>
          <w:color w:val="auto"/>
          <w:sz w:val="32"/>
          <w:szCs w:val="32"/>
          <w:highlight w:val="none"/>
        </w:rPr>
      </w:pPr>
    </w:p>
    <w:p w14:paraId="17F98F8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广西建设工程机电设备招标中心有限公司</w:t>
      </w:r>
      <w:r>
        <w:rPr>
          <w:rFonts w:hint="eastAsia" w:ascii="宋体" w:hAnsi="宋体" w:cs="宋体"/>
          <w:color w:val="auto"/>
          <w:sz w:val="24"/>
          <w:szCs w:val="24"/>
          <w:highlight w:val="none"/>
        </w:rPr>
        <w:t>：</w:t>
      </w:r>
    </w:p>
    <w:p w14:paraId="6B1277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□法定代表人/□负责人/□自然人本人</w:t>
      </w:r>
      <w:r>
        <w:rPr>
          <w:rFonts w:hint="eastAsia" w:ascii="宋体" w:hAnsi="宋体" w:cs="宋体"/>
          <w:color w:val="auto"/>
          <w:sz w:val="24"/>
          <w:szCs w:val="24"/>
          <w:highlight w:val="none"/>
        </w:rPr>
        <w:t>），现授权</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以我方的名义参加</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（项目名称）</w:t>
      </w:r>
      <w:r>
        <w:rPr>
          <w:rFonts w:hint="eastAsia" w:ascii="宋体" w:hAnsi="宋体" w:cs="宋体"/>
          <w:color w:val="auto"/>
          <w:sz w:val="24"/>
          <w:szCs w:val="24"/>
          <w:highlight w:val="none"/>
        </w:rPr>
        <w:t>项目的竞标活动，并代表我方全权办理针对上述项目的所有采购程序和环节的具体事务和签署相关文件。</w:t>
      </w:r>
    </w:p>
    <w:p w14:paraId="2ED7B50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我方对委托代理人的签字事项负全部责任。</w:t>
      </w:r>
    </w:p>
    <w:p w14:paraId="389D5C4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60F29C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委托代理人无转委托权，特此委托。</w:t>
      </w:r>
    </w:p>
    <w:p w14:paraId="3EC0D34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附：委托代理人有效身份证正反面复印件</w:t>
      </w:r>
    </w:p>
    <w:p w14:paraId="6F3B10B3">
      <w:pPr>
        <w:spacing w:line="360" w:lineRule="auto"/>
        <w:rPr>
          <w:rFonts w:hint="eastAsia" w:ascii="宋体" w:hAnsi="宋体" w:cs="宋体"/>
          <w:color w:val="auto"/>
          <w:sz w:val="24"/>
          <w:szCs w:val="24"/>
          <w:highlight w:val="none"/>
        </w:rPr>
      </w:pPr>
    </w:p>
    <w:p w14:paraId="695CB1D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委托代理人（签字）：                 法定代表人（签字）：                    </w:t>
      </w:r>
    </w:p>
    <w:p w14:paraId="711B69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委托代理人身份证号码：                              </w:t>
      </w:r>
    </w:p>
    <w:p w14:paraId="0F608D7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49D0AF7">
      <w:pPr>
        <w:spacing w:line="360" w:lineRule="auto"/>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供应商名称（盖公章）：</w:t>
      </w:r>
    </w:p>
    <w:p w14:paraId="3A7756E8">
      <w:pPr>
        <w:spacing w:line="360" w:lineRule="auto"/>
        <w:contextualSpacing/>
        <w:jc w:val="center"/>
        <w:rPr>
          <w:rFonts w:hint="eastAsia" w:ascii="宋体" w:hAnsi="宋体" w:cs="宋体"/>
          <w:b/>
          <w:color w:val="auto"/>
          <w:sz w:val="24"/>
          <w:szCs w:val="24"/>
          <w:highlight w:val="none"/>
        </w:rPr>
      </w:pPr>
      <w:r>
        <w:rPr>
          <w:rFonts w:hint="eastAsia" w:ascii="宋体" w:hAnsi="宋体" w:cs="宋体"/>
          <w:color w:val="auto"/>
          <w:kern w:val="0"/>
          <w:sz w:val="24"/>
          <w:szCs w:val="24"/>
          <w:highlight w:val="none"/>
          <w:lang w:val="zh-CN"/>
        </w:rPr>
        <w:t xml:space="preserve">                                                   日期：  年  月   日</w:t>
      </w:r>
    </w:p>
    <w:p w14:paraId="01787437">
      <w:pPr>
        <w:spacing w:line="360" w:lineRule="auto"/>
        <w:rPr>
          <w:rFonts w:hint="eastAsia" w:ascii="宋体" w:hAnsi="宋体" w:cs="宋体"/>
          <w:color w:val="auto"/>
          <w:sz w:val="24"/>
          <w:szCs w:val="24"/>
          <w:highlight w:val="none"/>
        </w:rPr>
      </w:pPr>
    </w:p>
    <w:p w14:paraId="58B38B6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 法定代表人和委托代理人必须在授权委托书上签字，</w:t>
      </w:r>
      <w:r>
        <w:rPr>
          <w:rFonts w:hint="eastAsia" w:ascii="宋体" w:hAnsi="宋体" w:cs="宋体"/>
          <w:b/>
          <w:color w:val="auto"/>
          <w:sz w:val="24"/>
          <w:szCs w:val="24"/>
          <w:highlight w:val="none"/>
        </w:rPr>
        <w:t>否则其响应文件作无效响应处理。</w:t>
      </w:r>
    </w:p>
    <w:p w14:paraId="316182C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B9AE3E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法人、其他组织竞标时“我方”是指“我单位”，自然人竞标时“我方”是指“本人”。</w:t>
      </w:r>
    </w:p>
    <w:p w14:paraId="1F57E75A">
      <w:pPr>
        <w:spacing w:line="500" w:lineRule="exact"/>
        <w:jc w:val="center"/>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授权委托书（联合体竞标格式）</w:t>
      </w:r>
    </w:p>
    <w:p w14:paraId="6E5788BD">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7DE5391C">
      <w:pPr>
        <w:spacing w:line="500" w:lineRule="exact"/>
        <w:jc w:val="center"/>
        <w:rPr>
          <w:rFonts w:hint="eastAsia" w:ascii="Arial Unicode MS" w:hAnsi="Arial Unicode MS" w:eastAsia="Arial Unicode MS" w:cs="Arial Unicode MS"/>
          <w:color w:val="auto"/>
          <w:sz w:val="44"/>
          <w:szCs w:val="44"/>
          <w:highlight w:val="none"/>
        </w:rPr>
      </w:pPr>
    </w:p>
    <w:p w14:paraId="1A135CB7">
      <w:pPr>
        <w:spacing w:line="500" w:lineRule="exact"/>
        <w:jc w:val="center"/>
        <w:rPr>
          <w:rFonts w:hint="eastAsia" w:ascii="仿宋_GB2312" w:hAnsi="仿宋_GB2312" w:eastAsia="仿宋_GB2312" w:cs="仿宋_GB2312"/>
          <w:color w:val="auto"/>
          <w:sz w:val="32"/>
          <w:szCs w:val="32"/>
          <w:highlight w:val="none"/>
        </w:rPr>
      </w:pPr>
    </w:p>
    <w:p w14:paraId="155CB4E8">
      <w:pPr>
        <w:spacing w:line="360" w:lineRule="auto"/>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本授权委托书声明：根据</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（牵头人名称）与</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（联合体其他成员名称）签订的《联合体竞标协议书》的内容，</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（牵头人名称）的法定代表人</w:t>
      </w:r>
      <w:r>
        <w:rPr>
          <w:rFonts w:hint="eastAsia" w:ascii="宋体" w:hAnsi="宋体" w:cs="仿宋_GB2312"/>
          <w:color w:val="auto"/>
          <w:sz w:val="24"/>
          <w:szCs w:val="24"/>
          <w:highlight w:val="none"/>
          <w:u w:val="single"/>
        </w:rPr>
        <w:t xml:space="preserve">      </w:t>
      </w:r>
      <w:r>
        <w:rPr>
          <w:rFonts w:hint="eastAsia" w:ascii="宋体" w:hAnsi="宋体" w:cs="仿宋_GB2312"/>
          <w:i/>
          <w:iCs/>
          <w:color w:val="auto"/>
          <w:sz w:val="24"/>
          <w:szCs w:val="24"/>
          <w:highlight w:val="none"/>
          <w:u w:val="single"/>
        </w:rPr>
        <w:t>（姓名）</w:t>
      </w:r>
      <w:r>
        <w:rPr>
          <w:rFonts w:hint="eastAsia" w:ascii="宋体" w:hAnsi="宋体" w:cs="仿宋_GB2312"/>
          <w:color w:val="auto"/>
          <w:sz w:val="24"/>
          <w:szCs w:val="24"/>
          <w:highlight w:val="none"/>
        </w:rPr>
        <w:t>现授权</w:t>
      </w:r>
      <w:r>
        <w:rPr>
          <w:rFonts w:hint="eastAsia" w:ascii="宋体" w:hAnsi="宋体" w:cs="仿宋_GB2312"/>
          <w:color w:val="auto"/>
          <w:sz w:val="24"/>
          <w:szCs w:val="24"/>
          <w:highlight w:val="none"/>
          <w:u w:val="single"/>
        </w:rPr>
        <w:t xml:space="preserve">      </w:t>
      </w:r>
      <w:r>
        <w:rPr>
          <w:rFonts w:hint="eastAsia" w:ascii="宋体" w:hAnsi="宋体" w:cs="仿宋_GB2312"/>
          <w:i/>
          <w:iCs/>
          <w:color w:val="auto"/>
          <w:sz w:val="24"/>
          <w:szCs w:val="24"/>
          <w:highlight w:val="none"/>
          <w:u w:val="single"/>
        </w:rPr>
        <w:t>（姓名）</w:t>
      </w:r>
      <w:r>
        <w:rPr>
          <w:rFonts w:hint="eastAsia" w:ascii="宋体" w:hAnsi="宋体" w:cs="仿宋_GB2312"/>
          <w:color w:val="auto"/>
          <w:sz w:val="24"/>
          <w:szCs w:val="24"/>
          <w:highlight w:val="none"/>
        </w:rPr>
        <w:t>为联合委托代理人，并代表我方全权办理针对上述项目的所有采购程序和环节的具体事务和签署相关文件。</w:t>
      </w:r>
    </w:p>
    <w:p w14:paraId="06BFDC48">
      <w:pPr>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我方对委托代理人的签字事项负全部责任。</w:t>
      </w:r>
    </w:p>
    <w:p w14:paraId="28555CC8">
      <w:pPr>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04EA272F">
      <w:pPr>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委托代理人无转委托权，特此委托。</w:t>
      </w:r>
    </w:p>
    <w:p w14:paraId="5A658064">
      <w:pPr>
        <w:spacing w:line="360"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    </w:t>
      </w:r>
    </w:p>
    <w:p w14:paraId="2CEFB473">
      <w:pPr>
        <w:spacing w:line="360" w:lineRule="auto"/>
        <w:ind w:firstLine="1560" w:firstLineChars="65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牵头人法定代表人（签字）：</w:t>
      </w:r>
    </w:p>
    <w:p w14:paraId="35DA27F0">
      <w:pPr>
        <w:spacing w:line="360" w:lineRule="auto"/>
        <w:ind w:firstLine="3000" w:firstLineChars="125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牵头人名称（盖公章）：</w:t>
      </w:r>
    </w:p>
    <w:p w14:paraId="2C4F408C">
      <w:pPr>
        <w:spacing w:line="360" w:lineRule="auto"/>
        <w:ind w:firstLine="3840" w:firstLineChars="16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日期：    年   月   日</w:t>
      </w:r>
    </w:p>
    <w:p w14:paraId="4D668A33">
      <w:pPr>
        <w:spacing w:line="360" w:lineRule="auto"/>
        <w:rPr>
          <w:rFonts w:hint="eastAsia" w:ascii="宋体" w:hAnsi="宋体" w:cs="仿宋_GB2312"/>
          <w:color w:val="auto"/>
          <w:sz w:val="24"/>
          <w:szCs w:val="24"/>
          <w:highlight w:val="none"/>
        </w:rPr>
      </w:pPr>
    </w:p>
    <w:p w14:paraId="299D53D8">
      <w:pPr>
        <w:spacing w:line="360" w:lineRule="auto"/>
        <w:ind w:firstLine="3120" w:firstLineChars="13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委托代理人（签字）：</w:t>
      </w:r>
    </w:p>
    <w:p w14:paraId="0A90AC1C">
      <w:pPr>
        <w:spacing w:line="360" w:lineRule="auto"/>
        <w:ind w:firstLine="3840" w:firstLineChars="16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日期：    年   月   日</w:t>
      </w:r>
    </w:p>
    <w:p w14:paraId="4C332720">
      <w:pPr>
        <w:spacing w:line="360" w:lineRule="auto"/>
        <w:rPr>
          <w:rFonts w:hint="eastAsia" w:ascii="宋体" w:hAnsi="宋体" w:cs="仿宋_GB2312"/>
          <w:color w:val="auto"/>
          <w:sz w:val="24"/>
          <w:szCs w:val="24"/>
          <w:highlight w:val="none"/>
        </w:rPr>
      </w:pPr>
    </w:p>
    <w:p w14:paraId="1901AA63">
      <w:pPr>
        <w:spacing w:line="360"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注：1. 法定代表人和委托代理人必须在授权委托书上签字，</w:t>
      </w:r>
      <w:r>
        <w:rPr>
          <w:rFonts w:hint="eastAsia" w:ascii="宋体" w:hAnsi="宋体" w:cs="仿宋_GB2312"/>
          <w:b/>
          <w:color w:val="auto"/>
          <w:sz w:val="24"/>
          <w:szCs w:val="24"/>
          <w:highlight w:val="none"/>
        </w:rPr>
        <w:t>否则其响应文件作无效响应处理。</w:t>
      </w:r>
    </w:p>
    <w:p w14:paraId="3B64D68B">
      <w:pPr>
        <w:spacing w:line="360" w:lineRule="auto"/>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2.本授权委托书应由联合体牵头人的法定代表人按上述规定签署。</w:t>
      </w:r>
    </w:p>
    <w:p w14:paraId="06993CF0">
      <w:pPr>
        <w:spacing w:line="360" w:lineRule="auto"/>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25DF97C">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szCs w:val="24"/>
          <w:highlight w:val="none"/>
        </w:rPr>
        <w:t>4</w:t>
      </w:r>
      <w:r>
        <w:rPr>
          <w:rFonts w:ascii="宋体" w:hAnsi="宋体" w:cs="仿宋_GB2312"/>
          <w:color w:val="auto"/>
          <w:sz w:val="24"/>
          <w:szCs w:val="24"/>
          <w:highlight w:val="none"/>
        </w:rPr>
        <w:t>.</w:t>
      </w:r>
      <w:r>
        <w:rPr>
          <w:rFonts w:hint="eastAsia" w:ascii="宋体" w:hAnsi="宋体" w:cs="仿宋_GB2312"/>
          <w:color w:val="auto"/>
          <w:sz w:val="24"/>
          <w:szCs w:val="24"/>
          <w:highlight w:val="none"/>
        </w:rPr>
        <w:t>法人、其他组织竞标时“我方”是指“我单位”，自然人竞标时“我方”是指“本人”。</w:t>
      </w:r>
    </w:p>
    <w:p w14:paraId="590DD130">
      <w:pPr>
        <w:snapToGrid w:val="0"/>
        <w:spacing w:line="360" w:lineRule="auto"/>
        <w:rPr>
          <w:rFonts w:hint="eastAsia" w:ascii="宋体" w:hAnsi="宋体"/>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14:paraId="6C29678E">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商务条款偏离表</w:t>
      </w:r>
    </w:p>
    <w:p w14:paraId="76112E27">
      <w:pPr>
        <w:spacing w:line="360" w:lineRule="auto"/>
        <w:contextualSpacing/>
        <w:rPr>
          <w:rFonts w:cs="仿宋_GB2312"/>
          <w:color w:val="auto"/>
          <w:sz w:val="24"/>
          <w:highlight w:val="none"/>
        </w:rPr>
      </w:pPr>
    </w:p>
    <w:p w14:paraId="5B90D52B">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44A0F70">
      <w:pPr>
        <w:spacing w:line="360" w:lineRule="auto"/>
        <w:contextualSpacing/>
        <w:rPr>
          <w:rFonts w:hint="eastAsia" w:ascii="宋体" w:hAnsi="宋体" w:cs="宋体"/>
          <w:color w:val="auto"/>
          <w:sz w:val="24"/>
          <w:szCs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34810960">
      <w:pPr>
        <w:spacing w:line="360" w:lineRule="auto"/>
        <w:contextualSpacing/>
        <w:rPr>
          <w:rFonts w:hint="eastAsia" w:ascii="宋体" w:hAnsi="宋体" w:cs="宋体"/>
          <w:color w:val="auto"/>
          <w:sz w:val="24"/>
          <w:szCs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9D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1C921E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070E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竞争性谈判文件的商务</w:t>
            </w:r>
            <w:r>
              <w:rPr>
                <w:rFonts w:hint="eastAsia"/>
                <w:color w:val="auto"/>
                <w:highlight w:val="none"/>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530FFDF6">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3E0414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BDC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7A332B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FABEF9C">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AB31231">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42E2F0DE">
            <w:pPr>
              <w:spacing w:line="300" w:lineRule="exact"/>
              <w:rPr>
                <w:rFonts w:hint="eastAsia" w:ascii="宋体" w:hAnsi="宋体" w:cs="宋体"/>
                <w:color w:val="auto"/>
                <w:szCs w:val="21"/>
                <w:highlight w:val="none"/>
              </w:rPr>
            </w:pPr>
          </w:p>
        </w:tc>
      </w:tr>
      <w:tr w14:paraId="2494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79CAB2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590CDAB">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A703717">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2FCFA7A">
            <w:pPr>
              <w:spacing w:line="300" w:lineRule="exact"/>
              <w:rPr>
                <w:rFonts w:hint="eastAsia" w:ascii="宋体" w:hAnsi="宋体" w:cs="宋体"/>
                <w:color w:val="auto"/>
                <w:szCs w:val="21"/>
                <w:highlight w:val="none"/>
              </w:rPr>
            </w:pPr>
          </w:p>
        </w:tc>
      </w:tr>
      <w:tr w14:paraId="121A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B84288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4F43F642">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79D6066">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5A36368E">
            <w:pPr>
              <w:spacing w:line="300" w:lineRule="exact"/>
              <w:rPr>
                <w:rFonts w:hint="eastAsia" w:ascii="宋体" w:hAnsi="宋体" w:cs="宋体"/>
                <w:color w:val="auto"/>
                <w:szCs w:val="21"/>
                <w:highlight w:val="none"/>
              </w:rPr>
            </w:pPr>
          </w:p>
        </w:tc>
      </w:tr>
    </w:tbl>
    <w:p w14:paraId="1987E675">
      <w:pPr>
        <w:spacing w:line="400" w:lineRule="exact"/>
        <w:ind w:left="420"/>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w:t>
      </w:r>
    </w:p>
    <w:p w14:paraId="4489B61F">
      <w:pPr>
        <w:spacing w:line="400" w:lineRule="exact"/>
        <w:ind w:firstLine="420" w:firstLineChars="175"/>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1.说明：应对照谈判文件“第二章 采购需求”中的商务条款逐条作出明确响应，并作出偏离说明。</w:t>
      </w:r>
    </w:p>
    <w:p w14:paraId="389654A6">
      <w:pPr>
        <w:spacing w:line="400" w:lineRule="exact"/>
        <w:ind w:firstLine="480" w:firstLineChars="200"/>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6FBD7621">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3.表格内容均需按要求填写并盖公章，不得留空，</w:t>
      </w:r>
      <w:r>
        <w:rPr>
          <w:rFonts w:hint="eastAsia" w:ascii="宋体" w:hAnsi="宋体" w:cs="宋体"/>
          <w:b/>
          <w:bCs/>
          <w:color w:val="auto"/>
          <w:kern w:val="0"/>
          <w:sz w:val="24"/>
          <w:szCs w:val="24"/>
          <w:highlight w:val="none"/>
        </w:rPr>
        <w:t>否则按竞标无效处理</w:t>
      </w:r>
      <w:r>
        <w:rPr>
          <w:rFonts w:hint="eastAsia" w:ascii="宋体" w:hAnsi="宋体" w:cs="宋体"/>
          <w:color w:val="auto"/>
          <w:kern w:val="0"/>
          <w:sz w:val="24"/>
          <w:szCs w:val="24"/>
          <w:highlight w:val="none"/>
        </w:rPr>
        <w:t>。</w:t>
      </w:r>
    </w:p>
    <w:p w14:paraId="19B01AAC">
      <w:pPr>
        <w:spacing w:line="400" w:lineRule="exact"/>
        <w:ind w:firstLine="480" w:firstLineChars="200"/>
        <w:contextualSpacing/>
        <w:rPr>
          <w:rFonts w:hint="eastAsia" w:ascii="宋体" w:hAnsi="宋体" w:cs="宋体"/>
          <w:color w:val="auto"/>
          <w:kern w:val="0"/>
          <w:sz w:val="24"/>
          <w:szCs w:val="24"/>
          <w:highlight w:val="none"/>
          <w:lang w:val="zh-CN"/>
        </w:rPr>
      </w:pPr>
    </w:p>
    <w:p w14:paraId="526DEDAC">
      <w:pPr>
        <w:spacing w:line="400" w:lineRule="exact"/>
        <w:ind w:firstLine="480" w:firstLineChars="200"/>
        <w:contextualSpacing/>
        <w:rPr>
          <w:rFonts w:hint="eastAsia" w:ascii="宋体" w:hAnsi="宋体" w:cs="宋体"/>
          <w:color w:val="auto"/>
          <w:kern w:val="0"/>
          <w:sz w:val="24"/>
          <w:szCs w:val="24"/>
          <w:highlight w:val="none"/>
          <w:lang w:val="zh-CN"/>
        </w:rPr>
      </w:pPr>
    </w:p>
    <w:p w14:paraId="25CF07E1">
      <w:pPr>
        <w:spacing w:line="360" w:lineRule="auto"/>
        <w:ind w:right="-817" w:rightChars="-389"/>
        <w:contextualSpacing/>
        <w:rPr>
          <w:rFonts w:hint="eastAsia" w:ascii="宋体" w:hAnsi="宋体" w:cs="宋体"/>
          <w:color w:val="auto"/>
          <w:sz w:val="24"/>
          <w:szCs w:val="24"/>
          <w:highlight w:val="none"/>
        </w:rPr>
      </w:pPr>
    </w:p>
    <w:p w14:paraId="09B422FB">
      <w:pPr>
        <w:spacing w:line="360" w:lineRule="auto"/>
        <w:ind w:firstLine="3840" w:firstLineChars="16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供应商名称（盖公章）：</w:t>
      </w:r>
    </w:p>
    <w:p w14:paraId="45A13DF7">
      <w:pPr>
        <w:spacing w:line="360" w:lineRule="auto"/>
        <w:contextualSpacing/>
        <w:jc w:val="center"/>
        <w:rPr>
          <w:rFonts w:hint="eastAsia" w:ascii="宋体" w:hAnsi="宋体" w:cs="宋体"/>
          <w:b/>
          <w:color w:val="auto"/>
          <w:sz w:val="24"/>
          <w:szCs w:val="24"/>
          <w:highlight w:val="none"/>
        </w:rPr>
      </w:pPr>
      <w:r>
        <w:rPr>
          <w:rFonts w:hint="eastAsia" w:ascii="宋体" w:hAnsi="宋体" w:cs="宋体"/>
          <w:color w:val="auto"/>
          <w:kern w:val="0"/>
          <w:sz w:val="24"/>
          <w:szCs w:val="24"/>
          <w:highlight w:val="none"/>
          <w:lang w:val="zh-CN"/>
        </w:rPr>
        <w:t xml:space="preserve">                                                   日期：  年  月   日</w:t>
      </w:r>
    </w:p>
    <w:p w14:paraId="6552B38C">
      <w:pPr>
        <w:snapToGrid w:val="0"/>
        <w:spacing w:line="360" w:lineRule="auto"/>
        <w:ind w:firstLine="602" w:firstLineChars="200"/>
        <w:rPr>
          <w:rFonts w:hint="eastAsia" w:ascii="仿宋" w:hAnsi="仿宋" w:eastAsia="仿宋" w:cs="仿宋_GB2312"/>
          <w:b/>
          <w:color w:val="auto"/>
          <w:sz w:val="30"/>
          <w:szCs w:val="30"/>
          <w:highlight w:val="none"/>
        </w:rPr>
      </w:pPr>
    </w:p>
    <w:p w14:paraId="22CEF7FE">
      <w:pPr>
        <w:snapToGrid w:val="0"/>
        <w:spacing w:line="360" w:lineRule="auto"/>
        <w:ind w:firstLine="602" w:firstLineChars="200"/>
        <w:rPr>
          <w:rFonts w:hint="eastAsia" w:ascii="仿宋" w:hAnsi="仿宋" w:eastAsia="仿宋" w:cs="仿宋_GB2312"/>
          <w:b/>
          <w:color w:val="auto"/>
          <w:sz w:val="30"/>
          <w:szCs w:val="30"/>
          <w:highlight w:val="none"/>
        </w:rPr>
      </w:pPr>
    </w:p>
    <w:p w14:paraId="739EF5AD">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97A3623">
      <w:pPr>
        <w:snapToGrid w:val="0"/>
        <w:spacing w:before="120" w:beforeLines="50" w:after="50"/>
        <w:rPr>
          <w:rFonts w:hint="eastAsia" w:ascii="宋体" w:hAnsi="宋体" w:cs="宋体"/>
          <w:b/>
          <w:color w:val="auto"/>
          <w:sz w:val="24"/>
          <w:szCs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14:paraId="57FA560D">
      <w:pPr>
        <w:snapToGrid w:val="0"/>
        <w:ind w:left="480" w:hanging="480" w:hangingChars="200"/>
        <w:contextualSpacing/>
        <w:rPr>
          <w:rFonts w:hint="eastAsia" w:ascii="宋体" w:hAnsi="宋体"/>
          <w:color w:val="auto"/>
          <w:sz w:val="24"/>
          <w:szCs w:val="24"/>
          <w:highlight w:val="none"/>
        </w:rPr>
      </w:pPr>
    </w:p>
    <w:p w14:paraId="5956D258">
      <w:pPr>
        <w:snapToGrid w:val="0"/>
        <w:ind w:left="480" w:hanging="480" w:hangingChars="200"/>
        <w:contextualSpacing/>
        <w:rPr>
          <w:rFonts w:hint="eastAsia" w:ascii="宋体" w:hAnsi="宋体"/>
          <w:color w:val="auto"/>
          <w:sz w:val="24"/>
          <w:szCs w:val="24"/>
          <w:highlight w:val="none"/>
        </w:rPr>
      </w:pPr>
    </w:p>
    <w:p w14:paraId="3F7B65EF">
      <w:pPr>
        <w:snapToGrid w:val="0"/>
        <w:ind w:left="480" w:hanging="480" w:hangingChars="200"/>
        <w:contextualSpacing/>
        <w:rPr>
          <w:rFonts w:hint="eastAsia" w:ascii="宋体" w:hAnsi="宋体"/>
          <w:color w:val="auto"/>
          <w:sz w:val="24"/>
          <w:szCs w:val="24"/>
          <w:highlight w:val="none"/>
        </w:rPr>
      </w:pPr>
    </w:p>
    <w:p w14:paraId="7A41FA60">
      <w:pPr>
        <w:autoSpaceDE w:val="0"/>
        <w:autoSpaceDN w:val="0"/>
        <w:spacing w:line="360" w:lineRule="auto"/>
        <w:ind w:left="-420" w:leftChars="-200" w:firstLine="2416" w:firstLineChars="755"/>
        <w:rPr>
          <w:rFonts w:hint="eastAsia"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12EDC651">
      <w:pPr>
        <w:autoSpaceDE w:val="0"/>
        <w:autoSpaceDN w:val="0"/>
        <w:spacing w:line="360" w:lineRule="auto"/>
        <w:rPr>
          <w:rFonts w:hint="eastAsia" w:ascii="宋体" w:hAnsi="宋体" w:cs="宋体"/>
          <w:color w:val="auto"/>
          <w:sz w:val="32"/>
          <w:szCs w:val="32"/>
          <w:highlight w:val="none"/>
        </w:rPr>
      </w:pPr>
    </w:p>
    <w:p w14:paraId="11D7B017">
      <w:pPr>
        <w:spacing w:line="360" w:lineRule="auto"/>
        <w:ind w:left="-218" w:leftChars="-104" w:firstLine="480" w:firstLineChars="200"/>
        <w:rPr>
          <w:rFonts w:hint="eastAsia" w:ascii="宋体" w:hAnsi="宋体" w:cs="宋体"/>
          <w:color w:val="auto"/>
          <w:kern w:val="0"/>
          <w:sz w:val="20"/>
          <w:szCs w:val="21"/>
          <w:highlight w:val="none"/>
          <w:lang w:val="zh-CN"/>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p w14:paraId="4FE3F01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注：在填写时，如本表格不适合供应商的实际情况，可参照本表格式自行制表填写，并附上相关证明材料。 </w:t>
      </w:r>
    </w:p>
    <w:tbl>
      <w:tblPr>
        <w:tblStyle w:val="30"/>
        <w:tblpPr w:leftFromText="180" w:rightFromText="180" w:vertAnchor="page" w:horzAnchor="page" w:tblpX="1298" w:tblpY="5308"/>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57669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74A32071">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55C4CFB7">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7326DCD9">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w:t>
            </w:r>
          </w:p>
          <w:p w14:paraId="7B8859FF">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金额</w:t>
            </w:r>
          </w:p>
          <w:p w14:paraId="1AB07F47">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2CCD27D1">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0CADC06F">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采购人联系人及联系电话</w:t>
            </w:r>
          </w:p>
        </w:tc>
      </w:tr>
      <w:tr w14:paraId="6234C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1D1305CE">
            <w:pPr>
              <w:jc w:val="left"/>
              <w:rPr>
                <w:rFonts w:hint="eastAsia" w:ascii="宋体" w:hAnsi="宋体"/>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1A520430">
            <w:pPr>
              <w:jc w:val="left"/>
              <w:rPr>
                <w:rFonts w:hint="eastAsia" w:ascii="宋体" w:hAnsi="宋体"/>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5CACE48E">
            <w:pPr>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7C0AFC1B">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6C89CCF1">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7EA532ED">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用户</w:t>
            </w:r>
          </w:p>
          <w:p w14:paraId="52C40E06">
            <w:pPr>
              <w:snapToGrid w:val="0"/>
              <w:spacing w:line="2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200750DD">
            <w:pPr>
              <w:jc w:val="left"/>
              <w:rPr>
                <w:rFonts w:hint="eastAsia" w:ascii="宋体" w:hAnsi="宋体"/>
                <w:color w:val="auto"/>
                <w:sz w:val="24"/>
                <w:szCs w:val="24"/>
                <w:highlight w:val="none"/>
              </w:rPr>
            </w:pPr>
          </w:p>
        </w:tc>
      </w:tr>
      <w:tr w14:paraId="1BC6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3E0CF3F3">
            <w:pPr>
              <w:snapToGrid w:val="0"/>
              <w:spacing w:line="240" w:lineRule="exact"/>
              <w:jc w:val="left"/>
              <w:rPr>
                <w:rFonts w:hint="eastAsia" w:ascii="宋体" w:hAnsi="宋体"/>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39202A4">
            <w:pPr>
              <w:snapToGrid w:val="0"/>
              <w:spacing w:line="240" w:lineRule="exact"/>
              <w:jc w:val="left"/>
              <w:rPr>
                <w:rFonts w:hint="eastAsia" w:ascii="宋体" w:hAnsi="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7E3F9A62">
            <w:pPr>
              <w:snapToGrid w:val="0"/>
              <w:spacing w:line="240" w:lineRule="exact"/>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35A3B77">
            <w:pPr>
              <w:snapToGrid w:val="0"/>
              <w:spacing w:line="240" w:lineRule="exact"/>
              <w:jc w:val="left"/>
              <w:rPr>
                <w:rFonts w:hint="eastAsia" w:ascii="宋体" w:hAnsi="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08E094D1">
            <w:pPr>
              <w:snapToGrid w:val="0"/>
              <w:spacing w:line="240" w:lineRule="exact"/>
              <w:jc w:val="left"/>
              <w:rPr>
                <w:rFonts w:hint="eastAsia"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023D59DE">
            <w:pPr>
              <w:snapToGrid w:val="0"/>
              <w:spacing w:line="240" w:lineRule="exact"/>
              <w:jc w:val="left"/>
              <w:rPr>
                <w:rFonts w:hint="eastAsia" w:ascii="宋体" w:hAnsi="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78F266FC">
            <w:pPr>
              <w:snapToGrid w:val="0"/>
              <w:spacing w:line="240" w:lineRule="exact"/>
              <w:jc w:val="left"/>
              <w:rPr>
                <w:rFonts w:hint="eastAsia" w:ascii="宋体" w:hAnsi="宋体"/>
                <w:color w:val="auto"/>
                <w:sz w:val="24"/>
                <w:szCs w:val="24"/>
                <w:highlight w:val="none"/>
              </w:rPr>
            </w:pPr>
          </w:p>
        </w:tc>
      </w:tr>
      <w:tr w14:paraId="78B34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7619409F">
            <w:pPr>
              <w:snapToGrid w:val="0"/>
              <w:spacing w:before="50" w:after="120" w:afterLines="50" w:line="400" w:lineRule="exact"/>
              <w:jc w:val="left"/>
              <w:rPr>
                <w:rFonts w:hint="eastAsia" w:ascii="宋体" w:hAnsi="宋体"/>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C1F5EE6">
            <w:pPr>
              <w:snapToGrid w:val="0"/>
              <w:spacing w:before="50" w:after="120" w:afterLines="50" w:line="400" w:lineRule="exact"/>
              <w:jc w:val="left"/>
              <w:rPr>
                <w:rFonts w:hint="eastAsia" w:ascii="宋体" w:hAnsi="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7EF1136A">
            <w:pPr>
              <w:snapToGrid w:val="0"/>
              <w:spacing w:before="50" w:after="120" w:afterLines="50" w:line="400" w:lineRule="exact"/>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44B6D55">
            <w:pPr>
              <w:snapToGrid w:val="0"/>
              <w:spacing w:before="50" w:after="120" w:afterLines="50" w:line="400" w:lineRule="exact"/>
              <w:jc w:val="left"/>
              <w:rPr>
                <w:rFonts w:hint="eastAsia" w:ascii="宋体" w:hAnsi="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3B689ED7">
            <w:pPr>
              <w:snapToGrid w:val="0"/>
              <w:spacing w:before="50" w:after="120" w:afterLines="50" w:line="400" w:lineRule="exact"/>
              <w:jc w:val="left"/>
              <w:rPr>
                <w:rFonts w:hint="eastAsia"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35A08A6C">
            <w:pPr>
              <w:snapToGrid w:val="0"/>
              <w:spacing w:before="50" w:after="120" w:afterLines="50" w:line="400" w:lineRule="exact"/>
              <w:jc w:val="left"/>
              <w:rPr>
                <w:rFonts w:hint="eastAsia" w:ascii="宋体" w:hAnsi="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12DCA1AC">
            <w:pPr>
              <w:snapToGrid w:val="0"/>
              <w:spacing w:before="50" w:after="120" w:afterLines="50" w:line="400" w:lineRule="exact"/>
              <w:jc w:val="left"/>
              <w:rPr>
                <w:rFonts w:hint="eastAsia" w:ascii="宋体" w:hAnsi="宋体"/>
                <w:color w:val="auto"/>
                <w:sz w:val="24"/>
                <w:szCs w:val="24"/>
                <w:highlight w:val="none"/>
              </w:rPr>
            </w:pPr>
          </w:p>
        </w:tc>
      </w:tr>
      <w:tr w14:paraId="521B4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2C5896F3">
            <w:pPr>
              <w:snapToGrid w:val="0"/>
              <w:spacing w:before="50" w:after="120" w:afterLines="50" w:line="400" w:lineRule="exact"/>
              <w:jc w:val="left"/>
              <w:rPr>
                <w:rFonts w:hint="eastAsia" w:ascii="宋体" w:hAnsi="宋体"/>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69A8A00C">
            <w:pPr>
              <w:snapToGrid w:val="0"/>
              <w:spacing w:before="50" w:after="120" w:afterLines="50" w:line="400" w:lineRule="exact"/>
              <w:jc w:val="left"/>
              <w:rPr>
                <w:rFonts w:hint="eastAsia" w:ascii="宋体" w:hAnsi="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12BE3B8C">
            <w:pPr>
              <w:snapToGrid w:val="0"/>
              <w:spacing w:before="50" w:after="120" w:afterLines="50" w:line="400" w:lineRule="exact"/>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1F087E3">
            <w:pPr>
              <w:snapToGrid w:val="0"/>
              <w:spacing w:before="50" w:after="120" w:afterLines="50" w:line="400" w:lineRule="exact"/>
              <w:jc w:val="left"/>
              <w:rPr>
                <w:rFonts w:hint="eastAsia" w:ascii="宋体" w:hAnsi="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37B0E26">
            <w:pPr>
              <w:snapToGrid w:val="0"/>
              <w:spacing w:before="50" w:after="120" w:afterLines="50" w:line="400" w:lineRule="exact"/>
              <w:jc w:val="left"/>
              <w:rPr>
                <w:rFonts w:hint="eastAsia"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66C5B0E6">
            <w:pPr>
              <w:snapToGrid w:val="0"/>
              <w:spacing w:before="50" w:after="120" w:afterLines="50" w:line="400" w:lineRule="exact"/>
              <w:jc w:val="left"/>
              <w:rPr>
                <w:rFonts w:hint="eastAsia" w:ascii="宋体" w:hAnsi="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63BB5B0">
            <w:pPr>
              <w:snapToGrid w:val="0"/>
              <w:spacing w:before="50" w:after="120" w:afterLines="50" w:line="400" w:lineRule="exact"/>
              <w:jc w:val="left"/>
              <w:rPr>
                <w:rFonts w:hint="eastAsia" w:ascii="宋体" w:hAnsi="宋体"/>
                <w:color w:val="auto"/>
                <w:sz w:val="24"/>
                <w:szCs w:val="24"/>
                <w:highlight w:val="none"/>
              </w:rPr>
            </w:pPr>
          </w:p>
        </w:tc>
      </w:tr>
      <w:tr w14:paraId="6A423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352BE601">
            <w:pPr>
              <w:snapToGrid w:val="0"/>
              <w:spacing w:before="50" w:after="120" w:afterLines="50" w:line="400" w:lineRule="exact"/>
              <w:jc w:val="left"/>
              <w:rPr>
                <w:rFonts w:hint="eastAsia" w:ascii="宋体" w:hAnsi="宋体"/>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76B72230">
            <w:pPr>
              <w:snapToGrid w:val="0"/>
              <w:spacing w:before="50" w:after="120" w:afterLines="50" w:line="400" w:lineRule="exact"/>
              <w:jc w:val="left"/>
              <w:rPr>
                <w:rFonts w:hint="eastAsia" w:ascii="宋体" w:hAnsi="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1180DF1D">
            <w:pPr>
              <w:snapToGrid w:val="0"/>
              <w:spacing w:before="50" w:after="120" w:afterLines="50" w:line="400" w:lineRule="exact"/>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267348C">
            <w:pPr>
              <w:snapToGrid w:val="0"/>
              <w:spacing w:before="50" w:after="120" w:afterLines="50" w:line="400" w:lineRule="exact"/>
              <w:jc w:val="left"/>
              <w:rPr>
                <w:rFonts w:hint="eastAsia" w:ascii="宋体" w:hAnsi="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059F959B">
            <w:pPr>
              <w:snapToGrid w:val="0"/>
              <w:spacing w:before="50" w:after="120" w:afterLines="50" w:line="400" w:lineRule="exact"/>
              <w:jc w:val="left"/>
              <w:rPr>
                <w:rFonts w:hint="eastAsia"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4854BF38">
            <w:pPr>
              <w:snapToGrid w:val="0"/>
              <w:spacing w:before="50" w:after="120" w:afterLines="50" w:line="400" w:lineRule="exact"/>
              <w:jc w:val="left"/>
              <w:rPr>
                <w:rFonts w:hint="eastAsia" w:ascii="宋体" w:hAnsi="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65D1C61B">
            <w:pPr>
              <w:snapToGrid w:val="0"/>
              <w:spacing w:before="50" w:after="120" w:afterLines="50" w:line="400" w:lineRule="exact"/>
              <w:jc w:val="left"/>
              <w:rPr>
                <w:rFonts w:hint="eastAsia" w:ascii="宋体" w:hAnsi="宋体"/>
                <w:color w:val="auto"/>
                <w:sz w:val="24"/>
                <w:szCs w:val="24"/>
                <w:highlight w:val="none"/>
              </w:rPr>
            </w:pPr>
          </w:p>
        </w:tc>
      </w:tr>
      <w:tr w14:paraId="60523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35A2E2C1">
            <w:pPr>
              <w:snapToGrid w:val="0"/>
              <w:spacing w:before="50" w:after="120" w:afterLines="50" w:line="400" w:lineRule="exact"/>
              <w:jc w:val="left"/>
              <w:rPr>
                <w:rFonts w:hint="eastAsia" w:ascii="宋体" w:hAnsi="宋体"/>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7EC1D2F">
            <w:pPr>
              <w:snapToGrid w:val="0"/>
              <w:spacing w:before="50" w:after="120" w:afterLines="50" w:line="400" w:lineRule="exact"/>
              <w:jc w:val="left"/>
              <w:rPr>
                <w:rFonts w:hint="eastAsia" w:ascii="宋体" w:hAnsi="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07CBB884">
            <w:pPr>
              <w:snapToGrid w:val="0"/>
              <w:spacing w:before="50" w:after="120" w:afterLines="50" w:line="400" w:lineRule="exact"/>
              <w:jc w:val="left"/>
              <w:rPr>
                <w:rFonts w:hint="eastAsia" w:ascii="宋体" w:hAnsi="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77426043">
            <w:pPr>
              <w:snapToGrid w:val="0"/>
              <w:spacing w:before="50" w:after="120" w:afterLines="50" w:line="400" w:lineRule="exact"/>
              <w:jc w:val="left"/>
              <w:rPr>
                <w:rFonts w:hint="eastAsia" w:ascii="宋体" w:hAnsi="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0B9738B">
            <w:pPr>
              <w:snapToGrid w:val="0"/>
              <w:spacing w:before="50" w:after="120" w:afterLines="50" w:line="400" w:lineRule="exact"/>
              <w:jc w:val="left"/>
              <w:rPr>
                <w:rFonts w:hint="eastAsia"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3E65C9C9">
            <w:pPr>
              <w:snapToGrid w:val="0"/>
              <w:spacing w:before="50" w:after="120" w:afterLines="50" w:line="400" w:lineRule="exact"/>
              <w:jc w:val="left"/>
              <w:rPr>
                <w:rFonts w:hint="eastAsia" w:ascii="宋体" w:hAnsi="宋体"/>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69809997">
            <w:pPr>
              <w:snapToGrid w:val="0"/>
              <w:spacing w:before="50" w:after="120" w:afterLines="50" w:line="400" w:lineRule="exact"/>
              <w:jc w:val="left"/>
              <w:rPr>
                <w:rFonts w:hint="eastAsia" w:ascii="宋体" w:hAnsi="宋体"/>
                <w:color w:val="auto"/>
                <w:sz w:val="24"/>
                <w:szCs w:val="24"/>
                <w:highlight w:val="none"/>
              </w:rPr>
            </w:pPr>
          </w:p>
        </w:tc>
      </w:tr>
    </w:tbl>
    <w:p w14:paraId="2247D35B">
      <w:pPr>
        <w:snapToGrid w:val="0"/>
        <w:spacing w:line="360" w:lineRule="auto"/>
        <w:ind w:firstLine="4935" w:firstLineChars="2350"/>
        <w:rPr>
          <w:rFonts w:hint="eastAsia" w:ascii="宋体" w:hAnsi="宋体" w:cs="宋体"/>
          <w:color w:val="auto"/>
          <w:szCs w:val="21"/>
          <w:highlight w:val="none"/>
        </w:rPr>
      </w:pPr>
    </w:p>
    <w:p w14:paraId="0D6DA4CE">
      <w:pPr>
        <w:snapToGrid w:val="0"/>
        <w:spacing w:line="360" w:lineRule="auto"/>
        <w:ind w:left="4410" w:leftChars="2100" w:firstLine="5670" w:firstLineChars="2700"/>
        <w:rPr>
          <w:rFonts w:hint="eastAsia" w:ascii="宋体" w:hAnsi="宋体" w:cs="宋体"/>
          <w:color w:val="auto"/>
          <w:kern w:val="0"/>
          <w:sz w:val="24"/>
          <w:szCs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szCs w:val="24"/>
          <w:highlight w:val="none"/>
          <w:lang w:val="zh-CN"/>
        </w:rPr>
        <w:t>供应商名称(盖公章)：</w:t>
      </w:r>
    </w:p>
    <w:p w14:paraId="6F475FD5">
      <w:pPr>
        <w:spacing w:line="500" w:lineRule="exact"/>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日期</w:t>
      </w:r>
      <w:r>
        <w:rPr>
          <w:rFonts w:hint="eastAsia" w:ascii="宋体" w:hAnsi="宋体" w:cs="宋体"/>
          <w:color w:val="auto"/>
          <w:kern w:val="0"/>
          <w:sz w:val="24"/>
          <w:szCs w:val="24"/>
          <w:highlight w:val="none"/>
        </w:rPr>
        <w:t xml:space="preserve">：  年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14:paraId="7DFE3FA6">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3CA2658D">
      <w:pPr>
        <w:spacing w:line="500" w:lineRule="exact"/>
        <w:rPr>
          <w:rFonts w:hint="eastAsia" w:ascii="仿宋" w:hAnsi="仿宋" w:eastAsia="仿宋" w:cs="仿宋_GB2312"/>
          <w:b/>
          <w:color w:val="auto"/>
          <w:sz w:val="30"/>
          <w:szCs w:val="30"/>
          <w:highlight w:val="none"/>
        </w:rPr>
      </w:pPr>
      <w:r>
        <w:rPr>
          <w:rFonts w:hint="eastAsia" w:ascii="宋体" w:hAnsi="宋体" w:cs="宋体"/>
          <w:b/>
          <w:color w:val="auto"/>
          <w:sz w:val="28"/>
          <w:szCs w:val="28"/>
          <w:highlight w:val="none"/>
        </w:rPr>
        <w:t>8.技术需求偏离表的格式：</w:t>
      </w:r>
    </w:p>
    <w:p w14:paraId="78142FC9">
      <w:pPr>
        <w:spacing w:line="500" w:lineRule="exact"/>
        <w:jc w:val="center"/>
        <w:rPr>
          <w:rFonts w:hint="eastAsia" w:ascii="仿宋_GB2312" w:hAnsi="仿宋_GB2312" w:eastAsia="仿宋_GB2312" w:cs="仿宋_GB2312"/>
          <w:color w:val="auto"/>
          <w:sz w:val="32"/>
          <w:szCs w:val="32"/>
          <w:highlight w:val="none"/>
        </w:rPr>
      </w:pPr>
    </w:p>
    <w:p w14:paraId="3CB63F65">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71A600EF">
      <w:pPr>
        <w:spacing w:line="360" w:lineRule="auto"/>
        <w:contextualSpacing/>
        <w:jc w:val="left"/>
        <w:rPr>
          <w:rFonts w:hint="eastAsia" w:ascii="宋体" w:hAnsi="宋体" w:cs="宋体"/>
          <w:color w:val="auto"/>
          <w:sz w:val="24"/>
          <w:szCs w:val="24"/>
          <w:highlight w:val="none"/>
        </w:rPr>
      </w:pPr>
    </w:p>
    <w:p w14:paraId="4658133D">
      <w:pPr>
        <w:spacing w:line="360" w:lineRule="auto"/>
        <w:ind w:firstLine="240" w:firstLineChars="10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CA9551E">
      <w:pPr>
        <w:spacing w:line="360" w:lineRule="auto"/>
        <w:ind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C5F18F9">
      <w:pPr>
        <w:spacing w:line="360" w:lineRule="auto"/>
        <w:ind w:firstLine="240" w:firstLineChars="100"/>
        <w:contextualSpacing/>
        <w:rPr>
          <w:rFonts w:hint="eastAsia" w:ascii="宋体" w:hAnsi="宋体" w:cs="宋体"/>
          <w:color w:val="auto"/>
          <w:kern w:val="0"/>
          <w:sz w:val="24"/>
          <w:szCs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0"/>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41"/>
        <w:gridCol w:w="2642"/>
        <w:gridCol w:w="2786"/>
        <w:gridCol w:w="1095"/>
      </w:tblGrid>
      <w:tr w14:paraId="3134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AB6CAC7">
            <w:pPr>
              <w:widowControl/>
              <w:jc w:val="left"/>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1941" w:type="dxa"/>
            <w:tcBorders>
              <w:top w:val="single" w:color="auto" w:sz="4" w:space="0"/>
              <w:left w:val="single" w:color="auto" w:sz="4" w:space="0"/>
              <w:bottom w:val="single" w:color="auto" w:sz="4" w:space="0"/>
              <w:right w:val="single" w:color="auto" w:sz="4" w:space="0"/>
            </w:tcBorders>
            <w:vAlign w:val="center"/>
          </w:tcPr>
          <w:p w14:paraId="5328F812">
            <w:pPr>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2642" w:type="dxa"/>
            <w:tcBorders>
              <w:top w:val="single" w:color="auto" w:sz="4" w:space="0"/>
              <w:left w:val="single" w:color="auto" w:sz="4" w:space="0"/>
              <w:bottom w:val="single" w:color="auto" w:sz="4" w:space="0"/>
              <w:right w:val="single" w:color="auto" w:sz="4" w:space="0"/>
            </w:tcBorders>
            <w:vAlign w:val="center"/>
          </w:tcPr>
          <w:p w14:paraId="66615647">
            <w:pPr>
              <w:jc w:val="center"/>
              <w:rPr>
                <w:rFonts w:hint="eastAsia" w:ascii="宋体" w:hAnsi="宋体" w:cs="宋体"/>
                <w:color w:val="auto"/>
                <w:szCs w:val="21"/>
                <w:highlight w:val="none"/>
              </w:rPr>
            </w:pPr>
            <w:r>
              <w:rPr>
                <w:rFonts w:hint="eastAsia" w:ascii="宋体" w:hAnsi="宋体" w:cs="宋体"/>
                <w:color w:val="auto"/>
                <w:szCs w:val="21"/>
                <w:highlight w:val="none"/>
              </w:rPr>
              <w:t>竞争性谈判文件</w:t>
            </w:r>
            <w:r>
              <w:rPr>
                <w:rFonts w:hint="eastAsia" w:ascii="宋体" w:hAnsi="宋体"/>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14:paraId="533AF7C5">
            <w:pPr>
              <w:jc w:val="center"/>
              <w:rPr>
                <w:rFonts w:hint="eastAsia" w:ascii="宋体" w:hAnsi="宋体" w:cs="宋体"/>
                <w:color w:val="auto"/>
                <w:szCs w:val="21"/>
                <w:highlight w:val="none"/>
              </w:rPr>
            </w:pPr>
            <w:r>
              <w:rPr>
                <w:rFonts w:hint="eastAsia" w:ascii="宋体" w:hAnsi="宋体" w:cs="宋体"/>
                <w:color w:val="auto"/>
                <w:szCs w:val="21"/>
                <w:highlight w:val="none"/>
              </w:rPr>
              <w:t>响应文件响应的技术参数及配置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6A418A62">
            <w:pPr>
              <w:widowControl/>
              <w:jc w:val="left"/>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EE9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07B005A">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41" w:type="dxa"/>
            <w:tcBorders>
              <w:top w:val="single" w:color="auto" w:sz="4" w:space="0"/>
              <w:left w:val="single" w:color="auto" w:sz="4" w:space="0"/>
              <w:bottom w:val="single" w:color="auto" w:sz="4" w:space="0"/>
              <w:right w:val="single" w:color="auto" w:sz="4" w:space="0"/>
            </w:tcBorders>
            <w:vAlign w:val="center"/>
          </w:tcPr>
          <w:p w14:paraId="6B1B940E">
            <w:pPr>
              <w:rPr>
                <w:rFonts w:hint="eastAsia" w:ascii="宋体" w:hAnsi="宋体" w:cs="宋体"/>
                <w:color w:val="auto"/>
                <w:szCs w:val="21"/>
                <w:highlight w:val="none"/>
              </w:rPr>
            </w:pPr>
          </w:p>
        </w:tc>
        <w:tc>
          <w:tcPr>
            <w:tcW w:w="2642" w:type="dxa"/>
            <w:tcBorders>
              <w:top w:val="single" w:color="auto" w:sz="4" w:space="0"/>
              <w:left w:val="single" w:color="auto" w:sz="4" w:space="0"/>
              <w:bottom w:val="single" w:color="auto" w:sz="4" w:space="0"/>
              <w:right w:val="single" w:color="auto" w:sz="4" w:space="0"/>
            </w:tcBorders>
            <w:vAlign w:val="center"/>
          </w:tcPr>
          <w:p w14:paraId="17732204">
            <w:pPr>
              <w:rPr>
                <w:rFonts w:hint="eastAsia" w:ascii="宋体" w:hAnsi="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C9DAA0A">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911441B">
            <w:pPr>
              <w:rPr>
                <w:rFonts w:hint="eastAsia" w:ascii="宋体" w:hAnsi="宋体" w:cs="宋体"/>
                <w:color w:val="auto"/>
                <w:szCs w:val="21"/>
                <w:highlight w:val="none"/>
              </w:rPr>
            </w:pPr>
          </w:p>
        </w:tc>
      </w:tr>
      <w:tr w14:paraId="2580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0ADB49">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941" w:type="dxa"/>
            <w:tcBorders>
              <w:top w:val="single" w:color="auto" w:sz="4" w:space="0"/>
              <w:left w:val="single" w:color="auto" w:sz="4" w:space="0"/>
              <w:bottom w:val="single" w:color="auto" w:sz="4" w:space="0"/>
              <w:right w:val="single" w:color="auto" w:sz="4" w:space="0"/>
            </w:tcBorders>
            <w:vAlign w:val="center"/>
          </w:tcPr>
          <w:p w14:paraId="0682227C">
            <w:pPr>
              <w:rPr>
                <w:rFonts w:hint="eastAsia" w:ascii="宋体" w:hAnsi="宋体" w:cs="宋体"/>
                <w:color w:val="auto"/>
                <w:szCs w:val="21"/>
                <w:highlight w:val="none"/>
              </w:rPr>
            </w:pPr>
          </w:p>
        </w:tc>
        <w:tc>
          <w:tcPr>
            <w:tcW w:w="2642" w:type="dxa"/>
            <w:tcBorders>
              <w:top w:val="single" w:color="auto" w:sz="4" w:space="0"/>
              <w:left w:val="single" w:color="auto" w:sz="4" w:space="0"/>
              <w:bottom w:val="single" w:color="auto" w:sz="4" w:space="0"/>
              <w:right w:val="single" w:color="auto" w:sz="4" w:space="0"/>
            </w:tcBorders>
            <w:vAlign w:val="center"/>
          </w:tcPr>
          <w:p w14:paraId="60ED0620">
            <w:pPr>
              <w:rPr>
                <w:rFonts w:hint="eastAsia" w:ascii="宋体" w:hAnsi="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66E0345">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A94F1A2">
            <w:pPr>
              <w:rPr>
                <w:rFonts w:hint="eastAsia" w:ascii="宋体" w:hAnsi="宋体" w:cs="宋体"/>
                <w:color w:val="auto"/>
                <w:szCs w:val="21"/>
                <w:highlight w:val="none"/>
              </w:rPr>
            </w:pPr>
          </w:p>
        </w:tc>
      </w:tr>
      <w:tr w14:paraId="770C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894718E">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941" w:type="dxa"/>
            <w:tcBorders>
              <w:top w:val="single" w:color="auto" w:sz="4" w:space="0"/>
              <w:left w:val="single" w:color="auto" w:sz="4" w:space="0"/>
              <w:bottom w:val="single" w:color="auto" w:sz="4" w:space="0"/>
              <w:right w:val="single" w:color="auto" w:sz="4" w:space="0"/>
            </w:tcBorders>
            <w:vAlign w:val="center"/>
          </w:tcPr>
          <w:p w14:paraId="00AB6FFF">
            <w:pPr>
              <w:rPr>
                <w:rFonts w:hint="eastAsia" w:ascii="宋体" w:hAnsi="宋体" w:cs="宋体"/>
                <w:color w:val="auto"/>
                <w:szCs w:val="21"/>
                <w:highlight w:val="none"/>
              </w:rPr>
            </w:pPr>
          </w:p>
        </w:tc>
        <w:tc>
          <w:tcPr>
            <w:tcW w:w="2642" w:type="dxa"/>
            <w:tcBorders>
              <w:top w:val="single" w:color="auto" w:sz="4" w:space="0"/>
              <w:left w:val="single" w:color="auto" w:sz="4" w:space="0"/>
              <w:bottom w:val="single" w:color="auto" w:sz="4" w:space="0"/>
              <w:right w:val="single" w:color="auto" w:sz="4" w:space="0"/>
            </w:tcBorders>
            <w:vAlign w:val="center"/>
          </w:tcPr>
          <w:p w14:paraId="31EC3B72">
            <w:pPr>
              <w:rPr>
                <w:rFonts w:hint="eastAsia" w:ascii="宋体" w:hAnsi="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49EB98F5">
            <w:pP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EE5A524">
            <w:pPr>
              <w:rPr>
                <w:rFonts w:hint="eastAsia" w:ascii="宋体" w:hAnsi="宋体" w:cs="宋体"/>
                <w:color w:val="auto"/>
                <w:szCs w:val="21"/>
                <w:highlight w:val="none"/>
              </w:rPr>
            </w:pPr>
          </w:p>
        </w:tc>
      </w:tr>
      <w:tr w14:paraId="0C31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169" w:type="dxa"/>
            <w:gridSpan w:val="5"/>
            <w:tcBorders>
              <w:top w:val="single" w:color="auto" w:sz="4" w:space="0"/>
              <w:left w:val="single" w:color="auto" w:sz="4" w:space="0"/>
              <w:bottom w:val="single" w:color="auto" w:sz="4" w:space="0"/>
              <w:right w:val="single" w:color="auto" w:sz="4" w:space="0"/>
            </w:tcBorders>
            <w:vAlign w:val="center"/>
          </w:tcPr>
          <w:p w14:paraId="45E8857A">
            <w:pPr>
              <w:rPr>
                <w:rFonts w:hint="eastAsia" w:ascii="宋体" w:hAnsi="宋体" w:cs="宋体"/>
                <w:color w:val="auto"/>
                <w:szCs w:val="21"/>
                <w:highlight w:val="none"/>
              </w:rPr>
            </w:pPr>
            <w:r>
              <w:rPr>
                <w:rFonts w:hint="eastAsia" w:ascii="宋体" w:hAnsi="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，合计</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w:t>
            </w:r>
            <w:r>
              <w:rPr>
                <w:rFonts w:hint="eastAsia" w:ascii="宋体" w:hAnsi="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，合计</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w:t>
            </w:r>
            <w:r>
              <w:rPr>
                <w:rFonts w:hint="eastAsia" w:ascii="宋体" w:hAnsi="宋体" w:cs="宋体"/>
                <w:color w:val="auto"/>
                <w:szCs w:val="21"/>
                <w:highlight w:val="none"/>
              </w:rPr>
              <w:t>。</w:t>
            </w:r>
            <w:r>
              <w:rPr>
                <w:rFonts w:hint="eastAsia" w:ascii="宋体" w:hAnsi="宋体" w:cs="宋体"/>
                <w:color w:val="auto"/>
                <w:highlight w:val="none"/>
              </w:rPr>
              <w:t xml:space="preserve"> </w:t>
            </w:r>
            <w:r>
              <w:rPr>
                <w:rFonts w:hint="eastAsia" w:ascii="宋体" w:hAnsi="宋体" w:cs="宋体"/>
                <w:b/>
                <w:bCs/>
                <w:color w:val="auto"/>
                <w:szCs w:val="21"/>
                <w:highlight w:val="none"/>
              </w:rPr>
              <w:t>（注：如有，请逐项列出，如无填写“无”或者留空。）</w:t>
            </w:r>
          </w:p>
        </w:tc>
      </w:tr>
    </w:tbl>
    <w:p w14:paraId="3E2EFB08">
      <w:pPr>
        <w:spacing w:line="360" w:lineRule="auto"/>
        <w:contextualSpacing/>
        <w:rPr>
          <w:rFonts w:hint="eastAsia" w:ascii="宋体" w:hAnsi="宋体" w:cs="宋体"/>
          <w:color w:val="auto"/>
          <w:kern w:val="0"/>
          <w:szCs w:val="21"/>
          <w:highlight w:val="none"/>
          <w:lang w:val="zh-CN"/>
        </w:rPr>
      </w:pPr>
    </w:p>
    <w:p w14:paraId="1DD3CECE">
      <w:pPr>
        <w:spacing w:line="360" w:lineRule="auto"/>
        <w:contextualSpacing/>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w:t>
      </w:r>
    </w:p>
    <w:p w14:paraId="25F012AD">
      <w:pPr>
        <w:spacing w:line="360" w:lineRule="auto"/>
        <w:ind w:firstLine="420" w:firstLineChars="200"/>
        <w:contextualSpacing/>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1.说明：应对照谈判文件“第二章</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采购需求”中“需求一览表”的技术参数及配置条款逐条作出明确响应，并作出偏离说明。</w:t>
      </w:r>
    </w:p>
    <w:p w14:paraId="6FEF2AB1">
      <w:pPr>
        <w:spacing w:line="360" w:lineRule="auto"/>
        <w:ind w:firstLine="420" w:firstLineChars="200"/>
        <w:contextualSpacing/>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7D3FBC5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1992DAC0">
      <w:pPr>
        <w:spacing w:line="360" w:lineRule="auto"/>
        <w:ind w:firstLine="420" w:firstLineChars="200"/>
        <w:rPr>
          <w:rFonts w:hint="eastAsia" w:ascii="宋体" w:hAnsi="宋体" w:cs="宋体"/>
          <w:color w:val="auto"/>
          <w:kern w:val="0"/>
          <w:szCs w:val="21"/>
          <w:highlight w:val="none"/>
        </w:rPr>
      </w:pPr>
    </w:p>
    <w:p w14:paraId="0B122F88">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11DBE42A">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31FFE5FA">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49530B7C">
      <w:pPr>
        <w:autoSpaceDE w:val="0"/>
        <w:autoSpaceDN w:val="0"/>
        <w:spacing w:line="360" w:lineRule="auto"/>
        <w:ind w:firstLine="6480" w:firstLineChars="2700"/>
        <w:rPr>
          <w:rFonts w:hint="eastAsia" w:ascii="仿宋_GB2312" w:hAnsi="仿宋" w:eastAsia="仿宋_GB2312" w:cs="仿宋_GB2312"/>
          <w:b/>
          <w:bCs/>
          <w:color w:val="auto"/>
          <w:sz w:val="24"/>
          <w:szCs w:val="24"/>
          <w:highlight w:val="none"/>
        </w:rPr>
      </w:pPr>
      <w:r>
        <w:rPr>
          <w:rFonts w:hint="eastAsia" w:ascii="宋体" w:hAnsi="宋体" w:cs="宋体"/>
          <w:color w:val="auto"/>
          <w:kern w:val="0"/>
          <w:sz w:val="24"/>
          <w:szCs w:val="24"/>
          <w:highlight w:val="none"/>
          <w:lang w:val="zh-CN"/>
        </w:rPr>
        <w:t>日期：  年  月   日</w:t>
      </w:r>
    </w:p>
    <w:p w14:paraId="5AE4191B">
      <w:pPr>
        <w:snapToGrid w:val="0"/>
        <w:spacing w:before="120" w:beforeLines="50" w:after="50"/>
        <w:rPr>
          <w:rFonts w:hint="eastAsia" w:ascii="宋体" w:hAnsi="宋体" w:cs="宋体"/>
          <w:b/>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9.售后服务方案</w:t>
      </w:r>
    </w:p>
    <w:p w14:paraId="4F6BE05C">
      <w:pPr>
        <w:snapToGrid w:val="0"/>
        <w:spacing w:before="120" w:beforeLines="50" w:after="50"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由供应商按本项目竞争性谈判文件第二章“需求一览表”中商务条款部分的售后服务要求自行填写，其中要包含售后服务承诺书。</w:t>
      </w:r>
    </w:p>
    <w:p w14:paraId="3055B13A">
      <w:pPr>
        <w:autoSpaceDE w:val="0"/>
        <w:autoSpaceDN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附表A:售后服务机构情况表</w:t>
      </w:r>
      <w:r>
        <w:rPr>
          <w:rFonts w:hint="eastAsia" w:ascii="宋体" w:hAnsi="宋体" w:cs="宋体"/>
          <w:color w:val="auto"/>
          <w:szCs w:val="21"/>
          <w:highlight w:val="none"/>
        </w:rPr>
        <w:t>（按此格式自制）</w:t>
      </w:r>
    </w:p>
    <w:tbl>
      <w:tblPr>
        <w:tblStyle w:val="3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B2A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8FE8DD6">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40" w:type="dxa"/>
            <w:vAlign w:val="center"/>
          </w:tcPr>
          <w:p w14:paraId="64E5680D">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机构名称</w:t>
            </w:r>
          </w:p>
        </w:tc>
        <w:tc>
          <w:tcPr>
            <w:tcW w:w="1095" w:type="dxa"/>
            <w:vAlign w:val="center"/>
          </w:tcPr>
          <w:p w14:paraId="4121F812">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机构性质</w:t>
            </w:r>
          </w:p>
        </w:tc>
        <w:tc>
          <w:tcPr>
            <w:tcW w:w="1245" w:type="dxa"/>
            <w:vAlign w:val="center"/>
          </w:tcPr>
          <w:p w14:paraId="487EA64D">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注册地址</w:t>
            </w:r>
          </w:p>
        </w:tc>
        <w:tc>
          <w:tcPr>
            <w:tcW w:w="1980" w:type="dxa"/>
            <w:vAlign w:val="center"/>
          </w:tcPr>
          <w:p w14:paraId="3AE2A13B">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货物技术人员数量</w:t>
            </w:r>
          </w:p>
        </w:tc>
        <w:tc>
          <w:tcPr>
            <w:tcW w:w="1260" w:type="dxa"/>
            <w:vAlign w:val="center"/>
          </w:tcPr>
          <w:p w14:paraId="331206DB">
            <w:pPr>
              <w:autoSpaceDE w:val="0"/>
              <w:autoSpaceDN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联系电话</w:t>
            </w:r>
          </w:p>
        </w:tc>
      </w:tr>
      <w:tr w14:paraId="0980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28" w:type="dxa"/>
            <w:vAlign w:val="center"/>
          </w:tcPr>
          <w:p w14:paraId="1273BD55">
            <w:pPr>
              <w:autoSpaceDE w:val="0"/>
              <w:autoSpaceDN w:val="0"/>
              <w:spacing w:line="400" w:lineRule="exact"/>
              <w:jc w:val="center"/>
              <w:rPr>
                <w:rFonts w:hint="eastAsia" w:ascii="宋体" w:hAnsi="宋体" w:cs="宋体"/>
                <w:color w:val="auto"/>
                <w:szCs w:val="21"/>
                <w:highlight w:val="none"/>
              </w:rPr>
            </w:pPr>
          </w:p>
        </w:tc>
        <w:tc>
          <w:tcPr>
            <w:tcW w:w="2340" w:type="dxa"/>
            <w:vAlign w:val="center"/>
          </w:tcPr>
          <w:p w14:paraId="70B62637">
            <w:pPr>
              <w:autoSpaceDE w:val="0"/>
              <w:autoSpaceDN w:val="0"/>
              <w:spacing w:line="400" w:lineRule="exact"/>
              <w:jc w:val="center"/>
              <w:rPr>
                <w:rFonts w:hint="eastAsia" w:ascii="宋体" w:hAnsi="宋体" w:cs="宋体"/>
                <w:color w:val="auto"/>
                <w:szCs w:val="21"/>
                <w:highlight w:val="none"/>
              </w:rPr>
            </w:pPr>
          </w:p>
        </w:tc>
        <w:tc>
          <w:tcPr>
            <w:tcW w:w="1095" w:type="dxa"/>
            <w:vAlign w:val="center"/>
          </w:tcPr>
          <w:p w14:paraId="2F7906DE">
            <w:pPr>
              <w:autoSpaceDE w:val="0"/>
              <w:autoSpaceDN w:val="0"/>
              <w:spacing w:line="400" w:lineRule="exact"/>
              <w:jc w:val="center"/>
              <w:rPr>
                <w:rFonts w:hint="eastAsia" w:ascii="宋体" w:hAnsi="宋体" w:cs="宋体"/>
                <w:color w:val="auto"/>
                <w:szCs w:val="21"/>
                <w:highlight w:val="none"/>
              </w:rPr>
            </w:pPr>
          </w:p>
        </w:tc>
        <w:tc>
          <w:tcPr>
            <w:tcW w:w="1245" w:type="dxa"/>
            <w:vAlign w:val="center"/>
          </w:tcPr>
          <w:p w14:paraId="4DA986EB">
            <w:pPr>
              <w:autoSpaceDE w:val="0"/>
              <w:autoSpaceDN w:val="0"/>
              <w:spacing w:line="400" w:lineRule="exact"/>
              <w:jc w:val="center"/>
              <w:rPr>
                <w:rFonts w:hint="eastAsia" w:ascii="宋体" w:hAnsi="宋体" w:cs="宋体"/>
                <w:color w:val="auto"/>
                <w:szCs w:val="21"/>
                <w:highlight w:val="none"/>
              </w:rPr>
            </w:pPr>
          </w:p>
        </w:tc>
        <w:tc>
          <w:tcPr>
            <w:tcW w:w="1980" w:type="dxa"/>
            <w:vAlign w:val="center"/>
          </w:tcPr>
          <w:p w14:paraId="038192AD">
            <w:pPr>
              <w:autoSpaceDE w:val="0"/>
              <w:autoSpaceDN w:val="0"/>
              <w:spacing w:line="400" w:lineRule="exact"/>
              <w:jc w:val="center"/>
              <w:rPr>
                <w:rFonts w:hint="eastAsia" w:ascii="宋体" w:hAnsi="宋体" w:cs="宋体"/>
                <w:color w:val="auto"/>
                <w:szCs w:val="21"/>
                <w:highlight w:val="none"/>
              </w:rPr>
            </w:pPr>
          </w:p>
        </w:tc>
        <w:tc>
          <w:tcPr>
            <w:tcW w:w="1260" w:type="dxa"/>
            <w:vAlign w:val="center"/>
          </w:tcPr>
          <w:p w14:paraId="2496BA3C">
            <w:pPr>
              <w:autoSpaceDE w:val="0"/>
              <w:autoSpaceDN w:val="0"/>
              <w:spacing w:line="400" w:lineRule="exact"/>
              <w:jc w:val="center"/>
              <w:rPr>
                <w:rFonts w:hint="eastAsia" w:ascii="宋体" w:hAnsi="宋体" w:cs="宋体"/>
                <w:color w:val="auto"/>
                <w:szCs w:val="21"/>
                <w:highlight w:val="none"/>
              </w:rPr>
            </w:pPr>
          </w:p>
        </w:tc>
      </w:tr>
      <w:tr w14:paraId="37E5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28" w:type="dxa"/>
            <w:vAlign w:val="center"/>
          </w:tcPr>
          <w:p w14:paraId="1AD1D24E">
            <w:pPr>
              <w:autoSpaceDE w:val="0"/>
              <w:autoSpaceDN w:val="0"/>
              <w:spacing w:line="400" w:lineRule="exact"/>
              <w:jc w:val="center"/>
              <w:rPr>
                <w:rFonts w:hint="eastAsia" w:ascii="宋体" w:hAnsi="宋体" w:cs="宋体"/>
                <w:color w:val="auto"/>
                <w:szCs w:val="21"/>
                <w:highlight w:val="none"/>
              </w:rPr>
            </w:pPr>
          </w:p>
        </w:tc>
        <w:tc>
          <w:tcPr>
            <w:tcW w:w="2340" w:type="dxa"/>
            <w:vAlign w:val="center"/>
          </w:tcPr>
          <w:p w14:paraId="19A802EC">
            <w:pPr>
              <w:autoSpaceDE w:val="0"/>
              <w:autoSpaceDN w:val="0"/>
              <w:spacing w:line="400" w:lineRule="exact"/>
              <w:jc w:val="center"/>
              <w:rPr>
                <w:rFonts w:hint="eastAsia" w:ascii="宋体" w:hAnsi="宋体" w:cs="宋体"/>
                <w:color w:val="auto"/>
                <w:szCs w:val="21"/>
                <w:highlight w:val="none"/>
              </w:rPr>
            </w:pPr>
          </w:p>
        </w:tc>
        <w:tc>
          <w:tcPr>
            <w:tcW w:w="1095" w:type="dxa"/>
            <w:vAlign w:val="center"/>
          </w:tcPr>
          <w:p w14:paraId="480AF285">
            <w:pPr>
              <w:autoSpaceDE w:val="0"/>
              <w:autoSpaceDN w:val="0"/>
              <w:spacing w:line="400" w:lineRule="exact"/>
              <w:jc w:val="center"/>
              <w:rPr>
                <w:rFonts w:hint="eastAsia" w:ascii="宋体" w:hAnsi="宋体" w:cs="宋体"/>
                <w:color w:val="auto"/>
                <w:szCs w:val="21"/>
                <w:highlight w:val="none"/>
              </w:rPr>
            </w:pPr>
          </w:p>
        </w:tc>
        <w:tc>
          <w:tcPr>
            <w:tcW w:w="1245" w:type="dxa"/>
            <w:vAlign w:val="center"/>
          </w:tcPr>
          <w:p w14:paraId="03BFF64D">
            <w:pPr>
              <w:autoSpaceDE w:val="0"/>
              <w:autoSpaceDN w:val="0"/>
              <w:spacing w:line="400" w:lineRule="exact"/>
              <w:jc w:val="center"/>
              <w:rPr>
                <w:rFonts w:hint="eastAsia" w:ascii="宋体" w:hAnsi="宋体" w:cs="宋体"/>
                <w:color w:val="auto"/>
                <w:szCs w:val="21"/>
                <w:highlight w:val="none"/>
              </w:rPr>
            </w:pPr>
          </w:p>
        </w:tc>
        <w:tc>
          <w:tcPr>
            <w:tcW w:w="1980" w:type="dxa"/>
            <w:vAlign w:val="center"/>
          </w:tcPr>
          <w:p w14:paraId="6E9FE373">
            <w:pPr>
              <w:autoSpaceDE w:val="0"/>
              <w:autoSpaceDN w:val="0"/>
              <w:spacing w:line="400" w:lineRule="exact"/>
              <w:jc w:val="center"/>
              <w:rPr>
                <w:rFonts w:hint="eastAsia" w:ascii="宋体" w:hAnsi="宋体" w:cs="宋体"/>
                <w:color w:val="auto"/>
                <w:szCs w:val="21"/>
                <w:highlight w:val="none"/>
              </w:rPr>
            </w:pPr>
          </w:p>
        </w:tc>
        <w:tc>
          <w:tcPr>
            <w:tcW w:w="1260" w:type="dxa"/>
            <w:vAlign w:val="center"/>
          </w:tcPr>
          <w:p w14:paraId="5DF9370D">
            <w:pPr>
              <w:autoSpaceDE w:val="0"/>
              <w:autoSpaceDN w:val="0"/>
              <w:spacing w:line="400" w:lineRule="exact"/>
              <w:jc w:val="center"/>
              <w:rPr>
                <w:rFonts w:hint="eastAsia" w:ascii="宋体" w:hAnsi="宋体" w:cs="宋体"/>
                <w:color w:val="auto"/>
                <w:szCs w:val="21"/>
                <w:highlight w:val="none"/>
              </w:rPr>
            </w:pPr>
          </w:p>
        </w:tc>
      </w:tr>
      <w:tr w14:paraId="733A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D1BAE3C">
            <w:pPr>
              <w:autoSpaceDE w:val="0"/>
              <w:autoSpaceDN w:val="0"/>
              <w:spacing w:line="400" w:lineRule="exact"/>
              <w:jc w:val="center"/>
              <w:rPr>
                <w:rFonts w:hint="eastAsia" w:ascii="宋体" w:hAnsi="宋体" w:cs="宋体"/>
                <w:color w:val="auto"/>
                <w:szCs w:val="21"/>
                <w:highlight w:val="none"/>
              </w:rPr>
            </w:pPr>
          </w:p>
        </w:tc>
        <w:tc>
          <w:tcPr>
            <w:tcW w:w="2340" w:type="dxa"/>
            <w:vAlign w:val="center"/>
          </w:tcPr>
          <w:p w14:paraId="73D505BE">
            <w:pPr>
              <w:autoSpaceDE w:val="0"/>
              <w:autoSpaceDN w:val="0"/>
              <w:spacing w:line="400" w:lineRule="exact"/>
              <w:jc w:val="center"/>
              <w:rPr>
                <w:rFonts w:hint="eastAsia" w:ascii="宋体" w:hAnsi="宋体" w:cs="宋体"/>
                <w:color w:val="auto"/>
                <w:szCs w:val="21"/>
                <w:highlight w:val="none"/>
              </w:rPr>
            </w:pPr>
          </w:p>
        </w:tc>
        <w:tc>
          <w:tcPr>
            <w:tcW w:w="1095" w:type="dxa"/>
            <w:vAlign w:val="center"/>
          </w:tcPr>
          <w:p w14:paraId="5FFE5D5C">
            <w:pPr>
              <w:autoSpaceDE w:val="0"/>
              <w:autoSpaceDN w:val="0"/>
              <w:spacing w:line="400" w:lineRule="exact"/>
              <w:jc w:val="center"/>
              <w:rPr>
                <w:rFonts w:hint="eastAsia" w:ascii="宋体" w:hAnsi="宋体" w:cs="宋体"/>
                <w:color w:val="auto"/>
                <w:szCs w:val="21"/>
                <w:highlight w:val="none"/>
              </w:rPr>
            </w:pPr>
          </w:p>
        </w:tc>
        <w:tc>
          <w:tcPr>
            <w:tcW w:w="1245" w:type="dxa"/>
            <w:vAlign w:val="center"/>
          </w:tcPr>
          <w:p w14:paraId="6FC6E072">
            <w:pPr>
              <w:autoSpaceDE w:val="0"/>
              <w:autoSpaceDN w:val="0"/>
              <w:spacing w:line="400" w:lineRule="exact"/>
              <w:jc w:val="center"/>
              <w:rPr>
                <w:rFonts w:hint="eastAsia" w:ascii="宋体" w:hAnsi="宋体" w:cs="宋体"/>
                <w:color w:val="auto"/>
                <w:szCs w:val="21"/>
                <w:highlight w:val="none"/>
              </w:rPr>
            </w:pPr>
          </w:p>
        </w:tc>
        <w:tc>
          <w:tcPr>
            <w:tcW w:w="1980" w:type="dxa"/>
            <w:vAlign w:val="center"/>
          </w:tcPr>
          <w:p w14:paraId="6D0FEBDF">
            <w:pPr>
              <w:autoSpaceDE w:val="0"/>
              <w:autoSpaceDN w:val="0"/>
              <w:spacing w:line="400" w:lineRule="exact"/>
              <w:jc w:val="center"/>
              <w:rPr>
                <w:rFonts w:hint="eastAsia" w:ascii="宋体" w:hAnsi="宋体" w:cs="宋体"/>
                <w:color w:val="auto"/>
                <w:szCs w:val="21"/>
                <w:highlight w:val="none"/>
              </w:rPr>
            </w:pPr>
          </w:p>
        </w:tc>
        <w:tc>
          <w:tcPr>
            <w:tcW w:w="1260" w:type="dxa"/>
            <w:vAlign w:val="center"/>
          </w:tcPr>
          <w:p w14:paraId="2BB05EC6">
            <w:pPr>
              <w:autoSpaceDE w:val="0"/>
              <w:autoSpaceDN w:val="0"/>
              <w:spacing w:line="400" w:lineRule="exact"/>
              <w:jc w:val="center"/>
              <w:rPr>
                <w:rFonts w:hint="eastAsia" w:ascii="宋体" w:hAnsi="宋体" w:cs="宋体"/>
                <w:color w:val="auto"/>
                <w:szCs w:val="21"/>
                <w:highlight w:val="none"/>
              </w:rPr>
            </w:pPr>
          </w:p>
        </w:tc>
      </w:tr>
    </w:tbl>
    <w:p w14:paraId="2DAC4710">
      <w:pPr>
        <w:autoSpaceDE w:val="0"/>
        <w:autoSpaceDN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注：关于项目涉及的所有售后服务机构均在本表注明，包括供应商本单位和符合条件的第三方服务机构。</w:t>
      </w:r>
    </w:p>
    <w:p w14:paraId="483368C2">
      <w:pPr>
        <w:autoSpaceDE w:val="0"/>
        <w:autoSpaceDN w:val="0"/>
        <w:spacing w:line="400" w:lineRule="exact"/>
        <w:rPr>
          <w:rFonts w:hint="eastAsia" w:ascii="宋体" w:hAnsi="宋体" w:cs="宋体"/>
          <w:color w:val="auto"/>
          <w:kern w:val="0"/>
          <w:szCs w:val="21"/>
          <w:highlight w:val="none"/>
        </w:rPr>
      </w:pPr>
    </w:p>
    <w:p w14:paraId="5D0A5037">
      <w:pPr>
        <w:autoSpaceDE w:val="0"/>
        <w:autoSpaceDN w:val="0"/>
        <w:spacing w:line="400" w:lineRule="exact"/>
        <w:rPr>
          <w:rFonts w:hint="eastAsia" w:ascii="宋体" w:hAnsi="宋体" w:cs="宋体"/>
          <w:color w:val="auto"/>
          <w:kern w:val="0"/>
          <w:szCs w:val="21"/>
          <w:highlight w:val="none"/>
        </w:rPr>
      </w:pPr>
      <w:r>
        <w:rPr>
          <w:rFonts w:hint="eastAsia" w:ascii="宋体" w:hAnsi="宋体" w:cs="宋体"/>
          <w:b/>
          <w:color w:val="auto"/>
          <w:kern w:val="0"/>
          <w:szCs w:val="21"/>
          <w:highlight w:val="none"/>
        </w:rPr>
        <w:t>附表B：售后服务人员情况表</w:t>
      </w:r>
      <w:r>
        <w:rPr>
          <w:rFonts w:hint="eastAsia" w:ascii="宋体" w:hAnsi="宋体" w:cs="宋体"/>
          <w:color w:val="auto"/>
          <w:szCs w:val="21"/>
          <w:highlight w:val="none"/>
        </w:rPr>
        <w:t>（按此格式自制）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48E15192">
        <w:tblPrEx>
          <w:tblCellMar>
            <w:top w:w="0" w:type="dxa"/>
            <w:left w:w="108" w:type="dxa"/>
            <w:bottom w:w="0" w:type="dxa"/>
            <w:right w:w="108" w:type="dxa"/>
          </w:tblCellMar>
        </w:tblPrEx>
        <w:trPr>
          <w:trHeight w:val="3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535DE3F7">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4A872073">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9D45FA6">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7043217C">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36EC3626">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09A71F98">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6D34664">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1A1C16D">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6E8BFA45">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0C400841">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94B8103">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到达现场时间</w:t>
            </w:r>
          </w:p>
        </w:tc>
      </w:tr>
      <w:tr w14:paraId="49E9175E">
        <w:tblPrEx>
          <w:tblCellMar>
            <w:top w:w="0" w:type="dxa"/>
            <w:left w:w="108" w:type="dxa"/>
            <w:bottom w:w="0" w:type="dxa"/>
            <w:right w:w="108" w:type="dxa"/>
          </w:tblCellMar>
        </w:tblPrEx>
        <w:trPr>
          <w:trHeight w:val="382"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7C82BE8D">
            <w:pPr>
              <w:autoSpaceDE w:val="0"/>
              <w:autoSpaceDN w:val="0"/>
              <w:spacing w:line="400" w:lineRule="exact"/>
              <w:jc w:val="center"/>
              <w:rPr>
                <w:rFonts w:hint="eastAsia"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D615572">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42999FA7">
            <w:pPr>
              <w:autoSpaceDE w:val="0"/>
              <w:autoSpaceDN w:val="0"/>
              <w:spacing w:line="400" w:lineRule="exact"/>
              <w:rPr>
                <w:rFonts w:hint="eastAsia"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20060A91">
            <w:pPr>
              <w:autoSpaceDE w:val="0"/>
              <w:autoSpaceDN w:val="0"/>
              <w:spacing w:line="400" w:lineRule="exact"/>
              <w:rPr>
                <w:rFonts w:hint="eastAsia"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3C39DDFA">
            <w:pPr>
              <w:autoSpaceDE w:val="0"/>
              <w:autoSpaceDN w:val="0"/>
              <w:spacing w:line="400" w:lineRule="exact"/>
              <w:rPr>
                <w:rFonts w:hint="eastAsia"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6E8BFF5F">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6E86767">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38E13E1">
            <w:pPr>
              <w:autoSpaceDE w:val="0"/>
              <w:autoSpaceDN w:val="0"/>
              <w:spacing w:line="400" w:lineRule="exact"/>
              <w:rPr>
                <w:rFonts w:hint="eastAsia"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7B6B6778">
            <w:pPr>
              <w:autoSpaceDE w:val="0"/>
              <w:autoSpaceDN w:val="0"/>
              <w:spacing w:line="400" w:lineRule="exact"/>
              <w:rPr>
                <w:rFonts w:hint="eastAsia"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1329266E">
            <w:pPr>
              <w:autoSpaceDE w:val="0"/>
              <w:autoSpaceDN w:val="0"/>
              <w:spacing w:line="400" w:lineRule="exact"/>
              <w:rPr>
                <w:rFonts w:hint="eastAsia"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4875E2D9">
            <w:pPr>
              <w:autoSpaceDE w:val="0"/>
              <w:autoSpaceDN w:val="0"/>
              <w:spacing w:line="400" w:lineRule="exact"/>
              <w:rPr>
                <w:rFonts w:hint="eastAsia" w:ascii="宋体" w:hAnsi="宋体" w:cs="宋体"/>
                <w:color w:val="auto"/>
                <w:szCs w:val="21"/>
                <w:highlight w:val="none"/>
              </w:rPr>
            </w:pPr>
          </w:p>
        </w:tc>
      </w:tr>
      <w:tr w14:paraId="4C996747">
        <w:tblPrEx>
          <w:tblCellMar>
            <w:top w:w="0" w:type="dxa"/>
            <w:left w:w="108" w:type="dxa"/>
            <w:bottom w:w="0" w:type="dxa"/>
            <w:right w:w="108" w:type="dxa"/>
          </w:tblCellMar>
        </w:tblPrEx>
        <w:trPr>
          <w:trHeight w:val="90"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3BA65B94">
            <w:pPr>
              <w:autoSpaceDE w:val="0"/>
              <w:autoSpaceDN w:val="0"/>
              <w:spacing w:line="400" w:lineRule="exact"/>
              <w:jc w:val="center"/>
              <w:rPr>
                <w:rFonts w:hint="eastAsia"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47CFF69">
            <w:pPr>
              <w:autoSpaceDE w:val="0"/>
              <w:autoSpaceDN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635F3F5C">
            <w:pPr>
              <w:autoSpaceDE w:val="0"/>
              <w:autoSpaceDN w:val="0"/>
              <w:spacing w:line="400" w:lineRule="exact"/>
              <w:rPr>
                <w:rFonts w:hint="eastAsia"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0416724">
            <w:pPr>
              <w:autoSpaceDE w:val="0"/>
              <w:autoSpaceDN w:val="0"/>
              <w:spacing w:line="400" w:lineRule="exact"/>
              <w:rPr>
                <w:rFonts w:hint="eastAsia"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6A6FC9A5">
            <w:pPr>
              <w:autoSpaceDE w:val="0"/>
              <w:autoSpaceDN w:val="0"/>
              <w:spacing w:line="400" w:lineRule="exact"/>
              <w:rPr>
                <w:rFonts w:hint="eastAsia"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730A48D0">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2F6CDF5">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6DE371B">
            <w:pPr>
              <w:autoSpaceDE w:val="0"/>
              <w:autoSpaceDN w:val="0"/>
              <w:spacing w:line="400" w:lineRule="exact"/>
              <w:rPr>
                <w:rFonts w:hint="eastAsia"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4872E311">
            <w:pPr>
              <w:autoSpaceDE w:val="0"/>
              <w:autoSpaceDN w:val="0"/>
              <w:spacing w:line="400" w:lineRule="exact"/>
              <w:rPr>
                <w:rFonts w:hint="eastAsia"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559CD63B">
            <w:pPr>
              <w:autoSpaceDE w:val="0"/>
              <w:autoSpaceDN w:val="0"/>
              <w:spacing w:line="400" w:lineRule="exact"/>
              <w:rPr>
                <w:rFonts w:hint="eastAsia"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590F7BA">
            <w:pPr>
              <w:autoSpaceDE w:val="0"/>
              <w:autoSpaceDN w:val="0"/>
              <w:spacing w:line="400" w:lineRule="exact"/>
              <w:rPr>
                <w:rFonts w:hint="eastAsia" w:ascii="宋体" w:hAnsi="宋体" w:cs="宋体"/>
                <w:color w:val="auto"/>
                <w:szCs w:val="21"/>
                <w:highlight w:val="none"/>
              </w:rPr>
            </w:pPr>
          </w:p>
        </w:tc>
      </w:tr>
      <w:tr w14:paraId="3A2E9396">
        <w:tblPrEx>
          <w:tblCellMar>
            <w:top w:w="0" w:type="dxa"/>
            <w:left w:w="108" w:type="dxa"/>
            <w:bottom w:w="0" w:type="dxa"/>
            <w:right w:w="108" w:type="dxa"/>
          </w:tblCellMar>
        </w:tblPrEx>
        <w:trPr>
          <w:trHeight w:val="340"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042C0E0A">
            <w:pPr>
              <w:autoSpaceDE w:val="0"/>
              <w:autoSpaceDN w:val="0"/>
              <w:spacing w:line="400" w:lineRule="exact"/>
              <w:jc w:val="center"/>
              <w:rPr>
                <w:rFonts w:hint="eastAsia"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A9B6965">
            <w:pPr>
              <w:autoSpaceDE w:val="0"/>
              <w:autoSpaceDN w:val="0"/>
              <w:spacing w:line="400" w:lineRule="exact"/>
              <w:jc w:val="center"/>
              <w:rPr>
                <w:rFonts w:hint="eastAsia" w:ascii="宋体" w:hAnsi="宋体" w:cs="宋体"/>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274A0252">
            <w:pPr>
              <w:autoSpaceDE w:val="0"/>
              <w:autoSpaceDN w:val="0"/>
              <w:spacing w:line="400" w:lineRule="exact"/>
              <w:rPr>
                <w:rFonts w:hint="eastAsia"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ACAEA2F">
            <w:pPr>
              <w:autoSpaceDE w:val="0"/>
              <w:autoSpaceDN w:val="0"/>
              <w:spacing w:line="400" w:lineRule="exact"/>
              <w:rPr>
                <w:rFonts w:hint="eastAsia"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44698451">
            <w:pPr>
              <w:autoSpaceDE w:val="0"/>
              <w:autoSpaceDN w:val="0"/>
              <w:spacing w:line="400" w:lineRule="exact"/>
              <w:rPr>
                <w:rFonts w:hint="eastAsia"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2B3E5AC2">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2404C87">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ABA33DF">
            <w:pPr>
              <w:autoSpaceDE w:val="0"/>
              <w:autoSpaceDN w:val="0"/>
              <w:spacing w:line="400" w:lineRule="exact"/>
              <w:rPr>
                <w:rFonts w:hint="eastAsia"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2C5BA741">
            <w:pPr>
              <w:autoSpaceDE w:val="0"/>
              <w:autoSpaceDN w:val="0"/>
              <w:spacing w:line="400" w:lineRule="exact"/>
              <w:rPr>
                <w:rFonts w:hint="eastAsia"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4F643128">
            <w:pPr>
              <w:autoSpaceDE w:val="0"/>
              <w:autoSpaceDN w:val="0"/>
              <w:spacing w:line="400" w:lineRule="exact"/>
              <w:rPr>
                <w:rFonts w:hint="eastAsia"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7A32C728">
            <w:pPr>
              <w:autoSpaceDE w:val="0"/>
              <w:autoSpaceDN w:val="0"/>
              <w:spacing w:line="400" w:lineRule="exact"/>
              <w:rPr>
                <w:rFonts w:hint="eastAsia" w:ascii="宋体" w:hAnsi="宋体" w:cs="宋体"/>
                <w:color w:val="auto"/>
                <w:szCs w:val="21"/>
                <w:highlight w:val="none"/>
              </w:rPr>
            </w:pPr>
          </w:p>
        </w:tc>
      </w:tr>
      <w:tr w14:paraId="0FE0DD38">
        <w:tblPrEx>
          <w:tblCellMar>
            <w:top w:w="0" w:type="dxa"/>
            <w:left w:w="108" w:type="dxa"/>
            <w:bottom w:w="0" w:type="dxa"/>
            <w:right w:w="108" w:type="dxa"/>
          </w:tblCellMar>
        </w:tblPrEx>
        <w:trPr>
          <w:trHeight w:val="250"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5B459CCF">
            <w:pPr>
              <w:autoSpaceDE w:val="0"/>
              <w:autoSpaceDN w:val="0"/>
              <w:spacing w:line="400" w:lineRule="exact"/>
              <w:jc w:val="center"/>
              <w:rPr>
                <w:rFonts w:hint="eastAsia"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62FD6126">
            <w:pPr>
              <w:autoSpaceDE w:val="0"/>
              <w:autoSpaceDN w:val="0"/>
              <w:spacing w:line="400" w:lineRule="exact"/>
              <w:jc w:val="center"/>
              <w:rPr>
                <w:rFonts w:hint="eastAsia" w:ascii="宋体" w:hAnsi="宋体" w:cs="宋体"/>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3EC74C9E">
            <w:pPr>
              <w:autoSpaceDE w:val="0"/>
              <w:autoSpaceDN w:val="0"/>
              <w:spacing w:line="400" w:lineRule="exact"/>
              <w:rPr>
                <w:rFonts w:hint="eastAsia"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C47D89C">
            <w:pPr>
              <w:autoSpaceDE w:val="0"/>
              <w:autoSpaceDN w:val="0"/>
              <w:spacing w:line="400" w:lineRule="exact"/>
              <w:rPr>
                <w:rFonts w:hint="eastAsia"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4C65E48C">
            <w:pPr>
              <w:autoSpaceDE w:val="0"/>
              <w:autoSpaceDN w:val="0"/>
              <w:spacing w:line="400" w:lineRule="exact"/>
              <w:rPr>
                <w:rFonts w:hint="eastAsia"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4869D938">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982446A">
            <w:pPr>
              <w:autoSpaceDE w:val="0"/>
              <w:autoSpaceDN w:val="0"/>
              <w:spacing w:line="400" w:lineRule="exact"/>
              <w:rPr>
                <w:rFonts w:hint="eastAsia"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F8DBFD9">
            <w:pPr>
              <w:autoSpaceDE w:val="0"/>
              <w:autoSpaceDN w:val="0"/>
              <w:spacing w:line="400" w:lineRule="exact"/>
              <w:rPr>
                <w:rFonts w:hint="eastAsia"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6EED7D8">
            <w:pPr>
              <w:autoSpaceDE w:val="0"/>
              <w:autoSpaceDN w:val="0"/>
              <w:spacing w:line="400" w:lineRule="exact"/>
              <w:rPr>
                <w:rFonts w:hint="eastAsia"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6956A7E7">
            <w:pPr>
              <w:autoSpaceDE w:val="0"/>
              <w:autoSpaceDN w:val="0"/>
              <w:spacing w:line="400" w:lineRule="exact"/>
              <w:rPr>
                <w:rFonts w:hint="eastAsia"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77FC6A4B">
            <w:pPr>
              <w:autoSpaceDE w:val="0"/>
              <w:autoSpaceDN w:val="0"/>
              <w:spacing w:line="400" w:lineRule="exact"/>
              <w:rPr>
                <w:rFonts w:hint="eastAsia" w:ascii="宋体" w:hAnsi="宋体" w:cs="宋体"/>
                <w:color w:val="auto"/>
                <w:szCs w:val="21"/>
                <w:highlight w:val="none"/>
              </w:rPr>
            </w:pPr>
          </w:p>
        </w:tc>
      </w:tr>
    </w:tbl>
    <w:p w14:paraId="0C9B4213">
      <w:pPr>
        <w:pStyle w:val="16"/>
        <w:spacing w:line="400" w:lineRule="exact"/>
        <w:ind w:left="0" w:leftChars="0" w:firstLine="0" w:firstLineChars="0"/>
        <w:rPr>
          <w:rFonts w:hint="eastAsia" w:ascii="宋体" w:hAnsi="宋体" w:cs="宋体"/>
          <w:b/>
          <w:color w:val="auto"/>
          <w:kern w:val="0"/>
          <w:szCs w:val="21"/>
          <w:highlight w:val="none"/>
        </w:rPr>
      </w:pPr>
    </w:p>
    <w:p w14:paraId="0E5E73AB">
      <w:pPr>
        <w:pStyle w:val="16"/>
        <w:spacing w:line="400" w:lineRule="exact"/>
        <w:ind w:left="0" w:leftChars="0" w:firstLine="0" w:firstLineChars="0"/>
        <w:rPr>
          <w:rFonts w:hint="eastAsia" w:ascii="宋体" w:hAnsi="宋体" w:cs="宋体"/>
          <w:b/>
          <w:color w:val="auto"/>
          <w:kern w:val="0"/>
          <w:szCs w:val="21"/>
          <w:highlight w:val="none"/>
        </w:rPr>
      </w:pPr>
      <w:r>
        <w:rPr>
          <w:rFonts w:hint="eastAsia" w:ascii="宋体" w:hAnsi="宋体" w:cs="宋体"/>
          <w:b/>
          <w:color w:val="auto"/>
          <w:kern w:val="0"/>
          <w:szCs w:val="21"/>
          <w:highlight w:val="none"/>
        </w:rPr>
        <w:t>附表C：维保期满后售后服务</w:t>
      </w:r>
      <w:r>
        <w:rPr>
          <w:rFonts w:hint="eastAsia" w:ascii="宋体" w:hAnsi="宋体" w:cs="宋体"/>
          <w:color w:val="auto"/>
          <w:szCs w:val="21"/>
          <w:highlight w:val="none"/>
        </w:rPr>
        <w:t>（按此格式自制）</w:t>
      </w:r>
    </w:p>
    <w:tbl>
      <w:tblPr>
        <w:tblStyle w:val="3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5644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72FCBE01">
            <w:pPr>
              <w:spacing w:line="40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4A45F6C0">
            <w:pPr>
              <w:widowControl/>
              <w:spacing w:line="400" w:lineRule="exact"/>
              <w:jc w:val="center"/>
              <w:textAlignment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授权</w:t>
            </w:r>
            <w:r>
              <w:rPr>
                <w:rFonts w:hint="eastAsia" w:ascii="宋体" w:hAnsi="宋体" w:cs="宋体"/>
                <w:color w:val="auto"/>
                <w:szCs w:val="21"/>
                <w:highlight w:val="none"/>
              </w:rPr>
              <w:t>售后</w:t>
            </w:r>
            <w:r>
              <w:rPr>
                <w:rFonts w:hint="eastAsia" w:ascii="宋体" w:hAnsi="宋体" w:cs="宋体"/>
                <w:snapToGrid w:val="0"/>
                <w:color w:val="auto"/>
                <w:szCs w:val="21"/>
                <w:highlight w:val="none"/>
              </w:rPr>
              <w:t>代理商（如有）</w:t>
            </w:r>
          </w:p>
        </w:tc>
      </w:tr>
      <w:tr w14:paraId="0C65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36DB37FE">
            <w:pPr>
              <w:pStyle w:val="21"/>
              <w:wordWrap w:val="0"/>
              <w:snapToGrid w:val="0"/>
              <w:spacing w:line="400" w:lineRule="exact"/>
              <w:jc w:val="center"/>
              <w:rPr>
                <w:rFonts w:hint="eastAsia" w:hAnsi="宋体" w:cs="宋体"/>
                <w:color w:val="auto"/>
                <w:spacing w:val="-20"/>
                <w:sz w:val="21"/>
                <w:highlight w:val="none"/>
              </w:rPr>
            </w:pPr>
            <w:r>
              <w:rPr>
                <w:rFonts w:hint="eastAsia" w:hAnsi="宋体" w:cs="宋体"/>
                <w:color w:val="auto"/>
                <w:spacing w:val="-20"/>
                <w:sz w:val="21"/>
                <w:highlight w:val="none"/>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4ED9E2F8">
            <w:pPr>
              <w:wordWrap w:val="0"/>
              <w:topLinePunct/>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物品名称</w:t>
            </w:r>
          </w:p>
          <w:p w14:paraId="7644275A">
            <w:pPr>
              <w:wordWrap w:val="0"/>
              <w:topLinePunct/>
              <w:spacing w:line="400" w:lineRule="exact"/>
              <w:jc w:val="center"/>
              <w:rPr>
                <w:rFonts w:hint="eastAsia" w:ascii="宋体" w:hAnsi="宋体" w:cs="宋体"/>
                <w:snapToGrid w:val="0"/>
                <w:color w:val="auto"/>
                <w:szCs w:val="21"/>
                <w:highlight w:val="none"/>
              </w:rPr>
            </w:pPr>
            <w:r>
              <w:rPr>
                <w:rFonts w:hint="eastAsia" w:ascii="宋体" w:hAnsi="宋体" w:cs="宋体"/>
                <w:color w:val="auto"/>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244AAE9D">
            <w:pPr>
              <w:spacing w:line="400" w:lineRule="exact"/>
              <w:jc w:val="center"/>
              <w:rPr>
                <w:rFonts w:hint="eastAsia" w:ascii="宋体" w:hAnsi="宋体" w:cs="宋体"/>
                <w:snapToGrid w:val="0"/>
                <w:color w:val="auto"/>
                <w:szCs w:val="21"/>
                <w:highlight w:val="none"/>
              </w:rPr>
            </w:pPr>
            <w:r>
              <w:rPr>
                <w:rFonts w:hint="eastAsia" w:ascii="宋体" w:hAnsi="宋体" w:cs="宋体"/>
                <w:color w:val="auto"/>
                <w:szCs w:val="21"/>
                <w:highlight w:val="none"/>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47C71162">
            <w:pPr>
              <w:spacing w:line="400" w:lineRule="exact"/>
              <w:jc w:val="center"/>
              <w:rPr>
                <w:rFonts w:hint="eastAsia" w:ascii="宋体" w:hAnsi="宋体" w:cs="宋体"/>
                <w:snapToGrid w:val="0"/>
                <w:color w:val="auto"/>
                <w:szCs w:val="21"/>
                <w:highlight w:val="none"/>
              </w:rPr>
            </w:pPr>
            <w:r>
              <w:rPr>
                <w:rFonts w:hint="eastAsia" w:ascii="宋体" w:hAnsi="宋体" w:cs="宋体"/>
                <w:color w:val="auto"/>
                <w:szCs w:val="21"/>
                <w:highlight w:val="none"/>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27F9F1D0">
            <w:pPr>
              <w:spacing w:line="400" w:lineRule="exact"/>
              <w:jc w:val="center"/>
              <w:rPr>
                <w:rFonts w:hint="eastAsia" w:ascii="宋体" w:hAnsi="宋体" w:cs="宋体"/>
                <w:snapToGrid w:val="0"/>
                <w:color w:val="auto"/>
                <w:szCs w:val="21"/>
                <w:highlight w:val="none"/>
              </w:rPr>
            </w:pPr>
            <w:r>
              <w:rPr>
                <w:rFonts w:hint="eastAsia" w:ascii="宋体" w:hAnsi="宋体" w:cs="宋体"/>
                <w:color w:val="auto"/>
                <w:szCs w:val="21"/>
                <w:highlight w:val="none"/>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6C7CDEB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E5C0CBA">
            <w:pPr>
              <w:pStyle w:val="21"/>
              <w:wordWrap w:val="0"/>
              <w:snapToGrid w:val="0"/>
              <w:spacing w:line="400" w:lineRule="exact"/>
              <w:jc w:val="center"/>
              <w:rPr>
                <w:rFonts w:hint="eastAsia" w:hAnsi="宋体" w:cs="宋体"/>
                <w:snapToGrid w:val="0"/>
                <w:color w:val="auto"/>
                <w:sz w:val="21"/>
                <w:highlight w:val="none"/>
                <w:lang w:val="en-US"/>
              </w:rPr>
            </w:pPr>
            <w:r>
              <w:rPr>
                <w:rFonts w:hint="eastAsia" w:hAnsi="宋体" w:cs="宋体"/>
                <w:color w:val="auto"/>
                <w:sz w:val="21"/>
                <w:highlight w:val="none"/>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1EBFE5EA">
            <w:pPr>
              <w:widowControl/>
              <w:spacing w:line="400" w:lineRule="exact"/>
              <w:jc w:val="center"/>
              <w:textAlignment w:val="center"/>
              <w:rPr>
                <w:rFonts w:hint="eastAsia" w:ascii="宋体" w:hAnsi="宋体" w:cs="宋体"/>
                <w:snapToGrid w:val="0"/>
                <w:color w:val="auto"/>
                <w:szCs w:val="21"/>
                <w:highlight w:val="none"/>
              </w:rPr>
            </w:pPr>
            <w:r>
              <w:rPr>
                <w:rFonts w:hint="eastAsia" w:ascii="宋体" w:hAnsi="宋体" w:cs="宋体"/>
                <w:color w:val="auto"/>
                <w:kern w:val="0"/>
                <w:szCs w:val="21"/>
                <w:highlight w:val="none"/>
                <w:lang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42054FCE">
            <w:pPr>
              <w:widowControl/>
              <w:spacing w:line="400" w:lineRule="exact"/>
              <w:jc w:val="center"/>
              <w:textAlignment w:val="center"/>
              <w:rPr>
                <w:rFonts w:hint="eastAsia" w:ascii="宋体" w:hAnsi="宋体" w:cs="宋体"/>
                <w:snapToGrid w:val="0"/>
                <w:color w:val="auto"/>
                <w:szCs w:val="21"/>
                <w:highlight w:val="none"/>
              </w:rPr>
            </w:pPr>
            <w:r>
              <w:rPr>
                <w:rFonts w:hint="eastAsia" w:ascii="宋体" w:hAnsi="宋体" w:cs="宋体"/>
                <w:color w:val="auto"/>
                <w:kern w:val="0"/>
                <w:szCs w:val="21"/>
                <w:highlight w:val="none"/>
                <w:lang w:bidi="ar"/>
              </w:rPr>
              <w:t>联系方式</w:t>
            </w:r>
          </w:p>
        </w:tc>
      </w:tr>
      <w:tr w14:paraId="0B8B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0A60B9C6">
            <w:pPr>
              <w:wordWrap w:val="0"/>
              <w:adjustRightInd w:val="0"/>
              <w:snapToGrid w:val="0"/>
              <w:spacing w:line="40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1458" w:type="dxa"/>
            <w:vMerge w:val="restart"/>
            <w:tcBorders>
              <w:top w:val="single" w:color="auto" w:sz="4" w:space="0"/>
              <w:left w:val="single" w:color="auto" w:sz="4" w:space="0"/>
              <w:right w:val="single" w:color="auto" w:sz="4" w:space="0"/>
            </w:tcBorders>
          </w:tcPr>
          <w:p w14:paraId="6A5FABA8">
            <w:pPr>
              <w:wordWrap w:val="0"/>
              <w:adjustRightInd w:val="0"/>
              <w:snapToGrid w:val="0"/>
              <w:spacing w:line="400" w:lineRule="exact"/>
              <w:rPr>
                <w:rFonts w:hint="eastAsia"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505FA9E7">
            <w:pPr>
              <w:wordWrap w:val="0"/>
              <w:adjustRightInd w:val="0"/>
              <w:snapToGrid w:val="0"/>
              <w:spacing w:line="400" w:lineRule="exact"/>
              <w:rPr>
                <w:rFonts w:hint="eastAsia"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61EFC699">
            <w:pPr>
              <w:wordWrap w:val="0"/>
              <w:adjustRightInd w:val="0"/>
              <w:snapToGrid w:val="0"/>
              <w:spacing w:line="400" w:lineRule="exact"/>
              <w:rPr>
                <w:rFonts w:hint="eastAsia"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6EC1006A">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348EBCA0">
            <w:pPr>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0F1A2977">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17BD5681">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2510E78F">
            <w:pPr>
              <w:wordWrap w:val="0"/>
              <w:adjustRightInd w:val="0"/>
              <w:snapToGrid w:val="0"/>
              <w:spacing w:line="400" w:lineRule="exact"/>
              <w:rPr>
                <w:rFonts w:hint="eastAsia" w:ascii="宋体" w:hAnsi="宋体" w:cs="宋体"/>
                <w:color w:val="auto"/>
                <w:szCs w:val="21"/>
                <w:highlight w:val="none"/>
              </w:rPr>
            </w:pPr>
          </w:p>
        </w:tc>
      </w:tr>
      <w:tr w14:paraId="7BE8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12CD5A48">
            <w:pPr>
              <w:wordWrap w:val="0"/>
              <w:adjustRightInd w:val="0"/>
              <w:snapToGrid w:val="0"/>
              <w:spacing w:line="400" w:lineRule="exact"/>
              <w:jc w:val="center"/>
              <w:rPr>
                <w:rFonts w:hint="eastAsia"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70ACAB0C">
            <w:pPr>
              <w:wordWrap w:val="0"/>
              <w:adjustRightInd w:val="0"/>
              <w:snapToGrid w:val="0"/>
              <w:spacing w:line="400" w:lineRule="exact"/>
              <w:rPr>
                <w:rFonts w:hint="eastAsia" w:ascii="宋体" w:hAnsi="宋体" w:cs="宋体"/>
                <w:color w:val="auto"/>
                <w:szCs w:val="21"/>
                <w:highlight w:val="none"/>
              </w:rPr>
            </w:pPr>
          </w:p>
        </w:tc>
        <w:tc>
          <w:tcPr>
            <w:tcW w:w="1293" w:type="dxa"/>
            <w:vMerge w:val="continue"/>
            <w:tcBorders>
              <w:left w:val="single" w:color="auto" w:sz="4" w:space="0"/>
              <w:right w:val="single" w:color="auto" w:sz="4" w:space="0"/>
            </w:tcBorders>
          </w:tcPr>
          <w:p w14:paraId="511D26AF">
            <w:pPr>
              <w:wordWrap w:val="0"/>
              <w:adjustRightInd w:val="0"/>
              <w:snapToGrid w:val="0"/>
              <w:spacing w:line="400" w:lineRule="exact"/>
              <w:rPr>
                <w:rFonts w:hint="eastAsia" w:ascii="宋体" w:hAnsi="宋体" w:cs="宋体"/>
                <w:color w:val="auto"/>
                <w:szCs w:val="21"/>
                <w:highlight w:val="none"/>
              </w:rPr>
            </w:pPr>
          </w:p>
        </w:tc>
        <w:tc>
          <w:tcPr>
            <w:tcW w:w="1023" w:type="dxa"/>
            <w:vMerge w:val="continue"/>
            <w:tcBorders>
              <w:left w:val="single" w:color="auto" w:sz="4" w:space="0"/>
              <w:right w:val="single" w:color="auto" w:sz="4" w:space="0"/>
            </w:tcBorders>
          </w:tcPr>
          <w:p w14:paraId="74034E9F">
            <w:pPr>
              <w:wordWrap w:val="0"/>
              <w:adjustRightInd w:val="0"/>
              <w:snapToGrid w:val="0"/>
              <w:spacing w:line="400" w:lineRule="exact"/>
              <w:rPr>
                <w:rFonts w:hint="eastAsia" w:ascii="宋体" w:hAnsi="宋体" w:cs="宋体"/>
                <w:color w:val="auto"/>
                <w:szCs w:val="21"/>
                <w:highlight w:val="none"/>
              </w:rPr>
            </w:pPr>
          </w:p>
        </w:tc>
        <w:tc>
          <w:tcPr>
            <w:tcW w:w="826" w:type="dxa"/>
            <w:vMerge w:val="continue"/>
            <w:tcBorders>
              <w:left w:val="single" w:color="auto" w:sz="4" w:space="0"/>
              <w:right w:val="single" w:color="auto" w:sz="4" w:space="0"/>
            </w:tcBorders>
          </w:tcPr>
          <w:p w14:paraId="258BA841">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1079568">
            <w:pPr>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616CF3C6">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4DEE2F4">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56FE396">
            <w:pPr>
              <w:wordWrap w:val="0"/>
              <w:adjustRightInd w:val="0"/>
              <w:snapToGrid w:val="0"/>
              <w:spacing w:line="400" w:lineRule="exact"/>
              <w:rPr>
                <w:rFonts w:hint="eastAsia" w:ascii="宋体" w:hAnsi="宋体" w:cs="宋体"/>
                <w:color w:val="auto"/>
                <w:szCs w:val="21"/>
                <w:highlight w:val="none"/>
              </w:rPr>
            </w:pPr>
          </w:p>
        </w:tc>
      </w:tr>
      <w:tr w14:paraId="4C1E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049E747B">
            <w:pPr>
              <w:wordWrap w:val="0"/>
              <w:adjustRightInd w:val="0"/>
              <w:snapToGrid w:val="0"/>
              <w:spacing w:line="400" w:lineRule="exact"/>
              <w:jc w:val="center"/>
              <w:rPr>
                <w:rFonts w:hint="eastAsia" w:ascii="宋体" w:hAnsi="宋体" w:cs="宋体"/>
                <w:snapToGrid w:val="0"/>
                <w:color w:val="auto"/>
                <w:szCs w:val="21"/>
                <w:highlight w:val="none"/>
              </w:rPr>
            </w:pPr>
          </w:p>
        </w:tc>
        <w:tc>
          <w:tcPr>
            <w:tcW w:w="1458" w:type="dxa"/>
            <w:vMerge w:val="continue"/>
            <w:tcBorders>
              <w:left w:val="single" w:color="auto" w:sz="4" w:space="0"/>
              <w:bottom w:val="single" w:color="auto" w:sz="4" w:space="0"/>
              <w:right w:val="single" w:color="auto" w:sz="4" w:space="0"/>
            </w:tcBorders>
          </w:tcPr>
          <w:p w14:paraId="023B119E">
            <w:pPr>
              <w:wordWrap w:val="0"/>
              <w:adjustRightInd w:val="0"/>
              <w:snapToGrid w:val="0"/>
              <w:spacing w:line="400" w:lineRule="exact"/>
              <w:rPr>
                <w:rFonts w:hint="eastAsia" w:ascii="宋体" w:hAnsi="宋体" w:cs="宋体"/>
                <w:color w:val="auto"/>
                <w:szCs w:val="21"/>
                <w:highlight w:val="none"/>
              </w:rPr>
            </w:pPr>
          </w:p>
        </w:tc>
        <w:tc>
          <w:tcPr>
            <w:tcW w:w="1293" w:type="dxa"/>
            <w:vMerge w:val="continue"/>
            <w:tcBorders>
              <w:left w:val="single" w:color="auto" w:sz="4" w:space="0"/>
              <w:bottom w:val="single" w:color="auto" w:sz="4" w:space="0"/>
              <w:right w:val="single" w:color="auto" w:sz="4" w:space="0"/>
            </w:tcBorders>
          </w:tcPr>
          <w:p w14:paraId="19AE8A37">
            <w:pPr>
              <w:wordWrap w:val="0"/>
              <w:adjustRightInd w:val="0"/>
              <w:snapToGrid w:val="0"/>
              <w:spacing w:line="400" w:lineRule="exact"/>
              <w:rPr>
                <w:rFonts w:hint="eastAsia" w:ascii="宋体" w:hAnsi="宋体" w:cs="宋体"/>
                <w:color w:val="auto"/>
                <w:szCs w:val="21"/>
                <w:highlight w:val="none"/>
              </w:rPr>
            </w:pPr>
          </w:p>
        </w:tc>
        <w:tc>
          <w:tcPr>
            <w:tcW w:w="1023" w:type="dxa"/>
            <w:vMerge w:val="continue"/>
            <w:tcBorders>
              <w:left w:val="single" w:color="auto" w:sz="4" w:space="0"/>
              <w:bottom w:val="single" w:color="auto" w:sz="4" w:space="0"/>
              <w:right w:val="single" w:color="auto" w:sz="4" w:space="0"/>
            </w:tcBorders>
          </w:tcPr>
          <w:p w14:paraId="5B307C01">
            <w:pPr>
              <w:wordWrap w:val="0"/>
              <w:adjustRightInd w:val="0"/>
              <w:snapToGrid w:val="0"/>
              <w:spacing w:line="400" w:lineRule="exact"/>
              <w:rPr>
                <w:rFonts w:hint="eastAsia" w:ascii="宋体" w:hAnsi="宋体" w:cs="宋体"/>
                <w:color w:val="auto"/>
                <w:szCs w:val="21"/>
                <w:highlight w:val="none"/>
              </w:rPr>
            </w:pPr>
          </w:p>
        </w:tc>
        <w:tc>
          <w:tcPr>
            <w:tcW w:w="826" w:type="dxa"/>
            <w:vMerge w:val="continue"/>
            <w:tcBorders>
              <w:left w:val="single" w:color="auto" w:sz="4" w:space="0"/>
              <w:bottom w:val="single" w:color="auto" w:sz="4" w:space="0"/>
              <w:right w:val="single" w:color="auto" w:sz="4" w:space="0"/>
            </w:tcBorders>
          </w:tcPr>
          <w:p w14:paraId="3A6FB72F">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064B3869">
            <w:pPr>
              <w:tabs>
                <w:tab w:val="left" w:pos="32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50208127">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32B031EA">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71B6161D">
            <w:pPr>
              <w:wordWrap w:val="0"/>
              <w:adjustRightInd w:val="0"/>
              <w:snapToGrid w:val="0"/>
              <w:spacing w:line="400" w:lineRule="exact"/>
              <w:rPr>
                <w:rFonts w:hint="eastAsia" w:ascii="宋体" w:hAnsi="宋体" w:cs="宋体"/>
                <w:color w:val="auto"/>
                <w:szCs w:val="21"/>
                <w:highlight w:val="none"/>
              </w:rPr>
            </w:pPr>
          </w:p>
        </w:tc>
      </w:tr>
      <w:tr w14:paraId="3138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0ACBF7A9">
            <w:pPr>
              <w:wordWrap w:val="0"/>
              <w:adjustRightInd w:val="0"/>
              <w:snapToGrid w:val="0"/>
              <w:spacing w:line="40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458" w:type="dxa"/>
            <w:vMerge w:val="restart"/>
            <w:tcBorders>
              <w:top w:val="single" w:color="auto" w:sz="4" w:space="0"/>
              <w:left w:val="single" w:color="auto" w:sz="4" w:space="0"/>
              <w:right w:val="single" w:color="auto" w:sz="4" w:space="0"/>
            </w:tcBorders>
          </w:tcPr>
          <w:p w14:paraId="713CCFD6">
            <w:pPr>
              <w:wordWrap w:val="0"/>
              <w:adjustRightInd w:val="0"/>
              <w:snapToGrid w:val="0"/>
              <w:spacing w:line="400" w:lineRule="exact"/>
              <w:rPr>
                <w:rFonts w:hint="eastAsia"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339C2250">
            <w:pPr>
              <w:wordWrap w:val="0"/>
              <w:adjustRightInd w:val="0"/>
              <w:snapToGrid w:val="0"/>
              <w:spacing w:line="400" w:lineRule="exact"/>
              <w:rPr>
                <w:rFonts w:hint="eastAsia"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4D08E94B">
            <w:pPr>
              <w:wordWrap w:val="0"/>
              <w:adjustRightInd w:val="0"/>
              <w:snapToGrid w:val="0"/>
              <w:spacing w:line="400" w:lineRule="exact"/>
              <w:rPr>
                <w:rFonts w:hint="eastAsia"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364ED331">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0EE309F8">
            <w:pPr>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61E17E09">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5C980E65">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4713A700">
            <w:pPr>
              <w:wordWrap w:val="0"/>
              <w:adjustRightInd w:val="0"/>
              <w:snapToGrid w:val="0"/>
              <w:spacing w:line="400" w:lineRule="exact"/>
              <w:rPr>
                <w:rFonts w:hint="eastAsia" w:ascii="宋体" w:hAnsi="宋体" w:cs="宋体"/>
                <w:color w:val="auto"/>
                <w:szCs w:val="21"/>
                <w:highlight w:val="none"/>
              </w:rPr>
            </w:pPr>
          </w:p>
        </w:tc>
      </w:tr>
      <w:tr w14:paraId="2FD1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2F506C18">
            <w:pPr>
              <w:wordWrap w:val="0"/>
              <w:adjustRightInd w:val="0"/>
              <w:snapToGrid w:val="0"/>
              <w:spacing w:line="400" w:lineRule="exact"/>
              <w:jc w:val="center"/>
              <w:rPr>
                <w:rFonts w:hint="eastAsia"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1C4B1457">
            <w:pPr>
              <w:wordWrap w:val="0"/>
              <w:adjustRightInd w:val="0"/>
              <w:snapToGrid w:val="0"/>
              <w:spacing w:line="400" w:lineRule="exact"/>
              <w:rPr>
                <w:rFonts w:hint="eastAsia" w:ascii="宋体" w:hAnsi="宋体" w:cs="宋体"/>
                <w:color w:val="auto"/>
                <w:szCs w:val="21"/>
                <w:highlight w:val="none"/>
              </w:rPr>
            </w:pPr>
          </w:p>
        </w:tc>
        <w:tc>
          <w:tcPr>
            <w:tcW w:w="1293" w:type="dxa"/>
            <w:vMerge w:val="continue"/>
            <w:tcBorders>
              <w:left w:val="single" w:color="auto" w:sz="4" w:space="0"/>
              <w:right w:val="single" w:color="auto" w:sz="4" w:space="0"/>
            </w:tcBorders>
          </w:tcPr>
          <w:p w14:paraId="13048CE8">
            <w:pPr>
              <w:wordWrap w:val="0"/>
              <w:adjustRightInd w:val="0"/>
              <w:snapToGrid w:val="0"/>
              <w:spacing w:line="400" w:lineRule="exact"/>
              <w:rPr>
                <w:rFonts w:hint="eastAsia" w:ascii="宋体" w:hAnsi="宋体" w:cs="宋体"/>
                <w:color w:val="auto"/>
                <w:szCs w:val="21"/>
                <w:highlight w:val="none"/>
              </w:rPr>
            </w:pPr>
          </w:p>
        </w:tc>
        <w:tc>
          <w:tcPr>
            <w:tcW w:w="1023" w:type="dxa"/>
            <w:vMerge w:val="continue"/>
            <w:tcBorders>
              <w:left w:val="single" w:color="auto" w:sz="4" w:space="0"/>
              <w:right w:val="single" w:color="auto" w:sz="4" w:space="0"/>
            </w:tcBorders>
          </w:tcPr>
          <w:p w14:paraId="62B5CB06">
            <w:pPr>
              <w:wordWrap w:val="0"/>
              <w:adjustRightInd w:val="0"/>
              <w:snapToGrid w:val="0"/>
              <w:spacing w:line="400" w:lineRule="exact"/>
              <w:rPr>
                <w:rFonts w:hint="eastAsia" w:ascii="宋体" w:hAnsi="宋体" w:cs="宋体"/>
                <w:color w:val="auto"/>
                <w:szCs w:val="21"/>
                <w:highlight w:val="none"/>
              </w:rPr>
            </w:pPr>
          </w:p>
        </w:tc>
        <w:tc>
          <w:tcPr>
            <w:tcW w:w="826" w:type="dxa"/>
            <w:vMerge w:val="continue"/>
            <w:tcBorders>
              <w:left w:val="single" w:color="auto" w:sz="4" w:space="0"/>
              <w:right w:val="single" w:color="auto" w:sz="4" w:space="0"/>
            </w:tcBorders>
          </w:tcPr>
          <w:p w14:paraId="657B36CC">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16C7B7F2">
            <w:pPr>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52C9C44D">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4DCDB3B9">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0DB0A6B0">
            <w:pPr>
              <w:wordWrap w:val="0"/>
              <w:adjustRightInd w:val="0"/>
              <w:snapToGrid w:val="0"/>
              <w:spacing w:line="400" w:lineRule="exact"/>
              <w:rPr>
                <w:rFonts w:hint="eastAsia" w:ascii="宋体" w:hAnsi="宋体" w:cs="宋体"/>
                <w:color w:val="auto"/>
                <w:szCs w:val="21"/>
                <w:highlight w:val="none"/>
              </w:rPr>
            </w:pPr>
          </w:p>
        </w:tc>
      </w:tr>
      <w:tr w14:paraId="6B1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39D64FB4">
            <w:pPr>
              <w:wordWrap w:val="0"/>
              <w:adjustRightInd w:val="0"/>
              <w:snapToGrid w:val="0"/>
              <w:spacing w:line="400" w:lineRule="exact"/>
              <w:rPr>
                <w:rFonts w:hint="eastAsia"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5AC18E7A">
            <w:pPr>
              <w:wordWrap w:val="0"/>
              <w:adjustRightInd w:val="0"/>
              <w:snapToGrid w:val="0"/>
              <w:spacing w:line="400" w:lineRule="exact"/>
              <w:rPr>
                <w:rFonts w:hint="eastAsia" w:ascii="宋体" w:hAnsi="宋体" w:cs="宋体"/>
                <w:color w:val="auto"/>
                <w:szCs w:val="21"/>
                <w:highlight w:val="none"/>
              </w:rPr>
            </w:pPr>
          </w:p>
        </w:tc>
        <w:tc>
          <w:tcPr>
            <w:tcW w:w="1293" w:type="dxa"/>
            <w:vMerge w:val="continue"/>
            <w:tcBorders>
              <w:left w:val="single" w:color="auto" w:sz="4" w:space="0"/>
              <w:right w:val="single" w:color="auto" w:sz="4" w:space="0"/>
            </w:tcBorders>
          </w:tcPr>
          <w:p w14:paraId="0F6B2664">
            <w:pPr>
              <w:wordWrap w:val="0"/>
              <w:adjustRightInd w:val="0"/>
              <w:snapToGrid w:val="0"/>
              <w:spacing w:line="400" w:lineRule="exact"/>
              <w:rPr>
                <w:rFonts w:hint="eastAsia" w:ascii="宋体" w:hAnsi="宋体" w:cs="宋体"/>
                <w:color w:val="auto"/>
                <w:szCs w:val="21"/>
                <w:highlight w:val="none"/>
              </w:rPr>
            </w:pPr>
          </w:p>
        </w:tc>
        <w:tc>
          <w:tcPr>
            <w:tcW w:w="1023" w:type="dxa"/>
            <w:vMerge w:val="continue"/>
            <w:tcBorders>
              <w:left w:val="single" w:color="auto" w:sz="4" w:space="0"/>
              <w:right w:val="single" w:color="auto" w:sz="4" w:space="0"/>
            </w:tcBorders>
          </w:tcPr>
          <w:p w14:paraId="1E5034ED">
            <w:pPr>
              <w:wordWrap w:val="0"/>
              <w:adjustRightInd w:val="0"/>
              <w:snapToGrid w:val="0"/>
              <w:spacing w:line="400" w:lineRule="exact"/>
              <w:rPr>
                <w:rFonts w:hint="eastAsia" w:ascii="宋体" w:hAnsi="宋体" w:cs="宋体"/>
                <w:color w:val="auto"/>
                <w:szCs w:val="21"/>
                <w:highlight w:val="none"/>
              </w:rPr>
            </w:pPr>
          </w:p>
        </w:tc>
        <w:tc>
          <w:tcPr>
            <w:tcW w:w="826" w:type="dxa"/>
            <w:vMerge w:val="continue"/>
            <w:tcBorders>
              <w:left w:val="single" w:color="auto" w:sz="4" w:space="0"/>
              <w:right w:val="single" w:color="auto" w:sz="4" w:space="0"/>
            </w:tcBorders>
          </w:tcPr>
          <w:p w14:paraId="6DB54D50">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5D0EBC1E">
            <w:pPr>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30FF34C2">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62EC4482">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1CA1405E">
            <w:pPr>
              <w:wordWrap w:val="0"/>
              <w:adjustRightInd w:val="0"/>
              <w:snapToGrid w:val="0"/>
              <w:spacing w:line="400" w:lineRule="exact"/>
              <w:rPr>
                <w:rFonts w:hint="eastAsia" w:ascii="宋体" w:hAnsi="宋体" w:cs="宋体"/>
                <w:color w:val="auto"/>
                <w:szCs w:val="21"/>
                <w:highlight w:val="none"/>
              </w:rPr>
            </w:pPr>
          </w:p>
        </w:tc>
      </w:tr>
      <w:tr w14:paraId="3977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6DC44D97">
            <w:pPr>
              <w:wordWrap w:val="0"/>
              <w:adjustRightInd w:val="0"/>
              <w:snapToGrid w:val="0"/>
              <w:spacing w:line="40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458" w:type="dxa"/>
            <w:tcBorders>
              <w:left w:val="single" w:color="auto" w:sz="4" w:space="0"/>
              <w:bottom w:val="single" w:color="auto" w:sz="4" w:space="0"/>
              <w:right w:val="single" w:color="auto" w:sz="4" w:space="0"/>
            </w:tcBorders>
          </w:tcPr>
          <w:p w14:paraId="0F150D0C">
            <w:pPr>
              <w:wordWrap w:val="0"/>
              <w:adjustRightInd w:val="0"/>
              <w:snapToGrid w:val="0"/>
              <w:spacing w:line="400" w:lineRule="exact"/>
              <w:rPr>
                <w:rFonts w:hint="eastAsia" w:ascii="宋体" w:hAnsi="宋体" w:cs="宋体"/>
                <w:color w:val="auto"/>
                <w:szCs w:val="21"/>
                <w:highlight w:val="none"/>
              </w:rPr>
            </w:pPr>
          </w:p>
        </w:tc>
        <w:tc>
          <w:tcPr>
            <w:tcW w:w="1293" w:type="dxa"/>
            <w:tcBorders>
              <w:left w:val="single" w:color="auto" w:sz="4" w:space="0"/>
              <w:bottom w:val="single" w:color="auto" w:sz="4" w:space="0"/>
              <w:right w:val="single" w:color="auto" w:sz="4" w:space="0"/>
            </w:tcBorders>
          </w:tcPr>
          <w:p w14:paraId="11E031DC">
            <w:pPr>
              <w:wordWrap w:val="0"/>
              <w:adjustRightInd w:val="0"/>
              <w:snapToGrid w:val="0"/>
              <w:spacing w:line="400" w:lineRule="exact"/>
              <w:rPr>
                <w:rFonts w:hint="eastAsia" w:ascii="宋体" w:hAnsi="宋体" w:cs="宋体"/>
                <w:color w:val="auto"/>
                <w:szCs w:val="21"/>
                <w:highlight w:val="none"/>
              </w:rPr>
            </w:pPr>
          </w:p>
        </w:tc>
        <w:tc>
          <w:tcPr>
            <w:tcW w:w="1023" w:type="dxa"/>
            <w:tcBorders>
              <w:left w:val="single" w:color="auto" w:sz="4" w:space="0"/>
              <w:bottom w:val="single" w:color="auto" w:sz="4" w:space="0"/>
              <w:right w:val="single" w:color="auto" w:sz="4" w:space="0"/>
            </w:tcBorders>
          </w:tcPr>
          <w:p w14:paraId="405076B1">
            <w:pPr>
              <w:wordWrap w:val="0"/>
              <w:adjustRightInd w:val="0"/>
              <w:snapToGrid w:val="0"/>
              <w:spacing w:line="400" w:lineRule="exact"/>
              <w:rPr>
                <w:rFonts w:hint="eastAsia" w:ascii="宋体" w:hAnsi="宋体" w:cs="宋体"/>
                <w:color w:val="auto"/>
                <w:szCs w:val="21"/>
                <w:highlight w:val="none"/>
              </w:rPr>
            </w:pPr>
          </w:p>
        </w:tc>
        <w:tc>
          <w:tcPr>
            <w:tcW w:w="826" w:type="dxa"/>
            <w:tcBorders>
              <w:left w:val="single" w:color="auto" w:sz="4" w:space="0"/>
              <w:bottom w:val="single" w:color="auto" w:sz="4" w:space="0"/>
              <w:right w:val="single" w:color="auto" w:sz="4" w:space="0"/>
            </w:tcBorders>
          </w:tcPr>
          <w:p w14:paraId="7BECA167">
            <w:pPr>
              <w:wordWrap w:val="0"/>
              <w:adjustRightInd w:val="0"/>
              <w:snapToGrid w:val="0"/>
              <w:spacing w:line="400" w:lineRule="exact"/>
              <w:rPr>
                <w:rFonts w:hint="eastAsia"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595CF956">
            <w:pPr>
              <w:wordWrap w:val="0"/>
              <w:adjustRightInd w:val="0"/>
              <w:snapToGrid w:val="0"/>
              <w:spacing w:line="400" w:lineRule="exact"/>
              <w:rPr>
                <w:rFonts w:hint="eastAsia"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2B493DF8">
            <w:pPr>
              <w:wordWrap w:val="0"/>
              <w:adjustRightInd w:val="0"/>
              <w:snapToGrid w:val="0"/>
              <w:spacing w:line="400" w:lineRule="exact"/>
              <w:rPr>
                <w:rFonts w:hint="eastAsia"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1AB97078">
            <w:pPr>
              <w:wordWrap w:val="0"/>
              <w:adjustRightInd w:val="0"/>
              <w:snapToGrid w:val="0"/>
              <w:spacing w:line="400" w:lineRule="exact"/>
              <w:rPr>
                <w:rFonts w:hint="eastAsia"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2ED75DD6">
            <w:pPr>
              <w:wordWrap w:val="0"/>
              <w:adjustRightInd w:val="0"/>
              <w:snapToGrid w:val="0"/>
              <w:spacing w:line="400" w:lineRule="exact"/>
              <w:rPr>
                <w:rFonts w:hint="eastAsia" w:ascii="宋体" w:hAnsi="宋体" w:cs="宋体"/>
                <w:color w:val="auto"/>
                <w:szCs w:val="21"/>
                <w:highlight w:val="none"/>
              </w:rPr>
            </w:pPr>
          </w:p>
        </w:tc>
      </w:tr>
    </w:tbl>
    <w:p w14:paraId="666EC380">
      <w:pPr>
        <w:pStyle w:val="16"/>
        <w:spacing w:line="400" w:lineRule="exact"/>
        <w:ind w:left="0" w:leftChars="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填表说明：1.若为厂家直接售后，则无需填写授权售后代理商；</w:t>
      </w:r>
    </w:p>
    <w:p w14:paraId="42528A96">
      <w:pPr>
        <w:pStyle w:val="16"/>
        <w:spacing w:line="400" w:lineRule="exact"/>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2.所报授权售后代理商为设备维修、配件供应、维保期满后维保服务采购的重要依据；</w:t>
      </w:r>
    </w:p>
    <w:p w14:paraId="2DACD742">
      <w:pPr>
        <w:pStyle w:val="16"/>
        <w:spacing w:line="400" w:lineRule="exact"/>
        <w:ind w:firstLine="630" w:firstLineChars="300"/>
        <w:rPr>
          <w:rFonts w:hint="eastAsia" w:ascii="宋体" w:hAnsi="宋体" w:cs="宋体"/>
          <w:color w:val="auto"/>
          <w:kern w:val="0"/>
          <w:sz w:val="20"/>
          <w:szCs w:val="21"/>
          <w:highlight w:val="none"/>
        </w:rPr>
      </w:pPr>
      <w:r>
        <w:rPr>
          <w:rFonts w:hint="eastAsia" w:ascii="宋体" w:hAnsi="宋体" w:cs="宋体"/>
          <w:color w:val="auto"/>
          <w:kern w:val="0"/>
          <w:szCs w:val="21"/>
          <w:highlight w:val="none"/>
        </w:rPr>
        <w:t>3.若售后代理商更换，请及时联系采购单位进行修改，提供更正说明。</w:t>
      </w:r>
    </w:p>
    <w:p w14:paraId="22C07912">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536DAA1">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AC1A972">
      <w:pPr>
        <w:autoSpaceDE w:val="0"/>
        <w:autoSpaceDN w:val="0"/>
        <w:spacing w:line="360" w:lineRule="auto"/>
        <w:ind w:firstLine="6480" w:firstLineChars="2700"/>
        <w:rPr>
          <w:rFonts w:hint="eastAsia" w:ascii="宋体" w:hAnsi="宋体" w:cs="宋体"/>
          <w:color w:val="auto"/>
          <w:kern w:val="0"/>
          <w:sz w:val="24"/>
          <w:szCs w:val="24"/>
          <w:highlight w:val="none"/>
          <w:lang w:val="zh-CN"/>
        </w:rPr>
      </w:pPr>
      <w:r>
        <w:rPr>
          <w:rFonts w:hint="eastAsia" w:ascii="宋体" w:hAnsi="宋体" w:cs="宋体"/>
          <w:color w:val="auto"/>
          <w:kern w:val="0"/>
          <w:sz w:val="24"/>
          <w:highlight w:val="none"/>
          <w:lang w:val="zh-CN"/>
        </w:rPr>
        <w:t>日期：  年  月   日</w:t>
      </w:r>
    </w:p>
    <w:p w14:paraId="6F2701B1">
      <w:pPr>
        <w:snapToGrid w:val="0"/>
        <w:spacing w:line="360" w:lineRule="auto"/>
        <w:rPr>
          <w:rFonts w:hint="eastAsia" w:ascii="宋体" w:hAnsi="宋体" w:cs="宋体"/>
          <w:b/>
          <w:color w:val="auto"/>
          <w:sz w:val="28"/>
          <w:szCs w:val="28"/>
          <w:highlight w:val="none"/>
        </w:rPr>
      </w:pPr>
    </w:p>
    <w:p w14:paraId="25D71267">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529CA13">
      <w:pPr>
        <w:snapToGrid w:val="0"/>
        <w:spacing w:line="360" w:lineRule="auto"/>
        <w:rPr>
          <w:rFonts w:hint="eastAsia" w:ascii="宋体" w:hAnsi="宋体" w:cs="宋体"/>
          <w:b/>
          <w:i/>
          <w:iCs/>
          <w:color w:val="auto"/>
          <w:sz w:val="28"/>
          <w:szCs w:val="28"/>
          <w:highlight w:val="none"/>
        </w:rPr>
      </w:pPr>
      <w:r>
        <w:rPr>
          <w:rFonts w:hint="eastAsia" w:ascii="宋体" w:hAnsi="宋体" w:cs="宋体"/>
          <w:b/>
          <w:color w:val="auto"/>
          <w:sz w:val="28"/>
          <w:szCs w:val="28"/>
          <w:highlight w:val="none"/>
        </w:rPr>
        <w:t>10.项目实施人员一览表（如有要求）</w:t>
      </w:r>
    </w:p>
    <w:p w14:paraId="7D57A6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（由供应商根据采购需求及采购文件要求编制）</w:t>
      </w:r>
    </w:p>
    <w:p w14:paraId="29C5DC08">
      <w:pPr>
        <w:pStyle w:val="2"/>
        <w:rPr>
          <w:rFonts w:hint="eastAsia" w:ascii="宋体" w:hAnsi="宋体" w:cs="宋体"/>
          <w:color w:val="auto"/>
          <w:highlight w:val="none"/>
        </w:rPr>
      </w:pPr>
    </w:p>
    <w:p w14:paraId="6F13A121">
      <w:pP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所竞分标（此处有分标时填写具体分标号，无分标时填写“无”）：</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rPr>
        <w:t xml:space="preserve"> </w:t>
      </w:r>
    </w:p>
    <w:p w14:paraId="4D3DFAA6">
      <w:pPr>
        <w:keepNext/>
        <w:autoSpaceDE w:val="0"/>
        <w:autoSpaceDN w:val="0"/>
        <w:spacing w:line="360" w:lineRule="auto"/>
        <w:ind w:firstLine="477"/>
        <w:rPr>
          <w:rFonts w:hint="eastAsia" w:ascii="宋体" w:hAnsi="宋体" w:cs="宋体"/>
          <w:b/>
          <w:color w:val="auto"/>
          <w:sz w:val="24"/>
          <w:szCs w:val="24"/>
          <w:highlight w:val="none"/>
        </w:rPr>
      </w:pPr>
    </w:p>
    <w:p w14:paraId="10D4B2C3">
      <w:pPr>
        <w:keepNext/>
        <w:autoSpaceDE w:val="0"/>
        <w:autoSpaceDN w:val="0"/>
        <w:spacing w:line="360" w:lineRule="auto"/>
        <w:ind w:firstLine="477"/>
        <w:rPr>
          <w:rFonts w:hint="eastAsia" w:ascii="宋体" w:hAnsi="宋体" w:cs="宋体"/>
          <w:b/>
          <w:color w:val="auto"/>
          <w:sz w:val="24"/>
          <w:szCs w:val="24"/>
          <w:highlight w:val="none"/>
        </w:rPr>
      </w:pPr>
      <w:r>
        <w:rPr>
          <w:rFonts w:hint="eastAsia" w:ascii="宋体" w:hAnsi="宋体" w:cs="宋体"/>
          <w:b/>
          <w:color w:val="auto"/>
          <w:sz w:val="24"/>
          <w:szCs w:val="24"/>
          <w:highlight w:val="none"/>
        </w:rPr>
        <w:t>附表A:本项目的项目经理情况表</w:t>
      </w:r>
    </w:p>
    <w:tbl>
      <w:tblPr>
        <w:tblStyle w:val="30"/>
        <w:tblW w:w="8755" w:type="dxa"/>
        <w:tblInd w:w="-116" w:type="dxa"/>
        <w:tblLayout w:type="fixed"/>
        <w:tblCellMar>
          <w:top w:w="0" w:type="dxa"/>
          <w:left w:w="108" w:type="dxa"/>
          <w:bottom w:w="0" w:type="dxa"/>
          <w:right w:w="108" w:type="dxa"/>
        </w:tblCellMar>
      </w:tblPr>
      <w:tblGrid>
        <w:gridCol w:w="2061"/>
        <w:gridCol w:w="1287"/>
        <w:gridCol w:w="1260"/>
        <w:gridCol w:w="4147"/>
      </w:tblGrid>
      <w:tr w14:paraId="064E590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4F22D29E">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vAlign w:val="center"/>
          </w:tcPr>
          <w:p w14:paraId="4F3CED3F">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F924E7">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79F28BD">
            <w:pPr>
              <w:autoSpaceDE w:val="0"/>
              <w:autoSpaceDN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响应截止时间前三年业绩及承担的主要工作情况，曾担任项目经理的项目应列明细</w:t>
            </w:r>
          </w:p>
        </w:tc>
      </w:tr>
      <w:tr w14:paraId="3C63BB7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678ABA9">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vAlign w:val="center"/>
          </w:tcPr>
          <w:p w14:paraId="0DB63FAA">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5F5A41">
            <w:pPr>
              <w:autoSpaceDE w:val="0"/>
              <w:autoSpaceDN w:val="0"/>
              <w:spacing w:line="360" w:lineRule="auto"/>
              <w:jc w:val="center"/>
              <w:rPr>
                <w:rFonts w:hint="eastAsia" w:ascii="宋体" w:hAnsi="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AB90A33">
            <w:pPr>
              <w:autoSpaceDE w:val="0"/>
              <w:autoSpaceDN w:val="0"/>
              <w:spacing w:line="360" w:lineRule="auto"/>
              <w:jc w:val="center"/>
              <w:rPr>
                <w:rFonts w:hint="eastAsia" w:ascii="宋体" w:hAnsi="宋体" w:cs="宋体"/>
                <w:color w:val="auto"/>
                <w:sz w:val="24"/>
                <w:szCs w:val="24"/>
                <w:highlight w:val="none"/>
              </w:rPr>
            </w:pPr>
          </w:p>
        </w:tc>
      </w:tr>
      <w:tr w14:paraId="7E47A24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29E4E74D">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vAlign w:val="center"/>
          </w:tcPr>
          <w:p w14:paraId="3FFE92C2">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69BA9F">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6BAF5E">
            <w:pPr>
              <w:autoSpaceDE w:val="0"/>
              <w:autoSpaceDN w:val="0"/>
              <w:spacing w:line="360" w:lineRule="auto"/>
              <w:jc w:val="center"/>
              <w:rPr>
                <w:rFonts w:hint="eastAsia" w:ascii="宋体" w:hAnsi="宋体" w:cs="宋体"/>
                <w:color w:val="auto"/>
                <w:sz w:val="24"/>
                <w:szCs w:val="24"/>
                <w:highlight w:val="none"/>
              </w:rPr>
            </w:pPr>
          </w:p>
        </w:tc>
      </w:tr>
      <w:tr w14:paraId="1965CF6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8F58805">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A227366">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D863223">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AC7C58D">
            <w:pPr>
              <w:autoSpaceDE w:val="0"/>
              <w:autoSpaceDN w:val="0"/>
              <w:spacing w:line="360" w:lineRule="auto"/>
              <w:jc w:val="center"/>
              <w:rPr>
                <w:rFonts w:hint="eastAsia" w:ascii="宋体" w:hAnsi="宋体" w:cs="宋体"/>
                <w:color w:val="auto"/>
                <w:sz w:val="24"/>
                <w:szCs w:val="24"/>
                <w:highlight w:val="none"/>
              </w:rPr>
            </w:pPr>
          </w:p>
        </w:tc>
      </w:tr>
      <w:tr w14:paraId="33BD7D4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EB08CEA">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A20F4CB">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475E38">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FA2BF94">
            <w:pPr>
              <w:autoSpaceDE w:val="0"/>
              <w:autoSpaceDN w:val="0"/>
              <w:spacing w:line="360" w:lineRule="auto"/>
              <w:jc w:val="center"/>
              <w:rPr>
                <w:rFonts w:hint="eastAsia" w:ascii="宋体" w:hAnsi="宋体" w:cs="宋体"/>
                <w:color w:val="auto"/>
                <w:sz w:val="24"/>
                <w:szCs w:val="24"/>
                <w:highlight w:val="none"/>
              </w:rPr>
            </w:pPr>
          </w:p>
        </w:tc>
      </w:tr>
      <w:tr w14:paraId="28F9093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604ECF6">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5B92005">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3EC1102">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8033C0">
            <w:pPr>
              <w:autoSpaceDE w:val="0"/>
              <w:autoSpaceDN w:val="0"/>
              <w:spacing w:line="360" w:lineRule="auto"/>
              <w:jc w:val="center"/>
              <w:rPr>
                <w:rFonts w:hint="eastAsia" w:ascii="宋体" w:hAnsi="宋体" w:cs="宋体"/>
                <w:color w:val="auto"/>
                <w:sz w:val="24"/>
                <w:szCs w:val="24"/>
                <w:highlight w:val="none"/>
              </w:rPr>
            </w:pPr>
          </w:p>
        </w:tc>
      </w:tr>
      <w:tr w14:paraId="681B90B9">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220D9CE">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D4D5FB8">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09B7703">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C00281">
            <w:pPr>
              <w:autoSpaceDE w:val="0"/>
              <w:autoSpaceDN w:val="0"/>
              <w:spacing w:line="360" w:lineRule="auto"/>
              <w:jc w:val="center"/>
              <w:rPr>
                <w:rFonts w:hint="eastAsia" w:ascii="宋体" w:hAnsi="宋体" w:cs="宋体"/>
                <w:color w:val="auto"/>
                <w:sz w:val="24"/>
                <w:szCs w:val="24"/>
                <w:highlight w:val="none"/>
              </w:rPr>
            </w:pPr>
          </w:p>
        </w:tc>
      </w:tr>
      <w:tr w14:paraId="3E722B8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67063B6">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A6FBFBF">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C921D9B">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4A2C4B">
            <w:pPr>
              <w:autoSpaceDE w:val="0"/>
              <w:autoSpaceDN w:val="0"/>
              <w:spacing w:line="360" w:lineRule="auto"/>
              <w:jc w:val="center"/>
              <w:rPr>
                <w:rFonts w:hint="eastAsia" w:ascii="宋体" w:hAnsi="宋体" w:cs="宋体"/>
                <w:color w:val="auto"/>
                <w:sz w:val="24"/>
                <w:szCs w:val="24"/>
                <w:highlight w:val="none"/>
              </w:rPr>
            </w:pPr>
          </w:p>
        </w:tc>
      </w:tr>
      <w:tr w14:paraId="2F5E402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CAC6C22">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3C1310B">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46FBBB">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8D2BD4">
            <w:pPr>
              <w:autoSpaceDE w:val="0"/>
              <w:autoSpaceDN w:val="0"/>
              <w:spacing w:line="360" w:lineRule="auto"/>
              <w:jc w:val="center"/>
              <w:rPr>
                <w:rFonts w:hint="eastAsia" w:ascii="宋体" w:hAnsi="宋体" w:cs="宋体"/>
                <w:color w:val="auto"/>
                <w:sz w:val="24"/>
                <w:szCs w:val="24"/>
                <w:highlight w:val="none"/>
              </w:rPr>
            </w:pPr>
          </w:p>
        </w:tc>
      </w:tr>
      <w:tr w14:paraId="760C6C4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2334BCE4">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14:paraId="41CF2C1A">
            <w:pPr>
              <w:autoSpaceDE w:val="0"/>
              <w:autoSpaceDN w:val="0"/>
              <w:spacing w:line="360" w:lineRule="auto"/>
              <w:jc w:val="center"/>
              <w:rPr>
                <w:rFonts w:hint="eastAsia" w:ascii="宋体" w:hAnsi="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207D79">
            <w:pPr>
              <w:autoSpaceDE w:val="0"/>
              <w:autoSpaceDN w:val="0"/>
              <w:spacing w:line="360" w:lineRule="auto"/>
              <w:jc w:val="center"/>
              <w:rPr>
                <w:rFonts w:hint="eastAsia" w:ascii="宋体" w:hAnsi="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BC536D">
            <w:pPr>
              <w:autoSpaceDE w:val="0"/>
              <w:autoSpaceDN w:val="0"/>
              <w:spacing w:line="360" w:lineRule="auto"/>
              <w:jc w:val="center"/>
              <w:rPr>
                <w:rFonts w:hint="eastAsia" w:ascii="宋体" w:hAnsi="宋体" w:cs="宋体"/>
                <w:color w:val="auto"/>
                <w:sz w:val="24"/>
                <w:szCs w:val="24"/>
                <w:highlight w:val="none"/>
              </w:rPr>
            </w:pPr>
          </w:p>
        </w:tc>
      </w:tr>
    </w:tbl>
    <w:p w14:paraId="795866CF">
      <w:pPr>
        <w:autoSpaceDE w:val="0"/>
        <w:autoSpaceDN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color w:val="auto"/>
          <w:sz w:val="24"/>
          <w:highlight w:val="none"/>
        </w:rPr>
        <w:t>供应商可参照上述的格式自行编制，</w:t>
      </w:r>
      <w:r>
        <w:rPr>
          <w:rFonts w:hint="eastAsia" w:ascii="宋体" w:hAnsi="宋体" w:cs="宋体"/>
          <w:b/>
          <w:color w:val="auto"/>
          <w:sz w:val="24"/>
          <w:szCs w:val="24"/>
          <w:highlight w:val="none"/>
        </w:rPr>
        <w:t>并注明所在响应技术文件页码。</w:t>
      </w:r>
    </w:p>
    <w:p w14:paraId="1DCFBA3F">
      <w:pPr>
        <w:autoSpaceDE w:val="0"/>
        <w:autoSpaceDN w:val="0"/>
        <w:spacing w:line="360" w:lineRule="auto"/>
        <w:rPr>
          <w:rFonts w:hint="eastAsia" w:ascii="宋体" w:hAnsi="宋体" w:cs="宋体"/>
          <w:b/>
          <w:color w:val="auto"/>
          <w:sz w:val="24"/>
          <w:szCs w:val="24"/>
          <w:highlight w:val="none"/>
        </w:rPr>
      </w:pPr>
    </w:p>
    <w:p w14:paraId="67FBDBA9">
      <w:pPr>
        <w:autoSpaceDE w:val="0"/>
        <w:autoSpaceDN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附表B:本项目的项目小组人员情况表</w:t>
      </w:r>
      <w:r>
        <w:rPr>
          <w:rFonts w:hint="eastAsia" w:ascii="宋体" w:hAnsi="宋体" w:cs="宋体"/>
          <w:color w:val="auto"/>
          <w:sz w:val="24"/>
          <w:szCs w:val="24"/>
          <w:highlight w:val="none"/>
        </w:rPr>
        <w:t>（参照此格式自制）</w:t>
      </w:r>
    </w:p>
    <w:tbl>
      <w:tblPr>
        <w:tblStyle w:val="30"/>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1853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86FC855">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8865585">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8BB16AD">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9E32E86">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4BC4AB7">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p w14:paraId="14D40C0B">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9125FCF">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p w14:paraId="55A400CD">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F98DA51">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职称</w:t>
            </w:r>
          </w:p>
          <w:p w14:paraId="78AEF09F">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BF7EAC3">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9A86DC0">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3914F3">
            <w:pPr>
              <w:autoSpaceDE w:val="0"/>
              <w:autoSpaceDN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参与本项目的到位情况</w:t>
            </w:r>
          </w:p>
        </w:tc>
      </w:tr>
      <w:tr w14:paraId="0CCA3E2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6C7A7FF">
            <w:pPr>
              <w:autoSpaceDE w:val="0"/>
              <w:autoSpaceDN w:val="0"/>
              <w:spacing w:line="360" w:lineRule="auto"/>
              <w:jc w:val="center"/>
              <w:rPr>
                <w:rFonts w:hint="eastAsia" w:ascii="宋体" w:hAns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74FFE67">
            <w:pPr>
              <w:autoSpaceDE w:val="0"/>
              <w:autoSpaceDN w:val="0"/>
              <w:spacing w:line="360" w:lineRule="auto"/>
              <w:rPr>
                <w:rFonts w:hint="eastAsia" w:ascii="宋体" w:hAns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4105CAA">
            <w:pPr>
              <w:autoSpaceDE w:val="0"/>
              <w:autoSpaceDN w:val="0"/>
              <w:spacing w:line="360" w:lineRule="auto"/>
              <w:rPr>
                <w:rFonts w:hint="eastAsia" w:ascii="宋体" w:hAnsi="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C023579">
            <w:pPr>
              <w:autoSpaceDE w:val="0"/>
              <w:autoSpaceDN w:val="0"/>
              <w:spacing w:line="360" w:lineRule="auto"/>
              <w:rPr>
                <w:rFonts w:hint="eastAsia" w:ascii="宋体" w:hAnsi="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7D0A889">
            <w:pPr>
              <w:autoSpaceDE w:val="0"/>
              <w:autoSpaceDN w:val="0"/>
              <w:spacing w:line="360" w:lineRule="auto"/>
              <w:rPr>
                <w:rFonts w:hint="eastAsia" w:ascii="宋体" w:hAns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BB0922">
            <w:pPr>
              <w:autoSpaceDE w:val="0"/>
              <w:autoSpaceDN w:val="0"/>
              <w:spacing w:line="360" w:lineRule="auto"/>
              <w:rPr>
                <w:rFonts w:hint="eastAsia" w:ascii="宋体" w:hAns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5BEA1F">
            <w:pPr>
              <w:autoSpaceDE w:val="0"/>
              <w:autoSpaceDN w:val="0"/>
              <w:spacing w:line="360" w:lineRule="auto"/>
              <w:rPr>
                <w:rFonts w:hint="eastAsia" w:ascii="宋体" w:hAns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B219FE">
            <w:pPr>
              <w:autoSpaceDE w:val="0"/>
              <w:autoSpaceDN w:val="0"/>
              <w:spacing w:line="360" w:lineRule="auto"/>
              <w:rPr>
                <w:rFonts w:hint="eastAsia" w:ascii="宋体" w:hAns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F60BC2">
            <w:pPr>
              <w:autoSpaceDE w:val="0"/>
              <w:autoSpaceDN w:val="0"/>
              <w:spacing w:line="360" w:lineRule="auto"/>
              <w:rPr>
                <w:rFonts w:hint="eastAsia" w:ascii="宋体" w:hAnsi="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24A0AD">
            <w:pPr>
              <w:autoSpaceDE w:val="0"/>
              <w:autoSpaceDN w:val="0"/>
              <w:spacing w:line="360" w:lineRule="auto"/>
              <w:rPr>
                <w:rFonts w:hint="eastAsia" w:ascii="宋体" w:hAnsi="宋体" w:cs="宋体"/>
                <w:color w:val="auto"/>
                <w:sz w:val="24"/>
                <w:szCs w:val="24"/>
                <w:highlight w:val="none"/>
              </w:rPr>
            </w:pPr>
          </w:p>
        </w:tc>
      </w:tr>
      <w:tr w14:paraId="4FDDCD8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C609883">
            <w:pPr>
              <w:autoSpaceDE w:val="0"/>
              <w:autoSpaceDN w:val="0"/>
              <w:spacing w:line="360" w:lineRule="auto"/>
              <w:jc w:val="center"/>
              <w:rPr>
                <w:rFonts w:hint="eastAsia" w:ascii="宋体" w:hAnsi="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B0D10D">
            <w:pPr>
              <w:autoSpaceDE w:val="0"/>
              <w:autoSpaceDN w:val="0"/>
              <w:spacing w:line="360" w:lineRule="auto"/>
              <w:rPr>
                <w:rFonts w:hint="eastAsia" w:ascii="宋体" w:hAnsi="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FA28D3">
            <w:pPr>
              <w:autoSpaceDE w:val="0"/>
              <w:autoSpaceDN w:val="0"/>
              <w:spacing w:line="360" w:lineRule="auto"/>
              <w:rPr>
                <w:rFonts w:hint="eastAsia" w:ascii="宋体" w:hAnsi="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19C4E9A">
            <w:pPr>
              <w:autoSpaceDE w:val="0"/>
              <w:autoSpaceDN w:val="0"/>
              <w:spacing w:line="360" w:lineRule="auto"/>
              <w:rPr>
                <w:rFonts w:hint="eastAsia" w:ascii="宋体" w:hAnsi="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F666E06">
            <w:pPr>
              <w:autoSpaceDE w:val="0"/>
              <w:autoSpaceDN w:val="0"/>
              <w:spacing w:line="360" w:lineRule="auto"/>
              <w:rPr>
                <w:rFonts w:hint="eastAsia" w:ascii="宋体" w:hAns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E73CE2">
            <w:pPr>
              <w:autoSpaceDE w:val="0"/>
              <w:autoSpaceDN w:val="0"/>
              <w:spacing w:line="360" w:lineRule="auto"/>
              <w:rPr>
                <w:rFonts w:hint="eastAsia" w:ascii="宋体" w:hAnsi="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B6E5CB">
            <w:pPr>
              <w:autoSpaceDE w:val="0"/>
              <w:autoSpaceDN w:val="0"/>
              <w:spacing w:line="360" w:lineRule="auto"/>
              <w:rPr>
                <w:rFonts w:hint="eastAsia" w:ascii="宋体" w:hAnsi="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D99AAAD">
            <w:pPr>
              <w:autoSpaceDE w:val="0"/>
              <w:autoSpaceDN w:val="0"/>
              <w:spacing w:line="360" w:lineRule="auto"/>
              <w:rPr>
                <w:rFonts w:hint="eastAsia" w:ascii="宋体" w:hAnsi="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92434F7">
            <w:pPr>
              <w:autoSpaceDE w:val="0"/>
              <w:autoSpaceDN w:val="0"/>
              <w:spacing w:line="360" w:lineRule="auto"/>
              <w:rPr>
                <w:rFonts w:hint="eastAsia" w:ascii="宋体" w:hAnsi="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A79955">
            <w:pPr>
              <w:autoSpaceDE w:val="0"/>
              <w:autoSpaceDN w:val="0"/>
              <w:spacing w:line="360" w:lineRule="auto"/>
              <w:rPr>
                <w:rFonts w:hint="eastAsia" w:ascii="宋体" w:hAnsi="宋体" w:cs="宋体"/>
                <w:color w:val="auto"/>
                <w:sz w:val="24"/>
                <w:szCs w:val="24"/>
                <w:highlight w:val="none"/>
              </w:rPr>
            </w:pPr>
          </w:p>
        </w:tc>
      </w:tr>
    </w:tbl>
    <w:p w14:paraId="46DE47B8">
      <w:pPr>
        <w:spacing w:line="360" w:lineRule="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t>注：供应商可参照上述的格式自行编制，并注明所在响应技术文件页码。</w:t>
      </w:r>
    </w:p>
    <w:p w14:paraId="5C59F0A9">
      <w:pPr>
        <w:autoSpaceDE w:val="0"/>
        <w:autoSpaceDN w:val="0"/>
        <w:spacing w:line="360" w:lineRule="auto"/>
        <w:ind w:firstLine="6505" w:firstLineChars="2700"/>
        <w:rPr>
          <w:rFonts w:hint="eastAsia" w:ascii="宋体" w:hAnsi="宋体" w:cs="宋体"/>
          <w:b/>
          <w:bCs/>
          <w:color w:val="auto"/>
          <w:sz w:val="24"/>
          <w:szCs w:val="24"/>
          <w:highlight w:val="none"/>
        </w:rPr>
      </w:pPr>
    </w:p>
    <w:p w14:paraId="611EAAC9">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4050F254">
      <w:pPr>
        <w:autoSpaceDE w:val="0"/>
        <w:autoSpaceDN w:val="0"/>
        <w:spacing w:line="360" w:lineRule="auto"/>
        <w:ind w:firstLine="6480" w:firstLineChars="27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7E9F6414">
      <w:pPr>
        <w:rPr>
          <w:rFonts w:hint="eastAsia" w:ascii="宋体" w:hAnsi="宋体" w:cs="宋体"/>
          <w:color w:val="auto"/>
          <w:sz w:val="24"/>
          <w:szCs w:val="24"/>
          <w:highlight w:val="none"/>
        </w:rPr>
      </w:pPr>
    </w:p>
    <w:p w14:paraId="32B3A520">
      <w:pPr>
        <w:rPr>
          <w:rFonts w:hint="eastAsia" w:ascii="宋体" w:hAnsi="宋体" w:cs="宋体"/>
          <w:color w:val="auto"/>
          <w:szCs w:val="21"/>
          <w:highlight w:val="none"/>
          <w:u w:val="single"/>
        </w:rPr>
      </w:pPr>
      <w:r>
        <w:rPr>
          <w:rFonts w:hint="eastAsia" w:ascii="宋体" w:hAnsi="宋体" w:cs="宋体"/>
          <w:color w:val="auto"/>
          <w:szCs w:val="21"/>
          <w:highlight w:val="none"/>
          <w:u w:val="single"/>
        </w:rPr>
        <w:br w:type="page"/>
      </w:r>
    </w:p>
    <w:p w14:paraId="0DE332DD">
      <w:pPr>
        <w:pStyle w:val="5"/>
        <w:rPr>
          <w:color w:val="auto"/>
          <w:highlight w:val="none"/>
        </w:rPr>
      </w:pPr>
    </w:p>
    <w:p w14:paraId="724DEE34">
      <w:pPr>
        <w:keepNext/>
        <w:keepLines/>
        <w:spacing w:before="260" w:after="260" w:line="416" w:lineRule="auto"/>
        <w:jc w:val="center"/>
        <w:outlineLvl w:val="1"/>
        <w:rPr>
          <w:rFonts w:hint="eastAsia" w:ascii="宋体" w:hAnsi="宋体" w:cs="宋体"/>
          <w:b/>
          <w:bCs/>
          <w:color w:val="auto"/>
          <w:sz w:val="32"/>
          <w:szCs w:val="32"/>
          <w:highlight w:val="none"/>
          <w:lang w:val="zh-CN"/>
        </w:rPr>
      </w:pPr>
      <w:bookmarkStart w:id="111" w:name="_Toc16014"/>
      <w:bookmarkStart w:id="112" w:name="_Toc29530"/>
      <w:bookmarkStart w:id="113" w:name="_Toc80205941"/>
      <w:r>
        <w:rPr>
          <w:rFonts w:hint="eastAsia" w:ascii="宋体" w:hAnsi="宋体" w:cs="宋体"/>
          <w:b/>
          <w:bCs/>
          <w:color w:val="auto"/>
          <w:sz w:val="32"/>
          <w:szCs w:val="32"/>
          <w:highlight w:val="none"/>
          <w:lang w:val="zh-CN"/>
        </w:rPr>
        <w:t>第三节 报价文件格式</w:t>
      </w:r>
      <w:bookmarkEnd w:id="111"/>
      <w:bookmarkEnd w:id="112"/>
      <w:bookmarkEnd w:id="113"/>
    </w:p>
    <w:p w14:paraId="42EBD3C4">
      <w:pPr>
        <w:snapToGrid w:val="0"/>
        <w:spacing w:before="120" w:beforeLines="50" w:after="50"/>
        <w:rPr>
          <w:rFonts w:hint="eastAsia" w:ascii="宋体" w:hAnsi="宋体" w:cs="宋体"/>
          <w:color w:val="auto"/>
          <w:sz w:val="24"/>
          <w:szCs w:val="24"/>
          <w:highlight w:val="none"/>
        </w:rPr>
      </w:pP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 xml:space="preserve">                     </w:t>
      </w:r>
    </w:p>
    <w:p w14:paraId="07688A0B">
      <w:pPr>
        <w:snapToGrid w:val="0"/>
        <w:spacing w:before="120" w:beforeLines="50" w:after="50"/>
        <w:rPr>
          <w:rFonts w:hint="eastAsia" w:ascii="宋体" w:hAnsi="宋体" w:cs="宋体"/>
          <w:color w:val="auto"/>
          <w:sz w:val="24"/>
          <w:szCs w:val="24"/>
          <w:highlight w:val="none"/>
        </w:rPr>
      </w:pPr>
    </w:p>
    <w:p w14:paraId="3210247C">
      <w:pPr>
        <w:snapToGrid w:val="0"/>
        <w:spacing w:before="120" w:beforeLines="50" w:after="50"/>
        <w:jc w:val="right"/>
        <w:rPr>
          <w:rFonts w:hint="eastAsia" w:ascii="宋体" w:hAnsi="宋体" w:cs="宋体"/>
          <w:bCs/>
          <w:color w:val="auto"/>
          <w:sz w:val="32"/>
          <w:szCs w:val="20"/>
          <w:highlight w:val="none"/>
        </w:rPr>
      </w:pPr>
      <w:r>
        <w:rPr>
          <w:rFonts w:hint="eastAsia" w:ascii="宋体" w:hAnsi="宋体" w:cs="宋体"/>
          <w:color w:val="auto"/>
          <w:sz w:val="24"/>
          <w:szCs w:val="24"/>
          <w:highlight w:val="none"/>
        </w:rPr>
        <w:t xml:space="preserve">  </w:t>
      </w:r>
      <w:r>
        <w:rPr>
          <w:rFonts w:hint="eastAsia" w:ascii="宋体" w:hAnsi="宋体" w:cs="宋体"/>
          <w:bCs/>
          <w:color w:val="auto"/>
          <w:szCs w:val="24"/>
          <w:highlight w:val="none"/>
        </w:rPr>
        <w:t>全流程电子文件</w:t>
      </w:r>
    </w:p>
    <w:p w14:paraId="40BDA425">
      <w:pPr>
        <w:snapToGrid w:val="0"/>
        <w:spacing w:before="120" w:beforeLines="50" w:after="50"/>
        <w:rPr>
          <w:rFonts w:hint="eastAsia" w:ascii="宋体" w:hAnsi="宋体" w:cs="宋体"/>
          <w:color w:val="auto"/>
          <w:sz w:val="24"/>
          <w:szCs w:val="20"/>
          <w:highlight w:val="none"/>
        </w:rPr>
      </w:pPr>
    </w:p>
    <w:p w14:paraId="22656BCA">
      <w:pPr>
        <w:snapToGrid w:val="0"/>
        <w:spacing w:before="120" w:beforeLines="50" w:after="50"/>
        <w:rPr>
          <w:rFonts w:hint="eastAsia" w:ascii="宋体" w:hAnsi="宋体" w:cs="宋体"/>
          <w:color w:val="auto"/>
          <w:sz w:val="24"/>
          <w:szCs w:val="20"/>
          <w:highlight w:val="none"/>
        </w:rPr>
      </w:pPr>
    </w:p>
    <w:p w14:paraId="45AD52FC">
      <w:pPr>
        <w:snapToGrid w:val="0"/>
        <w:spacing w:before="120" w:beforeLines="50" w:after="50"/>
        <w:rPr>
          <w:rFonts w:hint="eastAsia" w:ascii="宋体" w:hAnsi="宋体" w:cs="宋体"/>
          <w:color w:val="auto"/>
          <w:sz w:val="24"/>
          <w:szCs w:val="20"/>
          <w:highlight w:val="none"/>
        </w:rPr>
      </w:pPr>
    </w:p>
    <w:p w14:paraId="557A001B">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0DE5138F">
      <w:pPr>
        <w:snapToGrid w:val="0"/>
        <w:spacing w:before="120" w:beforeLines="50" w:after="50"/>
        <w:rPr>
          <w:rFonts w:hint="eastAsia" w:ascii="宋体" w:hAnsi="宋体" w:cs="宋体"/>
          <w:bCs/>
          <w:color w:val="auto"/>
          <w:sz w:val="24"/>
          <w:szCs w:val="20"/>
          <w:highlight w:val="none"/>
        </w:rPr>
      </w:pPr>
    </w:p>
    <w:p w14:paraId="223618F0">
      <w:pPr>
        <w:snapToGrid w:val="0"/>
        <w:spacing w:before="120" w:beforeLines="50" w:after="50"/>
        <w:rPr>
          <w:rFonts w:hint="eastAsia" w:ascii="宋体" w:hAnsi="宋体" w:cs="宋体"/>
          <w:bCs/>
          <w:color w:val="auto"/>
          <w:sz w:val="24"/>
          <w:szCs w:val="20"/>
          <w:highlight w:val="none"/>
        </w:rPr>
      </w:pPr>
    </w:p>
    <w:p w14:paraId="2584AB87">
      <w:pPr>
        <w:snapToGrid w:val="0"/>
        <w:spacing w:before="120" w:beforeLines="50" w:after="50"/>
        <w:rPr>
          <w:rFonts w:hint="eastAsia" w:ascii="宋体" w:hAnsi="宋体" w:cs="宋体"/>
          <w:bCs/>
          <w:color w:val="auto"/>
          <w:sz w:val="24"/>
          <w:szCs w:val="20"/>
          <w:highlight w:val="none"/>
        </w:rPr>
      </w:pPr>
    </w:p>
    <w:p w14:paraId="7A8D0623">
      <w:pPr>
        <w:snapToGrid w:val="0"/>
        <w:spacing w:before="120" w:beforeLines="50" w:after="50"/>
        <w:rPr>
          <w:rFonts w:hint="eastAsia" w:ascii="宋体" w:hAnsi="宋体" w:cs="宋体"/>
          <w:bCs/>
          <w:color w:val="auto"/>
          <w:sz w:val="24"/>
          <w:szCs w:val="20"/>
          <w:highlight w:val="none"/>
        </w:rPr>
      </w:pPr>
    </w:p>
    <w:p w14:paraId="55ADA76B">
      <w:pPr>
        <w:snapToGrid w:val="0"/>
        <w:spacing w:before="120" w:beforeLines="50" w:after="50"/>
        <w:rPr>
          <w:rFonts w:hint="eastAsia" w:ascii="宋体" w:hAnsi="宋体" w:cs="宋体"/>
          <w:bCs/>
          <w:color w:val="auto"/>
          <w:sz w:val="24"/>
          <w:szCs w:val="20"/>
          <w:highlight w:val="none"/>
        </w:rPr>
      </w:pPr>
    </w:p>
    <w:p w14:paraId="2E77BC91">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13781EE">
      <w:pPr>
        <w:snapToGrid w:val="0"/>
        <w:spacing w:before="120" w:beforeLines="50" w:after="50"/>
        <w:ind w:firstLine="720" w:firstLineChars="225"/>
        <w:rPr>
          <w:rFonts w:hint="eastAsia" w:ascii="宋体" w:hAnsi="宋体" w:cs="宋体"/>
          <w:bCs/>
          <w:color w:val="auto"/>
          <w:sz w:val="32"/>
          <w:szCs w:val="32"/>
          <w:highlight w:val="none"/>
        </w:rPr>
      </w:pPr>
    </w:p>
    <w:p w14:paraId="199E221C">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01459FA">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EF7A376">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77B4904">
      <w:pPr>
        <w:snapToGrid w:val="0"/>
        <w:spacing w:before="120" w:beforeLines="50" w:after="50"/>
        <w:ind w:firstLine="720" w:firstLineChars="225"/>
        <w:rPr>
          <w:rFonts w:hint="eastAsia" w:ascii="宋体" w:hAnsi="宋体" w:cs="宋体"/>
          <w:bCs/>
          <w:color w:val="auto"/>
          <w:sz w:val="32"/>
          <w:szCs w:val="32"/>
          <w:highlight w:val="none"/>
        </w:rPr>
      </w:pPr>
    </w:p>
    <w:p w14:paraId="05D11160">
      <w:pPr>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3A9B3B8">
      <w:pPr>
        <w:snapToGrid w:val="0"/>
        <w:spacing w:before="50" w:after="50"/>
        <w:ind w:firstLine="720" w:firstLineChars="225"/>
        <w:rPr>
          <w:rFonts w:hint="eastAsia" w:ascii="宋体" w:hAnsi="宋体" w:cs="宋体"/>
          <w:bCs/>
          <w:color w:val="auto"/>
          <w:sz w:val="32"/>
          <w:szCs w:val="32"/>
          <w:highlight w:val="none"/>
        </w:rPr>
      </w:pPr>
    </w:p>
    <w:p w14:paraId="25D320A1">
      <w:pPr>
        <w:snapToGrid w:val="0"/>
        <w:spacing w:before="50" w:after="50"/>
        <w:ind w:firstLine="720" w:firstLineChars="225"/>
        <w:rPr>
          <w:rFonts w:hint="eastAsia" w:ascii="宋体" w:hAnsi="宋体" w:cs="宋体"/>
          <w:bCs/>
          <w:color w:val="auto"/>
          <w:sz w:val="32"/>
          <w:szCs w:val="32"/>
          <w:highlight w:val="none"/>
        </w:rPr>
      </w:pPr>
    </w:p>
    <w:p w14:paraId="2D437589">
      <w:pPr>
        <w:snapToGrid w:val="0"/>
        <w:spacing w:before="50" w:after="50"/>
        <w:ind w:firstLine="1280" w:firstLineChars="400"/>
        <w:rPr>
          <w:rFonts w:hint="eastAsia" w:ascii="宋体" w:hAnsi="宋体" w:cs="宋体"/>
          <w:bCs/>
          <w:color w:val="auto"/>
          <w:sz w:val="32"/>
          <w:szCs w:val="32"/>
          <w:highlight w:val="none"/>
        </w:rPr>
      </w:pPr>
    </w:p>
    <w:p w14:paraId="056A607D">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0EC6E84C">
      <w:pPr>
        <w:snapToGrid w:val="0"/>
        <w:spacing w:before="120" w:beforeLines="50" w:after="5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A34A293">
      <w:pPr>
        <w:snapToGrid w:val="0"/>
        <w:spacing w:before="120" w:beforeLines="50" w:after="50" w:line="400" w:lineRule="exact"/>
        <w:jc w:val="center"/>
        <w:rPr>
          <w:rFonts w:hint="eastAsia" w:ascii="宋体" w:hAnsi="宋体" w:cs="宋体"/>
          <w:color w:val="auto"/>
          <w:sz w:val="24"/>
          <w:szCs w:val="24"/>
          <w:highlight w:val="none"/>
        </w:rPr>
      </w:pPr>
    </w:p>
    <w:p w14:paraId="7EB50BC3">
      <w:pPr>
        <w:snapToGrid w:val="0"/>
        <w:spacing w:before="120" w:beforeLines="50" w:after="50" w:line="360" w:lineRule="auto"/>
        <w:jc w:val="left"/>
        <w:rPr>
          <w:rFonts w:hint="eastAsia"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168E35AA">
      <w:pPr>
        <w:snapToGrid w:val="0"/>
        <w:spacing w:before="50" w:after="120" w:afterLines="50" w:line="360" w:lineRule="auto"/>
        <w:jc w:val="left"/>
        <w:rPr>
          <w:rFonts w:hint="eastAsia" w:ascii="宋体" w:hAnsi="宋体" w:cs="宋体"/>
          <w:b/>
          <w:color w:val="auto"/>
          <w:sz w:val="28"/>
          <w:szCs w:val="28"/>
          <w:highlight w:val="none"/>
        </w:rPr>
      </w:pPr>
      <w:r>
        <w:rPr>
          <w:rFonts w:hint="eastAsia" w:ascii="宋体" w:hAnsi="宋体" w:cs="宋体"/>
          <w:color w:val="auto"/>
          <w:sz w:val="28"/>
          <w:szCs w:val="28"/>
          <w:highlight w:val="none"/>
        </w:rPr>
        <w:t>根据竞争性谈判文件规定及供应商提供的材料自行编写目录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0A0C0E15">
      <w:pPr>
        <w:spacing w:line="360" w:lineRule="auto"/>
        <w:rPr>
          <w:rFonts w:hint="eastAsia" w:ascii="仿宋_GB2312" w:hAnsi="仿宋" w:eastAsia="仿宋_GB2312" w:cs="仿宋_GB2312"/>
          <w:b/>
          <w:bCs/>
          <w:i/>
          <w:iCs/>
          <w:color w:val="auto"/>
          <w:sz w:val="24"/>
          <w:szCs w:val="24"/>
          <w:highlight w:val="none"/>
        </w:rPr>
      </w:pPr>
    </w:p>
    <w:p w14:paraId="2B29485D">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0FEC0D60">
      <w:pPr>
        <w:spacing w:line="500" w:lineRule="exact"/>
        <w:rPr>
          <w:rFonts w:hint="eastAsia" w:ascii="宋体" w:hAnsi="宋体" w:cs="仿宋_GB2312"/>
          <w:color w:val="auto"/>
          <w:kern w:val="0"/>
          <w:sz w:val="24"/>
          <w:szCs w:val="21"/>
          <w:highlight w:val="none"/>
          <w:lang w:val="zh-CN"/>
        </w:rPr>
      </w:pPr>
      <w:r>
        <w:rPr>
          <w:rFonts w:ascii="宋体" w:hAnsi="宋体" w:cs="仿宋_GB2312"/>
          <w:color w:val="auto"/>
          <w:kern w:val="0"/>
          <w:sz w:val="24"/>
          <w:szCs w:val="21"/>
          <w:highlight w:val="none"/>
          <w:lang w:val="zh-CN"/>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14:paraId="2F6F909A">
      <w:pPr>
        <w:spacing w:line="500" w:lineRule="exact"/>
        <w:jc w:val="center"/>
        <w:rPr>
          <w:rFonts w:ascii="Times New Roman" w:hAnsi="Times New Roman"/>
          <w:b/>
          <w:bCs/>
          <w:color w:val="auto"/>
          <w:kern w:val="0"/>
          <w:sz w:val="30"/>
          <w:szCs w:val="30"/>
          <w:highlight w:val="none"/>
          <w:lang w:val="zh-CN"/>
        </w:rPr>
      </w:pPr>
      <w:r>
        <w:rPr>
          <w:rFonts w:hint="eastAsia" w:ascii="Times New Roman" w:hAnsi="Times New Roman"/>
          <w:b/>
          <w:bCs/>
          <w:color w:val="auto"/>
          <w:kern w:val="0"/>
          <w:sz w:val="30"/>
          <w:szCs w:val="30"/>
          <w:highlight w:val="none"/>
          <w:lang w:val="zh-CN"/>
        </w:rPr>
        <w:t>响应函</w:t>
      </w:r>
    </w:p>
    <w:p w14:paraId="2A42F2CE">
      <w:pPr>
        <w:spacing w:line="360" w:lineRule="auto"/>
        <w:rPr>
          <w:rFonts w:ascii="Times New Roman" w:hAnsi="Times New Roman"/>
          <w:color w:val="auto"/>
          <w:kern w:val="0"/>
          <w:sz w:val="20"/>
          <w:szCs w:val="21"/>
          <w:highlight w:val="none"/>
          <w:lang w:val="zh-CN"/>
        </w:rPr>
      </w:pPr>
    </w:p>
    <w:p w14:paraId="2A9A5B8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广西建设工程机电设备招标中心有限公司         </w:t>
      </w:r>
    </w:p>
    <w:p w14:paraId="0DD3C66C">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我方已仔细阅读了贵方组织的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项目（项目编号：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 xml:space="preserve">）的竞争性谈判文件的全部内容，现正式递交下述文件参加贵方组织的本次政府采购活动： </w:t>
      </w:r>
    </w:p>
    <w:p w14:paraId="34042933">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一、首次报价文件电子版（包含按“第三章 供应商须知”提交的全部文件）；</w:t>
      </w:r>
    </w:p>
    <w:p w14:paraId="4DCCA536">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二、技术文件电子版（包含按“第三章 供应商须知”提交的全部文件）；商务文件电子版（包含按“第三章 供应商须知”提交的全部文件）；</w:t>
      </w:r>
    </w:p>
    <w:p w14:paraId="502067B2">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三、资格证明文件电子版（包含按“第三章供应商须知”提交的全部文件）。</w:t>
      </w:r>
    </w:p>
    <w:p w14:paraId="3E0DF1FB">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据此函，</w:t>
      </w:r>
      <w:r>
        <w:rPr>
          <w:rFonts w:hint="eastAsia" w:ascii="宋体" w:hAnsi="宋体" w:cs="宋体"/>
          <w:color w:val="auto"/>
          <w:kern w:val="0"/>
          <w:szCs w:val="21"/>
          <w:highlight w:val="none"/>
        </w:rPr>
        <w:t>我方</w:t>
      </w:r>
      <w:r>
        <w:rPr>
          <w:rFonts w:hint="eastAsia" w:ascii="宋体" w:hAnsi="宋体" w:cs="宋体"/>
          <w:color w:val="auto"/>
          <w:kern w:val="0"/>
          <w:szCs w:val="21"/>
          <w:highlight w:val="none"/>
          <w:lang w:val="zh-CN"/>
        </w:rPr>
        <w:t>兹宣布：</w:t>
      </w:r>
    </w:p>
    <w:p w14:paraId="51B22D90">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1、我方愿意以</w:t>
      </w:r>
      <w:r>
        <w:rPr>
          <w:rFonts w:hint="eastAsia" w:ascii="宋体" w:hAnsi="宋体" w:cs="宋体"/>
          <w:color w:val="auto"/>
          <w:kern w:val="0"/>
          <w:szCs w:val="21"/>
          <w:highlight w:val="none"/>
        </w:rPr>
        <w:t>谈判时</w:t>
      </w:r>
      <w:r>
        <w:rPr>
          <w:rFonts w:hint="eastAsia" w:ascii="宋体" w:hAnsi="宋体" w:cs="宋体"/>
          <w:color w:val="auto"/>
          <w:szCs w:val="21"/>
          <w:highlight w:val="none"/>
        </w:rPr>
        <w:t>提交的最后报价表中的竞标总报价</w:t>
      </w:r>
      <w:r>
        <w:rPr>
          <w:rFonts w:hint="eastAsia" w:ascii="宋体" w:hAnsi="宋体" w:cs="宋体"/>
          <w:color w:val="auto"/>
          <w:kern w:val="0"/>
          <w:szCs w:val="21"/>
          <w:highlight w:val="none"/>
          <w:lang w:val="zh-CN"/>
        </w:rPr>
        <w:t>，在承诺的交付时间内提供本项目竞争性谈判文件“第二章</w:t>
      </w:r>
      <w:r>
        <w:rPr>
          <w:rFonts w:hint="eastAsia" w:ascii="宋体" w:hAnsi="宋体" w:cs="宋体"/>
          <w:color w:val="auto"/>
          <w:kern w:val="0"/>
          <w:szCs w:val="21"/>
          <w:highlight w:val="none"/>
        </w:rPr>
        <w:t xml:space="preserve">  采购需求</w:t>
      </w:r>
      <w:r>
        <w:rPr>
          <w:rFonts w:hint="eastAsia" w:ascii="宋体" w:hAnsi="宋体" w:cs="宋体"/>
          <w:color w:val="auto"/>
          <w:kern w:val="0"/>
          <w:szCs w:val="21"/>
          <w:highlight w:val="none"/>
          <w:lang w:val="zh-CN"/>
        </w:rPr>
        <w:t>”的“需求一览表”中相应的采购内容</w:t>
      </w:r>
      <w:r>
        <w:rPr>
          <w:rFonts w:hint="eastAsia" w:ascii="宋体" w:hAnsi="宋体" w:cs="宋体"/>
          <w:color w:val="auto"/>
          <w:szCs w:val="21"/>
          <w:highlight w:val="none"/>
        </w:rPr>
        <w:t>，具体详见最后报价表</w:t>
      </w:r>
      <w:r>
        <w:rPr>
          <w:rFonts w:hint="eastAsia" w:ascii="宋体" w:hAnsi="宋体" w:cs="宋体"/>
          <w:color w:val="auto"/>
          <w:kern w:val="0"/>
          <w:szCs w:val="21"/>
          <w:highlight w:val="none"/>
          <w:lang w:val="zh-CN"/>
        </w:rPr>
        <w:t>。</w:t>
      </w:r>
    </w:p>
    <w:p w14:paraId="3D43E390">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cs="宋体"/>
          <w:color w:val="auto"/>
          <w:kern w:val="0"/>
          <w:szCs w:val="21"/>
          <w:highlight w:val="none"/>
        </w:rPr>
        <w:t>竞标</w:t>
      </w:r>
      <w:r>
        <w:rPr>
          <w:rFonts w:hint="eastAsia" w:ascii="宋体" w:hAnsi="宋体" w:cs="宋体"/>
          <w:color w:val="auto"/>
          <w:kern w:val="0"/>
          <w:szCs w:val="21"/>
          <w:highlight w:val="none"/>
          <w:lang w:val="zh-CN"/>
        </w:rPr>
        <w:t>有效期内不修改、撤销响应文件。</w:t>
      </w:r>
    </w:p>
    <w:p w14:paraId="6DC69BF6">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3、我方在此声明，所递交的响应文件及有关资料内容完整、真实和准确。</w:t>
      </w:r>
    </w:p>
    <w:p w14:paraId="1076299A">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4、如本项目采购内容涉及须符合国家强制规定的，我方承诺我方本次竞标均符合国家有关强制规定。</w:t>
      </w:r>
    </w:p>
    <w:p w14:paraId="4BAA1359">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49C40906">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6、我方已详细审核竞争性谈判文件，我方知道必须放弃提出含糊不清或误解问题的权利。</w:t>
      </w:r>
    </w:p>
    <w:p w14:paraId="7AF595E4">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7、我方承诺满足竞争性谈判文件第六章“合同文本”的条款，承担完成合同的责任和义务。</w:t>
      </w:r>
    </w:p>
    <w:p w14:paraId="5AB7BA54">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8、我方同意应贵方要求提供与本竞标有关的任何数据或资料。若贵方需要，我方愿意提供我方作出的一切承诺的证明材料。</w:t>
      </w:r>
    </w:p>
    <w:p w14:paraId="011A396B">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9、我方完全理解贵方不一定接受响应报价最低的供应商为成交供应商的行为。</w:t>
      </w:r>
    </w:p>
    <w:p w14:paraId="392BA9B9">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59AB8F">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提供虚假材料谋取中标、成交的；</w:t>
      </w:r>
    </w:p>
    <w:p w14:paraId="26697096">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采取不正当手段诋毁、排挤其他供应商的；</w:t>
      </w:r>
    </w:p>
    <w:p w14:paraId="5422DCFD">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与采购人、其他供应商或者采购代理机构恶意串通的；</w:t>
      </w:r>
    </w:p>
    <w:p w14:paraId="384DA500">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向采购人、采购代理机构行贿或者提供其他不正当利益的；</w:t>
      </w:r>
    </w:p>
    <w:p w14:paraId="56252D04">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在采购过程中与采购人进行协商谈判的；</w:t>
      </w:r>
    </w:p>
    <w:p w14:paraId="0FA3F270">
      <w:pPr>
        <w:numPr>
          <w:ilvl w:val="0"/>
          <w:numId w:val="3"/>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拒绝有关部门监督检查或提供虚假情况的。</w:t>
      </w:r>
    </w:p>
    <w:p w14:paraId="23730508">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11、以上事项如有虚假或者隐瞒，我方愿意承担一切后果，并不再寻求任何旨在减轻或者免除法律责任的辩解。</w:t>
      </w:r>
    </w:p>
    <w:p w14:paraId="02582EE0">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12、与本谈判有关的一切正式往来信函请寄：</w:t>
      </w:r>
    </w:p>
    <w:p w14:paraId="77DA932C">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地址：</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w:t>
      </w:r>
    </w:p>
    <w:p w14:paraId="08273A39">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电话：</w:t>
      </w:r>
      <w:r>
        <w:rPr>
          <w:rFonts w:hint="eastAsia" w:ascii="宋体" w:hAnsi="宋体" w:cs="宋体"/>
          <w:color w:val="auto"/>
          <w:kern w:val="0"/>
          <w:szCs w:val="21"/>
          <w:highlight w:val="none"/>
          <w:u w:val="single"/>
          <w:lang w:val="zh-CN"/>
        </w:rPr>
        <w:t xml:space="preserve">                                      　　　　　　　　　</w:t>
      </w:r>
    </w:p>
    <w:p w14:paraId="2D365FA6">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w:t>
      </w:r>
    </w:p>
    <w:p w14:paraId="33E102E0">
      <w:pPr>
        <w:spacing w:line="360" w:lineRule="auto"/>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电子邮箱：</w:t>
      </w:r>
      <w:r>
        <w:rPr>
          <w:rFonts w:hint="eastAsia" w:ascii="宋体" w:hAnsi="宋体" w:cs="宋体"/>
          <w:color w:val="auto"/>
          <w:kern w:val="0"/>
          <w:szCs w:val="21"/>
          <w:highlight w:val="none"/>
          <w:u w:val="single"/>
          <w:lang w:val="zh-CN"/>
        </w:rPr>
        <w:t>　　　　　　　　　　　　　　　　　　　　　　　　　　</w:t>
      </w:r>
    </w:p>
    <w:p w14:paraId="3A4E2A27">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邮政编码：</w:t>
      </w:r>
      <w:r>
        <w:rPr>
          <w:rFonts w:hint="eastAsia" w:ascii="宋体" w:hAnsi="宋体" w:cs="宋体"/>
          <w:color w:val="auto"/>
          <w:kern w:val="0"/>
          <w:szCs w:val="21"/>
          <w:highlight w:val="none"/>
          <w:u w:val="single"/>
          <w:lang w:val="zh-CN"/>
        </w:rPr>
        <w:t xml:space="preserve">                                                    </w:t>
      </w:r>
    </w:p>
    <w:p w14:paraId="481D8F31">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开户名称：</w:t>
      </w:r>
      <w:r>
        <w:rPr>
          <w:rFonts w:hint="eastAsia" w:ascii="宋体" w:hAnsi="宋体" w:cs="宋体"/>
          <w:color w:val="auto"/>
          <w:kern w:val="0"/>
          <w:szCs w:val="21"/>
          <w:highlight w:val="none"/>
          <w:u w:val="single"/>
          <w:lang w:val="zh-CN"/>
        </w:rPr>
        <w:t xml:space="preserve">                                                    </w:t>
      </w:r>
    </w:p>
    <w:p w14:paraId="1019CC04">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开户银行：</w:t>
      </w:r>
      <w:r>
        <w:rPr>
          <w:rFonts w:hint="eastAsia" w:ascii="宋体" w:hAnsi="宋体" w:cs="宋体"/>
          <w:color w:val="auto"/>
          <w:kern w:val="0"/>
          <w:szCs w:val="21"/>
          <w:highlight w:val="none"/>
          <w:u w:val="single"/>
          <w:lang w:val="zh-CN"/>
        </w:rPr>
        <w:t xml:space="preserve">                                                    </w:t>
      </w:r>
    </w:p>
    <w:p w14:paraId="5C6C5B26">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银行账号：</w:t>
      </w:r>
      <w:r>
        <w:rPr>
          <w:rFonts w:hint="eastAsia" w:ascii="宋体" w:hAnsi="宋体" w:cs="宋体"/>
          <w:color w:val="auto"/>
          <w:kern w:val="0"/>
          <w:szCs w:val="21"/>
          <w:highlight w:val="none"/>
          <w:u w:val="single"/>
          <w:lang w:val="zh-CN"/>
        </w:rPr>
        <w:t xml:space="preserve">                                                    </w:t>
      </w:r>
    </w:p>
    <w:p w14:paraId="0A436CDA">
      <w:pPr>
        <w:tabs>
          <w:tab w:val="left" w:pos="939"/>
        </w:tabs>
        <w:spacing w:line="360" w:lineRule="auto"/>
        <w:ind w:left="141" w:leftChars="67"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10C3C4C8">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38C4CA20">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32A86AFC">
      <w:pPr>
        <w:ind w:firstLine="6000" w:firstLineChars="2500"/>
        <w:rPr>
          <w:rFonts w:ascii="Times New Roman" w:hAnsi="Times New Roman"/>
          <w:color w:val="auto"/>
          <w:szCs w:val="24"/>
          <w:highlight w:val="none"/>
        </w:rPr>
      </w:pPr>
      <w:r>
        <w:rPr>
          <w:rFonts w:hint="eastAsia" w:ascii="宋体" w:hAnsi="宋体" w:cs="宋体"/>
          <w:color w:val="auto"/>
          <w:kern w:val="0"/>
          <w:sz w:val="24"/>
          <w:szCs w:val="24"/>
          <w:highlight w:val="none"/>
          <w:lang w:val="zh-CN"/>
        </w:rPr>
        <w:t>日期：  年  月   日</w:t>
      </w:r>
    </w:p>
    <w:p w14:paraId="20AC2EA6">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74AA5F1C">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19B98847">
      <w:pPr>
        <w:snapToGrid w:val="0"/>
        <w:spacing w:before="50" w:after="50" w:line="360" w:lineRule="auto"/>
        <w:ind w:firstLine="4518" w:firstLineChars="1500"/>
        <w:rPr>
          <w:rFonts w:hint="eastAsia" w:ascii="宋体" w:hAnsi="宋体" w:cs="宋体"/>
          <w:color w:val="auto"/>
          <w:sz w:val="24"/>
          <w:szCs w:val="24"/>
          <w:highlight w:val="none"/>
        </w:rPr>
      </w:pPr>
      <w:r>
        <w:rPr>
          <w:rFonts w:hint="eastAsia" w:ascii="宋体" w:hAnsi="宋体" w:cs="宋体"/>
          <w:b/>
          <w:color w:val="auto"/>
          <w:sz w:val="30"/>
          <w:szCs w:val="30"/>
          <w:highlight w:val="none"/>
          <w:lang w:val="zh-CN"/>
        </w:rPr>
        <w:t>响应报价表</w:t>
      </w:r>
    </w:p>
    <w:p w14:paraId="111793C1">
      <w:pPr>
        <w:snapToGrid w:val="0"/>
        <w:spacing w:before="50" w:after="5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22074B14">
      <w:pPr>
        <w:snapToGrid w:val="0"/>
        <w:spacing w:before="50" w:after="5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p w14:paraId="69FD6241">
      <w:pPr>
        <w:snapToGrid w:val="0"/>
        <w:spacing w:before="50" w:after="50" w:line="360" w:lineRule="auto"/>
        <w:rPr>
          <w:rFonts w:hint="eastAsia" w:ascii="宋体" w:hAnsi="宋体" w:cs="宋体"/>
          <w:color w:val="auto"/>
          <w:sz w:val="24"/>
          <w:szCs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bl>
      <w:tblPr>
        <w:tblStyle w:val="30"/>
        <w:tblW w:w="981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2312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46AE427C">
            <w:pPr>
              <w:rPr>
                <w:rFonts w:hint="eastAsia" w:ascii="宋体" w:hAnsi="宋体" w:cs="宋体"/>
                <w:color w:val="auto"/>
                <w:highlight w:val="none"/>
              </w:rPr>
            </w:pPr>
            <w:r>
              <w:rPr>
                <w:rFonts w:hint="eastAsia" w:ascii="宋体" w:hAnsi="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1744416">
            <w:pPr>
              <w:rPr>
                <w:rFonts w:hint="eastAsia" w:ascii="宋体" w:hAnsi="宋体" w:cs="宋体"/>
                <w:color w:val="auto"/>
                <w:highlight w:val="none"/>
              </w:rPr>
            </w:pPr>
            <w:r>
              <w:rPr>
                <w:rFonts w:hint="eastAsia" w:ascii="宋体" w:hAnsi="宋体" w:cs="宋体"/>
                <w:color w:val="auto"/>
                <w:highlight w:val="none"/>
              </w:rPr>
              <w:t>货物名称</w:t>
            </w:r>
          </w:p>
        </w:tc>
        <w:tc>
          <w:tcPr>
            <w:tcW w:w="1251" w:type="dxa"/>
            <w:tcBorders>
              <w:top w:val="single" w:color="auto" w:sz="4" w:space="0"/>
              <w:left w:val="single" w:color="auto" w:sz="4" w:space="0"/>
              <w:bottom w:val="single" w:color="auto" w:sz="4" w:space="0"/>
              <w:right w:val="single" w:color="auto" w:sz="4" w:space="0"/>
            </w:tcBorders>
            <w:vAlign w:val="center"/>
          </w:tcPr>
          <w:p w14:paraId="1B11393D">
            <w:pPr>
              <w:jc w:val="center"/>
              <w:rPr>
                <w:rFonts w:hint="eastAsia" w:ascii="宋体" w:hAnsi="宋体" w:cs="宋体"/>
                <w:color w:val="auto"/>
                <w:highlight w:val="none"/>
              </w:rPr>
            </w:pPr>
            <w:r>
              <w:rPr>
                <w:rFonts w:hint="eastAsia" w:ascii="宋体" w:hAnsi="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34477655">
            <w:pPr>
              <w:jc w:val="center"/>
              <w:rPr>
                <w:rFonts w:hint="eastAsia" w:ascii="宋体" w:hAnsi="宋体" w:cs="宋体"/>
                <w:color w:val="auto"/>
                <w:highlight w:val="none"/>
              </w:rPr>
            </w:pPr>
            <w:r>
              <w:rPr>
                <w:rFonts w:hint="eastAsia" w:ascii="宋体" w:hAnsi="宋体" w:cs="宋体"/>
                <w:color w:val="auto"/>
                <w:highlight w:val="none"/>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4472338E">
            <w:pPr>
              <w:jc w:val="center"/>
              <w:rPr>
                <w:rFonts w:hint="eastAsia" w:ascii="宋体" w:hAnsi="宋体" w:cs="宋体"/>
                <w:color w:val="auto"/>
                <w:highlight w:val="none"/>
              </w:rPr>
            </w:pPr>
            <w:r>
              <w:rPr>
                <w:rFonts w:hint="eastAsia" w:ascii="宋体" w:hAnsi="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796D4100">
            <w:pPr>
              <w:rPr>
                <w:rFonts w:hint="eastAsia" w:ascii="宋体" w:hAnsi="宋体" w:cs="宋体"/>
                <w:color w:val="auto"/>
                <w:highlight w:val="none"/>
              </w:rPr>
            </w:pPr>
            <w:r>
              <w:rPr>
                <w:rFonts w:hint="eastAsia" w:ascii="宋体" w:hAnsi="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68D7DD1E">
            <w:pPr>
              <w:rPr>
                <w:rFonts w:hint="eastAsia" w:ascii="宋体" w:hAnsi="宋体" w:cs="宋体"/>
                <w:color w:val="auto"/>
                <w:highlight w:val="none"/>
              </w:rPr>
            </w:pPr>
            <w:r>
              <w:rPr>
                <w:rFonts w:hint="eastAsia" w:ascii="宋体" w:hAnsi="宋体" w:cs="宋体"/>
                <w:color w:val="auto"/>
                <w:highlight w:val="none"/>
              </w:rPr>
              <w:t>单项合价（元）</w:t>
            </w:r>
          </w:p>
          <w:p w14:paraId="490D2E7F">
            <w:pPr>
              <w:rPr>
                <w:rFonts w:hint="eastAsia" w:ascii="宋体" w:hAnsi="宋体" w:cs="宋体"/>
                <w:color w:val="auto"/>
                <w:highlight w:val="none"/>
              </w:rPr>
            </w:pPr>
            <w:r>
              <w:rPr>
                <w:rFonts w:hint="eastAsia" w:ascii="宋体" w:hAnsi="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D41CD84">
            <w:pPr>
              <w:jc w:val="center"/>
              <w:rPr>
                <w:rFonts w:hint="eastAsia" w:ascii="宋体" w:hAnsi="宋体" w:cs="宋体"/>
                <w:color w:val="auto"/>
                <w:highlight w:val="none"/>
              </w:rPr>
            </w:pPr>
            <w:r>
              <w:rPr>
                <w:rFonts w:hint="eastAsia" w:ascii="宋体" w:hAnsi="宋体" w:cs="宋体"/>
                <w:color w:val="auto"/>
                <w:highlight w:val="none"/>
              </w:rPr>
              <w:t>备注</w:t>
            </w:r>
          </w:p>
        </w:tc>
      </w:tr>
      <w:tr w14:paraId="5EE9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627FEAF">
            <w:pPr>
              <w:jc w:val="center"/>
              <w:rPr>
                <w:rFonts w:hint="eastAsia" w:ascii="宋体" w:hAnsi="宋体" w:cs="宋体"/>
                <w:color w:val="auto"/>
                <w:highlight w:val="none"/>
              </w:rPr>
            </w:pPr>
            <w:r>
              <w:rPr>
                <w:rFonts w:hint="eastAsia" w:ascii="宋体" w:hAns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626F1C1">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313125E">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AB98F51">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5BFC6758">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DABFB65">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86F9C1E">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8825717">
            <w:pPr>
              <w:rPr>
                <w:rFonts w:hint="eastAsia" w:ascii="宋体" w:hAnsi="宋体" w:cs="宋体"/>
                <w:color w:val="auto"/>
                <w:highlight w:val="none"/>
              </w:rPr>
            </w:pPr>
          </w:p>
        </w:tc>
      </w:tr>
      <w:tr w14:paraId="0D2C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0FEC7602">
            <w:pPr>
              <w:jc w:val="center"/>
              <w:rPr>
                <w:rFonts w:hint="eastAsia" w:ascii="宋体" w:hAnsi="宋体" w:cs="宋体"/>
                <w:color w:val="auto"/>
                <w:highlight w:val="none"/>
              </w:rPr>
            </w:pPr>
            <w:r>
              <w:rPr>
                <w:rFonts w:hint="eastAsia" w:ascii="宋体" w:hAns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F961205">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322D262">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EAE1431">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66E8A57">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4608A3B">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3DCA830">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B0BB077">
            <w:pPr>
              <w:rPr>
                <w:rFonts w:hint="eastAsia" w:ascii="宋体" w:hAnsi="宋体" w:cs="宋体"/>
                <w:color w:val="auto"/>
                <w:highlight w:val="none"/>
              </w:rPr>
            </w:pPr>
          </w:p>
        </w:tc>
      </w:tr>
      <w:tr w14:paraId="749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6AD92342">
            <w:pPr>
              <w:jc w:val="center"/>
              <w:rPr>
                <w:rFonts w:hint="eastAsia" w:ascii="宋体" w:hAnsi="宋体" w:cs="宋体"/>
                <w:color w:val="auto"/>
                <w:highlight w:val="none"/>
              </w:rPr>
            </w:pPr>
            <w:r>
              <w:rPr>
                <w:rFonts w:hint="eastAsia" w:ascii="宋体" w:hAns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2CC38CC">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7A39B30">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04984CB2">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27E1478">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A67E179">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5CA4C6D">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D67F874">
            <w:pPr>
              <w:rPr>
                <w:rFonts w:hint="eastAsia" w:ascii="宋体" w:hAnsi="宋体" w:cs="宋体"/>
                <w:color w:val="auto"/>
                <w:highlight w:val="none"/>
              </w:rPr>
            </w:pPr>
          </w:p>
        </w:tc>
      </w:tr>
      <w:tr w14:paraId="1173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D332772">
            <w:pPr>
              <w:spacing w:line="360" w:lineRule="auto"/>
              <w:rPr>
                <w:rFonts w:hint="eastAsia" w:ascii="宋体" w:hAnsi="宋体" w:cs="宋体"/>
                <w:color w:val="auto"/>
                <w:highlight w:val="none"/>
              </w:rPr>
            </w:pPr>
            <w:r>
              <w:rPr>
                <w:rFonts w:hint="eastAsia" w:ascii="宋体" w:hAnsi="宋体" w:cs="宋体"/>
                <w:color w:val="auto"/>
                <w:highlight w:val="none"/>
              </w:rPr>
              <w:t>竞标总报价（包含税费等所有费用）：</w:t>
            </w:r>
            <w:r>
              <w:rPr>
                <w:rFonts w:hint="eastAsia" w:ascii="宋体" w:hAnsi="宋体" w:cs="宋体"/>
                <w:color w:val="auto"/>
                <w:highlight w:val="none"/>
                <w:u w:val="single"/>
              </w:rPr>
              <w:t xml:space="preserve">（大写）人民币                      （小写）¥           </w:t>
            </w:r>
            <w:r>
              <w:rPr>
                <w:rFonts w:hint="eastAsia" w:ascii="宋体" w:hAnsi="宋体" w:cs="宋体"/>
                <w:color w:val="auto"/>
                <w:highlight w:val="none"/>
              </w:rPr>
              <w:t xml:space="preserve"> </w:t>
            </w:r>
          </w:p>
        </w:tc>
      </w:tr>
      <w:tr w14:paraId="30F4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5CA56E6">
            <w:pPr>
              <w:rPr>
                <w:rFonts w:hint="eastAsia" w:ascii="宋体" w:hAnsi="宋体" w:cs="宋体"/>
                <w:color w:val="auto"/>
                <w:highlight w:val="none"/>
              </w:rPr>
            </w:pPr>
            <w:r>
              <w:rPr>
                <w:rFonts w:hint="eastAsia" w:ascii="宋体" w:hAnsi="宋体" w:cs="宋体"/>
                <w:color w:val="auto"/>
                <w:highlight w:val="none"/>
              </w:rPr>
              <w:t>交货时间：</w:t>
            </w:r>
          </w:p>
        </w:tc>
      </w:tr>
      <w:tr w14:paraId="2669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F1EB98B">
            <w:pPr>
              <w:rPr>
                <w:rFonts w:hint="eastAsia" w:ascii="宋体" w:hAnsi="宋体" w:cs="宋体"/>
                <w:color w:val="auto"/>
                <w:highlight w:val="none"/>
              </w:rPr>
            </w:pPr>
            <w:r>
              <w:rPr>
                <w:rFonts w:hint="eastAsia" w:ascii="宋体" w:hAnsi="宋体" w:cs="宋体"/>
                <w:color w:val="auto"/>
                <w:highlight w:val="none"/>
              </w:rPr>
              <w:t>优惠及其它：</w:t>
            </w:r>
            <w:r>
              <w:rPr>
                <w:rFonts w:hint="eastAsia" w:ascii="宋体" w:hAnsi="宋体" w:cs="宋体"/>
                <w:i/>
                <w:iCs/>
                <w:color w:val="auto"/>
                <w:highlight w:val="none"/>
              </w:rPr>
              <w:t>（如没有填写无）</w:t>
            </w:r>
          </w:p>
        </w:tc>
      </w:tr>
    </w:tbl>
    <w:p w14:paraId="77FB5777">
      <w:pPr>
        <w:snapToGrid w:val="0"/>
        <w:spacing w:before="50" w:after="50" w:line="360" w:lineRule="auto"/>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lang w:val="zh-CN"/>
        </w:rPr>
        <w:t xml:space="preserve">注： </w:t>
      </w:r>
    </w:p>
    <w:p w14:paraId="10BE068A">
      <w:pPr>
        <w:snapToGrid w:val="0"/>
        <w:spacing w:before="50" w:after="50" w:line="360" w:lineRule="auto"/>
        <w:ind w:firstLine="420" w:firstLineChars="200"/>
        <w:jc w:val="left"/>
        <w:rPr>
          <w:rFonts w:hint="eastAsia" w:ascii="宋体" w:hAnsi="宋体" w:cs="宋体"/>
          <w:bCs/>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供应商需按本表格式填写，不得自行更改，也不得留空（</w:t>
      </w:r>
      <w:r>
        <w:rPr>
          <w:rFonts w:hint="eastAsia" w:ascii="宋体" w:hAnsi="宋体" w:cs="宋体"/>
          <w:color w:val="auto"/>
          <w:szCs w:val="21"/>
          <w:highlight w:val="none"/>
        </w:rPr>
        <w:t>备注除外</w:t>
      </w:r>
      <w:r>
        <w:rPr>
          <w:rFonts w:hint="eastAsia" w:ascii="宋体" w:hAnsi="宋体" w:cs="宋体"/>
          <w:color w:val="auto"/>
          <w:kern w:val="0"/>
          <w:szCs w:val="21"/>
          <w:highlight w:val="none"/>
          <w:lang w:val="zh-CN"/>
        </w:rPr>
        <w:t>）, 如有多分标，按分标分别提供响应报价表，</w:t>
      </w:r>
      <w:r>
        <w:rPr>
          <w:rFonts w:hint="eastAsia" w:ascii="宋体" w:hAnsi="宋体" w:cs="宋体"/>
          <w:b/>
          <w:color w:val="auto"/>
          <w:kern w:val="0"/>
          <w:szCs w:val="21"/>
          <w:highlight w:val="none"/>
          <w:lang w:val="zh-CN"/>
        </w:rPr>
        <w:t>否则其响应按无效响应处理</w:t>
      </w:r>
      <w:r>
        <w:rPr>
          <w:rFonts w:hint="eastAsia" w:ascii="宋体" w:hAnsi="宋体" w:cs="宋体"/>
          <w:bCs/>
          <w:color w:val="auto"/>
          <w:kern w:val="0"/>
          <w:szCs w:val="21"/>
          <w:highlight w:val="none"/>
          <w:lang w:val="zh-CN"/>
        </w:rPr>
        <w:t>。</w:t>
      </w:r>
    </w:p>
    <w:p w14:paraId="781431A0">
      <w:pPr>
        <w:snapToGrid w:val="0"/>
        <w:spacing w:before="50" w:after="50" w:line="360" w:lineRule="auto"/>
        <w:ind w:firstLine="420" w:firstLineChars="200"/>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否则其响应作无效响应处理。</w:t>
      </w:r>
    </w:p>
    <w:p w14:paraId="6EF77626">
      <w:pPr>
        <w:snapToGrid w:val="0"/>
        <w:spacing w:before="50" w:after="50" w:line="360" w:lineRule="auto"/>
        <w:ind w:firstLine="420" w:firstLineChars="200"/>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cs="宋体"/>
          <w:b/>
          <w:color w:val="auto"/>
          <w:kern w:val="0"/>
          <w:szCs w:val="21"/>
          <w:highlight w:val="none"/>
          <w:lang w:val="zh-CN"/>
        </w:rPr>
        <w:t>否则其响应作无效响应处理。</w:t>
      </w:r>
    </w:p>
    <w:p w14:paraId="4B43237B">
      <w:pPr>
        <w:snapToGrid w:val="0"/>
        <w:spacing w:before="50" w:after="50"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14:paraId="59EF38D4">
      <w:pPr>
        <w:snapToGrid w:val="0"/>
        <w:spacing w:before="50" w:after="50"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5、符合采购文件中列明的可享受中小企业扶持政策的供应商，请填写中小企业声明函。</w:t>
      </w:r>
    </w:p>
    <w:p w14:paraId="3B57F903">
      <w:pPr>
        <w:snapToGrid w:val="0"/>
        <w:spacing w:before="50" w:after="50"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7A91504E">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17DF1B90">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739EB0DB">
      <w:pPr>
        <w:autoSpaceDE w:val="0"/>
        <w:autoSpaceDN w:val="0"/>
        <w:spacing w:line="360" w:lineRule="auto"/>
        <w:ind w:firstLine="6480" w:firstLineChars="2700"/>
        <w:rPr>
          <w:rFonts w:hint="eastAsia" w:ascii="宋体" w:hAnsi="宋体" w:cs="宋体"/>
          <w:b/>
          <w:color w:val="auto"/>
          <w:szCs w:val="21"/>
          <w:highlight w:val="none"/>
        </w:rPr>
      </w:pPr>
      <w:r>
        <w:rPr>
          <w:rFonts w:hint="eastAsia" w:ascii="宋体" w:hAnsi="宋体" w:cs="宋体"/>
          <w:color w:val="auto"/>
          <w:kern w:val="0"/>
          <w:sz w:val="24"/>
          <w:szCs w:val="24"/>
          <w:highlight w:val="none"/>
          <w:lang w:val="zh-CN"/>
        </w:rPr>
        <w:t>日期：  年  月   日</w:t>
      </w:r>
    </w:p>
    <w:p w14:paraId="18BB6816">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1D9B61B">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6535D077">
      <w:pPr>
        <w:snapToGrid w:val="0"/>
        <w:spacing w:before="50" w:after="50" w:line="360" w:lineRule="auto"/>
        <w:ind w:firstLine="4518" w:firstLineChars="1500"/>
        <w:rPr>
          <w:rFonts w:hint="eastAsia" w:ascii="宋体" w:hAnsi="宋体" w:cs="宋体"/>
          <w:color w:val="auto"/>
          <w:sz w:val="24"/>
          <w:szCs w:val="24"/>
          <w:highlight w:val="none"/>
        </w:rPr>
      </w:pPr>
      <w:r>
        <w:rPr>
          <w:rFonts w:hint="eastAsia" w:ascii="宋体" w:hAnsi="宋体" w:cs="宋体"/>
          <w:b/>
          <w:color w:val="auto"/>
          <w:sz w:val="30"/>
          <w:szCs w:val="30"/>
          <w:highlight w:val="none"/>
          <w:lang w:val="zh-CN"/>
        </w:rPr>
        <w:t>最后报价表</w:t>
      </w:r>
    </w:p>
    <w:p w14:paraId="09351F15">
      <w:pPr>
        <w:snapToGrid w:val="0"/>
        <w:spacing w:before="50" w:after="5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06AB68A5">
      <w:pPr>
        <w:snapToGrid w:val="0"/>
        <w:spacing w:before="50" w:after="5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p w14:paraId="225A9452">
      <w:pPr>
        <w:snapToGrid w:val="0"/>
        <w:spacing w:before="50" w:after="50" w:line="360" w:lineRule="auto"/>
        <w:rPr>
          <w:rFonts w:hint="eastAsia" w:ascii="宋体" w:hAnsi="宋体" w:cs="宋体"/>
          <w:color w:val="auto"/>
          <w:sz w:val="24"/>
          <w:szCs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bl>
      <w:tblPr>
        <w:tblStyle w:val="30"/>
        <w:tblW w:w="981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2550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51180DD">
            <w:pPr>
              <w:rPr>
                <w:rFonts w:hint="eastAsia" w:ascii="宋体" w:hAnsi="宋体" w:cs="宋体"/>
                <w:color w:val="auto"/>
                <w:highlight w:val="none"/>
              </w:rPr>
            </w:pPr>
            <w:r>
              <w:rPr>
                <w:rFonts w:hint="eastAsia" w:ascii="宋体" w:hAnsi="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A587B00">
            <w:pPr>
              <w:rPr>
                <w:rFonts w:hint="eastAsia" w:ascii="宋体" w:hAnsi="宋体" w:cs="宋体"/>
                <w:color w:val="auto"/>
                <w:highlight w:val="none"/>
              </w:rPr>
            </w:pPr>
            <w:r>
              <w:rPr>
                <w:rFonts w:hint="eastAsia" w:ascii="宋体" w:hAnsi="宋体" w:cs="宋体"/>
                <w:color w:val="auto"/>
                <w:highlight w:val="none"/>
              </w:rPr>
              <w:t>货物名称</w:t>
            </w:r>
          </w:p>
        </w:tc>
        <w:tc>
          <w:tcPr>
            <w:tcW w:w="1251" w:type="dxa"/>
            <w:tcBorders>
              <w:top w:val="single" w:color="auto" w:sz="4" w:space="0"/>
              <w:left w:val="single" w:color="auto" w:sz="4" w:space="0"/>
              <w:bottom w:val="single" w:color="auto" w:sz="4" w:space="0"/>
              <w:right w:val="single" w:color="auto" w:sz="4" w:space="0"/>
            </w:tcBorders>
            <w:vAlign w:val="center"/>
          </w:tcPr>
          <w:p w14:paraId="71E08DA1">
            <w:pPr>
              <w:jc w:val="center"/>
              <w:rPr>
                <w:rFonts w:hint="eastAsia" w:ascii="宋体" w:hAnsi="宋体" w:cs="宋体"/>
                <w:color w:val="auto"/>
                <w:highlight w:val="none"/>
              </w:rPr>
            </w:pPr>
            <w:r>
              <w:rPr>
                <w:rFonts w:hint="eastAsia" w:ascii="宋体" w:hAnsi="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3DFFB877">
            <w:pPr>
              <w:jc w:val="center"/>
              <w:rPr>
                <w:rFonts w:hint="eastAsia" w:ascii="宋体" w:hAnsi="宋体" w:cs="宋体"/>
                <w:color w:val="auto"/>
                <w:highlight w:val="none"/>
              </w:rPr>
            </w:pPr>
            <w:r>
              <w:rPr>
                <w:rFonts w:hint="eastAsia" w:ascii="宋体" w:hAnsi="宋体" w:cs="宋体"/>
                <w:color w:val="auto"/>
                <w:highlight w:val="none"/>
              </w:rPr>
              <w:t>品牌</w:t>
            </w:r>
          </w:p>
          <w:p w14:paraId="4800166C">
            <w:pPr>
              <w:jc w:val="center"/>
              <w:rPr>
                <w:rFonts w:hint="eastAsia" w:ascii="宋体" w:hAnsi="宋体" w:cs="宋体"/>
                <w:color w:val="auto"/>
                <w:highlight w:val="none"/>
              </w:rPr>
            </w:pPr>
            <w:r>
              <w:rPr>
                <w:rFonts w:hint="eastAsia" w:ascii="宋体" w:hAnsi="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582830F0">
            <w:pPr>
              <w:jc w:val="center"/>
              <w:rPr>
                <w:rFonts w:hint="eastAsia" w:ascii="宋体" w:hAnsi="宋体" w:cs="宋体"/>
                <w:color w:val="auto"/>
                <w:highlight w:val="none"/>
              </w:rPr>
            </w:pPr>
            <w:r>
              <w:rPr>
                <w:rFonts w:hint="eastAsia" w:ascii="宋体" w:hAnsi="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648568B5">
            <w:pPr>
              <w:rPr>
                <w:rFonts w:hint="eastAsia" w:ascii="宋体" w:hAnsi="宋体" w:cs="宋体"/>
                <w:color w:val="auto"/>
                <w:highlight w:val="none"/>
              </w:rPr>
            </w:pPr>
            <w:r>
              <w:rPr>
                <w:rFonts w:hint="eastAsia" w:ascii="宋体" w:hAnsi="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3F793B96">
            <w:pPr>
              <w:rPr>
                <w:rFonts w:hint="eastAsia" w:ascii="宋体" w:hAnsi="宋体" w:cs="宋体"/>
                <w:color w:val="auto"/>
                <w:highlight w:val="none"/>
              </w:rPr>
            </w:pPr>
            <w:r>
              <w:rPr>
                <w:rFonts w:hint="eastAsia" w:ascii="宋体" w:hAnsi="宋体" w:cs="宋体"/>
                <w:color w:val="auto"/>
                <w:highlight w:val="none"/>
              </w:rPr>
              <w:t>单项合价（元）</w:t>
            </w:r>
          </w:p>
          <w:p w14:paraId="367BABDF">
            <w:pPr>
              <w:rPr>
                <w:rFonts w:hint="eastAsia" w:ascii="宋体" w:hAnsi="宋体" w:cs="宋体"/>
                <w:color w:val="auto"/>
                <w:highlight w:val="none"/>
              </w:rPr>
            </w:pPr>
            <w:r>
              <w:rPr>
                <w:rFonts w:hint="eastAsia" w:ascii="宋体" w:hAnsi="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4629862">
            <w:pPr>
              <w:jc w:val="center"/>
              <w:rPr>
                <w:rFonts w:hint="eastAsia" w:ascii="宋体" w:hAnsi="宋体" w:cs="宋体"/>
                <w:color w:val="auto"/>
                <w:highlight w:val="none"/>
              </w:rPr>
            </w:pPr>
            <w:r>
              <w:rPr>
                <w:rFonts w:hint="eastAsia" w:ascii="宋体" w:hAnsi="宋体" w:cs="宋体"/>
                <w:color w:val="auto"/>
                <w:highlight w:val="none"/>
              </w:rPr>
              <w:t>备注</w:t>
            </w:r>
          </w:p>
        </w:tc>
      </w:tr>
      <w:tr w14:paraId="2BD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B098C39">
            <w:pPr>
              <w:jc w:val="center"/>
              <w:rPr>
                <w:rFonts w:hint="eastAsia" w:ascii="宋体" w:hAnsi="宋体" w:cs="宋体"/>
                <w:color w:val="auto"/>
                <w:highlight w:val="none"/>
              </w:rPr>
            </w:pPr>
            <w:r>
              <w:rPr>
                <w:rFonts w:hint="eastAsia" w:ascii="宋体" w:hAns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E914362">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7A58A3B">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B285F33">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3062965">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126A900">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2FBF027">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500595F">
            <w:pPr>
              <w:rPr>
                <w:rFonts w:hint="eastAsia" w:ascii="宋体" w:hAnsi="宋体" w:cs="宋体"/>
                <w:color w:val="auto"/>
                <w:highlight w:val="none"/>
              </w:rPr>
            </w:pPr>
          </w:p>
        </w:tc>
      </w:tr>
      <w:tr w14:paraId="1FF8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8AF363E">
            <w:pPr>
              <w:jc w:val="center"/>
              <w:rPr>
                <w:rFonts w:hint="eastAsia" w:ascii="宋体" w:hAnsi="宋体" w:cs="宋体"/>
                <w:color w:val="auto"/>
                <w:highlight w:val="none"/>
              </w:rPr>
            </w:pPr>
            <w:r>
              <w:rPr>
                <w:rFonts w:hint="eastAsia" w:ascii="宋体" w:hAns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21361CB">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14B84DE3">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E0A0C42">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F607B86">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86891E2">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7E4EDCF3">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29957A60">
            <w:pPr>
              <w:rPr>
                <w:rFonts w:hint="eastAsia" w:ascii="宋体" w:hAnsi="宋体" w:cs="宋体"/>
                <w:color w:val="auto"/>
                <w:highlight w:val="none"/>
              </w:rPr>
            </w:pPr>
          </w:p>
        </w:tc>
      </w:tr>
      <w:tr w14:paraId="150A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18931671">
            <w:pPr>
              <w:jc w:val="center"/>
              <w:rPr>
                <w:rFonts w:hint="eastAsia" w:ascii="宋体" w:hAnsi="宋体" w:cs="宋体"/>
                <w:color w:val="auto"/>
                <w:highlight w:val="none"/>
              </w:rPr>
            </w:pPr>
            <w:r>
              <w:rPr>
                <w:rFonts w:hint="eastAsia" w:ascii="宋体" w:hAns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3DF3B7F">
            <w:pPr>
              <w:rPr>
                <w:rFonts w:hint="eastAsia" w:ascii="宋体" w:hAnsi="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1F38C00E">
            <w:pPr>
              <w:rPr>
                <w:rFonts w:hint="eastAsia" w:ascii="宋体" w:hAnsi="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75AF484">
            <w:pPr>
              <w:rPr>
                <w:rFonts w:hint="eastAsia" w:ascii="宋体" w:hAnsi="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3924E98">
            <w:pPr>
              <w:rPr>
                <w:rFonts w:hint="eastAsia" w:ascii="宋体" w:hAnsi="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B58FA39">
            <w:pPr>
              <w:rPr>
                <w:rFonts w:hint="eastAsia" w:ascii="宋体" w:hAnsi="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F44160A">
            <w:pPr>
              <w:rPr>
                <w:rFonts w:hint="eastAsia" w:ascii="宋体" w:hAnsi="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41820C9">
            <w:pPr>
              <w:rPr>
                <w:rFonts w:hint="eastAsia" w:ascii="宋体" w:hAnsi="宋体" w:cs="宋体"/>
                <w:color w:val="auto"/>
                <w:highlight w:val="none"/>
              </w:rPr>
            </w:pPr>
          </w:p>
        </w:tc>
      </w:tr>
      <w:tr w14:paraId="137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0FD5D873">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355143D2">
            <w:pPr>
              <w:pStyle w:val="2"/>
              <w:jc w:val="both"/>
              <w:rPr>
                <w:color w:val="auto"/>
                <w:highlight w:val="none"/>
              </w:rPr>
            </w:pPr>
          </w:p>
        </w:tc>
      </w:tr>
      <w:tr w14:paraId="11AF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194EF04">
            <w:pPr>
              <w:rPr>
                <w:rFonts w:hint="eastAsia" w:ascii="宋体" w:hAnsi="宋体" w:cs="宋体"/>
                <w:color w:val="auto"/>
                <w:highlight w:val="none"/>
              </w:rPr>
            </w:pPr>
            <w:r>
              <w:rPr>
                <w:rFonts w:hint="eastAsia" w:ascii="宋体" w:hAnsi="宋体" w:cs="宋体"/>
                <w:color w:val="auto"/>
                <w:highlight w:val="none"/>
              </w:rPr>
              <w:t>交货时间：</w:t>
            </w:r>
          </w:p>
        </w:tc>
      </w:tr>
      <w:tr w14:paraId="6A87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07AEAB0">
            <w:pPr>
              <w:rPr>
                <w:rFonts w:hint="eastAsia" w:ascii="宋体" w:hAnsi="宋体" w:cs="宋体"/>
                <w:color w:val="auto"/>
                <w:highlight w:val="none"/>
              </w:rPr>
            </w:pPr>
            <w:r>
              <w:rPr>
                <w:rFonts w:hint="eastAsia" w:ascii="宋体" w:hAnsi="宋体" w:cs="宋体"/>
                <w:color w:val="auto"/>
                <w:highlight w:val="none"/>
              </w:rPr>
              <w:t>优惠及其它：</w:t>
            </w:r>
            <w:r>
              <w:rPr>
                <w:rFonts w:hint="eastAsia" w:ascii="宋体" w:hAnsi="宋体" w:cs="宋体"/>
                <w:i/>
                <w:iCs/>
                <w:color w:val="auto"/>
                <w:highlight w:val="none"/>
              </w:rPr>
              <w:t>（如没有填写无）</w:t>
            </w:r>
          </w:p>
        </w:tc>
      </w:tr>
    </w:tbl>
    <w:p w14:paraId="1A584FE9">
      <w:pPr>
        <w:pStyle w:val="2"/>
        <w:spacing w:line="360" w:lineRule="auto"/>
        <w:ind w:firstLine="480" w:firstLineChars="200"/>
        <w:rPr>
          <w:rFonts w:hint="eastAsia" w:ascii="宋体" w:hAnsi="宋体" w:cs="宋体"/>
          <w:color w:val="auto"/>
          <w:sz w:val="24"/>
          <w:szCs w:val="24"/>
          <w:highlight w:val="none"/>
        </w:rPr>
      </w:pPr>
    </w:p>
    <w:p w14:paraId="3A7382F7">
      <w:pPr>
        <w:pStyle w:val="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40D6CA76">
      <w:pPr>
        <w:pStyle w:val="2"/>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14:paraId="2A9BA15D">
      <w:pPr>
        <w:snapToGrid w:val="0"/>
        <w:spacing w:before="50" w:after="50" w:line="360" w:lineRule="auto"/>
        <w:ind w:firstLine="420" w:firstLineChars="200"/>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否则其响应作无效响应处理。</w:t>
      </w:r>
    </w:p>
    <w:p w14:paraId="51441AE9">
      <w:pPr>
        <w:snapToGrid w:val="0"/>
        <w:spacing w:before="50" w:after="50" w:line="360" w:lineRule="auto"/>
        <w:ind w:firstLine="420" w:firstLineChars="200"/>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3、以上表格要求细分项目及报价，在“标的名称”一栏中，填写具体货物，在“规格型号”一栏中，填写具体货物规格和型号，</w:t>
      </w:r>
      <w:r>
        <w:rPr>
          <w:rFonts w:hint="eastAsia"/>
          <w:color w:val="auto"/>
          <w:highlight w:val="none"/>
        </w:rPr>
        <w:t>如为开发定制产品没有“规格型号”则相关内容填“定制”，</w:t>
      </w:r>
      <w:r>
        <w:rPr>
          <w:rFonts w:hint="eastAsia" w:ascii="宋体" w:hAnsi="宋体" w:cs="宋体"/>
          <w:b/>
          <w:color w:val="auto"/>
          <w:kern w:val="0"/>
          <w:szCs w:val="21"/>
          <w:highlight w:val="none"/>
          <w:lang w:val="zh-CN"/>
        </w:rPr>
        <w:t>否则其响应作无效响应处理。</w:t>
      </w:r>
    </w:p>
    <w:p w14:paraId="3CF80D07">
      <w:pPr>
        <w:snapToGrid w:val="0"/>
        <w:spacing w:before="50" w:after="50" w:line="360" w:lineRule="auto"/>
        <w:ind w:firstLine="420" w:firstLineChars="200"/>
        <w:jc w:val="left"/>
        <w:rPr>
          <w:rFonts w:hint="eastAsia" w:ascii="宋体" w:hAnsi="宋体" w:cs="宋体"/>
          <w:color w:val="auto"/>
          <w:sz w:val="24"/>
          <w:szCs w:val="24"/>
          <w:highlight w:val="none"/>
          <w:u w:val="single"/>
        </w:rPr>
      </w:pPr>
      <w:r>
        <w:rPr>
          <w:rFonts w:hint="eastAsia" w:ascii="宋体" w:hAnsi="宋体" w:cs="宋体"/>
          <w:color w:val="auto"/>
          <w:kern w:val="0"/>
          <w:szCs w:val="21"/>
          <w:highlight w:val="none"/>
          <w:lang w:val="zh-CN"/>
        </w:rPr>
        <w:t>4、特别提示：采购代理机构将对项目名称和项目编号，成交供应商名称、地址和成交金额，主要成交标的的名称、规格型号、数量、单价等予以公示。</w:t>
      </w:r>
      <w:r>
        <w:rPr>
          <w:rFonts w:hint="eastAsia" w:ascii="宋体" w:hAnsi="宋体" w:cs="宋体"/>
          <w:color w:val="auto"/>
          <w:sz w:val="24"/>
          <w:szCs w:val="24"/>
          <w:highlight w:val="none"/>
        </w:rPr>
        <w:t xml:space="preserve"> </w:t>
      </w:r>
    </w:p>
    <w:p w14:paraId="44AACF7D">
      <w:pPr>
        <w:autoSpaceDE w:val="0"/>
        <w:autoSpaceDN w:val="0"/>
        <w:spacing w:line="360" w:lineRule="auto"/>
        <w:rPr>
          <w:rFonts w:hint="eastAsia" w:ascii="宋体" w:hAnsi="宋体" w:cs="宋体"/>
          <w:i/>
          <w:iCs/>
          <w:color w:val="auto"/>
          <w:kern w:val="0"/>
          <w:sz w:val="32"/>
          <w:szCs w:val="32"/>
          <w:highlight w:val="none"/>
          <w:lang w:val="zh-CN"/>
        </w:rPr>
      </w:pPr>
    </w:p>
    <w:p w14:paraId="6E553FC8">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13FF7581">
      <w:pPr>
        <w:autoSpaceDE w:val="0"/>
        <w:autoSpaceDN w:val="0"/>
        <w:spacing w:line="360" w:lineRule="auto"/>
        <w:ind w:firstLine="6480" w:firstLineChars="27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7D0F0026">
      <w:pPr>
        <w:snapToGrid w:val="0"/>
        <w:spacing w:before="120" w:beforeLines="50" w:after="50" w:line="400" w:lineRule="exact"/>
        <w:jc w:val="center"/>
        <w:rPr>
          <w:rFonts w:hint="eastAsia" w:ascii="宋体" w:hAnsi="宋体" w:cs="宋体"/>
          <w:color w:val="auto"/>
          <w:sz w:val="24"/>
          <w:szCs w:val="24"/>
          <w:highlight w:val="none"/>
        </w:rPr>
      </w:pPr>
    </w:p>
    <w:p w14:paraId="768FDF50">
      <w:pPr>
        <w:pStyle w:val="21"/>
        <w:snapToGrid w:val="0"/>
        <w:spacing w:line="320" w:lineRule="exact"/>
        <w:ind w:left="-202"/>
        <w:rPr>
          <w:rFonts w:hint="eastAsia" w:hAnsi="宋体" w:cs="宋体"/>
          <w:color w:val="auto"/>
          <w:sz w:val="24"/>
          <w:szCs w:val="24"/>
          <w:highlight w:val="none"/>
        </w:rPr>
      </w:pPr>
      <w:r>
        <w:rPr>
          <w:rFonts w:hint="eastAsia" w:hAnsi="宋体" w:cs="宋体"/>
          <w:color w:val="auto"/>
          <w:sz w:val="24"/>
          <w:szCs w:val="24"/>
          <w:highlight w:val="none"/>
        </w:rPr>
        <w:br w:type="page"/>
      </w:r>
    </w:p>
    <w:p w14:paraId="55142BD6">
      <w:pPr>
        <w:keepNext/>
        <w:keepLines/>
        <w:spacing w:before="260" w:after="260" w:line="416" w:lineRule="auto"/>
        <w:jc w:val="center"/>
        <w:outlineLvl w:val="1"/>
        <w:rPr>
          <w:rFonts w:hint="eastAsia" w:ascii="宋体" w:hAnsi="宋体"/>
          <w:bCs/>
          <w:color w:val="auto"/>
          <w:sz w:val="32"/>
          <w:szCs w:val="32"/>
          <w:highlight w:val="none"/>
          <w:lang w:val="zh-CN"/>
        </w:rPr>
      </w:pPr>
      <w:bookmarkStart w:id="114" w:name="_Toc80205942"/>
      <w:bookmarkStart w:id="115" w:name="_Toc23320"/>
      <w:bookmarkStart w:id="116" w:name="_Toc28446"/>
      <w:bookmarkStart w:id="117" w:name="_Toc13939"/>
      <w:r>
        <w:rPr>
          <w:rFonts w:hint="eastAsia" w:ascii="宋体" w:hAnsi="宋体"/>
          <w:b/>
          <w:bCs/>
          <w:color w:val="auto"/>
          <w:sz w:val="32"/>
          <w:szCs w:val="32"/>
          <w:highlight w:val="none"/>
          <w:lang w:val="zh-CN"/>
        </w:rPr>
        <w:t>第四节 其他文书、文件格式</w:t>
      </w:r>
      <w:bookmarkEnd w:id="114"/>
      <w:bookmarkEnd w:id="115"/>
      <w:bookmarkEnd w:id="116"/>
      <w:bookmarkEnd w:id="117"/>
    </w:p>
    <w:p w14:paraId="0363DCB9">
      <w:pPr>
        <w:spacing w:line="500" w:lineRule="exact"/>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14:paraId="3CBF1B0A">
      <w:pPr>
        <w:pStyle w:val="15"/>
        <w:rPr>
          <w:rFonts w:hint="eastAsia" w:ascii="宋体" w:hAnsi="宋体" w:cs="宋体"/>
          <w:color w:val="auto"/>
          <w:highlight w:val="none"/>
        </w:rPr>
      </w:pPr>
    </w:p>
    <w:p w14:paraId="156F4E92">
      <w:pPr>
        <w:spacing w:line="300" w:lineRule="auto"/>
        <w:ind w:firstLine="2200" w:firstLineChars="5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053FDFC5">
      <w:pPr>
        <w:spacing w:line="360" w:lineRule="auto"/>
        <w:ind w:left="-426" w:right="142" w:firstLine="640"/>
        <w:contextualSpacing/>
        <w:rPr>
          <w:rFonts w:hint="eastAsia" w:ascii="宋体" w:hAnsi="宋体" w:cs="宋体"/>
          <w:color w:val="auto"/>
          <w:sz w:val="24"/>
          <w:szCs w:val="24"/>
          <w:highlight w:val="none"/>
          <w:lang w:val="zh-CN"/>
        </w:rPr>
      </w:pPr>
    </w:p>
    <w:p w14:paraId="4A503037">
      <w:pPr>
        <w:spacing w:line="360" w:lineRule="auto"/>
        <w:ind w:left="-426" w:right="142" w:firstLine="64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的</w:t>
      </w:r>
      <w:r>
        <w:rPr>
          <w:rFonts w:hint="eastAsia" w:ascii="宋体" w:hAnsi="宋体" w:cs="宋体"/>
          <w:i/>
          <w:iCs/>
          <w:color w:val="auto"/>
          <w:sz w:val="24"/>
          <w:szCs w:val="24"/>
          <w:highlight w:val="none"/>
          <w:u w:val="single"/>
        </w:rPr>
        <w:t>（项目名称）</w:t>
      </w:r>
      <w:r>
        <w:rPr>
          <w:rFonts w:hint="eastAsia" w:ascii="宋体" w:hAnsi="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14:paraId="007B48B0">
      <w:pPr>
        <w:tabs>
          <w:tab w:val="left" w:pos="1384"/>
          <w:tab w:val="left" w:pos="4562"/>
          <w:tab w:val="left" w:pos="6803"/>
        </w:tabs>
        <w:spacing w:line="360" w:lineRule="auto"/>
        <w:ind w:left="-426" w:right="-58" w:firstLine="655"/>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i/>
          <w:iCs/>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i/>
          <w:iCs/>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i/>
          <w:iCs/>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i/>
          <w:iCs/>
          <w:color w:val="auto"/>
          <w:sz w:val="24"/>
          <w:szCs w:val="24"/>
          <w:highlight w:val="none"/>
          <w:u w:val="single"/>
        </w:rPr>
        <w:t>（中型企业、小型企业、微型企业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6B6C9D1E">
      <w:pPr>
        <w:tabs>
          <w:tab w:val="left" w:pos="1065"/>
          <w:tab w:val="left" w:pos="6477"/>
        </w:tabs>
        <w:spacing w:line="360" w:lineRule="auto"/>
        <w:ind w:left="-426" w:right="-58" w:firstLine="655"/>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i/>
          <w:iCs/>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i/>
          <w:iCs/>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i/>
          <w:iCs/>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i/>
          <w:iCs/>
          <w:color w:val="auto"/>
          <w:sz w:val="24"/>
          <w:szCs w:val="24"/>
          <w:highlight w:val="none"/>
          <w:u w:val="single"/>
        </w:rPr>
        <w:t>（中型企业、小型企业、微型企业）</w:t>
      </w:r>
      <w:r>
        <w:rPr>
          <w:rFonts w:hint="eastAsia" w:ascii="宋体" w:hAnsi="宋体" w:cs="宋体"/>
          <w:color w:val="auto"/>
          <w:sz w:val="24"/>
          <w:szCs w:val="24"/>
          <w:highlight w:val="none"/>
        </w:rPr>
        <w:t>；</w:t>
      </w:r>
    </w:p>
    <w:p w14:paraId="3D6D640C">
      <w:pPr>
        <w:spacing w:line="360" w:lineRule="auto"/>
        <w:ind w:left="142" w:right="142"/>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p>
    <w:p w14:paraId="6B56956B">
      <w:pPr>
        <w:spacing w:line="360" w:lineRule="auto"/>
        <w:ind w:left="-405" w:leftChars="-193" w:right="142" w:firstLine="453" w:firstLineChars="189"/>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以上企业，不属于大企业的分支机构，不存在控股股东为大企业的情形，也不存在与大企业的负责人为同一人的情形。</w:t>
      </w:r>
    </w:p>
    <w:p w14:paraId="74239E20">
      <w:pPr>
        <w:spacing w:line="360" w:lineRule="auto"/>
        <w:ind w:left="-426" w:right="142" w:firstLine="567"/>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本企业对上述声明内容的真实性负责。如有虚假，将依法承担相应责任。</w:t>
      </w:r>
    </w:p>
    <w:p w14:paraId="533CB562">
      <w:pPr>
        <w:spacing w:line="360" w:lineRule="auto"/>
        <w:ind w:left="3960" w:right="1808"/>
        <w:contextualSpacing/>
        <w:rPr>
          <w:rFonts w:hint="eastAsia" w:ascii="宋体" w:hAnsi="宋体" w:cs="宋体"/>
          <w:color w:val="auto"/>
          <w:sz w:val="24"/>
          <w:szCs w:val="24"/>
          <w:highlight w:val="none"/>
          <w:lang w:val="zh-CN"/>
        </w:rPr>
      </w:pPr>
    </w:p>
    <w:p w14:paraId="11FC24A3">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供应商名称（盖公章）：</w:t>
      </w:r>
    </w:p>
    <w:p w14:paraId="0501E7BA">
      <w:pPr>
        <w:autoSpaceDE w:val="0"/>
        <w:autoSpaceDN w:val="0"/>
        <w:spacing w:line="360" w:lineRule="auto"/>
        <w:ind w:firstLine="6480" w:firstLineChars="27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66BA2F3C">
      <w:pPr>
        <w:spacing w:line="360" w:lineRule="auto"/>
        <w:ind w:left="3960" w:right="1808"/>
        <w:contextualSpacing/>
        <w:rPr>
          <w:rFonts w:hint="eastAsia" w:ascii="宋体" w:hAnsi="宋体" w:cs="宋体"/>
          <w:color w:val="auto"/>
          <w:szCs w:val="24"/>
          <w:highlight w:val="none"/>
          <w:lang w:val="zh-CN"/>
        </w:rPr>
      </w:pPr>
    </w:p>
    <w:p w14:paraId="44041AB6">
      <w:pPr>
        <w:spacing w:line="360" w:lineRule="auto"/>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w:t>
      </w:r>
      <w:r>
        <w:rPr>
          <w:rFonts w:hint="eastAsia" w:ascii="宋体" w:hAnsi="宋体" w:cs="宋体"/>
          <w:color w:val="auto"/>
          <w:sz w:val="24"/>
          <w:highlight w:val="none"/>
        </w:rPr>
        <w:t>，接受社会监督</w:t>
      </w:r>
      <w:r>
        <w:rPr>
          <w:rFonts w:hint="eastAsia" w:ascii="宋体" w:hAnsi="宋体" w:cs="宋体"/>
          <w:color w:val="auto"/>
          <w:sz w:val="24"/>
          <w:szCs w:val="24"/>
          <w:highlight w:val="none"/>
        </w:rPr>
        <w:t>。从业人员、营业收入、资产总额填报上一年度数据，无上一年度数据的新成立企业可不填报。</w:t>
      </w:r>
    </w:p>
    <w:p w14:paraId="1C6E9E28">
      <w:pPr>
        <w:spacing w:line="520" w:lineRule="exact"/>
        <w:rPr>
          <w:rFonts w:hint="eastAsia" w:ascii="宋体" w:hAnsi="宋体" w:cs="宋体"/>
          <w:color w:val="auto"/>
          <w:sz w:val="24"/>
          <w:szCs w:val="24"/>
          <w:highlight w:val="none"/>
        </w:rPr>
      </w:pPr>
    </w:p>
    <w:p w14:paraId="251D6A94">
      <w:pPr>
        <w:spacing w:line="520" w:lineRule="exact"/>
        <w:jc w:val="center"/>
        <w:rPr>
          <w:rFonts w:hint="eastAsia" w:ascii="宋体" w:hAnsi="宋体" w:cs="宋体"/>
          <w:color w:val="auto"/>
          <w:sz w:val="44"/>
          <w:szCs w:val="44"/>
          <w:highlight w:val="none"/>
        </w:rPr>
      </w:pPr>
    </w:p>
    <w:p w14:paraId="302340C0">
      <w:pPr>
        <w:spacing w:line="520" w:lineRule="exact"/>
        <w:rPr>
          <w:rFonts w:hint="eastAsia"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14:paraId="7E571D34">
      <w:pPr>
        <w:spacing w:line="520" w:lineRule="exact"/>
        <w:jc w:val="center"/>
        <w:rPr>
          <w:rFonts w:hint="eastAsia" w:ascii="宋体" w:hAnsi="宋体" w:cs="宋体"/>
          <w:color w:val="auto"/>
          <w:sz w:val="44"/>
          <w:szCs w:val="44"/>
          <w:highlight w:val="none"/>
        </w:rPr>
      </w:pPr>
    </w:p>
    <w:p w14:paraId="0239671C">
      <w:pPr>
        <w:spacing w:line="520" w:lineRule="exact"/>
        <w:jc w:val="center"/>
        <w:rPr>
          <w:rFonts w:hint="eastAsia" w:ascii="宋体" w:hAnsi="宋体" w:cs="宋体"/>
          <w:color w:val="auto"/>
          <w:sz w:val="44"/>
          <w:szCs w:val="44"/>
          <w:highlight w:val="none"/>
        </w:rPr>
      </w:pPr>
    </w:p>
    <w:p w14:paraId="43E67815">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1031D7DF">
      <w:pPr>
        <w:spacing w:line="520" w:lineRule="exact"/>
        <w:rPr>
          <w:rFonts w:hint="eastAsia" w:ascii="宋体" w:hAnsi="宋体" w:cs="宋体"/>
          <w:color w:val="auto"/>
          <w:sz w:val="32"/>
          <w:szCs w:val="32"/>
          <w:highlight w:val="none"/>
        </w:rPr>
      </w:pPr>
    </w:p>
    <w:p w14:paraId="5DCE95D8">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CF93591">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339EB6A">
      <w:pPr>
        <w:spacing w:line="360" w:lineRule="auto"/>
        <w:contextualSpacing/>
        <w:rPr>
          <w:rFonts w:hint="eastAsia" w:ascii="宋体" w:hAnsi="宋体" w:cs="宋体"/>
          <w:color w:val="auto"/>
          <w:sz w:val="24"/>
          <w:szCs w:val="24"/>
          <w:highlight w:val="none"/>
        </w:rPr>
      </w:pPr>
    </w:p>
    <w:p w14:paraId="2C753F9B">
      <w:pPr>
        <w:spacing w:line="360" w:lineRule="auto"/>
        <w:contextualSpacing/>
        <w:rPr>
          <w:rFonts w:hint="eastAsia" w:ascii="宋体" w:hAnsi="宋体" w:cs="宋体"/>
          <w:color w:val="auto"/>
          <w:sz w:val="24"/>
          <w:szCs w:val="24"/>
          <w:highlight w:val="none"/>
        </w:rPr>
      </w:pPr>
    </w:p>
    <w:p w14:paraId="64E48DAA">
      <w:pPr>
        <w:spacing w:line="360" w:lineRule="auto"/>
        <w:contextualSpacing/>
        <w:rPr>
          <w:rFonts w:hint="eastAsia" w:ascii="宋体" w:hAnsi="宋体" w:cs="宋体"/>
          <w:color w:val="auto"/>
          <w:sz w:val="24"/>
          <w:szCs w:val="24"/>
          <w:highlight w:val="none"/>
        </w:rPr>
      </w:pPr>
    </w:p>
    <w:p w14:paraId="37FDA30A">
      <w:pPr>
        <w:spacing w:line="360" w:lineRule="auto"/>
        <w:ind w:firstLine="2400" w:firstLineChars="10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供应商名称（盖公章）：</w:t>
      </w:r>
    </w:p>
    <w:p w14:paraId="6F79D843">
      <w:pPr>
        <w:spacing w:line="360" w:lineRule="auto"/>
        <w:ind w:firstLine="4320" w:firstLineChars="18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6C60C48B">
      <w:pPr>
        <w:spacing w:line="360" w:lineRule="auto"/>
        <w:contextualSpacing/>
        <w:rPr>
          <w:rFonts w:hint="eastAsia" w:ascii="宋体" w:hAnsi="宋体" w:cs="宋体"/>
          <w:color w:val="auto"/>
          <w:sz w:val="24"/>
          <w:szCs w:val="24"/>
          <w:highlight w:val="none"/>
        </w:rPr>
      </w:pPr>
    </w:p>
    <w:p w14:paraId="091B9549">
      <w:pPr>
        <w:spacing w:line="360" w:lineRule="auto"/>
        <w:contextualSpacing/>
        <w:rPr>
          <w:rFonts w:hint="eastAsia" w:ascii="宋体" w:hAnsi="宋体" w:cs="宋体"/>
          <w:color w:val="auto"/>
          <w:sz w:val="24"/>
          <w:szCs w:val="24"/>
          <w:highlight w:val="none"/>
        </w:rPr>
      </w:pPr>
    </w:p>
    <w:p w14:paraId="22F26361">
      <w:pPr>
        <w:spacing w:line="360" w:lineRule="auto"/>
        <w:contextualSpacing/>
        <w:rPr>
          <w:rFonts w:hint="eastAsia" w:ascii="宋体" w:hAnsi="宋体" w:cs="宋体"/>
          <w:color w:val="auto"/>
          <w:sz w:val="24"/>
          <w:szCs w:val="24"/>
          <w:highlight w:val="none"/>
        </w:rPr>
      </w:pPr>
    </w:p>
    <w:p w14:paraId="6BDEE451">
      <w:pPr>
        <w:overflowPunct w:val="0"/>
        <w:spacing w:line="520" w:lineRule="exact"/>
        <w:rPr>
          <w:rFonts w:hint="eastAsia" w:ascii="宋体" w:hAnsi="宋体" w:cs="宋体"/>
          <w:b/>
          <w:color w:val="auto"/>
          <w:kern w:val="0"/>
          <w:sz w:val="30"/>
          <w:szCs w:val="30"/>
          <w:highlight w:val="none"/>
        </w:rPr>
      </w:pPr>
      <w:r>
        <w:rPr>
          <w:rFonts w:hint="eastAsia" w:ascii="宋体" w:hAnsi="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782AB285">
      <w:pPr>
        <w:pStyle w:val="10"/>
        <w:rPr>
          <w:color w:val="auto"/>
          <w:highlight w:val="none"/>
        </w:rPr>
      </w:pPr>
    </w:p>
    <w:p w14:paraId="18CB123C">
      <w:pPr>
        <w:spacing w:line="360" w:lineRule="auto"/>
        <w:jc w:val="center"/>
        <w:rPr>
          <w:rFonts w:hint="eastAsia" w:ascii="宋体" w:hAnsi="宋体" w:cs="宋体"/>
          <w:b/>
          <w:bCs/>
          <w:color w:val="auto"/>
          <w:sz w:val="44"/>
          <w:szCs w:val="44"/>
          <w:highlight w:val="none"/>
        </w:rPr>
      </w:pPr>
    </w:p>
    <w:p w14:paraId="3919D688">
      <w:pPr>
        <w:widowControl/>
        <w:shd w:val="clear" w:color="auto" w:fill="FFFFFF"/>
        <w:spacing w:line="480" w:lineRule="atLeast"/>
        <w:rPr>
          <w:rFonts w:hint="eastAsia" w:ascii="宋体" w:hAnsi="宋体" w:cs="宋体"/>
          <w:color w:val="auto"/>
          <w:sz w:val="28"/>
          <w:szCs w:val="28"/>
          <w:highlight w:val="none"/>
        </w:rPr>
      </w:pPr>
    </w:p>
    <w:p w14:paraId="2FDD1AF4">
      <w:pPr>
        <w:widowControl/>
        <w:shd w:val="clear" w:color="auto" w:fill="FFFFFF"/>
        <w:spacing w:line="480" w:lineRule="atLeast"/>
        <w:rPr>
          <w:rFonts w:hint="eastAsia" w:ascii="宋体" w:hAnsi="宋体" w:cs="宋体"/>
          <w:color w:val="auto"/>
          <w:sz w:val="28"/>
          <w:szCs w:val="28"/>
          <w:highlight w:val="none"/>
        </w:rPr>
      </w:pPr>
    </w:p>
    <w:p w14:paraId="07052C25">
      <w:pPr>
        <w:widowControl/>
        <w:shd w:val="clear" w:color="auto" w:fill="FFFFFF"/>
        <w:spacing w:line="480" w:lineRule="atLeast"/>
        <w:rPr>
          <w:rFonts w:hint="eastAsia" w:ascii="宋体" w:hAnsi="宋体" w:cs="宋体"/>
          <w:color w:val="auto"/>
          <w:sz w:val="28"/>
          <w:szCs w:val="28"/>
          <w:highlight w:val="none"/>
        </w:rPr>
      </w:pPr>
    </w:p>
    <w:p w14:paraId="0A180DA6">
      <w:pPr>
        <w:widowControl/>
        <w:shd w:val="clear" w:color="auto" w:fill="FFFFFF"/>
        <w:spacing w:line="480" w:lineRule="atLeast"/>
        <w:rPr>
          <w:rFonts w:hint="eastAsia" w:ascii="宋体" w:hAnsi="宋体" w:cs="宋体"/>
          <w:color w:val="auto"/>
          <w:sz w:val="28"/>
          <w:szCs w:val="28"/>
          <w:highlight w:val="none"/>
        </w:rPr>
      </w:pPr>
    </w:p>
    <w:p w14:paraId="1D5549C1">
      <w:pPr>
        <w:widowControl/>
        <w:shd w:val="clear" w:color="auto" w:fill="FFFFFF"/>
        <w:spacing w:line="480" w:lineRule="atLeast"/>
        <w:rPr>
          <w:rFonts w:hint="eastAsia" w:ascii="宋体" w:hAnsi="宋体" w:cs="宋体"/>
          <w:color w:val="auto"/>
          <w:sz w:val="28"/>
          <w:szCs w:val="28"/>
          <w:highlight w:val="none"/>
        </w:rPr>
      </w:pPr>
    </w:p>
    <w:p w14:paraId="51E11641">
      <w:pPr>
        <w:spacing w:line="5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3.广西壮族自治区政府采购项目合同验收书的格式：</w:t>
      </w:r>
    </w:p>
    <w:p w14:paraId="14025B62">
      <w:pPr>
        <w:widowControl/>
        <w:jc w:val="left"/>
        <w:rPr>
          <w:rFonts w:hint="eastAsia" w:ascii="宋体" w:hAnsi="宋体" w:cs="宋体"/>
          <w:color w:val="auto"/>
          <w:kern w:val="0"/>
          <w:sz w:val="28"/>
          <w:szCs w:val="28"/>
          <w:highlight w:val="none"/>
        </w:rPr>
      </w:pPr>
    </w:p>
    <w:p w14:paraId="2AC4726E">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1DF395FA">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5271A876">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5F13FD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1C4A499">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C7F0DF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0F60A8C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E1B198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BE468D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1E9D96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A9E1026">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6A5671E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4F0EF08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85C0EE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FB93BD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45537D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39F834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E0A922">
            <w:pPr>
              <w:widowControl/>
              <w:spacing w:before="100" w:beforeAutospacing="1" w:after="100" w:afterAutospacing="1" w:line="240" w:lineRule="atLeast"/>
              <w:jc w:val="center"/>
              <w:rPr>
                <w:rFonts w:ascii="Verdana" w:hAnsi="Verdana" w:cs="宋体"/>
                <w:color w:val="auto"/>
                <w:kern w:val="0"/>
                <w:szCs w:val="21"/>
                <w:highlight w:val="none"/>
              </w:rPr>
            </w:pPr>
          </w:p>
        </w:tc>
      </w:tr>
      <w:tr w14:paraId="0B616ED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6B8A9C5">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EB78BC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5EC830B">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336C22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64B9C6">
            <w:pPr>
              <w:widowControl/>
              <w:spacing w:before="100" w:beforeAutospacing="1" w:after="100" w:afterAutospacing="1" w:line="240" w:lineRule="atLeast"/>
              <w:jc w:val="center"/>
              <w:rPr>
                <w:rFonts w:ascii="Verdana" w:hAnsi="Verdana" w:cs="宋体"/>
                <w:color w:val="auto"/>
                <w:kern w:val="0"/>
                <w:szCs w:val="21"/>
                <w:highlight w:val="none"/>
              </w:rPr>
            </w:pPr>
          </w:p>
        </w:tc>
      </w:tr>
      <w:tr w14:paraId="702175E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708C969">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DAA7771">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12A04E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0D1352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DA8D7B1">
            <w:pPr>
              <w:widowControl/>
              <w:spacing w:before="100" w:beforeAutospacing="1" w:after="100" w:afterAutospacing="1" w:line="240" w:lineRule="atLeast"/>
              <w:jc w:val="center"/>
              <w:rPr>
                <w:rFonts w:ascii="Verdana" w:hAnsi="Verdana" w:cs="宋体"/>
                <w:color w:val="auto"/>
                <w:kern w:val="0"/>
                <w:szCs w:val="21"/>
                <w:highlight w:val="none"/>
              </w:rPr>
            </w:pPr>
          </w:p>
        </w:tc>
      </w:tr>
      <w:tr w14:paraId="2D7807C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FAD797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F4A2E3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0234368">
            <w:pPr>
              <w:widowControl/>
              <w:spacing w:before="100" w:beforeAutospacing="1" w:after="100" w:afterAutospacing="1" w:line="240" w:lineRule="atLeast"/>
              <w:jc w:val="center"/>
              <w:rPr>
                <w:rFonts w:ascii="Verdana" w:hAnsi="Verdana" w:cs="宋体"/>
                <w:color w:val="auto"/>
                <w:kern w:val="0"/>
                <w:szCs w:val="21"/>
                <w:highlight w:val="none"/>
              </w:rPr>
            </w:pPr>
          </w:p>
        </w:tc>
      </w:tr>
      <w:tr w14:paraId="1AEF2957">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8B1907D">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CC4B21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86444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CB0273D">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DB5BD6B">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00121C4">
            <w:pPr>
              <w:widowControl/>
              <w:spacing w:before="100" w:beforeAutospacing="1" w:after="100" w:afterAutospacing="1" w:line="240" w:lineRule="atLeast"/>
              <w:jc w:val="center"/>
              <w:rPr>
                <w:rFonts w:ascii="Verdana" w:hAnsi="Verdana" w:cs="宋体"/>
                <w:color w:val="auto"/>
                <w:kern w:val="0"/>
                <w:szCs w:val="21"/>
                <w:highlight w:val="none"/>
              </w:rPr>
            </w:pPr>
          </w:p>
        </w:tc>
      </w:tr>
      <w:tr w14:paraId="46226E4C">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40B2239">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285F9B34">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8F3E4A9">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51A1BFC7">
            <w:pPr>
              <w:widowControl/>
              <w:spacing w:before="100" w:beforeAutospacing="1" w:after="100" w:afterAutospacing="1" w:line="240" w:lineRule="atLeast"/>
              <w:jc w:val="center"/>
              <w:rPr>
                <w:rFonts w:ascii="Verdana" w:hAnsi="Verdana" w:cs="宋体"/>
                <w:color w:val="auto"/>
                <w:kern w:val="0"/>
                <w:szCs w:val="21"/>
                <w:highlight w:val="none"/>
              </w:rPr>
            </w:pPr>
          </w:p>
        </w:tc>
      </w:tr>
      <w:tr w14:paraId="092376D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1A456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C13D23C">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F8ACFC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CE1C2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8F8CF2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4595C02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1F7510D">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547059D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0A189F0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77EC4F8B">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E568A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18A460F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06AB6C9">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3E2E25E4">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429B479B">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1FD19">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3BA725C2">
            <w:pPr>
              <w:widowControl/>
              <w:spacing w:before="100" w:beforeAutospacing="1" w:after="100" w:afterAutospacing="1" w:line="320" w:lineRule="atLeast"/>
              <w:jc w:val="left"/>
              <w:rPr>
                <w:rFonts w:ascii="Verdana" w:hAnsi="Verdana" w:cs="宋体"/>
                <w:color w:val="auto"/>
                <w:kern w:val="0"/>
                <w:szCs w:val="21"/>
                <w:highlight w:val="none"/>
              </w:rPr>
            </w:pPr>
          </w:p>
          <w:p w14:paraId="1B4808B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5D5F4A8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447DD4C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789F77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34EEB999">
      <w:pPr>
        <w:pStyle w:val="21"/>
        <w:snapToGrid w:val="0"/>
        <w:rPr>
          <w:rFonts w:hint="eastAsia" w:hAnsi="宋体"/>
          <w:color w:val="auto"/>
          <w:highlight w:val="none"/>
        </w:rPr>
      </w:pPr>
      <w:r>
        <w:rPr>
          <w:rFonts w:hAnsi="宋体"/>
          <w:color w:val="auto"/>
          <w:highlight w:val="none"/>
        </w:rPr>
        <w:br w:type="page"/>
      </w:r>
    </w:p>
    <w:p w14:paraId="2EB9D4D8">
      <w:pPr>
        <w:spacing w:line="5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4.政府采购项目履约保证金退付意见书的格式：</w:t>
      </w:r>
    </w:p>
    <w:p w14:paraId="5F9E41C0">
      <w:pPr>
        <w:rPr>
          <w:rFonts w:hint="eastAsia" w:ascii="宋体" w:hAnsi="宋体" w:cs="宋体"/>
          <w:color w:val="auto"/>
          <w:sz w:val="28"/>
          <w:szCs w:val="28"/>
          <w:highlight w:val="none"/>
        </w:rPr>
      </w:pPr>
    </w:p>
    <w:p w14:paraId="5B0C806D">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680C30C6">
      <w:pPr>
        <w:jc w:val="center"/>
        <w:rPr>
          <w:rFonts w:hint="eastAsia" w:ascii="黑体" w:hAnsi="黑体" w:eastAsia="黑体"/>
          <w:color w:val="auto"/>
          <w:sz w:val="36"/>
          <w:szCs w:val="36"/>
          <w:highlight w:val="none"/>
        </w:rPr>
      </w:pP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896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3346CFD8">
            <w:pPr>
              <w:jc w:val="center"/>
              <w:rPr>
                <w:color w:val="auto"/>
                <w:sz w:val="24"/>
                <w:highlight w:val="none"/>
              </w:rPr>
            </w:pPr>
            <w:r>
              <w:rPr>
                <w:rFonts w:hint="eastAsia"/>
                <w:color w:val="auto"/>
                <w:sz w:val="24"/>
                <w:highlight w:val="none"/>
              </w:rPr>
              <w:t>供</w:t>
            </w:r>
          </w:p>
          <w:p w14:paraId="3BBA8703">
            <w:pPr>
              <w:jc w:val="center"/>
              <w:rPr>
                <w:color w:val="auto"/>
                <w:sz w:val="24"/>
                <w:highlight w:val="none"/>
              </w:rPr>
            </w:pPr>
            <w:r>
              <w:rPr>
                <w:rFonts w:hint="eastAsia"/>
                <w:color w:val="auto"/>
                <w:sz w:val="24"/>
                <w:highlight w:val="none"/>
              </w:rPr>
              <w:t>应</w:t>
            </w:r>
          </w:p>
          <w:p w14:paraId="4815889C">
            <w:pPr>
              <w:jc w:val="center"/>
              <w:rPr>
                <w:color w:val="auto"/>
                <w:sz w:val="24"/>
                <w:highlight w:val="none"/>
              </w:rPr>
            </w:pPr>
            <w:r>
              <w:rPr>
                <w:rFonts w:hint="eastAsia"/>
                <w:color w:val="auto"/>
                <w:sz w:val="24"/>
                <w:highlight w:val="none"/>
              </w:rPr>
              <w:t>商</w:t>
            </w:r>
          </w:p>
          <w:p w14:paraId="32D353DD">
            <w:pPr>
              <w:jc w:val="center"/>
              <w:rPr>
                <w:color w:val="auto"/>
                <w:sz w:val="24"/>
                <w:highlight w:val="none"/>
              </w:rPr>
            </w:pPr>
            <w:r>
              <w:rPr>
                <w:rFonts w:hint="eastAsia"/>
                <w:color w:val="auto"/>
                <w:sz w:val="24"/>
                <w:highlight w:val="none"/>
              </w:rPr>
              <w:t>申</w:t>
            </w:r>
          </w:p>
          <w:p w14:paraId="686CD68F">
            <w:pPr>
              <w:jc w:val="center"/>
              <w:rPr>
                <w:color w:val="auto"/>
                <w:sz w:val="24"/>
                <w:highlight w:val="none"/>
              </w:rPr>
            </w:pPr>
            <w:r>
              <w:rPr>
                <w:rFonts w:hint="eastAsia"/>
                <w:color w:val="auto"/>
                <w:sz w:val="24"/>
                <w:highlight w:val="none"/>
              </w:rPr>
              <w:t>请</w:t>
            </w:r>
          </w:p>
        </w:tc>
        <w:tc>
          <w:tcPr>
            <w:tcW w:w="8009" w:type="dxa"/>
            <w:vAlign w:val="center"/>
          </w:tcPr>
          <w:p w14:paraId="51B2945B">
            <w:pPr>
              <w:rPr>
                <w:color w:val="auto"/>
                <w:sz w:val="24"/>
                <w:highlight w:val="none"/>
              </w:rPr>
            </w:pPr>
            <w:r>
              <w:rPr>
                <w:rFonts w:hint="eastAsia"/>
                <w:color w:val="auto"/>
                <w:sz w:val="24"/>
                <w:highlight w:val="none"/>
              </w:rPr>
              <w:t>项目编号：</w:t>
            </w:r>
          </w:p>
        </w:tc>
      </w:tr>
      <w:tr w14:paraId="2B07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6F368BC">
            <w:pPr>
              <w:rPr>
                <w:color w:val="auto"/>
                <w:sz w:val="24"/>
                <w:highlight w:val="none"/>
              </w:rPr>
            </w:pPr>
          </w:p>
        </w:tc>
        <w:tc>
          <w:tcPr>
            <w:tcW w:w="8009" w:type="dxa"/>
            <w:vAlign w:val="center"/>
          </w:tcPr>
          <w:p w14:paraId="4718E2CC">
            <w:pPr>
              <w:rPr>
                <w:color w:val="auto"/>
                <w:sz w:val="24"/>
                <w:highlight w:val="none"/>
              </w:rPr>
            </w:pPr>
            <w:r>
              <w:rPr>
                <w:rFonts w:hint="eastAsia"/>
                <w:color w:val="auto"/>
                <w:sz w:val="24"/>
                <w:highlight w:val="none"/>
              </w:rPr>
              <w:t>项目名称：</w:t>
            </w:r>
          </w:p>
        </w:tc>
      </w:tr>
      <w:tr w14:paraId="18F5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5768D5E6">
            <w:pPr>
              <w:rPr>
                <w:color w:val="auto"/>
                <w:sz w:val="24"/>
                <w:highlight w:val="none"/>
              </w:rPr>
            </w:pPr>
          </w:p>
        </w:tc>
        <w:tc>
          <w:tcPr>
            <w:tcW w:w="8009" w:type="dxa"/>
          </w:tcPr>
          <w:p w14:paraId="23D26C07">
            <w:pPr>
              <w:rPr>
                <w:color w:val="auto"/>
                <w:sz w:val="24"/>
                <w:highlight w:val="none"/>
              </w:rPr>
            </w:pPr>
            <w:r>
              <w:rPr>
                <w:rFonts w:hint="eastAsia"/>
                <w:color w:val="auto"/>
                <w:sz w:val="24"/>
                <w:highlight w:val="none"/>
              </w:rPr>
              <w:t xml:space="preserve">  </w:t>
            </w:r>
          </w:p>
          <w:p w14:paraId="77C81194">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0CDD6918">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14:paraId="48A90F29">
            <w:pPr>
              <w:rPr>
                <w:color w:val="auto"/>
                <w:sz w:val="24"/>
                <w:highlight w:val="none"/>
              </w:rPr>
            </w:pPr>
            <w:r>
              <w:rPr>
                <w:rFonts w:hint="eastAsia"/>
                <w:color w:val="auto"/>
                <w:sz w:val="24"/>
                <w:highlight w:val="none"/>
              </w:rPr>
              <w:t>单位名称：</w:t>
            </w:r>
          </w:p>
          <w:p w14:paraId="5578E897">
            <w:pPr>
              <w:rPr>
                <w:color w:val="auto"/>
                <w:sz w:val="24"/>
                <w:highlight w:val="none"/>
              </w:rPr>
            </w:pPr>
            <w:r>
              <w:rPr>
                <w:rFonts w:hint="eastAsia"/>
                <w:color w:val="auto"/>
                <w:sz w:val="24"/>
                <w:highlight w:val="none"/>
              </w:rPr>
              <w:t>开户银行：</w:t>
            </w:r>
          </w:p>
          <w:p w14:paraId="2054142F">
            <w:pPr>
              <w:rPr>
                <w:color w:val="auto"/>
                <w:sz w:val="24"/>
                <w:highlight w:val="none"/>
              </w:rPr>
            </w:pPr>
            <w:r>
              <w:rPr>
                <w:rFonts w:hint="eastAsia"/>
                <w:color w:val="auto"/>
                <w:sz w:val="24"/>
                <w:highlight w:val="none"/>
              </w:rPr>
              <w:t>账    号：</w:t>
            </w:r>
          </w:p>
          <w:p w14:paraId="7D99537D">
            <w:pPr>
              <w:rPr>
                <w:color w:val="auto"/>
                <w:sz w:val="24"/>
                <w:highlight w:val="none"/>
              </w:rPr>
            </w:pPr>
            <w:r>
              <w:rPr>
                <w:rFonts w:hint="eastAsia"/>
                <w:color w:val="auto"/>
                <w:sz w:val="24"/>
                <w:highlight w:val="none"/>
              </w:rPr>
              <w:t>联系人及电话：</w:t>
            </w:r>
          </w:p>
          <w:p w14:paraId="2FB3BA99">
            <w:pPr>
              <w:rPr>
                <w:color w:val="auto"/>
                <w:sz w:val="24"/>
                <w:highlight w:val="none"/>
              </w:rPr>
            </w:pPr>
          </w:p>
          <w:p w14:paraId="2EDBF32C">
            <w:pPr>
              <w:jc w:val="center"/>
              <w:rPr>
                <w:color w:val="auto"/>
                <w:sz w:val="24"/>
                <w:highlight w:val="none"/>
              </w:rPr>
            </w:pPr>
            <w:r>
              <w:rPr>
                <w:rFonts w:hint="eastAsia"/>
                <w:color w:val="auto"/>
                <w:sz w:val="24"/>
                <w:highlight w:val="none"/>
              </w:rPr>
              <w:t xml:space="preserve">                           供应商签章：</w:t>
            </w:r>
          </w:p>
          <w:p w14:paraId="7C362C2E">
            <w:pPr>
              <w:jc w:val="center"/>
              <w:rPr>
                <w:color w:val="auto"/>
                <w:sz w:val="24"/>
                <w:highlight w:val="none"/>
              </w:rPr>
            </w:pPr>
            <w:r>
              <w:rPr>
                <w:rFonts w:hint="eastAsia"/>
                <w:color w:val="auto"/>
                <w:sz w:val="24"/>
                <w:highlight w:val="none"/>
              </w:rPr>
              <w:t xml:space="preserve">                                                年    月    日</w:t>
            </w:r>
          </w:p>
        </w:tc>
      </w:tr>
      <w:tr w14:paraId="7922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29603C01">
            <w:pPr>
              <w:jc w:val="center"/>
              <w:rPr>
                <w:color w:val="auto"/>
                <w:sz w:val="24"/>
                <w:highlight w:val="none"/>
              </w:rPr>
            </w:pPr>
            <w:r>
              <w:rPr>
                <w:rFonts w:hint="eastAsia"/>
                <w:color w:val="auto"/>
                <w:sz w:val="24"/>
                <w:highlight w:val="none"/>
              </w:rPr>
              <w:t>采</w:t>
            </w:r>
          </w:p>
          <w:p w14:paraId="6D8E7783">
            <w:pPr>
              <w:jc w:val="center"/>
              <w:rPr>
                <w:color w:val="auto"/>
                <w:sz w:val="24"/>
                <w:highlight w:val="none"/>
              </w:rPr>
            </w:pPr>
            <w:r>
              <w:rPr>
                <w:rFonts w:hint="eastAsia"/>
                <w:color w:val="auto"/>
                <w:sz w:val="24"/>
                <w:highlight w:val="none"/>
              </w:rPr>
              <w:t>购</w:t>
            </w:r>
          </w:p>
          <w:p w14:paraId="51071F02">
            <w:pPr>
              <w:jc w:val="center"/>
              <w:rPr>
                <w:color w:val="auto"/>
                <w:sz w:val="24"/>
                <w:highlight w:val="none"/>
              </w:rPr>
            </w:pPr>
            <w:r>
              <w:rPr>
                <w:rFonts w:hint="eastAsia"/>
                <w:color w:val="auto"/>
                <w:sz w:val="24"/>
                <w:highlight w:val="none"/>
              </w:rPr>
              <w:t>单</w:t>
            </w:r>
          </w:p>
          <w:p w14:paraId="589BF69C">
            <w:pPr>
              <w:jc w:val="center"/>
              <w:rPr>
                <w:color w:val="auto"/>
                <w:sz w:val="24"/>
                <w:highlight w:val="none"/>
              </w:rPr>
            </w:pPr>
            <w:r>
              <w:rPr>
                <w:rFonts w:hint="eastAsia"/>
                <w:color w:val="auto"/>
                <w:sz w:val="24"/>
                <w:highlight w:val="none"/>
              </w:rPr>
              <w:t>位</w:t>
            </w:r>
          </w:p>
          <w:p w14:paraId="1D257BFE">
            <w:pPr>
              <w:jc w:val="center"/>
              <w:rPr>
                <w:color w:val="auto"/>
                <w:sz w:val="24"/>
                <w:highlight w:val="none"/>
              </w:rPr>
            </w:pPr>
            <w:r>
              <w:rPr>
                <w:rFonts w:hint="eastAsia"/>
                <w:color w:val="auto"/>
                <w:sz w:val="24"/>
                <w:highlight w:val="none"/>
              </w:rPr>
              <w:t>意</w:t>
            </w:r>
          </w:p>
          <w:p w14:paraId="59F51EE4">
            <w:pPr>
              <w:jc w:val="center"/>
              <w:rPr>
                <w:color w:val="auto"/>
                <w:sz w:val="24"/>
                <w:highlight w:val="none"/>
              </w:rPr>
            </w:pPr>
            <w:r>
              <w:rPr>
                <w:rFonts w:hint="eastAsia"/>
                <w:color w:val="auto"/>
                <w:sz w:val="24"/>
                <w:highlight w:val="none"/>
              </w:rPr>
              <w:t>见</w:t>
            </w:r>
          </w:p>
        </w:tc>
        <w:tc>
          <w:tcPr>
            <w:tcW w:w="8009" w:type="dxa"/>
          </w:tcPr>
          <w:p w14:paraId="3ADBC767">
            <w:pPr>
              <w:rPr>
                <w:color w:val="auto"/>
                <w:sz w:val="24"/>
                <w:highlight w:val="none"/>
              </w:rPr>
            </w:pPr>
          </w:p>
          <w:p w14:paraId="56A8A6E6">
            <w:pPr>
              <w:rPr>
                <w:color w:val="auto"/>
                <w:sz w:val="24"/>
                <w:highlight w:val="none"/>
              </w:rPr>
            </w:pPr>
            <w:r>
              <w:rPr>
                <w:rFonts w:hint="eastAsia"/>
                <w:color w:val="auto"/>
                <w:sz w:val="24"/>
                <w:highlight w:val="none"/>
              </w:rPr>
              <w:t>退付意见：是否同意退付履约保证金及退付金额：</w:t>
            </w:r>
          </w:p>
          <w:p w14:paraId="04B0C957">
            <w:pPr>
              <w:rPr>
                <w:color w:val="auto"/>
                <w:sz w:val="24"/>
                <w:highlight w:val="none"/>
              </w:rPr>
            </w:pPr>
          </w:p>
          <w:p w14:paraId="0FC5E6FA">
            <w:pPr>
              <w:rPr>
                <w:color w:val="auto"/>
                <w:sz w:val="24"/>
                <w:highlight w:val="none"/>
              </w:rPr>
            </w:pPr>
          </w:p>
          <w:p w14:paraId="30B9458F">
            <w:pPr>
              <w:rPr>
                <w:color w:val="auto"/>
                <w:sz w:val="24"/>
                <w:highlight w:val="none"/>
              </w:rPr>
            </w:pPr>
            <w:r>
              <w:rPr>
                <w:rFonts w:hint="eastAsia"/>
                <w:color w:val="auto"/>
                <w:sz w:val="24"/>
                <w:highlight w:val="none"/>
              </w:rPr>
              <w:t xml:space="preserve">联系人及电话：                                </w:t>
            </w:r>
          </w:p>
          <w:p w14:paraId="1AB2E0BC">
            <w:pPr>
              <w:rPr>
                <w:color w:val="auto"/>
                <w:sz w:val="24"/>
                <w:highlight w:val="none"/>
              </w:rPr>
            </w:pPr>
          </w:p>
          <w:p w14:paraId="21195203">
            <w:pPr>
              <w:ind w:firstLine="4560" w:firstLineChars="1900"/>
              <w:rPr>
                <w:color w:val="auto"/>
                <w:sz w:val="24"/>
                <w:highlight w:val="none"/>
              </w:rPr>
            </w:pPr>
            <w:r>
              <w:rPr>
                <w:rFonts w:hint="eastAsia"/>
                <w:color w:val="auto"/>
                <w:sz w:val="24"/>
                <w:highlight w:val="none"/>
              </w:rPr>
              <w:t xml:space="preserve"> 采购单位签章：</w:t>
            </w:r>
          </w:p>
          <w:p w14:paraId="521F05A4">
            <w:pPr>
              <w:jc w:val="center"/>
              <w:rPr>
                <w:color w:val="auto"/>
                <w:sz w:val="24"/>
                <w:highlight w:val="none"/>
              </w:rPr>
            </w:pPr>
            <w:r>
              <w:rPr>
                <w:rFonts w:hint="eastAsia"/>
                <w:color w:val="auto"/>
                <w:sz w:val="24"/>
                <w:highlight w:val="none"/>
              </w:rPr>
              <w:t xml:space="preserve">                                                年    月    日</w:t>
            </w:r>
          </w:p>
        </w:tc>
      </w:tr>
      <w:tr w14:paraId="2A5A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9693DD4">
            <w:pPr>
              <w:jc w:val="center"/>
              <w:rPr>
                <w:color w:val="auto"/>
                <w:sz w:val="24"/>
                <w:highlight w:val="none"/>
              </w:rPr>
            </w:pPr>
            <w:r>
              <w:rPr>
                <w:rFonts w:hint="eastAsia"/>
                <w:color w:val="auto"/>
                <w:sz w:val="24"/>
                <w:highlight w:val="none"/>
              </w:rPr>
              <w:t>财</w:t>
            </w:r>
          </w:p>
          <w:p w14:paraId="55C23750">
            <w:pPr>
              <w:jc w:val="center"/>
              <w:rPr>
                <w:color w:val="auto"/>
                <w:sz w:val="24"/>
                <w:highlight w:val="none"/>
              </w:rPr>
            </w:pPr>
            <w:r>
              <w:rPr>
                <w:rFonts w:hint="eastAsia"/>
                <w:color w:val="auto"/>
                <w:sz w:val="24"/>
                <w:highlight w:val="none"/>
              </w:rPr>
              <w:t>务</w:t>
            </w:r>
          </w:p>
          <w:p w14:paraId="2849BBBB">
            <w:pPr>
              <w:jc w:val="center"/>
              <w:rPr>
                <w:color w:val="auto"/>
                <w:sz w:val="24"/>
                <w:highlight w:val="none"/>
              </w:rPr>
            </w:pPr>
            <w:r>
              <w:rPr>
                <w:rFonts w:hint="eastAsia"/>
                <w:color w:val="auto"/>
                <w:sz w:val="24"/>
                <w:highlight w:val="none"/>
              </w:rPr>
              <w:t>部</w:t>
            </w:r>
          </w:p>
          <w:p w14:paraId="791E0E75">
            <w:pPr>
              <w:jc w:val="center"/>
              <w:rPr>
                <w:color w:val="auto"/>
                <w:sz w:val="24"/>
                <w:highlight w:val="none"/>
              </w:rPr>
            </w:pPr>
            <w:r>
              <w:rPr>
                <w:rFonts w:hint="eastAsia"/>
                <w:color w:val="auto"/>
                <w:sz w:val="24"/>
                <w:highlight w:val="none"/>
              </w:rPr>
              <w:t>门</w:t>
            </w:r>
          </w:p>
          <w:p w14:paraId="440A3D3B">
            <w:pPr>
              <w:jc w:val="center"/>
              <w:rPr>
                <w:color w:val="auto"/>
                <w:sz w:val="24"/>
                <w:highlight w:val="none"/>
              </w:rPr>
            </w:pPr>
            <w:r>
              <w:rPr>
                <w:rFonts w:hint="eastAsia"/>
                <w:color w:val="auto"/>
                <w:sz w:val="24"/>
                <w:highlight w:val="none"/>
              </w:rPr>
              <w:t>意</w:t>
            </w:r>
          </w:p>
          <w:p w14:paraId="2B9C045B">
            <w:pPr>
              <w:jc w:val="center"/>
              <w:rPr>
                <w:color w:val="auto"/>
                <w:sz w:val="24"/>
                <w:highlight w:val="none"/>
              </w:rPr>
            </w:pPr>
            <w:r>
              <w:rPr>
                <w:rFonts w:hint="eastAsia"/>
                <w:color w:val="auto"/>
                <w:sz w:val="24"/>
                <w:highlight w:val="none"/>
              </w:rPr>
              <w:t>见</w:t>
            </w:r>
          </w:p>
        </w:tc>
        <w:tc>
          <w:tcPr>
            <w:tcW w:w="8009" w:type="dxa"/>
          </w:tcPr>
          <w:p w14:paraId="583314EA">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085766CB">
            <w:pPr>
              <w:rPr>
                <w:color w:val="auto"/>
                <w:sz w:val="24"/>
                <w:highlight w:val="none"/>
              </w:rPr>
            </w:pPr>
          </w:p>
          <w:p w14:paraId="123C049B">
            <w:pPr>
              <w:rPr>
                <w:color w:val="auto"/>
                <w:sz w:val="24"/>
                <w:highlight w:val="none"/>
              </w:rPr>
            </w:pPr>
            <w:r>
              <w:rPr>
                <w:rFonts w:hint="eastAsia"/>
                <w:color w:val="auto"/>
                <w:sz w:val="24"/>
                <w:highlight w:val="none"/>
              </w:rPr>
              <w:t>会计审核：</w:t>
            </w:r>
          </w:p>
          <w:p w14:paraId="0B69E295">
            <w:pPr>
              <w:rPr>
                <w:color w:val="auto"/>
                <w:sz w:val="24"/>
                <w:highlight w:val="none"/>
              </w:rPr>
            </w:pPr>
          </w:p>
          <w:p w14:paraId="69F5E53A">
            <w:pPr>
              <w:rPr>
                <w:color w:val="auto"/>
                <w:sz w:val="24"/>
                <w:highlight w:val="none"/>
              </w:rPr>
            </w:pPr>
            <w:r>
              <w:rPr>
                <w:rFonts w:hint="eastAsia"/>
                <w:color w:val="auto"/>
                <w:sz w:val="24"/>
                <w:highlight w:val="none"/>
              </w:rPr>
              <w:t>财务负责人审核：</w:t>
            </w:r>
          </w:p>
          <w:p w14:paraId="5132F07C">
            <w:pPr>
              <w:rPr>
                <w:color w:val="auto"/>
                <w:sz w:val="24"/>
                <w:highlight w:val="none"/>
              </w:rPr>
            </w:pPr>
          </w:p>
          <w:p w14:paraId="6CCC52E7">
            <w:pPr>
              <w:rPr>
                <w:color w:val="auto"/>
                <w:sz w:val="24"/>
                <w:highlight w:val="none"/>
              </w:rPr>
            </w:pPr>
            <w:r>
              <w:rPr>
                <w:rFonts w:hint="eastAsia"/>
                <w:color w:val="auto"/>
                <w:sz w:val="24"/>
                <w:highlight w:val="none"/>
              </w:rPr>
              <w:t>单位负责人签字：</w:t>
            </w:r>
          </w:p>
          <w:p w14:paraId="1ACC9E0A">
            <w:pPr>
              <w:rPr>
                <w:color w:val="auto"/>
                <w:sz w:val="24"/>
                <w:highlight w:val="none"/>
              </w:rPr>
            </w:pPr>
          </w:p>
          <w:p w14:paraId="7A9D3D79">
            <w:pPr>
              <w:rPr>
                <w:color w:val="auto"/>
                <w:sz w:val="24"/>
                <w:highlight w:val="none"/>
              </w:rPr>
            </w:pPr>
            <w:r>
              <w:rPr>
                <w:rFonts w:hint="eastAsia"/>
                <w:color w:val="auto"/>
                <w:sz w:val="24"/>
                <w:highlight w:val="none"/>
              </w:rPr>
              <w:t>出纳办理转账日期：</w:t>
            </w:r>
          </w:p>
        </w:tc>
      </w:tr>
    </w:tbl>
    <w:p w14:paraId="03C12C8C">
      <w:pPr>
        <w:pStyle w:val="15"/>
        <w:ind w:left="1" w:firstLine="2" w:firstLineChars="1"/>
        <w:rPr>
          <w:rFonts w:ascii="宋体"/>
          <w:b/>
          <w:bCs/>
          <w:color w:val="auto"/>
          <w:sz w:val="18"/>
          <w:szCs w:val="18"/>
          <w:highlight w:val="none"/>
        </w:rPr>
      </w:pPr>
    </w:p>
    <w:p w14:paraId="4E791137">
      <w:pPr>
        <w:pStyle w:val="15"/>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14:paraId="439FB338">
      <w:pPr>
        <w:spacing w:line="360" w:lineRule="auto"/>
        <w:jc w:val="center"/>
        <w:rPr>
          <w:rFonts w:hint="eastAsia" w:ascii="宋体" w:hAnsi="宋体" w:cs="宋体"/>
          <w:b/>
          <w:bCs/>
          <w:color w:val="auto"/>
          <w:sz w:val="44"/>
          <w:szCs w:val="44"/>
          <w:highlight w:val="none"/>
        </w:rPr>
      </w:pPr>
    </w:p>
    <w:p w14:paraId="0BE06B78">
      <w:pPr>
        <w:spacing w:line="360" w:lineRule="auto"/>
        <w:jc w:val="center"/>
        <w:rPr>
          <w:rFonts w:hint="eastAsia" w:ascii="宋体" w:hAnsi="宋体" w:cs="宋体"/>
          <w:b/>
          <w:bCs/>
          <w:color w:val="auto"/>
          <w:sz w:val="44"/>
          <w:szCs w:val="44"/>
          <w:highlight w:val="none"/>
        </w:rPr>
      </w:pPr>
    </w:p>
    <w:p w14:paraId="7AEBB1D6">
      <w:pPr>
        <w:keepNext/>
        <w:keepLines/>
        <w:spacing w:before="340" w:after="330" w:line="578" w:lineRule="auto"/>
        <w:jc w:val="center"/>
        <w:outlineLvl w:val="0"/>
        <w:rPr>
          <w:rFonts w:hint="eastAsia" w:ascii="宋体" w:hAnsi="宋体" w:cs="宋体"/>
          <w:color w:val="auto"/>
          <w:kern w:val="44"/>
          <w:sz w:val="44"/>
          <w:szCs w:val="44"/>
          <w:highlight w:val="none"/>
          <w:lang w:val="zh-CN"/>
        </w:rPr>
      </w:pPr>
      <w:bookmarkStart w:id="118" w:name="_Toc80205943"/>
    </w:p>
    <w:p w14:paraId="23D1C359">
      <w:pPr>
        <w:keepNext/>
        <w:keepLines/>
        <w:spacing w:before="340" w:after="330" w:line="578" w:lineRule="auto"/>
        <w:jc w:val="center"/>
        <w:outlineLvl w:val="0"/>
        <w:rPr>
          <w:rFonts w:hint="eastAsia" w:ascii="宋体" w:hAnsi="宋体" w:cs="宋体"/>
          <w:color w:val="auto"/>
          <w:kern w:val="44"/>
          <w:sz w:val="44"/>
          <w:szCs w:val="44"/>
          <w:highlight w:val="none"/>
          <w:lang w:val="zh-CN"/>
        </w:rPr>
      </w:pPr>
    </w:p>
    <w:p w14:paraId="762EF3A8">
      <w:pPr>
        <w:keepNext/>
        <w:keepLines/>
        <w:spacing w:before="340" w:after="330" w:line="578" w:lineRule="auto"/>
        <w:jc w:val="center"/>
        <w:outlineLvl w:val="0"/>
        <w:rPr>
          <w:rFonts w:hint="eastAsia" w:ascii="宋体" w:hAnsi="宋体" w:cs="宋体"/>
          <w:color w:val="auto"/>
          <w:kern w:val="44"/>
          <w:sz w:val="44"/>
          <w:szCs w:val="44"/>
          <w:highlight w:val="none"/>
          <w:lang w:val="zh-CN"/>
        </w:rPr>
      </w:pPr>
    </w:p>
    <w:p w14:paraId="0888A7B5">
      <w:pPr>
        <w:keepNext/>
        <w:keepLines/>
        <w:spacing w:before="340" w:after="330" w:line="578" w:lineRule="auto"/>
        <w:jc w:val="center"/>
        <w:outlineLvl w:val="0"/>
        <w:rPr>
          <w:rFonts w:hint="eastAsia" w:ascii="宋体" w:hAnsi="宋体" w:cs="宋体"/>
          <w:color w:val="auto"/>
          <w:kern w:val="44"/>
          <w:sz w:val="44"/>
          <w:szCs w:val="44"/>
          <w:highlight w:val="none"/>
          <w:lang w:val="zh-CN"/>
        </w:rPr>
      </w:pPr>
    </w:p>
    <w:p w14:paraId="2DEFCADF">
      <w:pPr>
        <w:keepNext/>
        <w:keepLines/>
        <w:spacing w:before="340" w:after="330" w:line="578" w:lineRule="auto"/>
        <w:jc w:val="center"/>
        <w:outlineLvl w:val="0"/>
        <w:rPr>
          <w:rFonts w:hint="eastAsia" w:ascii="宋体" w:hAnsi="宋体" w:cs="宋体"/>
          <w:color w:val="auto"/>
          <w:kern w:val="44"/>
          <w:sz w:val="44"/>
          <w:szCs w:val="44"/>
          <w:highlight w:val="none"/>
          <w:lang w:val="zh-CN"/>
        </w:rPr>
      </w:pPr>
      <w:bookmarkStart w:id="119" w:name="_Toc14224"/>
      <w:r>
        <w:rPr>
          <w:rFonts w:hint="eastAsia" w:ascii="宋体" w:hAnsi="宋体" w:cs="宋体"/>
          <w:color w:val="auto"/>
          <w:kern w:val="44"/>
          <w:sz w:val="44"/>
          <w:szCs w:val="44"/>
          <w:highlight w:val="none"/>
          <w:lang w:val="zh-CN"/>
        </w:rPr>
        <w:t>第六章  合同文本</w:t>
      </w:r>
      <w:bookmarkEnd w:id="118"/>
      <w:bookmarkEnd w:id="119"/>
    </w:p>
    <w:p w14:paraId="2FD4262B">
      <w:pPr>
        <w:keepNext/>
        <w:keepLines/>
        <w:spacing w:before="340" w:after="330" w:line="578" w:lineRule="auto"/>
        <w:jc w:val="center"/>
        <w:outlineLvl w:val="0"/>
        <w:rPr>
          <w:rFonts w:hint="eastAsia" w:ascii="宋体" w:hAnsi="宋体" w:cs="宋体"/>
          <w:b/>
          <w:bCs/>
          <w:color w:val="auto"/>
          <w:kern w:val="44"/>
          <w:sz w:val="24"/>
          <w:szCs w:val="44"/>
          <w:highlight w:val="none"/>
          <w:u w:val="single"/>
          <w:lang w:val="zh-CN"/>
        </w:rPr>
      </w:pPr>
    </w:p>
    <w:p w14:paraId="4B8E68C9">
      <w:pPr>
        <w:jc w:val="left"/>
        <w:rPr>
          <w:rFonts w:hint="eastAsia" w:ascii="宋体" w:hAnsi="宋体"/>
          <w:b/>
          <w:bCs/>
          <w:color w:val="auto"/>
          <w:sz w:val="32"/>
          <w:szCs w:val="32"/>
          <w:highlight w:val="none"/>
        </w:rPr>
      </w:pPr>
      <w:r>
        <w:rPr>
          <w:rFonts w:hint="eastAsia" w:ascii="宋体" w:hAnsi="宋体" w:cs="宋体"/>
          <w:b/>
          <w:color w:val="auto"/>
          <w:sz w:val="24"/>
          <w:szCs w:val="24"/>
          <w:highlight w:val="none"/>
        </w:rPr>
        <w:br w:type="page"/>
      </w:r>
    </w:p>
    <w:p w14:paraId="34F3F9A7">
      <w:pPr>
        <w:pStyle w:val="21"/>
        <w:jc w:val="center"/>
        <w:rPr>
          <w:rFonts w:hint="eastAsia" w:ascii="Arial Unicode MS" w:hAnsi="Arial Unicode MS" w:eastAsia="Arial Unicode MS" w:cs="Arial Unicode MS"/>
          <w:bCs/>
          <w:color w:val="auto"/>
          <w:sz w:val="72"/>
          <w:szCs w:val="72"/>
          <w:highlight w:val="none"/>
        </w:rPr>
      </w:pPr>
      <w:r>
        <w:rPr>
          <w:rFonts w:hint="eastAsia" w:ascii="Arial Unicode MS" w:hAnsi="Arial Unicode MS" w:eastAsia="Arial Unicode MS" w:cs="Arial Unicode MS"/>
          <w:bCs/>
          <w:color w:val="auto"/>
          <w:sz w:val="72"/>
          <w:szCs w:val="72"/>
          <w:highlight w:val="none"/>
          <w:lang w:val="en-US"/>
        </w:rPr>
        <w:t>采购合同</w:t>
      </w:r>
    </w:p>
    <w:p w14:paraId="1BEE76DF">
      <w:pPr>
        <w:pStyle w:val="21"/>
        <w:rPr>
          <w:rFonts w:hint="eastAsia" w:hAnsi="宋体"/>
          <w:color w:val="auto"/>
          <w:highlight w:val="none"/>
        </w:rPr>
      </w:pPr>
    </w:p>
    <w:p w14:paraId="6151871C">
      <w:pPr>
        <w:pStyle w:val="21"/>
        <w:rPr>
          <w:rFonts w:hint="eastAsia" w:hAnsi="宋体"/>
          <w:color w:val="auto"/>
          <w:highlight w:val="none"/>
        </w:rPr>
      </w:pPr>
    </w:p>
    <w:p w14:paraId="7AA10B94">
      <w:pPr>
        <w:pStyle w:val="21"/>
        <w:rPr>
          <w:rFonts w:hint="eastAsia" w:hAnsi="宋体"/>
          <w:color w:val="auto"/>
          <w:highlight w:val="none"/>
        </w:rPr>
      </w:pPr>
    </w:p>
    <w:p w14:paraId="54ECC325">
      <w:pPr>
        <w:pStyle w:val="21"/>
        <w:rPr>
          <w:rFonts w:hint="eastAsia" w:hAnsi="宋体"/>
          <w:color w:val="auto"/>
          <w:highlight w:val="none"/>
        </w:rPr>
      </w:pPr>
    </w:p>
    <w:p w14:paraId="326080C7">
      <w:pPr>
        <w:pStyle w:val="21"/>
        <w:rPr>
          <w:rFonts w:hint="eastAsia" w:hAnsi="宋体"/>
          <w:color w:val="auto"/>
          <w:highlight w:val="none"/>
        </w:rPr>
      </w:pPr>
    </w:p>
    <w:p w14:paraId="13883192">
      <w:pPr>
        <w:pStyle w:val="21"/>
        <w:rPr>
          <w:rFonts w:hint="eastAsia" w:hAnsi="宋体"/>
          <w:color w:val="auto"/>
          <w:highlight w:val="none"/>
        </w:rPr>
      </w:pPr>
    </w:p>
    <w:p w14:paraId="381D2569">
      <w:pPr>
        <w:pStyle w:val="21"/>
        <w:rPr>
          <w:rFonts w:hint="eastAsia" w:hAnsi="宋体" w:cs="宋体"/>
          <w:color w:val="auto"/>
          <w:highlight w:val="none"/>
        </w:rPr>
      </w:pPr>
    </w:p>
    <w:p w14:paraId="245C19DD">
      <w:pPr>
        <w:pStyle w:val="21"/>
        <w:ind w:firstLine="1584" w:firstLineChars="495"/>
        <w:rPr>
          <w:rFonts w:hint="eastAsia" w:hAnsi="宋体" w:cs="宋体"/>
          <w:bCs/>
          <w:color w:val="auto"/>
          <w:sz w:val="32"/>
          <w:szCs w:val="32"/>
          <w:highlight w:val="none"/>
          <w:u w:val="single"/>
        </w:rPr>
      </w:pPr>
      <w:r>
        <w:rPr>
          <w:rFonts w:hint="eastAsia" w:hAnsi="宋体" w:cs="宋体"/>
          <w:bCs/>
          <w:color w:val="auto"/>
          <w:sz w:val="32"/>
          <w:szCs w:val="32"/>
          <w:highlight w:val="none"/>
          <w:lang w:val="en-US"/>
        </w:rPr>
        <w:t>合同</w:t>
      </w:r>
      <w:r>
        <w:rPr>
          <w:rFonts w:hint="eastAsia" w:hAnsi="宋体" w:cs="宋体"/>
          <w:bCs/>
          <w:color w:val="auto"/>
          <w:sz w:val="32"/>
          <w:szCs w:val="32"/>
          <w:highlight w:val="none"/>
        </w:rPr>
        <w:t>名称：</w:t>
      </w:r>
      <w:r>
        <w:rPr>
          <w:rFonts w:hint="eastAsia" w:hAnsi="宋体" w:cs="宋体"/>
          <w:bCs/>
          <w:color w:val="auto"/>
          <w:sz w:val="32"/>
          <w:szCs w:val="32"/>
          <w:highlight w:val="none"/>
          <w:u w:val="single"/>
        </w:rPr>
        <w:t xml:space="preserve">                    </w:t>
      </w:r>
    </w:p>
    <w:p w14:paraId="628E0706">
      <w:pPr>
        <w:pStyle w:val="21"/>
        <w:ind w:firstLine="1584" w:firstLineChars="495"/>
        <w:rPr>
          <w:rFonts w:hint="eastAsia" w:hAnsi="宋体" w:cs="宋体"/>
          <w:bCs/>
          <w:color w:val="auto"/>
          <w:sz w:val="32"/>
          <w:szCs w:val="32"/>
          <w:highlight w:val="none"/>
          <w:u w:val="single"/>
        </w:rPr>
      </w:pPr>
    </w:p>
    <w:p w14:paraId="405CDC21">
      <w:pPr>
        <w:pStyle w:val="21"/>
        <w:ind w:firstLine="1584" w:firstLineChars="495"/>
        <w:rPr>
          <w:rFonts w:hint="eastAsia" w:hAnsi="宋体" w:cs="宋体"/>
          <w:bCs/>
          <w:color w:val="auto"/>
          <w:sz w:val="32"/>
          <w:szCs w:val="32"/>
          <w:highlight w:val="none"/>
          <w:u w:val="single"/>
        </w:rPr>
      </w:pPr>
      <w:r>
        <w:rPr>
          <w:rFonts w:hint="eastAsia" w:hAnsi="宋体" w:cs="宋体"/>
          <w:bCs/>
          <w:color w:val="auto"/>
          <w:sz w:val="32"/>
          <w:szCs w:val="32"/>
          <w:highlight w:val="none"/>
        </w:rPr>
        <w:t>合同编号：</w:t>
      </w:r>
      <w:r>
        <w:rPr>
          <w:rFonts w:hint="eastAsia" w:hAnsi="宋体" w:cs="宋体"/>
          <w:bCs/>
          <w:color w:val="auto"/>
          <w:sz w:val="32"/>
          <w:szCs w:val="32"/>
          <w:highlight w:val="none"/>
          <w:u w:val="single"/>
        </w:rPr>
        <w:t xml:space="preserve">                    </w:t>
      </w:r>
    </w:p>
    <w:p w14:paraId="250D1A36">
      <w:pPr>
        <w:pStyle w:val="21"/>
        <w:jc w:val="center"/>
        <w:rPr>
          <w:rFonts w:hint="eastAsia" w:hAnsi="宋体" w:cs="宋体"/>
          <w:bCs/>
          <w:color w:val="auto"/>
          <w:highlight w:val="none"/>
        </w:rPr>
      </w:pPr>
    </w:p>
    <w:p w14:paraId="76B2042F">
      <w:pPr>
        <w:pStyle w:val="21"/>
        <w:jc w:val="center"/>
        <w:rPr>
          <w:rFonts w:hint="eastAsia" w:hAnsi="宋体" w:cs="宋体"/>
          <w:bCs/>
          <w:color w:val="auto"/>
          <w:highlight w:val="none"/>
        </w:rPr>
      </w:pPr>
    </w:p>
    <w:p w14:paraId="5BD36FDA">
      <w:pPr>
        <w:pStyle w:val="21"/>
        <w:jc w:val="center"/>
        <w:rPr>
          <w:rFonts w:hint="eastAsia" w:hAnsi="宋体" w:cs="宋体"/>
          <w:bCs/>
          <w:color w:val="auto"/>
          <w:highlight w:val="none"/>
        </w:rPr>
      </w:pPr>
    </w:p>
    <w:p w14:paraId="5DB9827B">
      <w:pPr>
        <w:pStyle w:val="21"/>
        <w:jc w:val="center"/>
        <w:rPr>
          <w:rFonts w:hint="eastAsia" w:hAnsi="宋体" w:cs="宋体"/>
          <w:bCs/>
          <w:color w:val="auto"/>
          <w:highlight w:val="none"/>
        </w:rPr>
      </w:pPr>
    </w:p>
    <w:p w14:paraId="1F798934">
      <w:pPr>
        <w:pStyle w:val="21"/>
        <w:jc w:val="center"/>
        <w:rPr>
          <w:rFonts w:hint="eastAsia" w:hAnsi="宋体" w:cs="宋体"/>
          <w:bCs/>
          <w:color w:val="auto"/>
          <w:highlight w:val="none"/>
        </w:rPr>
      </w:pPr>
    </w:p>
    <w:p w14:paraId="05EC156B">
      <w:pPr>
        <w:pStyle w:val="21"/>
        <w:spacing w:line="340" w:lineRule="exact"/>
        <w:ind w:firstLine="1584" w:firstLineChars="495"/>
        <w:rPr>
          <w:rFonts w:hint="eastAsia" w:hAnsi="宋体" w:cs="宋体"/>
          <w:bCs/>
          <w:color w:val="auto"/>
          <w:sz w:val="32"/>
          <w:szCs w:val="32"/>
          <w:highlight w:val="none"/>
        </w:rPr>
      </w:pPr>
      <w:r>
        <w:rPr>
          <w:rFonts w:hint="eastAsia" w:hAnsi="宋体" w:cs="宋体"/>
          <w:bCs/>
          <w:color w:val="auto"/>
          <w:sz w:val="32"/>
          <w:szCs w:val="32"/>
          <w:highlight w:val="none"/>
        </w:rPr>
        <w:t>采购</w:t>
      </w:r>
      <w:r>
        <w:rPr>
          <w:rFonts w:hint="eastAsia" w:hAnsi="宋体" w:cs="宋体"/>
          <w:bCs/>
          <w:color w:val="auto"/>
          <w:sz w:val="32"/>
          <w:szCs w:val="32"/>
          <w:highlight w:val="none"/>
          <w:lang w:val="en-US"/>
        </w:rPr>
        <w:t>单位</w:t>
      </w:r>
      <w:r>
        <w:rPr>
          <w:rFonts w:hint="eastAsia" w:hAnsi="宋体" w:cs="宋体"/>
          <w:bCs/>
          <w:color w:val="auto"/>
          <w:sz w:val="32"/>
          <w:szCs w:val="32"/>
          <w:highlight w:val="none"/>
        </w:rPr>
        <w:t>（甲方）</w:t>
      </w:r>
      <w:r>
        <w:rPr>
          <w:rFonts w:hint="eastAsia" w:hAnsi="宋体" w:cs="宋体"/>
          <w:bCs/>
          <w:color w:val="auto"/>
          <w:sz w:val="32"/>
          <w:szCs w:val="32"/>
          <w:highlight w:val="none"/>
          <w:u w:val="single"/>
        </w:rPr>
        <w:t xml:space="preserve">                    </w:t>
      </w:r>
    </w:p>
    <w:p w14:paraId="262DDEF7">
      <w:pPr>
        <w:pStyle w:val="21"/>
        <w:spacing w:line="340" w:lineRule="exact"/>
        <w:ind w:firstLine="1584" w:firstLineChars="495"/>
        <w:rPr>
          <w:rFonts w:hint="eastAsia" w:hAnsi="宋体" w:cs="宋体"/>
          <w:bCs/>
          <w:color w:val="auto"/>
          <w:sz w:val="32"/>
          <w:szCs w:val="32"/>
          <w:highlight w:val="none"/>
        </w:rPr>
      </w:pPr>
    </w:p>
    <w:p w14:paraId="40F250CF">
      <w:pPr>
        <w:pStyle w:val="21"/>
        <w:spacing w:line="340" w:lineRule="exact"/>
        <w:rPr>
          <w:rFonts w:hint="eastAsia" w:hAnsi="宋体" w:cs="宋体"/>
          <w:bCs/>
          <w:color w:val="auto"/>
          <w:sz w:val="32"/>
          <w:szCs w:val="32"/>
          <w:highlight w:val="none"/>
        </w:rPr>
      </w:pPr>
    </w:p>
    <w:p w14:paraId="413F998B">
      <w:pPr>
        <w:pStyle w:val="21"/>
        <w:spacing w:line="340" w:lineRule="exact"/>
        <w:ind w:firstLine="1584" w:firstLineChars="495"/>
        <w:rPr>
          <w:rFonts w:hint="eastAsia" w:hAnsi="宋体" w:cs="宋体"/>
          <w:bCs/>
          <w:color w:val="auto"/>
          <w:sz w:val="32"/>
          <w:szCs w:val="32"/>
          <w:highlight w:val="none"/>
        </w:rPr>
      </w:pPr>
      <w:r>
        <w:rPr>
          <w:rFonts w:hint="eastAsia" w:hAnsi="宋体" w:cs="宋体"/>
          <w:bCs/>
          <w:color w:val="auto"/>
          <w:sz w:val="32"/>
          <w:szCs w:val="32"/>
          <w:highlight w:val="none"/>
        </w:rPr>
        <w:t>供 应 商（乙方）</w:t>
      </w:r>
      <w:r>
        <w:rPr>
          <w:rFonts w:hint="eastAsia" w:hAnsi="宋体" w:cs="宋体"/>
          <w:bCs/>
          <w:color w:val="auto"/>
          <w:sz w:val="32"/>
          <w:szCs w:val="32"/>
          <w:highlight w:val="none"/>
          <w:u w:val="single"/>
        </w:rPr>
        <w:t xml:space="preserve">                   </w:t>
      </w:r>
    </w:p>
    <w:p w14:paraId="7F61290A">
      <w:pPr>
        <w:pStyle w:val="21"/>
        <w:spacing w:line="340" w:lineRule="exact"/>
        <w:ind w:firstLine="990" w:firstLineChars="495"/>
        <w:rPr>
          <w:rFonts w:hint="eastAsia" w:ascii="方正公文小标宋" w:hAnsi="方正公文小标宋" w:eastAsia="方正公文小标宋" w:cs="方正公文小标宋"/>
          <w:bCs/>
          <w:color w:val="auto"/>
          <w:highlight w:val="none"/>
        </w:rPr>
      </w:pPr>
      <w:r>
        <w:rPr>
          <w:rFonts w:hint="eastAsia" w:ascii="方正公文小标宋" w:hAnsi="方正公文小标宋" w:eastAsia="方正公文小标宋" w:cs="方正公文小标宋"/>
          <w:bCs/>
          <w:color w:val="auto"/>
          <w:highlight w:val="none"/>
        </w:rPr>
        <w:t xml:space="preserve">     </w:t>
      </w:r>
    </w:p>
    <w:p w14:paraId="2FBD2474">
      <w:pPr>
        <w:jc w:val="left"/>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16D3B14B">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2D1AF2FD">
      <w:pPr>
        <w:snapToGrid w:val="0"/>
        <w:spacing w:line="400" w:lineRule="exact"/>
        <w:ind w:right="480" w:firstLine="5250" w:firstLineChars="2500"/>
        <w:rPr>
          <w:rFonts w:hint="eastAsia" w:ascii="宋体" w:hAnsi="宋体"/>
          <w:bCs/>
          <w:color w:val="auto"/>
          <w:szCs w:val="21"/>
          <w:highlight w:val="none"/>
        </w:rPr>
      </w:pPr>
    </w:p>
    <w:p w14:paraId="60994C29">
      <w:pPr>
        <w:snapToGrid w:val="0"/>
        <w:spacing w:line="360" w:lineRule="exact"/>
        <w:ind w:right="480"/>
        <w:jc w:val="center"/>
        <w:rPr>
          <w:rFonts w:hint="eastAsia" w:ascii="宋体" w:hAnsi="宋体"/>
          <w:bCs/>
          <w:color w:val="auto"/>
          <w:highlight w:val="none"/>
        </w:rPr>
      </w:pPr>
      <w:r>
        <w:rPr>
          <w:rFonts w:hint="eastAsia" w:ascii="宋体" w:hAnsi="宋体"/>
          <w:bCs/>
          <w:color w:val="auto"/>
          <w:highlight w:val="none"/>
        </w:rPr>
        <w:t xml:space="preserve">               合同编号：</w:t>
      </w:r>
    </w:p>
    <w:p w14:paraId="072FC908">
      <w:pPr>
        <w:snapToGrid w:val="0"/>
        <w:spacing w:line="360" w:lineRule="exact"/>
        <w:ind w:firstLine="3685" w:firstLineChars="1748"/>
        <w:rPr>
          <w:rFonts w:hint="eastAsia" w:ascii="宋体" w:hAnsi="宋体"/>
          <w:b/>
          <w:color w:val="auto"/>
          <w:highlight w:val="none"/>
        </w:rPr>
      </w:pPr>
    </w:p>
    <w:p w14:paraId="3C7687B5">
      <w:pPr>
        <w:snapToGrid w:val="0"/>
        <w:spacing w:line="360" w:lineRule="exact"/>
        <w:rPr>
          <w:rFonts w:hint="eastAsia" w:ascii="宋体" w:hAnsi="宋体"/>
          <w:color w:val="auto"/>
          <w:highlight w:val="none"/>
          <w:u w:val="single"/>
        </w:rPr>
      </w:pPr>
      <w:r>
        <w:rPr>
          <w:rFonts w:hint="eastAsia" w:ascii="宋体" w:hAnsi="宋体"/>
          <w:color w:val="auto"/>
          <w:highlight w:val="none"/>
        </w:rPr>
        <w:t>采购单位（甲方）</w:t>
      </w:r>
      <w:r>
        <w:rPr>
          <w:rFonts w:hint="eastAsia" w:ascii="宋体" w:hAnsi="宋体"/>
          <w:color w:val="auto"/>
          <w:highlight w:val="none"/>
          <w:u w:val="single"/>
        </w:rPr>
        <w:t xml:space="preserve">                            </w:t>
      </w:r>
      <w:r>
        <w:rPr>
          <w:rFonts w:hint="eastAsia" w:ascii="宋体" w:hAnsi="宋体"/>
          <w:color w:val="auto"/>
          <w:spacing w:val="-20"/>
          <w:highlight w:val="none"/>
        </w:rPr>
        <w:t xml:space="preserve">  采 购 计 划 号</w:t>
      </w:r>
      <w:r>
        <w:rPr>
          <w:rFonts w:hint="eastAsia" w:ascii="宋体" w:hAnsi="宋体"/>
          <w:color w:val="auto"/>
          <w:highlight w:val="none"/>
          <w:u w:val="single"/>
        </w:rPr>
        <w:t xml:space="preserve">                           </w:t>
      </w:r>
    </w:p>
    <w:p w14:paraId="64F2834B">
      <w:pPr>
        <w:snapToGrid w:val="0"/>
        <w:spacing w:line="360" w:lineRule="exact"/>
        <w:rPr>
          <w:rFonts w:hint="eastAsia" w:ascii="宋体" w:hAnsi="宋体"/>
          <w:color w:val="auto"/>
          <w:highlight w:val="none"/>
          <w:u w:val="single"/>
        </w:rPr>
      </w:pPr>
      <w:r>
        <w:rPr>
          <w:rFonts w:hint="eastAsia" w:ascii="宋体" w:hAnsi="宋体"/>
          <w:color w:val="auto"/>
          <w:highlight w:val="none"/>
        </w:rPr>
        <w:t>供 应 商（乙方）</w:t>
      </w:r>
      <w:r>
        <w:rPr>
          <w:rFonts w:hint="eastAsia" w:ascii="宋体" w:hAnsi="宋体"/>
          <w:color w:val="auto"/>
          <w:highlight w:val="none"/>
          <w:u w:val="single"/>
        </w:rPr>
        <w:t xml:space="preserve">                            </w:t>
      </w:r>
      <w:r>
        <w:rPr>
          <w:rFonts w:hint="eastAsia" w:ascii="宋体" w:hAnsi="宋体"/>
          <w:color w:val="auto"/>
          <w:highlight w:val="none"/>
        </w:rPr>
        <w:t xml:space="preserve"> 项目名称和编号</w:t>
      </w:r>
      <w:r>
        <w:rPr>
          <w:rFonts w:hint="eastAsia" w:ascii="宋体" w:hAnsi="宋体"/>
          <w:color w:val="auto"/>
          <w:highlight w:val="none"/>
          <w:u w:val="single"/>
        </w:rPr>
        <w:t xml:space="preserve">                        </w:t>
      </w:r>
    </w:p>
    <w:p w14:paraId="3410323B">
      <w:pPr>
        <w:snapToGrid w:val="0"/>
        <w:spacing w:line="360" w:lineRule="exact"/>
        <w:rPr>
          <w:rFonts w:hint="eastAsia" w:ascii="宋体" w:hAnsi="宋体"/>
          <w:color w:val="auto"/>
          <w:highlight w:val="none"/>
          <w:u w:val="single"/>
        </w:rPr>
      </w:pPr>
      <w:r>
        <w:rPr>
          <w:rFonts w:hint="eastAsia" w:ascii="宋体" w:hAnsi="宋体"/>
          <w:color w:val="auto"/>
          <w:highlight w:val="none"/>
        </w:rPr>
        <w:t xml:space="preserve">签  订  地  点  </w:t>
      </w:r>
      <w:r>
        <w:rPr>
          <w:rFonts w:hint="eastAsia" w:ascii="宋体" w:hAnsi="宋体"/>
          <w:color w:val="auto"/>
          <w:highlight w:val="none"/>
          <w:u w:val="single"/>
        </w:rPr>
        <w:t xml:space="preserve">                            </w:t>
      </w:r>
      <w:r>
        <w:rPr>
          <w:rFonts w:hint="eastAsia" w:ascii="宋体" w:hAnsi="宋体"/>
          <w:color w:val="auto"/>
          <w:highlight w:val="none"/>
        </w:rPr>
        <w:t xml:space="preserve"> 签 订 时 间 </w:t>
      </w:r>
      <w:r>
        <w:rPr>
          <w:rFonts w:hint="eastAsia" w:ascii="宋体" w:hAnsi="宋体"/>
          <w:color w:val="auto"/>
          <w:highlight w:val="none"/>
          <w:u w:val="single"/>
        </w:rPr>
        <w:t xml:space="preserve">                         </w:t>
      </w:r>
    </w:p>
    <w:p w14:paraId="3D5C7592">
      <w:pPr>
        <w:snapToGrid w:val="0"/>
        <w:spacing w:line="400" w:lineRule="exact"/>
        <w:ind w:firstLine="420" w:firstLineChars="200"/>
        <w:rPr>
          <w:rFonts w:hint="eastAsia" w:ascii="宋体" w:hAnsi="宋体"/>
          <w:color w:val="auto"/>
          <w:highlight w:val="none"/>
        </w:rPr>
      </w:pPr>
    </w:p>
    <w:p w14:paraId="322E1FB1">
      <w:pPr>
        <w:snapToGrid w:val="0"/>
        <w:spacing w:line="360" w:lineRule="auto"/>
        <w:ind w:firstLine="480" w:firstLineChars="200"/>
        <w:rPr>
          <w:rFonts w:hint="eastAsia" w:ascii="宋体" w:hAnsi="宋体" w:cs="宋体"/>
          <w:color w:val="auto"/>
          <w:sz w:val="24"/>
          <w:highlight w:val="none"/>
        </w:rPr>
      </w:pPr>
    </w:p>
    <w:p w14:paraId="691A23F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根据《中华人民共和国政府采购法》、《中华人民共和国民法典》等法律、法规规定，按照采购文件规定条款和乙方响应文件及其承诺，甲乙双方签订本合同。</w:t>
      </w:r>
    </w:p>
    <w:p w14:paraId="111364DF">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1BD1456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1.供货一览表</w:t>
      </w:r>
    </w:p>
    <w:tbl>
      <w:tblPr>
        <w:tblStyle w:val="30"/>
        <w:tblW w:w="985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85"/>
        <w:gridCol w:w="1054"/>
        <w:gridCol w:w="1174"/>
        <w:gridCol w:w="1171"/>
        <w:gridCol w:w="788"/>
        <w:gridCol w:w="903"/>
        <w:gridCol w:w="1056"/>
        <w:gridCol w:w="1445"/>
      </w:tblGrid>
      <w:tr w14:paraId="4B57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977" w:type="dxa"/>
            <w:tcBorders>
              <w:top w:val="single" w:color="auto" w:sz="4" w:space="0"/>
              <w:left w:val="single" w:color="auto" w:sz="4" w:space="0"/>
              <w:bottom w:val="single" w:color="auto" w:sz="4" w:space="0"/>
              <w:right w:val="single" w:color="auto" w:sz="4" w:space="0"/>
            </w:tcBorders>
            <w:vAlign w:val="center"/>
          </w:tcPr>
          <w:p w14:paraId="649C4653">
            <w:pPr>
              <w:snapToGrid w:val="0"/>
              <w:jc w:val="center"/>
              <w:rPr>
                <w:rFonts w:hint="eastAsia" w:ascii="宋体" w:hAnsi="宋体" w:cs="Arial"/>
                <w:color w:val="auto"/>
                <w:highlight w:val="none"/>
              </w:rPr>
            </w:pPr>
            <w:r>
              <w:rPr>
                <w:rFonts w:hint="eastAsia" w:ascii="宋体" w:hAnsi="宋体" w:cs="Arial"/>
                <w:color w:val="auto"/>
                <w:highlight w:val="none"/>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420590F5">
            <w:pPr>
              <w:snapToGrid w:val="0"/>
              <w:jc w:val="center"/>
              <w:rPr>
                <w:rFonts w:hint="eastAsia" w:ascii="宋体" w:hAnsi="宋体" w:cs="Arial"/>
                <w:color w:val="auto"/>
                <w:highlight w:val="none"/>
              </w:rPr>
            </w:pPr>
            <w:r>
              <w:rPr>
                <w:rFonts w:hint="eastAsia" w:ascii="宋体" w:hAnsi="宋体" w:cs="Arial"/>
                <w:color w:val="auto"/>
                <w:highlight w:val="none"/>
              </w:rPr>
              <w:t>标的</w:t>
            </w:r>
          </w:p>
          <w:p w14:paraId="6560B3D1">
            <w:pPr>
              <w:snapToGrid w:val="0"/>
              <w:jc w:val="center"/>
              <w:rPr>
                <w:rFonts w:hint="eastAsia" w:ascii="宋体" w:hAnsi="宋体" w:cs="Arial"/>
                <w:color w:val="auto"/>
                <w:highlight w:val="none"/>
              </w:rPr>
            </w:pPr>
            <w:r>
              <w:rPr>
                <w:rFonts w:hint="eastAsia" w:ascii="宋体" w:hAnsi="宋体" w:cs="Arial"/>
                <w:color w:val="auto"/>
                <w:highlight w:val="none"/>
              </w:rPr>
              <w:t>名称</w:t>
            </w:r>
          </w:p>
        </w:tc>
        <w:tc>
          <w:tcPr>
            <w:tcW w:w="1054" w:type="dxa"/>
            <w:tcBorders>
              <w:top w:val="single" w:color="auto" w:sz="4" w:space="0"/>
              <w:left w:val="single" w:color="auto" w:sz="4" w:space="0"/>
              <w:bottom w:val="single" w:color="auto" w:sz="4" w:space="0"/>
              <w:right w:val="single" w:color="auto" w:sz="4" w:space="0"/>
            </w:tcBorders>
            <w:vAlign w:val="center"/>
          </w:tcPr>
          <w:p w14:paraId="5CE1EFCF">
            <w:pPr>
              <w:snapToGrid w:val="0"/>
              <w:jc w:val="center"/>
              <w:rPr>
                <w:rFonts w:hint="eastAsia" w:ascii="宋体" w:hAnsi="宋体" w:cs="Arial"/>
                <w:color w:val="auto"/>
                <w:highlight w:val="none"/>
              </w:rPr>
            </w:pPr>
            <w:r>
              <w:rPr>
                <w:rFonts w:hint="eastAsia" w:ascii="宋体" w:hAnsi="宋体" w:cs="Arial"/>
                <w:color w:val="auto"/>
                <w:highlight w:val="none"/>
              </w:rPr>
              <w:t>商标</w:t>
            </w:r>
          </w:p>
          <w:p w14:paraId="66234AB4">
            <w:pPr>
              <w:snapToGrid w:val="0"/>
              <w:jc w:val="center"/>
              <w:rPr>
                <w:rFonts w:hint="eastAsia" w:ascii="宋体" w:hAnsi="宋体" w:cs="Arial"/>
                <w:color w:val="auto"/>
                <w:highlight w:val="none"/>
              </w:rPr>
            </w:pPr>
            <w:r>
              <w:rPr>
                <w:rFonts w:hint="eastAsia" w:ascii="宋体" w:hAnsi="宋体" w:cs="Arial"/>
                <w:color w:val="auto"/>
                <w:highlight w:val="none"/>
              </w:rPr>
              <w:t>品牌</w:t>
            </w:r>
          </w:p>
        </w:tc>
        <w:tc>
          <w:tcPr>
            <w:tcW w:w="1174" w:type="dxa"/>
            <w:tcBorders>
              <w:top w:val="single" w:color="auto" w:sz="4" w:space="0"/>
              <w:left w:val="single" w:color="auto" w:sz="4" w:space="0"/>
              <w:bottom w:val="single" w:color="auto" w:sz="4" w:space="0"/>
              <w:right w:val="single" w:color="auto" w:sz="4" w:space="0"/>
            </w:tcBorders>
            <w:vAlign w:val="center"/>
          </w:tcPr>
          <w:p w14:paraId="0FA0299B">
            <w:pPr>
              <w:snapToGrid w:val="0"/>
              <w:jc w:val="center"/>
              <w:rPr>
                <w:rFonts w:hint="eastAsia" w:ascii="宋体" w:hAnsi="宋体" w:cs="Arial"/>
                <w:color w:val="auto"/>
                <w:highlight w:val="none"/>
              </w:rPr>
            </w:pPr>
            <w:r>
              <w:rPr>
                <w:rFonts w:hint="eastAsia" w:ascii="宋体" w:hAnsi="宋体" w:cs="Arial"/>
                <w:color w:val="auto"/>
                <w:highlight w:val="none"/>
              </w:rPr>
              <w:t>型号</w:t>
            </w:r>
          </w:p>
          <w:p w14:paraId="5DDC4DD4">
            <w:pPr>
              <w:snapToGrid w:val="0"/>
              <w:jc w:val="center"/>
              <w:rPr>
                <w:rFonts w:hint="eastAsia" w:ascii="宋体" w:hAnsi="宋体" w:cs="Arial"/>
                <w:color w:val="auto"/>
                <w:highlight w:val="none"/>
              </w:rPr>
            </w:pPr>
            <w:r>
              <w:rPr>
                <w:rFonts w:hint="eastAsia" w:ascii="宋体" w:hAnsi="宋体" w:cs="Arial"/>
                <w:color w:val="auto"/>
                <w:highlight w:val="none"/>
              </w:rPr>
              <w:t>参数</w:t>
            </w:r>
          </w:p>
        </w:tc>
        <w:tc>
          <w:tcPr>
            <w:tcW w:w="1171" w:type="dxa"/>
            <w:tcBorders>
              <w:top w:val="single" w:color="auto" w:sz="4" w:space="0"/>
              <w:left w:val="single" w:color="auto" w:sz="4" w:space="0"/>
              <w:bottom w:val="single" w:color="auto" w:sz="4" w:space="0"/>
              <w:right w:val="single" w:color="auto" w:sz="4" w:space="0"/>
            </w:tcBorders>
            <w:vAlign w:val="center"/>
          </w:tcPr>
          <w:p w14:paraId="1F55FD95">
            <w:pPr>
              <w:snapToGrid w:val="0"/>
              <w:jc w:val="center"/>
              <w:rPr>
                <w:rFonts w:hint="eastAsia" w:ascii="宋体" w:hAnsi="宋体" w:cs="Arial"/>
                <w:color w:val="auto"/>
                <w:highlight w:val="none"/>
              </w:rPr>
            </w:pPr>
            <w:r>
              <w:rPr>
                <w:rFonts w:hint="eastAsia" w:ascii="宋体" w:hAnsi="宋体" w:cs="Arial"/>
                <w:color w:val="auto"/>
                <w:highlight w:val="none"/>
              </w:rPr>
              <w:t>生产</w:t>
            </w:r>
          </w:p>
          <w:p w14:paraId="38A9248F">
            <w:pPr>
              <w:snapToGrid w:val="0"/>
              <w:jc w:val="center"/>
              <w:rPr>
                <w:rFonts w:hint="eastAsia" w:ascii="宋体" w:hAnsi="宋体" w:cs="Arial"/>
                <w:color w:val="auto"/>
                <w:highlight w:val="none"/>
              </w:rPr>
            </w:pPr>
            <w:r>
              <w:rPr>
                <w:rFonts w:hint="eastAsia" w:ascii="宋体" w:hAnsi="宋体" w:cs="Arial"/>
                <w:color w:val="auto"/>
                <w:highlight w:val="none"/>
              </w:rPr>
              <w:t>厂家</w:t>
            </w:r>
          </w:p>
        </w:tc>
        <w:tc>
          <w:tcPr>
            <w:tcW w:w="788" w:type="dxa"/>
            <w:tcBorders>
              <w:top w:val="single" w:color="auto" w:sz="4" w:space="0"/>
              <w:left w:val="single" w:color="auto" w:sz="4" w:space="0"/>
              <w:bottom w:val="single" w:color="auto" w:sz="4" w:space="0"/>
              <w:right w:val="single" w:color="auto" w:sz="4" w:space="0"/>
            </w:tcBorders>
            <w:vAlign w:val="center"/>
          </w:tcPr>
          <w:p w14:paraId="2506AF8B">
            <w:pPr>
              <w:snapToGrid w:val="0"/>
              <w:jc w:val="center"/>
              <w:rPr>
                <w:rFonts w:hint="eastAsia" w:ascii="宋体" w:hAnsi="宋体" w:cs="Arial"/>
                <w:color w:val="auto"/>
                <w:highlight w:val="none"/>
              </w:rPr>
            </w:pPr>
            <w:r>
              <w:rPr>
                <w:rFonts w:hint="eastAsia" w:ascii="宋体" w:hAnsi="宋体" w:cs="Arial"/>
                <w:color w:val="auto"/>
                <w:highlight w:val="none"/>
              </w:rPr>
              <w:t>数量</w:t>
            </w:r>
          </w:p>
        </w:tc>
        <w:tc>
          <w:tcPr>
            <w:tcW w:w="903" w:type="dxa"/>
            <w:tcBorders>
              <w:top w:val="single" w:color="auto" w:sz="4" w:space="0"/>
              <w:left w:val="single" w:color="auto" w:sz="4" w:space="0"/>
              <w:bottom w:val="single" w:color="auto" w:sz="4" w:space="0"/>
              <w:right w:val="single" w:color="auto" w:sz="4" w:space="0"/>
            </w:tcBorders>
            <w:vAlign w:val="center"/>
          </w:tcPr>
          <w:p w14:paraId="23DD19ED">
            <w:pPr>
              <w:snapToGrid w:val="0"/>
              <w:jc w:val="center"/>
              <w:rPr>
                <w:rFonts w:hint="eastAsia" w:ascii="宋体" w:hAnsi="宋体" w:cs="Arial"/>
                <w:color w:val="auto"/>
                <w:highlight w:val="none"/>
              </w:rPr>
            </w:pPr>
            <w:r>
              <w:rPr>
                <w:rFonts w:hint="eastAsia" w:ascii="宋体" w:hAnsi="宋体" w:cs="Arial"/>
                <w:color w:val="auto"/>
                <w:highlight w:val="none"/>
              </w:rPr>
              <w:t>单位</w:t>
            </w:r>
          </w:p>
        </w:tc>
        <w:tc>
          <w:tcPr>
            <w:tcW w:w="1056" w:type="dxa"/>
            <w:tcBorders>
              <w:top w:val="single" w:color="auto" w:sz="4" w:space="0"/>
              <w:left w:val="single" w:color="auto" w:sz="4" w:space="0"/>
              <w:bottom w:val="single" w:color="auto" w:sz="4" w:space="0"/>
              <w:right w:val="single" w:color="auto" w:sz="4" w:space="0"/>
            </w:tcBorders>
            <w:vAlign w:val="center"/>
          </w:tcPr>
          <w:p w14:paraId="0F9C207B">
            <w:pPr>
              <w:snapToGrid w:val="0"/>
              <w:jc w:val="center"/>
              <w:rPr>
                <w:rFonts w:hint="eastAsia" w:ascii="宋体" w:hAnsi="宋体" w:cs="Arial"/>
                <w:color w:val="auto"/>
                <w:highlight w:val="none"/>
              </w:rPr>
            </w:pPr>
            <w:r>
              <w:rPr>
                <w:rFonts w:hint="eastAsia" w:ascii="宋体" w:hAnsi="宋体" w:cs="Arial"/>
                <w:color w:val="auto"/>
                <w:highlight w:val="none"/>
              </w:rPr>
              <w:t>单价</w:t>
            </w:r>
          </w:p>
          <w:p w14:paraId="78CA285F">
            <w:pPr>
              <w:snapToGrid w:val="0"/>
              <w:jc w:val="center"/>
              <w:rPr>
                <w:rFonts w:hint="eastAsia" w:ascii="宋体" w:hAnsi="宋体" w:cs="Arial"/>
                <w:color w:val="auto"/>
                <w:highlight w:val="none"/>
              </w:rPr>
            </w:pPr>
            <w:r>
              <w:rPr>
                <w:rFonts w:hint="eastAsia" w:ascii="宋体" w:hAnsi="宋体" w:cs="Arial"/>
                <w:color w:val="auto"/>
                <w:highlight w:val="none"/>
              </w:rPr>
              <w:t>（元）</w:t>
            </w:r>
          </w:p>
        </w:tc>
        <w:tc>
          <w:tcPr>
            <w:tcW w:w="1445" w:type="dxa"/>
            <w:tcBorders>
              <w:top w:val="single" w:color="auto" w:sz="4" w:space="0"/>
              <w:left w:val="single" w:color="auto" w:sz="4" w:space="0"/>
              <w:bottom w:val="single" w:color="auto" w:sz="4" w:space="0"/>
              <w:right w:val="single" w:color="auto" w:sz="4" w:space="0"/>
            </w:tcBorders>
            <w:vAlign w:val="center"/>
          </w:tcPr>
          <w:p w14:paraId="7A75DE79">
            <w:pPr>
              <w:snapToGrid w:val="0"/>
              <w:jc w:val="center"/>
              <w:rPr>
                <w:rFonts w:hint="eastAsia" w:ascii="宋体" w:hAnsi="宋体" w:cs="Arial"/>
                <w:color w:val="auto"/>
                <w:highlight w:val="none"/>
              </w:rPr>
            </w:pPr>
            <w:r>
              <w:rPr>
                <w:rFonts w:hint="eastAsia" w:ascii="宋体" w:hAnsi="宋体" w:cs="Arial"/>
                <w:color w:val="auto"/>
                <w:highlight w:val="none"/>
              </w:rPr>
              <w:t>金额</w:t>
            </w:r>
          </w:p>
          <w:p w14:paraId="564EF445">
            <w:pPr>
              <w:snapToGrid w:val="0"/>
              <w:jc w:val="center"/>
              <w:rPr>
                <w:rFonts w:hint="eastAsia" w:ascii="宋体" w:hAnsi="宋体" w:cs="Arial"/>
                <w:color w:val="auto"/>
                <w:highlight w:val="none"/>
              </w:rPr>
            </w:pPr>
            <w:r>
              <w:rPr>
                <w:rFonts w:hint="eastAsia" w:ascii="宋体" w:hAnsi="宋体" w:cs="Arial"/>
                <w:color w:val="auto"/>
                <w:highlight w:val="none"/>
              </w:rPr>
              <w:t>（元）</w:t>
            </w:r>
          </w:p>
        </w:tc>
      </w:tr>
      <w:tr w14:paraId="72B4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7" w:type="dxa"/>
            <w:tcBorders>
              <w:top w:val="single" w:color="auto" w:sz="4" w:space="0"/>
              <w:left w:val="single" w:color="auto" w:sz="4" w:space="0"/>
              <w:bottom w:val="single" w:color="auto" w:sz="4" w:space="0"/>
              <w:right w:val="single" w:color="auto" w:sz="4" w:space="0"/>
            </w:tcBorders>
            <w:vAlign w:val="center"/>
          </w:tcPr>
          <w:p w14:paraId="3EBAA25B">
            <w:pPr>
              <w:snapToGrid w:val="0"/>
              <w:spacing w:line="360" w:lineRule="exact"/>
              <w:ind w:firstLine="420" w:firstLineChars="200"/>
              <w:jc w:val="left"/>
              <w:rPr>
                <w:rFonts w:hint="eastAsia" w:ascii="宋体" w:hAnsi="宋体" w:cs="Arial"/>
                <w:color w:val="auto"/>
                <w:highlight w:val="none"/>
              </w:rPr>
            </w:pPr>
            <w:r>
              <w:rPr>
                <w:rFonts w:hint="eastAsia" w:ascii="宋体" w:hAnsi="宋体" w:cs="Arial"/>
                <w:color w:val="auto"/>
                <w:highlight w:val="none"/>
              </w:rPr>
              <w:t>1</w:t>
            </w:r>
          </w:p>
        </w:tc>
        <w:tc>
          <w:tcPr>
            <w:tcW w:w="1285" w:type="dxa"/>
            <w:tcBorders>
              <w:top w:val="single" w:color="auto" w:sz="4" w:space="0"/>
              <w:left w:val="single" w:color="auto" w:sz="4" w:space="0"/>
              <w:bottom w:val="single" w:color="auto" w:sz="4" w:space="0"/>
              <w:right w:val="single" w:color="auto" w:sz="4" w:space="0"/>
            </w:tcBorders>
            <w:vAlign w:val="center"/>
          </w:tcPr>
          <w:p w14:paraId="103412A3">
            <w:pPr>
              <w:snapToGrid w:val="0"/>
              <w:spacing w:line="360" w:lineRule="exact"/>
              <w:ind w:firstLine="420" w:firstLineChars="200"/>
              <w:jc w:val="left"/>
              <w:rPr>
                <w:rFonts w:hint="eastAsia" w:ascii="宋体" w:hAnsi="宋体" w:cs="Arial"/>
                <w:color w:val="auto"/>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7FAB45D3">
            <w:pPr>
              <w:snapToGrid w:val="0"/>
              <w:spacing w:line="360" w:lineRule="exact"/>
              <w:ind w:firstLine="420" w:firstLineChars="200"/>
              <w:jc w:val="left"/>
              <w:rPr>
                <w:rFonts w:hint="eastAsia" w:ascii="宋体" w:hAnsi="宋体" w:cs="Arial"/>
                <w:color w:val="auto"/>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1FA5ACDD">
            <w:pPr>
              <w:snapToGrid w:val="0"/>
              <w:spacing w:line="360" w:lineRule="exact"/>
              <w:ind w:firstLine="420" w:firstLineChars="200"/>
              <w:jc w:val="left"/>
              <w:rPr>
                <w:rFonts w:hint="eastAsia" w:ascii="宋体" w:hAnsi="宋体" w:cs="Arial"/>
                <w:color w:val="auto"/>
                <w:highlight w:val="none"/>
              </w:rPr>
            </w:pPr>
          </w:p>
        </w:tc>
        <w:tc>
          <w:tcPr>
            <w:tcW w:w="1171" w:type="dxa"/>
            <w:tcBorders>
              <w:top w:val="single" w:color="auto" w:sz="4" w:space="0"/>
              <w:left w:val="single" w:color="auto" w:sz="4" w:space="0"/>
              <w:bottom w:val="single" w:color="auto" w:sz="4" w:space="0"/>
              <w:right w:val="single" w:color="auto" w:sz="4" w:space="0"/>
            </w:tcBorders>
            <w:vAlign w:val="center"/>
          </w:tcPr>
          <w:p w14:paraId="125BE15F">
            <w:pPr>
              <w:snapToGrid w:val="0"/>
              <w:spacing w:line="360" w:lineRule="exact"/>
              <w:ind w:firstLine="420" w:firstLineChars="200"/>
              <w:jc w:val="left"/>
              <w:rPr>
                <w:rFonts w:hint="eastAsia" w:ascii="宋体" w:hAnsi="宋体" w:cs="Arial"/>
                <w:color w:val="auto"/>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5FAD8024">
            <w:pPr>
              <w:snapToGrid w:val="0"/>
              <w:spacing w:line="360" w:lineRule="exact"/>
              <w:ind w:firstLine="420" w:firstLineChars="200"/>
              <w:jc w:val="left"/>
              <w:rPr>
                <w:rFonts w:hint="eastAsia" w:ascii="宋体" w:hAnsi="宋体" w:cs="Arial"/>
                <w:color w:val="auto"/>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1251F2FD">
            <w:pPr>
              <w:snapToGrid w:val="0"/>
              <w:spacing w:line="360" w:lineRule="exact"/>
              <w:ind w:firstLine="420" w:firstLineChars="200"/>
              <w:jc w:val="left"/>
              <w:rPr>
                <w:rFonts w:hint="eastAsia" w:ascii="宋体" w:hAnsi="宋体" w:cs="Arial"/>
                <w:color w:val="auto"/>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0D05D39">
            <w:pPr>
              <w:snapToGrid w:val="0"/>
              <w:spacing w:line="360" w:lineRule="exact"/>
              <w:ind w:firstLine="420" w:firstLineChars="200"/>
              <w:jc w:val="left"/>
              <w:rPr>
                <w:rFonts w:hint="eastAsia" w:ascii="宋体" w:hAnsi="宋体" w:cs="Arial"/>
                <w:color w:val="auto"/>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12AAA294">
            <w:pPr>
              <w:snapToGrid w:val="0"/>
              <w:spacing w:line="360" w:lineRule="exact"/>
              <w:ind w:firstLine="420" w:firstLineChars="200"/>
              <w:jc w:val="left"/>
              <w:rPr>
                <w:rFonts w:hint="eastAsia" w:ascii="宋体" w:hAnsi="宋体" w:cs="Arial"/>
                <w:color w:val="auto"/>
                <w:highlight w:val="none"/>
              </w:rPr>
            </w:pPr>
          </w:p>
        </w:tc>
      </w:tr>
      <w:tr w14:paraId="411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7" w:type="dxa"/>
            <w:tcBorders>
              <w:top w:val="single" w:color="auto" w:sz="4" w:space="0"/>
              <w:left w:val="single" w:color="auto" w:sz="4" w:space="0"/>
              <w:bottom w:val="single" w:color="auto" w:sz="4" w:space="0"/>
              <w:right w:val="single" w:color="auto" w:sz="4" w:space="0"/>
            </w:tcBorders>
            <w:vAlign w:val="center"/>
          </w:tcPr>
          <w:p w14:paraId="5BDBB1B2">
            <w:pPr>
              <w:snapToGrid w:val="0"/>
              <w:spacing w:line="360" w:lineRule="exact"/>
              <w:ind w:firstLine="420" w:firstLineChars="200"/>
              <w:jc w:val="left"/>
              <w:rPr>
                <w:rFonts w:hint="eastAsia" w:ascii="宋体" w:hAnsi="宋体" w:cs="Arial"/>
                <w:color w:val="auto"/>
                <w:highlight w:val="none"/>
              </w:rPr>
            </w:pPr>
            <w:r>
              <w:rPr>
                <w:rFonts w:hint="eastAsia" w:ascii="宋体" w:hAnsi="宋体" w:cs="Arial"/>
                <w:color w:val="auto"/>
                <w:highlight w:val="none"/>
              </w:rPr>
              <w:t>2</w:t>
            </w:r>
          </w:p>
        </w:tc>
        <w:tc>
          <w:tcPr>
            <w:tcW w:w="1285" w:type="dxa"/>
            <w:tcBorders>
              <w:top w:val="single" w:color="auto" w:sz="4" w:space="0"/>
              <w:left w:val="single" w:color="auto" w:sz="4" w:space="0"/>
              <w:bottom w:val="single" w:color="auto" w:sz="4" w:space="0"/>
              <w:right w:val="single" w:color="auto" w:sz="4" w:space="0"/>
            </w:tcBorders>
            <w:vAlign w:val="center"/>
          </w:tcPr>
          <w:p w14:paraId="2741E99C">
            <w:pPr>
              <w:snapToGrid w:val="0"/>
              <w:spacing w:line="360" w:lineRule="exact"/>
              <w:ind w:firstLine="420" w:firstLineChars="200"/>
              <w:jc w:val="left"/>
              <w:rPr>
                <w:rFonts w:hint="eastAsia" w:ascii="宋体" w:hAnsi="宋体" w:cs="Arial"/>
                <w:color w:val="auto"/>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23A64E14">
            <w:pPr>
              <w:snapToGrid w:val="0"/>
              <w:spacing w:line="360" w:lineRule="exact"/>
              <w:ind w:firstLine="420" w:firstLineChars="200"/>
              <w:jc w:val="left"/>
              <w:rPr>
                <w:rFonts w:hint="eastAsia" w:ascii="宋体" w:hAnsi="宋体" w:cs="Arial"/>
                <w:color w:val="auto"/>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1CC6F5DE">
            <w:pPr>
              <w:snapToGrid w:val="0"/>
              <w:spacing w:line="360" w:lineRule="exact"/>
              <w:ind w:firstLine="420" w:firstLineChars="200"/>
              <w:jc w:val="left"/>
              <w:rPr>
                <w:rFonts w:hint="eastAsia" w:ascii="宋体" w:hAnsi="宋体" w:cs="Arial"/>
                <w:color w:val="auto"/>
                <w:highlight w:val="none"/>
              </w:rPr>
            </w:pPr>
          </w:p>
        </w:tc>
        <w:tc>
          <w:tcPr>
            <w:tcW w:w="1171" w:type="dxa"/>
            <w:tcBorders>
              <w:top w:val="single" w:color="auto" w:sz="4" w:space="0"/>
              <w:left w:val="single" w:color="auto" w:sz="4" w:space="0"/>
              <w:bottom w:val="single" w:color="auto" w:sz="4" w:space="0"/>
              <w:right w:val="single" w:color="auto" w:sz="4" w:space="0"/>
            </w:tcBorders>
            <w:vAlign w:val="center"/>
          </w:tcPr>
          <w:p w14:paraId="0AED6A2E">
            <w:pPr>
              <w:snapToGrid w:val="0"/>
              <w:spacing w:line="360" w:lineRule="exact"/>
              <w:ind w:firstLine="420" w:firstLineChars="200"/>
              <w:jc w:val="left"/>
              <w:rPr>
                <w:rFonts w:hint="eastAsia" w:ascii="宋体" w:hAnsi="宋体" w:cs="Arial"/>
                <w:color w:val="auto"/>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1D9728F9">
            <w:pPr>
              <w:snapToGrid w:val="0"/>
              <w:spacing w:line="360" w:lineRule="exact"/>
              <w:ind w:firstLine="420" w:firstLineChars="200"/>
              <w:jc w:val="left"/>
              <w:rPr>
                <w:rFonts w:hint="eastAsia" w:ascii="宋体" w:hAnsi="宋体" w:cs="Arial"/>
                <w:color w:val="auto"/>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2A852CAF">
            <w:pPr>
              <w:snapToGrid w:val="0"/>
              <w:spacing w:line="360" w:lineRule="exact"/>
              <w:ind w:firstLine="420" w:firstLineChars="200"/>
              <w:jc w:val="left"/>
              <w:rPr>
                <w:rFonts w:hint="eastAsia" w:ascii="宋体" w:hAnsi="宋体" w:cs="Arial"/>
                <w:color w:val="auto"/>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4B7ED956">
            <w:pPr>
              <w:snapToGrid w:val="0"/>
              <w:spacing w:line="360" w:lineRule="exact"/>
              <w:ind w:firstLine="420" w:firstLineChars="200"/>
              <w:jc w:val="left"/>
              <w:rPr>
                <w:rFonts w:hint="eastAsia" w:ascii="宋体" w:hAnsi="宋体" w:cs="Arial"/>
                <w:color w:val="auto"/>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FA804E3">
            <w:pPr>
              <w:snapToGrid w:val="0"/>
              <w:spacing w:line="360" w:lineRule="exact"/>
              <w:ind w:firstLine="420" w:firstLineChars="200"/>
              <w:jc w:val="left"/>
              <w:rPr>
                <w:rFonts w:hint="eastAsia" w:ascii="宋体" w:hAnsi="宋体" w:cs="Arial"/>
                <w:color w:val="auto"/>
                <w:highlight w:val="none"/>
              </w:rPr>
            </w:pPr>
          </w:p>
        </w:tc>
      </w:tr>
      <w:tr w14:paraId="310B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853" w:type="dxa"/>
            <w:gridSpan w:val="9"/>
            <w:tcBorders>
              <w:top w:val="single" w:color="auto" w:sz="4" w:space="0"/>
              <w:left w:val="single" w:color="auto" w:sz="4" w:space="0"/>
              <w:bottom w:val="single" w:color="auto" w:sz="4" w:space="0"/>
              <w:right w:val="single" w:color="auto" w:sz="4" w:space="0"/>
            </w:tcBorders>
            <w:vAlign w:val="center"/>
          </w:tcPr>
          <w:p w14:paraId="50BC5D22">
            <w:pPr>
              <w:snapToGrid w:val="0"/>
              <w:spacing w:line="360" w:lineRule="exact"/>
              <w:ind w:firstLine="420" w:firstLineChars="200"/>
              <w:jc w:val="left"/>
              <w:rPr>
                <w:rFonts w:hint="eastAsia" w:ascii="宋体" w:hAnsi="宋体" w:cs="Arial"/>
                <w:color w:val="auto"/>
                <w:highlight w:val="none"/>
                <w:u w:val="single"/>
              </w:rPr>
            </w:pPr>
            <w:r>
              <w:rPr>
                <w:rFonts w:hint="eastAsia" w:ascii="宋体" w:hAnsi="宋体" w:cs="Arial"/>
                <w:color w:val="auto"/>
                <w:highlight w:val="none"/>
              </w:rPr>
              <w:t>人民币合计金额（大写）（小写）</w:t>
            </w:r>
          </w:p>
        </w:tc>
      </w:tr>
    </w:tbl>
    <w:p w14:paraId="3FB286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竞标货物（包括备品备件、专用工具等）的价格（包括已在中国国内的进口货物完税后的仓库交货价、展室交货价或货架交货价）或完成本合同所需的服务及配套人工、设备产生的费用，竞标货物运输（含保险）、安装（如有）、调试、检验、技术服务、培训和采购文件要求提供的所有伴随服务、工程等费用和税费。</w:t>
      </w:r>
    </w:p>
    <w:p w14:paraId="69D2E940">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第二条　质量要求</w:t>
      </w:r>
    </w:p>
    <w:p w14:paraId="210EEF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1.乙方所提供的产品名称、商标品牌、生产厂家(生产制造商)、规格型号、技术参数等质量必须与采购文件规定及响应文件承诺相一致。乙方提供的节能和环保产品必须是列入政府采购品目清单的产品。</w:t>
      </w:r>
    </w:p>
    <w:p w14:paraId="13B906C9">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2.乙方所提供的货物必须是全新、未使用的原装产品，且在正常安装、使用和保养条件下，其使用寿命期内各项指标均达到采购文件规定或者响应文件承诺的质量要求。</w:t>
      </w:r>
    </w:p>
    <w:p w14:paraId="717095AF">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25B83B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1.乙方应保证所提供货物在使用时不会侵犯任何第三方的专利权、商标权、外观专利或者其他权利。</w:t>
      </w:r>
    </w:p>
    <w:p w14:paraId="2E65444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2.乙方应按采购文件规定或者响应文件承诺的时间向甲方提供使用货物的有关技术资料。</w:t>
      </w:r>
    </w:p>
    <w:p w14:paraId="506396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C8D878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14:paraId="2B58E150">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包装和运输</w:t>
      </w:r>
    </w:p>
    <w:p w14:paraId="4F76E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1.乙方提供的货物均应按采购文件规定或者响应文件承诺的要求的包装材料、包装标准、包装方式进行包装，每一包装单元内应附详细的装箱单和质量合格证。</w:t>
      </w:r>
    </w:p>
    <w:p w14:paraId="4E236F5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14:paraId="1FE9DAE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3.乙方负责货物运输，货物运输合理损耗及计算方法：</w:t>
      </w:r>
      <w:r>
        <w:rPr>
          <w:rFonts w:hint="eastAsia" w:ascii="宋体" w:hAnsi="宋体" w:cs="宋体"/>
          <w:color w:val="auto"/>
          <w:szCs w:val="21"/>
          <w:highlight w:val="none"/>
          <w:u w:val="single"/>
        </w:rPr>
        <w:t>乙方负责</w:t>
      </w:r>
      <w:r>
        <w:rPr>
          <w:rFonts w:hint="eastAsia" w:ascii="宋体" w:hAnsi="宋体" w:cs="宋体"/>
          <w:color w:val="auto"/>
          <w:szCs w:val="21"/>
          <w:highlight w:val="none"/>
        </w:rPr>
        <w:t>。</w:t>
      </w:r>
    </w:p>
    <w:p w14:paraId="0BE843D0">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第五条　交付和验收</w:t>
      </w:r>
    </w:p>
    <w:p w14:paraId="2BEDDF2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。交付地点：</w:t>
      </w:r>
      <w:r>
        <w:rPr>
          <w:rFonts w:hint="eastAsia" w:ascii="宋体" w:hAnsi="宋体" w:cs="宋体"/>
          <w:color w:val="auto"/>
          <w:szCs w:val="21"/>
          <w:highlight w:val="none"/>
          <w:u w:val="single"/>
        </w:rPr>
        <w:t>广西财经学院武鸣校区（广西南宁市采购人指定地点）</w:t>
      </w:r>
      <w:r>
        <w:rPr>
          <w:rFonts w:hint="eastAsia" w:ascii="宋体" w:hAnsi="宋体" w:cs="宋体"/>
          <w:color w:val="auto"/>
          <w:szCs w:val="21"/>
          <w:highlight w:val="none"/>
        </w:rPr>
        <w:t>。</w:t>
      </w:r>
    </w:p>
    <w:p w14:paraId="68AA1A4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2.乙方提供不符合采购文件规定或者响应文件承诺的和本合同规定的货物，甲方有权拒绝接受。</w:t>
      </w:r>
    </w:p>
    <w:p w14:paraId="2706B1F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E0642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4.甲方应当在到货（安装、调试完）后五个工作日内进行验收。验收合格后由甲乙双方签署货物验收单并加盖甲方公章，甲乙双方各执一份。</w:t>
      </w:r>
    </w:p>
    <w:p w14:paraId="2965943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w:t>
      </w:r>
      <w:r>
        <w:rPr>
          <w:rFonts w:hint="eastAsia" w:ascii="宋体" w:hAnsi="宋体" w:cs="宋体"/>
          <w:color w:val="auto"/>
          <w:szCs w:val="21"/>
          <w:highlight w:val="none"/>
          <w:lang w:val="en-US" w:eastAsia="zh-CN"/>
        </w:rPr>
        <w:t>按内部管理规章</w:t>
      </w:r>
      <w:r>
        <w:rPr>
          <w:rFonts w:hint="eastAsia" w:ascii="宋体" w:hAnsi="宋体" w:cs="宋体"/>
          <w:color w:val="auto"/>
          <w:szCs w:val="21"/>
          <w:highlight w:val="none"/>
        </w:rPr>
        <w:t>组织验收项目，其验收时间以该项目验收方案确定的验收时间为准，验收结果以该项目验收报告结论为准。在验收过程中发现乙方有违约问题，可暂缓资金结算，待违约问题解决后，方可办理资金结算事宜。</w:t>
      </w:r>
    </w:p>
    <w:p w14:paraId="6000426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w:t>
      </w:r>
      <w:r>
        <w:rPr>
          <w:rFonts w:hint="eastAsia" w:ascii="宋体" w:hAnsi="宋体" w:cs="宋体"/>
          <w:color w:val="auto"/>
          <w:szCs w:val="21"/>
          <w:highlight w:val="none"/>
          <w:u w:val="single"/>
        </w:rPr>
        <w:t>2</w:t>
      </w:r>
      <w:r>
        <w:rPr>
          <w:rFonts w:hint="eastAsia" w:ascii="宋体" w:hAnsi="宋体" w:cs="宋体"/>
          <w:color w:val="auto"/>
          <w:szCs w:val="21"/>
          <w:highlight w:val="none"/>
        </w:rPr>
        <w:t>日内及时予以解决。</w:t>
      </w:r>
    </w:p>
    <w:p w14:paraId="26C936BD">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甲乙双方对质量有争议协商不成且必须通过检测才能判断时，甲方有权委托具有相应资质的检测单位按照相关标准进行检测，质量检测合格的检测费用由甲方承担，质量检测不合格的检测费用由乙方承担，乙方应当在5日内更换符合本合同质量要求的合格产品，由此产生的费用由乙方承担，并承担相应违约责任。</w:t>
      </w:r>
    </w:p>
    <w:p w14:paraId="512AF1E7">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.根据规定或技术性强需要相关部门检测结果作为验收依据或需要有相关部门组织、参加的，应委托相关部门先行检测或邀请相关部门组织、参加产品验收。检测、验收所需费用由乙方负责。</w:t>
      </w:r>
    </w:p>
    <w:p w14:paraId="66275BA0">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安装和培训</w:t>
      </w:r>
    </w:p>
    <w:p w14:paraId="5EEC31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7E1421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2.乙方负责甲方有关人员的培训。培训时间：</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14:paraId="71673BB4">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售后服务、质保期</w:t>
      </w:r>
    </w:p>
    <w:p w14:paraId="05CBBA7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1.乙方应按照国家有关法律法规和“三包”规定以及本合同所附的服务承诺，为甲方提供售后服务。</w:t>
      </w:r>
    </w:p>
    <w:p w14:paraId="01DD16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EDEB0D">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3.乙方提供的服务承诺和售后服务及保修期责任等其它具体约定事项。（见合同附件）</w:t>
      </w:r>
    </w:p>
    <w:p w14:paraId="50DDA041">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第八条　付款方式</w:t>
      </w:r>
    </w:p>
    <w:p w14:paraId="1FBDAD57">
      <w:pPr>
        <w:adjustRightInd w:val="0"/>
        <w:snapToGrid w:val="0"/>
        <w:spacing w:line="360" w:lineRule="auto"/>
        <w:ind w:left="-61" w:leftChars="-29" w:firstLine="517" w:firstLineChars="245"/>
        <w:rPr>
          <w:rFonts w:hint="eastAsia" w:ascii="宋体" w:hAnsi="宋体" w:cs="宋体"/>
          <w:b/>
          <w:color w:val="auto"/>
          <w:szCs w:val="21"/>
          <w:highlight w:val="none"/>
        </w:rPr>
      </w:pPr>
      <w:r>
        <w:rPr>
          <w:rFonts w:hint="eastAsia" w:ascii="宋体" w:hAnsi="宋体" w:cs="宋体"/>
          <w:b/>
          <w:color w:val="auto"/>
          <w:szCs w:val="21"/>
          <w:highlight w:val="none"/>
        </w:rPr>
        <w:t>双方签订合同后，成交供应商须向采购人提供合同总金额50%的预付款保函（保函有效期不少于1年。保函到期前，若项目未完成，成交供应商须在保函到期前提前1个月提交新一期保函）及等额发票，采购人收到预付款保函及发票后10个工作日内向成交供应商一次性支付合同款总金额50%的预付款；项目验收合格后，采购人收到等额发票后10个工作日内采购人向成交供应商一次性支付剩余合同总金额的50%的合同款。</w:t>
      </w:r>
    </w:p>
    <w:p w14:paraId="71E8DB30">
      <w:pPr>
        <w:adjustRightInd w:val="0"/>
        <w:snapToGrid w:val="0"/>
        <w:spacing w:line="360" w:lineRule="auto"/>
        <w:ind w:left="-61" w:leftChars="-29" w:firstLine="517" w:firstLineChars="245"/>
        <w:rPr>
          <w:rFonts w:hint="eastAsia" w:ascii="宋体" w:hAnsi="宋体" w:cs="宋体"/>
          <w:b/>
          <w:color w:val="auto"/>
          <w:szCs w:val="21"/>
          <w:highlight w:val="none"/>
        </w:rPr>
      </w:pPr>
      <w:r>
        <w:rPr>
          <w:rFonts w:hint="eastAsia" w:ascii="宋体" w:hAnsi="宋体" w:cs="宋体"/>
          <w:b/>
          <w:color w:val="auto"/>
          <w:szCs w:val="21"/>
          <w:highlight w:val="none"/>
        </w:rPr>
        <w:t>第九条　履约保证金</w:t>
      </w:r>
    </w:p>
    <w:p w14:paraId="04511F5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1.履约保证金金额：按项目成交总金额的3%（如</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供应商为中小企业的，按本项目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总金额的2%）。</w:t>
      </w:r>
    </w:p>
    <w:p w14:paraId="788B7C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2.履约保证金递交方式：以电汇、转账、汇票或金融机构、担保机构出具的保函等非现金形式提交。由成交人在签订合同前按规定的金额直接缴入采购人账户：</w:t>
      </w:r>
    </w:p>
    <w:p w14:paraId="7BD88B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开户名称：广西财经学院       </w:t>
      </w:r>
    </w:p>
    <w:p w14:paraId="1F112C3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开户银行： 中国银行南宁明秀西路支行            </w:t>
      </w:r>
    </w:p>
    <w:p w14:paraId="6E2E7CB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银行账户：611957485481</w:t>
      </w:r>
    </w:p>
    <w:p w14:paraId="0B9CDD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成交人须在签订合同之前按照本条规定的履约保证金金额、递交方式直接转入采购人账户，否则不予签订合同。项目验收合格后一年退付（无息）。由成交人向履约保证金收取单位提供《采购项目合同验收书》、《采购项目履约保证金退付意见书》，保证金收取单位在收到合格材料后，根据成交人相关违约处罚扣款后的实际数额在5个工作日内办理退还手续（不计利息）。若采购内容质保期各不相同的，也可按金额比例分次退付。</w:t>
      </w:r>
    </w:p>
    <w:p w14:paraId="1DE4784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4.在履约保证金退还日期前，若成交人的开户名称、开户银行、账号有变动的，请以书面形式通知采购人，否则由此产生的后果由成交人自负。</w:t>
      </w:r>
    </w:p>
    <w:p w14:paraId="4ED6135F">
      <w:pPr>
        <w:adjustRightInd w:val="0"/>
        <w:snapToGrid w:val="0"/>
        <w:spacing w:line="360" w:lineRule="auto"/>
        <w:ind w:left="-61" w:firstLine="514"/>
        <w:rPr>
          <w:rFonts w:hint="eastAsia" w:ascii="宋体" w:hAnsi="宋体" w:cs="宋体"/>
          <w:b/>
          <w:color w:val="auto"/>
          <w:szCs w:val="21"/>
          <w:highlight w:val="none"/>
        </w:rPr>
      </w:pPr>
      <w:r>
        <w:rPr>
          <w:rFonts w:hint="eastAsia" w:ascii="宋体" w:hAnsi="宋体" w:cs="宋体"/>
          <w:b/>
          <w:color w:val="auto"/>
          <w:szCs w:val="21"/>
          <w:highlight w:val="none"/>
        </w:rPr>
        <w:t>第十条  税费</w:t>
      </w:r>
    </w:p>
    <w:p w14:paraId="7E003704">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A26365B">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b/>
          <w:color w:val="auto"/>
          <w:szCs w:val="21"/>
          <w:highlight w:val="none"/>
        </w:rPr>
        <w:t>第十一条  质量保证及售后服务</w:t>
      </w:r>
    </w:p>
    <w:p w14:paraId="11B55AE6">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乙方应按响应文件承诺的产品名称、商标品牌、生产厂家(生产制造商)、规格型号、技术参数、质量标准向甲方提供未经使用的全新产品。不符合要求的，根据实际情况，经双方协商，可按以下办法处理：</w:t>
      </w:r>
    </w:p>
    <w:p w14:paraId="6D3C84B9">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⑴更换：由乙方承担所发生的全部费用。</w:t>
      </w:r>
    </w:p>
    <w:p w14:paraId="53AFB441">
      <w:pPr>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⑵贬值处理：由甲乙双方合议定价。</w:t>
      </w:r>
    </w:p>
    <w:p w14:paraId="6965DFB6">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⑶退货处理：乙方应退还甲方支付的合同款，同时应承担该货物的直接费用（运输、保险、检验、</w:t>
      </w:r>
    </w:p>
    <w:p w14:paraId="74FBA30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货款利息及银行手续费等），且自甲方发出的退货通知中载明的取货期间届满之日起货物的毁损、灭失风险由乙方承担。</w:t>
      </w:r>
    </w:p>
    <w:p w14:paraId="6C197B30">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2.如在使用过程中发生质量问题，乙方在接到甲方通知后到达甲方现场处理的时间按响应文件承诺为</w:t>
      </w:r>
      <w:r>
        <w:rPr>
          <w:rFonts w:hint="eastAsia" w:ascii="宋体" w:hAnsi="宋体" w:cs="宋体"/>
          <w:color w:val="auto"/>
          <w:szCs w:val="21"/>
          <w:highlight w:val="none"/>
          <w:u w:val="single"/>
        </w:rPr>
        <w:t>（按响应文件承诺的数据填写）</w:t>
      </w:r>
      <w:r>
        <w:rPr>
          <w:rFonts w:hint="eastAsia" w:ascii="宋体" w:hAnsi="宋体" w:cs="宋体"/>
          <w:color w:val="auto"/>
          <w:highlight w:val="none"/>
        </w:rPr>
        <w:t>小时内。</w:t>
      </w:r>
    </w:p>
    <w:p w14:paraId="22162298">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3.在质保期内，乙方应对货物出现的质量及安全问题负责处理解决并承担一切费用。</w:t>
      </w:r>
    </w:p>
    <w:p w14:paraId="1F72D3D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4.上述的货物质保期按</w:t>
      </w:r>
      <w:r>
        <w:rPr>
          <w:rFonts w:hint="eastAsia" w:ascii="宋体" w:hAnsi="宋体" w:cs="宋体"/>
          <w:color w:val="auto"/>
          <w:szCs w:val="21"/>
          <w:highlight w:val="none"/>
          <w:u w:val="single"/>
        </w:rPr>
        <w:t>乙方响应文件中所承诺的期限</w:t>
      </w:r>
      <w:r>
        <w:rPr>
          <w:rFonts w:hint="eastAsia" w:ascii="宋体" w:hAnsi="宋体" w:cs="宋体"/>
          <w:color w:val="auto"/>
          <w:szCs w:val="21"/>
          <w:highlight w:val="none"/>
        </w:rPr>
        <w:t>，因人为因素出现的故障不在免费保修范围内。超过保修期的机器设备，终身维修，维修时只收部件成本费。</w:t>
      </w:r>
    </w:p>
    <w:p w14:paraId="4D7081C0">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b/>
          <w:color w:val="auto"/>
          <w:szCs w:val="21"/>
          <w:highlight w:val="none"/>
        </w:rPr>
        <w:t>第十二条  调试和验收</w:t>
      </w:r>
    </w:p>
    <w:p w14:paraId="46786EE9">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甲方对乙方提交的货物依据采购文件上的技术规格要求和国家有关质量标准进行现场初步验收，外观、说明书符合采购文件技术要求的，给予签收，初步验收不合格的不予签收。货到后，甲方应当在到货（安装、调试完）后五个工作日内进行验收。</w:t>
      </w:r>
    </w:p>
    <w:p w14:paraId="71A6471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2.乙方交货前应对产品作出全面检查和对验收文件进行整理，并列出清单，作为甲方收货验收和使用的技术条件依据，检验的结果应随货物交甲方。</w:t>
      </w:r>
    </w:p>
    <w:p w14:paraId="7A17E07D">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3.甲方对乙方提供的货物在使用前进行调试时，乙方需负责安装并培训甲方的使用操作人员，并协助甲方一起调试，直到符合技术要求，甲方才做最终验收。</w:t>
      </w:r>
    </w:p>
    <w:p w14:paraId="58D1227B">
      <w:pPr>
        <w:adjustRightInd w:val="0"/>
        <w:snapToGrid w:val="0"/>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4.对技术复杂的货物，甲方应请国家认可的专业检测机构参与初步验收及最终验收，并由其出具质量检测报告</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检测相关费用由乙方承担。</w:t>
      </w:r>
    </w:p>
    <w:p w14:paraId="196EFCE1">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color w:val="auto"/>
          <w:szCs w:val="21"/>
          <w:highlight w:val="none"/>
        </w:rPr>
        <w:t>5. 验收时乙方必须在现场，验收完毕后作出验收结果报告。验收费用按采购文件约定承担方负责。</w:t>
      </w:r>
    </w:p>
    <w:p w14:paraId="3F4D3340">
      <w:pPr>
        <w:adjustRightInd w:val="0"/>
        <w:snapToGrid w:val="0"/>
        <w:spacing w:line="360" w:lineRule="auto"/>
        <w:ind w:firstLine="413" w:firstLineChars="196"/>
        <w:rPr>
          <w:rFonts w:hint="eastAsia" w:ascii="宋体" w:hAnsi="宋体" w:cs="宋体"/>
          <w:b/>
          <w:color w:val="auto"/>
          <w:highlight w:val="none"/>
        </w:rPr>
      </w:pPr>
      <w:r>
        <w:rPr>
          <w:rFonts w:hint="eastAsia" w:ascii="宋体" w:hAnsi="宋体" w:cs="宋体"/>
          <w:b/>
          <w:color w:val="auto"/>
          <w:highlight w:val="none"/>
        </w:rPr>
        <w:t>第十三条  货物包装、发运及运输</w:t>
      </w:r>
    </w:p>
    <w:p w14:paraId="5DF337B2">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1.乙方应在货物发运前对其进行满足运输距离、防潮、防震、防锈和防破损装卸等要求包装，以保证货物安全运达甲方指定地点。</w:t>
      </w:r>
    </w:p>
    <w:p w14:paraId="2C42DACF">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使用说明书（货物属于进口产品的，供货时应同时附上中文使用说明书）质量检验证明书、随配附件和工具以及清单一并附于货物内。</w:t>
      </w:r>
    </w:p>
    <w:p w14:paraId="7B22BF41">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3.乙方在货物发运手续办理完毕后二十四小时内或者货到甲方四十八小时前通知甲方，以准备接货。</w:t>
      </w:r>
    </w:p>
    <w:p w14:paraId="4E4E1E05">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4.货物在验收合格之前发生的所有风险均由乙方承担。</w:t>
      </w:r>
    </w:p>
    <w:p w14:paraId="45770875">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5.货物在规定的交付期限内由乙方送达甲方指定的地点视为交付，乙方同时需通知甲方货物已送达。</w:t>
      </w:r>
    </w:p>
    <w:p w14:paraId="5B53FC7B">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违约责任</w:t>
      </w:r>
    </w:p>
    <w:p w14:paraId="0042090A">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1.若乙方最终未按采购文件要求和响应文件承诺提供相应产品，甲方将不予验收并可以单方面终止合同、没收履约保证金，而且由乙方按合同总金额的30%承担违约责任，并承担甲方在实现其合同权利过程中可能产生的其他一切损失。</w:t>
      </w:r>
    </w:p>
    <w:p w14:paraId="0A37FE4F">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2.若乙方在合同履约过程中存在被判定有刑事违法犯罪行为的情形，甲方可以单方面终止合同、没收履约保证金并按本合同总金额的30%收取违约金。</w:t>
      </w:r>
    </w:p>
    <w:p w14:paraId="1B1E1DBF">
      <w:pPr>
        <w:adjustRightInd/>
        <w:snapToGrid/>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3.若乙方未按本合同约定或甲方发货通知要求的期限交货、安装或完成本合同约定的其他工作的，每逾期一天，乙方应按本合同总价款的万分之五向甲方支付违约金；逾期15天，甲方有权选择单方解除本合同并要求支付合同总金额10%的违约金，违约金上限为合同总价的30%。若甲方未按本合同约定无故延期接收货物或支付货款的，每逾期一天，甲方应按本合同总价款的万分之五向乙方支付违约金；逾期15天，乙方有权选择单方解除本合同并要求支付合同总金额10%的违约金，违约金上限为合同总金额的30%。</w:t>
      </w:r>
      <w:r>
        <w:rPr>
          <w:rFonts w:hint="eastAsia" w:ascii="宋体" w:hAnsi="宋体" w:cs="宋体"/>
          <w:color w:val="auto"/>
          <w:highlight w:val="none"/>
          <w:lang w:val="en-US" w:eastAsia="zh-CN"/>
        </w:rPr>
        <w:t xml:space="preserve">                     </w:t>
      </w:r>
    </w:p>
    <w:p w14:paraId="4664CD6F">
      <w:pPr>
        <w:pStyle w:val="2"/>
        <w:spacing w:line="360" w:lineRule="auto"/>
        <w:rPr>
          <w:rFonts w:hint="default"/>
          <w:color w:val="auto"/>
          <w:highlight w:val="none"/>
          <w:lang w:val="en-US"/>
        </w:rPr>
      </w:pPr>
      <w:r>
        <w:rPr>
          <w:rFonts w:hint="eastAsia" w:ascii="宋体" w:hAnsi="宋体" w:cs="宋体"/>
          <w:color w:val="auto"/>
          <w:highlight w:val="none"/>
          <w:lang w:val="en-US" w:eastAsia="zh-CN"/>
        </w:rPr>
        <w:t xml:space="preserve">    </w:t>
      </w:r>
      <w:r>
        <w:rPr>
          <w:rFonts w:hint="eastAsia" w:ascii="宋体" w:hAnsi="宋体" w:cs="宋体"/>
          <w:color w:val="auto"/>
          <w:sz w:val="21"/>
          <w:szCs w:val="21"/>
          <w:highlight w:val="none"/>
          <w:lang w:val="en-US" w:eastAsia="zh-CN"/>
        </w:rPr>
        <w:t>4.经过甲方验收，乙方交付的产品数量、包装、规格、品牌、质量、随附单证等与合同约定不一致的，视为交付不合格，甲方有权采取下列任何一种措施追究乙方违约责任：（1）拒绝接受不合格产品，要求乙方在 5 日内无条件更换、补足或修理、重做，由此产生的费用由乙方承担，因此延误交货期的乙方承担相应的违约责任，逾期 15 日仍未更换、补足或更换、补足后仍不符合合同约定的，甲方有权选择单方解除本合同或部分解除本合同并要求乙方支付解除合同部分价款30%作为违约金；（2）已经接收的产品要求乙方在 5 日内无条件退货并退还甲方已支付的全部价款并支付退货部分价款30%的违约金；（3）选择不退换货的，甲方有权根据情况以质论价减少价款并要求乙方支付本合同总金额的30%作为违约金。</w:t>
      </w:r>
    </w:p>
    <w:p w14:paraId="735FB911">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5.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2611DDA4">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6.乙方应当保证有权销售本合同的所有产品，不会因此侵犯到第三人的所有权、知识产权等一切权利也未对产品设置任何负担，属于第三人拥有知识产权的已经取得第三人合法授权，甲方有权不受限制的使用。若因违反本款约定引起的第三方权利纠纷的由乙方负责解决，包括甲方使用该产品所需的授权费以及解决争议发生的一切费用（包括但不限于律师费、诉讼费、鉴定费等）均由乙方承担。如果不能取得使用许可需要另行购买产品的，所需费用由乙方承担，并赔偿甲方因此受到的损失。</w:t>
      </w:r>
    </w:p>
    <w:p w14:paraId="21290B39">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7.本合同签订及履行过程中，未经甲方书面同意，乙方不得将本合同的权利义务以任何方式转让给第三人，否则甲方有权选择单方解除本合同并要求乙方支付合同总金额30%的违约金。</w:t>
      </w:r>
    </w:p>
    <w:p w14:paraId="54487134">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8.本合同签订后，乙方要求提前解除合同的，应向甲方支付本合同总金额30%的违约金，退还甲方已支付的全部费用并赔偿由此给甲方造成的全部损失。</w:t>
      </w:r>
    </w:p>
    <w:p w14:paraId="5C519E09">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9.乙方应当支付给甲方的违约金、赔偿金，甲方有权从履约保证金（如有）及未支付的货款中扣除，违约金不足以赔偿给甲方造成损失的，甲方仍有权向乙方进行追偿。</w:t>
      </w:r>
    </w:p>
    <w:p w14:paraId="143CE0FD">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10.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货物，付清违约金、赔偿金。</w:t>
      </w:r>
    </w:p>
    <w:p w14:paraId="7FEF600A">
      <w:pPr>
        <w:adjustRightInd w:val="0"/>
        <w:snapToGrid w:val="0"/>
        <w:spacing w:line="360" w:lineRule="auto"/>
        <w:ind w:firstLine="420" w:firstLineChars="200"/>
        <w:rPr>
          <w:rFonts w:hint="eastAsia" w:ascii="宋体" w:hAnsi="宋体" w:cs="宋体"/>
          <w:b w:val="0"/>
          <w:color w:val="auto"/>
          <w:highlight w:val="none"/>
        </w:rPr>
      </w:pPr>
      <w:r>
        <w:rPr>
          <w:rFonts w:hint="eastAsia" w:ascii="宋体" w:hAnsi="宋体" w:eastAsia="宋体" w:cs="宋体"/>
          <w:color w:val="auto"/>
          <w:sz w:val="21"/>
          <w:szCs w:val="22"/>
          <w:highlight w:val="none"/>
        </w:rPr>
        <w:t>11.乙方违反本合同约定或法律规定的，应当赔偿给甲方造成的全部损失，包括但不限于直接损失、预期利益损失、甲方向第三人支付的违约金、赔偿金及甲方为索赔支出的诉讼费、律师费、公证费、保全费、担保费、鉴定费、评估费等全部费用。</w:t>
      </w:r>
    </w:p>
    <w:p w14:paraId="61CFD8B1">
      <w:pPr>
        <w:adjustRightInd w:val="0"/>
        <w:snapToGrid w:val="0"/>
        <w:spacing w:line="360" w:lineRule="auto"/>
        <w:ind w:firstLine="413" w:firstLineChars="196"/>
        <w:rPr>
          <w:rFonts w:hint="eastAsia" w:ascii="宋体" w:hAnsi="宋体" w:cs="宋体"/>
          <w:b/>
          <w:color w:val="auto"/>
          <w:highlight w:val="none"/>
        </w:rPr>
      </w:pPr>
      <w:r>
        <w:rPr>
          <w:rFonts w:hint="eastAsia" w:ascii="宋体" w:hAnsi="宋体" w:cs="宋体"/>
          <w:b/>
          <w:color w:val="auto"/>
          <w:highlight w:val="none"/>
        </w:rPr>
        <w:t>第十五条  不可抗力事件处理</w:t>
      </w:r>
    </w:p>
    <w:p w14:paraId="34BFF786">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14:paraId="17BEACAC">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14:paraId="0980BBC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C1EACE3">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第十六条  合同争议解决</w:t>
      </w:r>
    </w:p>
    <w:p w14:paraId="273A6F9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1F91137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因履行本合同引起的或者与本合同有关的争议，甲乙双方应首先通过友好协商解决，如果协商不能解决，向甲方所在地有管辖权的人民法院提起诉讼。</w:t>
      </w:r>
    </w:p>
    <w:p w14:paraId="100BE502">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09278754">
      <w:pPr>
        <w:adjustRightInd w:val="0"/>
        <w:snapToGrid w:val="0"/>
        <w:spacing w:line="360" w:lineRule="auto"/>
        <w:ind w:firstLine="413" w:firstLineChars="196"/>
        <w:rPr>
          <w:rFonts w:hint="eastAsia" w:ascii="宋体" w:hAnsi="宋体" w:cs="宋体"/>
          <w:b/>
          <w:color w:val="auto"/>
          <w:highlight w:val="none"/>
        </w:rPr>
      </w:pPr>
      <w:r>
        <w:rPr>
          <w:rFonts w:hint="eastAsia" w:ascii="宋体" w:hAnsi="宋体" w:cs="宋体"/>
          <w:b/>
          <w:color w:val="auto"/>
          <w:highlight w:val="none"/>
        </w:rPr>
        <w:t>第十七条  合同生效及其他</w:t>
      </w:r>
    </w:p>
    <w:p w14:paraId="61A5A012">
      <w:pPr>
        <w:adjustRightInd w:val="0"/>
        <w:snapToGrid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 合同经双方法定代表人或者其委托代理人签字并加盖单位公章后生效。</w:t>
      </w:r>
    </w:p>
    <w:p w14:paraId="3AFBD1CE">
      <w:pPr>
        <w:adjustRightInd w:val="0"/>
        <w:snapToGrid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2.合同执行中涉及采购资金和采购内容修改或者补充的，须签书面补充协议，作为主合同不可分割的一部分。</w:t>
      </w:r>
    </w:p>
    <w:p w14:paraId="58921719">
      <w:pPr>
        <w:adjustRightInd w:val="0"/>
        <w:snapToGrid w:val="0"/>
        <w:spacing w:line="360" w:lineRule="auto"/>
        <w:ind w:left="420" w:leftChars="200"/>
        <w:rPr>
          <w:rFonts w:hint="eastAsia" w:ascii="宋体" w:hAnsi="宋体" w:cs="宋体"/>
          <w:bCs/>
          <w:color w:val="auto"/>
          <w:highlight w:val="none"/>
        </w:rPr>
      </w:pPr>
      <w:r>
        <w:rPr>
          <w:rFonts w:hint="eastAsia" w:ascii="宋体" w:hAnsi="宋体" w:cs="宋体"/>
          <w:bCs/>
          <w:color w:val="auto"/>
          <w:highlight w:val="none"/>
        </w:rPr>
        <w:t>3.本合同未尽事宜，遵照《中华人民共和国民法典》有关条文执行。</w:t>
      </w:r>
    </w:p>
    <w:p w14:paraId="6BB36AB9">
      <w:pPr>
        <w:adjustRightInd w:val="0"/>
        <w:snapToGrid w:val="0"/>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第十八条　</w:t>
      </w:r>
      <w:r>
        <w:rPr>
          <w:rFonts w:hint="eastAsia" w:ascii="宋体" w:hAnsi="宋体" w:cs="宋体"/>
          <w:bCs/>
          <w:color w:val="auto"/>
          <w:szCs w:val="21"/>
          <w:highlight w:val="none"/>
        </w:rPr>
        <w:t>合同的变更、终止与转让</w:t>
      </w:r>
    </w:p>
    <w:p w14:paraId="1E4E72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w:t>
      </w:r>
    </w:p>
    <w:p w14:paraId="4BF5EE5D">
      <w:pPr>
        <w:adjustRightInd w:val="0"/>
        <w:snapToGrid w:val="0"/>
        <w:spacing w:line="360" w:lineRule="auto"/>
        <w:ind w:left="-61" w:firstLine="514"/>
        <w:rPr>
          <w:rFonts w:hint="eastAsia" w:ascii="宋体" w:hAnsi="宋体" w:cs="宋体"/>
          <w:color w:val="auto"/>
          <w:szCs w:val="21"/>
          <w:highlight w:val="none"/>
        </w:rPr>
      </w:pPr>
      <w:r>
        <w:rPr>
          <w:rFonts w:hint="eastAsia" w:ascii="宋体" w:hAnsi="宋体" w:cs="宋体"/>
          <w:color w:val="auto"/>
          <w:szCs w:val="21"/>
          <w:highlight w:val="none"/>
        </w:rPr>
        <w:t>2. 乙方不得擅自转让（无进口资格的乙方委托进口货物除外）其应履行的合同义务。</w:t>
      </w:r>
    </w:p>
    <w:p w14:paraId="1954CA99">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kern w:val="0"/>
          <w:szCs w:val="21"/>
          <w:highlight w:val="none"/>
        </w:rPr>
        <w:t>本合同书与下列文件一起构成合同文件</w:t>
      </w:r>
    </w:p>
    <w:p w14:paraId="757A66A9">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1.成交通知书。</w:t>
      </w:r>
    </w:p>
    <w:p w14:paraId="2ED682DC">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2.采购需求。</w:t>
      </w:r>
    </w:p>
    <w:p w14:paraId="2AD37C2B">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3.响应函。</w:t>
      </w:r>
    </w:p>
    <w:p w14:paraId="5A66BE81">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4.竞标报价明细表。</w:t>
      </w:r>
    </w:p>
    <w:p w14:paraId="162621DE">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5.技术需求偏离表和商务条款偏离表。</w:t>
      </w:r>
    </w:p>
    <w:p w14:paraId="54FFFE64">
      <w:p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6.其他合同文件（采购文件、乙方提供的响应文件等）。</w:t>
      </w:r>
    </w:p>
    <w:p w14:paraId="1A0CA762">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第二十条　</w:t>
      </w:r>
      <w:r>
        <w:rPr>
          <w:rFonts w:hint="eastAsia" w:ascii="宋体" w:hAnsi="宋体" w:cs="宋体"/>
          <w:bCs/>
          <w:color w:val="auto"/>
          <w:szCs w:val="21"/>
          <w:highlight w:val="none"/>
        </w:rPr>
        <w:t>本合同一式八份，具有同等法律效力，广西壮族自治区财政厅政府采购监督管理处、采购代理机构各一份，甲乙双方各三份。</w:t>
      </w:r>
    </w:p>
    <w:p w14:paraId="321E390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6"/>
        <w:gridCol w:w="4776"/>
      </w:tblGrid>
      <w:tr w14:paraId="5CB4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776" w:type="dxa"/>
            <w:noWrap/>
            <w:vAlign w:val="center"/>
          </w:tcPr>
          <w:p w14:paraId="5AFAB135">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1EEB3751">
            <w:pPr>
              <w:adjustRightInd w:val="0"/>
              <w:snapToGrid w:val="0"/>
              <w:spacing w:line="360" w:lineRule="auto"/>
              <w:rPr>
                <w:rFonts w:hint="eastAsia" w:ascii="宋体" w:hAnsi="宋体" w:cs="宋体"/>
                <w:color w:val="auto"/>
                <w:szCs w:val="21"/>
                <w:highlight w:val="none"/>
              </w:rPr>
            </w:pPr>
          </w:p>
          <w:p w14:paraId="2AEB9DD1">
            <w:pPr>
              <w:adjustRightInd w:val="0"/>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776" w:type="dxa"/>
            <w:noWrap/>
            <w:vAlign w:val="center"/>
          </w:tcPr>
          <w:p w14:paraId="51C2072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乙方（章）</w:t>
            </w:r>
          </w:p>
          <w:p w14:paraId="3BD1CE1B">
            <w:pPr>
              <w:adjustRightInd w:val="0"/>
              <w:snapToGrid w:val="0"/>
              <w:spacing w:line="360" w:lineRule="auto"/>
              <w:rPr>
                <w:rFonts w:hint="eastAsia" w:ascii="宋体" w:hAnsi="宋体" w:cs="宋体"/>
                <w:color w:val="auto"/>
                <w:szCs w:val="21"/>
                <w:highlight w:val="none"/>
              </w:rPr>
            </w:pPr>
          </w:p>
          <w:p w14:paraId="16E767FA">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5CF4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4C9DA01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776" w:type="dxa"/>
            <w:noWrap/>
            <w:vAlign w:val="center"/>
          </w:tcPr>
          <w:p w14:paraId="3F098DF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42FF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1C28CCD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776" w:type="dxa"/>
            <w:noWrap/>
            <w:vAlign w:val="center"/>
          </w:tcPr>
          <w:p w14:paraId="77DB836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68E0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73AF223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或者其委托代理人：</w:t>
            </w:r>
          </w:p>
        </w:tc>
        <w:tc>
          <w:tcPr>
            <w:tcW w:w="4776" w:type="dxa"/>
            <w:noWrap/>
            <w:vAlign w:val="center"/>
          </w:tcPr>
          <w:p w14:paraId="6F094107">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或者其委托代理人：</w:t>
            </w:r>
          </w:p>
        </w:tc>
      </w:tr>
      <w:tr w14:paraId="47C4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33CFD85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776" w:type="dxa"/>
            <w:noWrap/>
            <w:vAlign w:val="center"/>
          </w:tcPr>
          <w:p w14:paraId="2952C97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5290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0AE1DB4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776" w:type="dxa"/>
            <w:noWrap/>
            <w:vAlign w:val="center"/>
          </w:tcPr>
          <w:p w14:paraId="06489D8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5962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4FAE90E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776" w:type="dxa"/>
            <w:noWrap/>
            <w:vAlign w:val="center"/>
          </w:tcPr>
          <w:p w14:paraId="1C49B7A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104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63E682F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776" w:type="dxa"/>
            <w:noWrap/>
            <w:vAlign w:val="center"/>
          </w:tcPr>
          <w:p w14:paraId="63C4E28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13C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776" w:type="dxa"/>
            <w:noWrap/>
            <w:vAlign w:val="center"/>
          </w:tcPr>
          <w:p w14:paraId="1F90984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776" w:type="dxa"/>
            <w:noWrap/>
            <w:vAlign w:val="center"/>
          </w:tcPr>
          <w:p w14:paraId="3F2CF4B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42340A20">
      <w:pPr>
        <w:pStyle w:val="7"/>
        <w:rPr>
          <w:color w:val="auto"/>
          <w:highlight w:val="none"/>
          <w:lang w:val="zh-CN"/>
        </w:rPr>
      </w:pPr>
    </w:p>
    <w:p w14:paraId="63A412D9">
      <w:pPr>
        <w:rPr>
          <w:color w:val="auto"/>
          <w:highlight w:val="none"/>
          <w:lang w:val="zh-CN"/>
        </w:rPr>
      </w:pPr>
    </w:p>
    <w:p w14:paraId="045B6570">
      <w:pPr>
        <w:keepNext/>
        <w:keepLines/>
        <w:spacing w:before="340" w:after="330" w:line="578" w:lineRule="auto"/>
        <w:jc w:val="center"/>
        <w:outlineLvl w:val="0"/>
        <w:rPr>
          <w:rFonts w:hint="eastAsia" w:ascii="宋体" w:hAnsi="宋体" w:cs="宋体"/>
          <w:bCs/>
          <w:color w:val="auto"/>
          <w:kern w:val="44"/>
          <w:sz w:val="44"/>
          <w:szCs w:val="44"/>
          <w:highlight w:val="none"/>
          <w:lang w:val="zh-CN"/>
        </w:rPr>
      </w:pPr>
      <w:bookmarkStart w:id="120" w:name="_Toc80205947"/>
    </w:p>
    <w:p w14:paraId="35B6A5E7">
      <w:pPr>
        <w:pStyle w:val="7"/>
        <w:rPr>
          <w:rFonts w:hint="eastAsia" w:ascii="宋体" w:hAnsi="宋体" w:cs="宋体"/>
          <w:bCs/>
          <w:color w:val="auto"/>
          <w:kern w:val="44"/>
          <w:sz w:val="44"/>
          <w:szCs w:val="44"/>
          <w:highlight w:val="none"/>
          <w:lang w:val="zh-CN"/>
        </w:rPr>
      </w:pPr>
    </w:p>
    <w:p w14:paraId="28056FE9">
      <w:pPr>
        <w:pStyle w:val="7"/>
        <w:rPr>
          <w:rFonts w:hint="eastAsia" w:ascii="宋体" w:hAnsi="宋体" w:cs="宋体"/>
          <w:bCs/>
          <w:color w:val="auto"/>
          <w:kern w:val="44"/>
          <w:sz w:val="44"/>
          <w:szCs w:val="44"/>
          <w:highlight w:val="none"/>
          <w:lang w:val="zh-CN"/>
        </w:rPr>
      </w:pPr>
    </w:p>
    <w:p w14:paraId="26B23374">
      <w:pPr>
        <w:keepNext/>
        <w:keepLines/>
        <w:spacing w:before="340" w:after="330" w:line="578" w:lineRule="auto"/>
        <w:jc w:val="center"/>
        <w:outlineLvl w:val="0"/>
        <w:rPr>
          <w:rFonts w:hint="eastAsia" w:ascii="宋体" w:hAnsi="宋体" w:cs="宋体"/>
          <w:b/>
          <w:bCs/>
          <w:color w:val="auto"/>
          <w:sz w:val="32"/>
          <w:szCs w:val="32"/>
          <w:highlight w:val="none"/>
        </w:rPr>
      </w:pPr>
      <w:bookmarkStart w:id="121" w:name="_Toc26819"/>
      <w:r>
        <w:rPr>
          <w:rFonts w:hint="eastAsia" w:ascii="宋体" w:hAnsi="宋体" w:cs="宋体"/>
          <w:bCs/>
          <w:color w:val="auto"/>
          <w:kern w:val="44"/>
          <w:sz w:val="44"/>
          <w:szCs w:val="44"/>
          <w:highlight w:val="none"/>
          <w:lang w:val="zh-CN"/>
        </w:rPr>
        <w:t>第七章 质疑、投诉材料格式</w:t>
      </w:r>
      <w:bookmarkEnd w:id="120"/>
      <w:r>
        <w:rPr>
          <w:rFonts w:hint="eastAsia" w:ascii="宋体" w:hAnsi="宋体" w:cs="宋体"/>
          <w:b/>
          <w:bCs/>
          <w:color w:val="auto"/>
          <w:kern w:val="44"/>
          <w:sz w:val="44"/>
          <w:szCs w:val="44"/>
          <w:highlight w:val="none"/>
          <w:lang w:val="zh-CN"/>
        </w:rPr>
        <w:br w:type="page"/>
      </w:r>
      <w:r>
        <w:rPr>
          <w:rFonts w:hint="eastAsia" w:ascii="宋体" w:hAnsi="宋体" w:cs="宋体"/>
          <w:b/>
          <w:bCs/>
          <w:color w:val="auto"/>
          <w:sz w:val="32"/>
          <w:szCs w:val="32"/>
          <w:highlight w:val="none"/>
        </w:rPr>
        <w:t>质疑函（格式）</w:t>
      </w:r>
      <w:bookmarkEnd w:id="121"/>
    </w:p>
    <w:p w14:paraId="45CF499D">
      <w:pPr>
        <w:spacing w:line="360" w:lineRule="auto"/>
        <w:ind w:firstLine="482" w:firstLineChars="200"/>
        <w:contextualSpacing/>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一、质疑供应商基本信息：</w:t>
      </w:r>
    </w:p>
    <w:p w14:paraId="757B8D04">
      <w:pPr>
        <w:spacing w:line="360" w:lineRule="auto"/>
        <w:ind w:firstLine="480" w:firstLineChars="200"/>
        <w:contextualSpacing/>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质疑供应商：</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5E7A3AA8">
      <w:pPr>
        <w:spacing w:line="360" w:lineRule="auto"/>
        <w:ind w:firstLine="480" w:firstLineChars="200"/>
        <w:contextualSpacing/>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7285390F">
      <w:pPr>
        <w:spacing w:line="360" w:lineRule="auto"/>
        <w:ind w:firstLine="480" w:firstLineChars="200"/>
        <w:contextualSpacing/>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联系人：</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p>
    <w:p w14:paraId="04B1A7BE">
      <w:pPr>
        <w:spacing w:line="360" w:lineRule="auto"/>
        <w:ind w:firstLine="480" w:firstLineChars="200"/>
        <w:contextualSpacing/>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授权代表：</w:t>
      </w:r>
      <w:r>
        <w:rPr>
          <w:rFonts w:hint="eastAsia" w:ascii="宋体" w:hAnsi="宋体" w:cs="宋体"/>
          <w:bCs/>
          <w:color w:val="auto"/>
          <w:kern w:val="0"/>
          <w:sz w:val="24"/>
          <w:szCs w:val="24"/>
          <w:highlight w:val="none"/>
          <w:u w:val="single"/>
          <w:lang w:val="zh-CN"/>
        </w:rPr>
        <w:t xml:space="preserve">                      </w:t>
      </w:r>
    </w:p>
    <w:p w14:paraId="43CFC58A">
      <w:pPr>
        <w:spacing w:line="360" w:lineRule="auto"/>
        <w:ind w:firstLine="480" w:firstLineChars="200"/>
        <w:contextualSpacing/>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p>
    <w:p w14:paraId="44738A0B">
      <w:pPr>
        <w:spacing w:line="360" w:lineRule="auto"/>
        <w:ind w:firstLine="480" w:firstLineChars="200"/>
        <w:contextualSpacing/>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2697B3F3">
      <w:pPr>
        <w:spacing w:line="360" w:lineRule="auto"/>
        <w:ind w:firstLine="482" w:firstLineChars="200"/>
        <w:contextualSpacing/>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二、质疑项目基本情况：</w:t>
      </w:r>
    </w:p>
    <w:p w14:paraId="715518F6">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lang w:val="zh-CN"/>
        </w:rPr>
        <w:t>质疑</w:t>
      </w:r>
      <w:r>
        <w:rPr>
          <w:rFonts w:hint="eastAsia" w:ascii="宋体" w:hAnsi="宋体" w:cs="宋体"/>
          <w:color w:val="auto"/>
          <w:kern w:val="0"/>
          <w:sz w:val="24"/>
          <w:szCs w:val="24"/>
          <w:highlight w:val="none"/>
          <w:lang w:val="zh-CN"/>
        </w:rPr>
        <w:t>项目的名称：</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571937C3">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lang w:val="zh-CN"/>
        </w:rPr>
        <w:t>质疑</w:t>
      </w:r>
      <w:r>
        <w:rPr>
          <w:rFonts w:hint="eastAsia" w:ascii="宋体" w:hAnsi="宋体" w:cs="宋体"/>
          <w:color w:val="auto"/>
          <w:kern w:val="0"/>
          <w:sz w:val="24"/>
          <w:szCs w:val="24"/>
          <w:highlight w:val="none"/>
          <w:lang w:val="zh-CN"/>
        </w:rPr>
        <w:t>项目的编号：</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3286F4D0">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采购人名称：</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7AB7C666">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质疑事项：</w:t>
      </w:r>
    </w:p>
    <w:p w14:paraId="32F08DF2">
      <w:pPr>
        <w:spacing w:line="360" w:lineRule="auto"/>
        <w:ind w:left="25" w:leftChars="12" w:firstLine="352" w:firstLineChars="14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□采购文件   采购文件获取日期：</w:t>
      </w:r>
      <w:r>
        <w:rPr>
          <w:rFonts w:hint="eastAsia" w:ascii="宋体" w:hAnsi="宋体" w:cs="宋体"/>
          <w:bCs/>
          <w:color w:val="auto"/>
          <w:kern w:val="0"/>
          <w:sz w:val="24"/>
          <w:szCs w:val="24"/>
          <w:highlight w:val="none"/>
          <w:u w:val="single"/>
          <w:lang w:val="zh-CN"/>
        </w:rPr>
        <w:t xml:space="preserve">                                   </w:t>
      </w:r>
    </w:p>
    <w:p w14:paraId="1E3AA59B">
      <w:pPr>
        <w:spacing w:line="360" w:lineRule="auto"/>
        <w:ind w:left="25" w:leftChars="12" w:firstLine="352" w:firstLineChars="14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□采购过程   </w:t>
      </w:r>
    </w:p>
    <w:p w14:paraId="523526CA">
      <w:pPr>
        <w:spacing w:line="360" w:lineRule="auto"/>
        <w:ind w:left="25" w:leftChars="12" w:firstLine="352" w:firstLineChars="147"/>
        <w:contextualSpacing/>
        <w:rPr>
          <w:rFonts w:hint="eastAsia" w:ascii="宋体" w:hAnsi="宋体" w:cs="宋体"/>
          <w:bCs/>
          <w:color w:val="auto"/>
          <w:kern w:val="0"/>
          <w:sz w:val="24"/>
          <w:szCs w:val="24"/>
          <w:highlight w:val="none"/>
          <w:u w:val="single"/>
          <w:lang w:val="zh-CN"/>
        </w:rPr>
      </w:pPr>
      <w:r>
        <w:rPr>
          <w:rFonts w:hint="eastAsia" w:ascii="宋体" w:hAnsi="宋体" w:cs="宋体"/>
          <w:color w:val="auto"/>
          <w:kern w:val="0"/>
          <w:sz w:val="24"/>
          <w:szCs w:val="24"/>
          <w:highlight w:val="none"/>
          <w:lang w:val="zh-CN"/>
        </w:rPr>
        <w:t xml:space="preserve">□成交结果   </w:t>
      </w:r>
    </w:p>
    <w:p w14:paraId="29046B49">
      <w:pPr>
        <w:spacing w:line="360" w:lineRule="auto"/>
        <w:ind w:left="25" w:leftChars="12" w:firstLine="472" w:firstLineChars="196"/>
        <w:contextualSpacing/>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三、质疑事项具体内容</w:t>
      </w:r>
    </w:p>
    <w:p w14:paraId="0AAC74EC">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质疑事项1：</w:t>
      </w:r>
      <w:r>
        <w:rPr>
          <w:rFonts w:hint="eastAsia" w:ascii="宋体" w:hAnsi="宋体" w:cs="宋体"/>
          <w:bCs/>
          <w:color w:val="auto"/>
          <w:kern w:val="0"/>
          <w:sz w:val="24"/>
          <w:szCs w:val="24"/>
          <w:highlight w:val="none"/>
          <w:u w:val="single"/>
          <w:lang w:val="zh-CN"/>
        </w:rPr>
        <w:t xml:space="preserve">                                                                    </w:t>
      </w:r>
    </w:p>
    <w:p w14:paraId="230F97D3">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事实依据：</w:t>
      </w:r>
      <w:r>
        <w:rPr>
          <w:rFonts w:hint="eastAsia" w:ascii="宋体" w:hAnsi="宋体" w:cs="宋体"/>
          <w:bCs/>
          <w:color w:val="auto"/>
          <w:kern w:val="0"/>
          <w:sz w:val="24"/>
          <w:szCs w:val="24"/>
          <w:highlight w:val="none"/>
          <w:u w:val="single"/>
          <w:lang w:val="zh-CN"/>
        </w:rPr>
        <w:t xml:space="preserve">                                                                      </w:t>
      </w:r>
    </w:p>
    <w:p w14:paraId="163FD415">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法律依据：</w:t>
      </w:r>
      <w:r>
        <w:rPr>
          <w:rFonts w:hint="eastAsia" w:ascii="宋体" w:hAnsi="宋体" w:cs="宋体"/>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lang w:val="zh-CN"/>
        </w:rPr>
        <w:t xml:space="preserve">               </w:t>
      </w:r>
    </w:p>
    <w:p w14:paraId="36D4CEA3">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质疑事项2</w:t>
      </w:r>
    </w:p>
    <w:p w14:paraId="107CC6CE">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p w14:paraId="6040252A">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四、与质疑事项相关的质疑请求：</w:t>
      </w:r>
    </w:p>
    <w:p w14:paraId="0C2D41BC">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请求：</w:t>
      </w:r>
      <w:r>
        <w:rPr>
          <w:rFonts w:hint="eastAsia" w:ascii="宋体" w:hAnsi="宋体" w:cs="宋体"/>
          <w:bCs/>
          <w:color w:val="auto"/>
          <w:kern w:val="0"/>
          <w:sz w:val="24"/>
          <w:szCs w:val="24"/>
          <w:highlight w:val="none"/>
          <w:u w:val="single"/>
          <w:lang w:val="zh-CN"/>
        </w:rPr>
        <w:t xml:space="preserve">                                                                </w:t>
      </w:r>
    </w:p>
    <w:p w14:paraId="3E40F669">
      <w:pPr>
        <w:spacing w:line="360" w:lineRule="auto"/>
        <w:ind w:left="25" w:leftChars="12" w:firstLine="352" w:firstLineChars="147"/>
        <w:contextualSpacing/>
        <w:rPr>
          <w:rFonts w:hint="eastAsia" w:ascii="宋体" w:hAnsi="宋体" w:cs="宋体"/>
          <w:color w:val="auto"/>
          <w:kern w:val="0"/>
          <w:sz w:val="24"/>
          <w:szCs w:val="24"/>
          <w:highlight w:val="none"/>
          <w:lang w:val="zh-CN"/>
        </w:rPr>
      </w:pPr>
    </w:p>
    <w:p w14:paraId="5F4D2C64">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签字（签章）：                                       公章：</w:t>
      </w:r>
    </w:p>
    <w:p w14:paraId="5368B8E6">
      <w:pPr>
        <w:spacing w:line="360" w:lineRule="auto"/>
        <w:ind w:left="25" w:leftChars="12" w:firstLine="352" w:firstLineChars="147"/>
        <w:contextualSpacing/>
        <w:rPr>
          <w:rFonts w:hint="eastAsia" w:ascii="宋体" w:hAnsi="宋体" w:cs="宋体"/>
          <w:color w:val="auto"/>
          <w:kern w:val="0"/>
          <w:sz w:val="24"/>
          <w:szCs w:val="24"/>
          <w:highlight w:val="none"/>
          <w:lang w:val="zh-CN"/>
        </w:rPr>
      </w:pPr>
    </w:p>
    <w:p w14:paraId="5EECAD36">
      <w:pPr>
        <w:spacing w:line="360" w:lineRule="auto"/>
        <w:ind w:left="25" w:leftChars="12" w:firstLine="472" w:firstLineChars="197"/>
        <w:contextualSpacing/>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14:paraId="561A356A">
      <w:pPr>
        <w:spacing w:line="360" w:lineRule="auto"/>
        <w:contextualSpacing/>
        <w:rPr>
          <w:rFonts w:hint="eastAsia" w:ascii="宋体" w:hAnsi="宋体" w:cs="宋体"/>
          <w:b/>
          <w:color w:val="auto"/>
          <w:kern w:val="0"/>
          <w:sz w:val="24"/>
          <w:szCs w:val="24"/>
          <w:highlight w:val="none"/>
          <w:lang w:val="zh-CN"/>
        </w:rPr>
      </w:pPr>
    </w:p>
    <w:p w14:paraId="0AA78AF4">
      <w:pPr>
        <w:spacing w:line="360" w:lineRule="auto"/>
        <w:contextualSpacing/>
        <w:rPr>
          <w:rFonts w:hint="eastAsia" w:ascii="宋体" w:hAnsi="宋体" w:cs="宋体"/>
          <w:b/>
          <w:color w:val="auto"/>
          <w:kern w:val="0"/>
          <w:sz w:val="24"/>
          <w:szCs w:val="24"/>
          <w:highlight w:val="none"/>
          <w:lang w:val="zh-CN"/>
        </w:rPr>
      </w:pPr>
    </w:p>
    <w:p w14:paraId="44910E58">
      <w:pPr>
        <w:spacing w:line="360" w:lineRule="auto"/>
        <w:contextualSpacing/>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说明：</w:t>
      </w:r>
    </w:p>
    <w:p w14:paraId="5EA34EF0">
      <w:pPr>
        <w:spacing w:line="360" w:lineRule="auto"/>
        <w:ind w:left="25" w:leftChars="12" w:firstLine="354" w:firstLineChars="147"/>
        <w:contextualSpacing/>
        <w:rPr>
          <w:rFonts w:hint="eastAsia" w:ascii="宋体" w:hAnsi="宋体" w:cs="宋体"/>
          <w:b/>
          <w:bCs/>
          <w:color w:val="auto"/>
          <w:kern w:val="0"/>
          <w:sz w:val="24"/>
          <w:szCs w:val="24"/>
          <w:highlight w:val="none"/>
          <w:lang w:val="zh-CN"/>
        </w:rPr>
      </w:pPr>
      <w:r>
        <w:rPr>
          <w:rFonts w:hint="eastAsia" w:ascii="宋体" w:hAnsi="宋体" w:cs="宋体"/>
          <w:b/>
          <w:color w:val="auto"/>
          <w:kern w:val="0"/>
          <w:sz w:val="24"/>
          <w:szCs w:val="24"/>
          <w:highlight w:val="none"/>
          <w:lang w:val="zh-CN"/>
        </w:rPr>
        <w:t>1.供应商提出质疑时，应提交质疑函和必要的证明材料</w:t>
      </w:r>
      <w:r>
        <w:rPr>
          <w:rFonts w:hint="eastAsia" w:ascii="宋体" w:hAnsi="宋体" w:cs="宋体"/>
          <w:b/>
          <w:bCs/>
          <w:color w:val="auto"/>
          <w:kern w:val="0"/>
          <w:sz w:val="24"/>
          <w:szCs w:val="24"/>
          <w:highlight w:val="none"/>
          <w:lang w:val="zh-CN"/>
        </w:rPr>
        <w:t>。</w:t>
      </w:r>
    </w:p>
    <w:p w14:paraId="1AA7D09A">
      <w:pPr>
        <w:spacing w:line="360" w:lineRule="auto"/>
        <w:ind w:left="25" w:leftChars="12" w:firstLine="354" w:firstLineChars="147"/>
        <w:contextualSpacing/>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77DD50A">
      <w:pPr>
        <w:spacing w:line="360" w:lineRule="auto"/>
        <w:ind w:left="25" w:leftChars="12" w:firstLine="354" w:firstLineChars="147"/>
        <w:contextualSpacing/>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3.质疑函的质疑事项应具体、明确，并有必要的事实依据和法律依据。</w:t>
      </w:r>
    </w:p>
    <w:p w14:paraId="6E3BFEBA">
      <w:pPr>
        <w:spacing w:line="360" w:lineRule="auto"/>
        <w:ind w:left="25" w:leftChars="12" w:firstLine="354" w:firstLineChars="147"/>
        <w:contextualSpacing/>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4.质疑函的质疑请求应与质疑事项相关。</w:t>
      </w:r>
    </w:p>
    <w:p w14:paraId="5DF742DE">
      <w:pPr>
        <w:spacing w:line="360" w:lineRule="auto"/>
        <w:ind w:left="25" w:leftChars="12" w:firstLine="354" w:firstLineChars="147"/>
        <w:contextualSpacing/>
        <w:rPr>
          <w:rFonts w:hint="eastAsia" w:ascii="宋体" w:hAnsi="宋体" w:cs="宋体"/>
          <w:b/>
          <w:color w:val="auto"/>
          <w:kern w:val="0"/>
          <w:sz w:val="20"/>
          <w:szCs w:val="21"/>
          <w:highlight w:val="none"/>
          <w:lang w:val="zh-CN"/>
        </w:rPr>
      </w:pPr>
      <w:r>
        <w:rPr>
          <w:rFonts w:hint="eastAsia" w:ascii="宋体" w:hAnsi="宋体" w:cs="宋体"/>
          <w:b/>
          <w:color w:val="auto"/>
          <w:kern w:val="0"/>
          <w:sz w:val="24"/>
          <w:szCs w:val="24"/>
          <w:highlight w:val="none"/>
          <w:lang w:val="zh-CN"/>
        </w:rPr>
        <w:t>5.质疑供应商为法人或者其他组织的，质疑函应由法定代表人、主要负责人，或者其授权代表签字或者盖章，并加盖公章。</w:t>
      </w:r>
    </w:p>
    <w:p w14:paraId="58B89940">
      <w:pPr>
        <w:snapToGrid w:val="0"/>
        <w:rPr>
          <w:rFonts w:hint="eastAsia" w:ascii="宋体" w:hAnsi="宋体" w:cs="宋体"/>
          <w:b/>
          <w:color w:val="auto"/>
          <w:kern w:val="0"/>
          <w:sz w:val="24"/>
          <w:szCs w:val="24"/>
          <w:highlight w:val="none"/>
          <w:lang w:val="zh-CN"/>
        </w:rPr>
      </w:pPr>
    </w:p>
    <w:p w14:paraId="5236AC2E">
      <w:pPr>
        <w:spacing w:line="460" w:lineRule="exact"/>
        <w:jc w:val="center"/>
        <w:rPr>
          <w:rFonts w:hint="eastAsia" w:ascii="宋体" w:hAnsi="宋体" w:cs="宋体"/>
          <w:color w:val="auto"/>
          <w:sz w:val="44"/>
          <w:szCs w:val="24"/>
          <w:highlight w:val="none"/>
        </w:rPr>
      </w:pPr>
      <w:r>
        <w:rPr>
          <w:rFonts w:hint="eastAsia" w:ascii="宋体" w:hAnsi="宋体" w:cs="宋体"/>
          <w:color w:val="auto"/>
          <w:sz w:val="44"/>
          <w:szCs w:val="24"/>
          <w:highlight w:val="none"/>
        </w:rPr>
        <w:br w:type="page"/>
      </w:r>
    </w:p>
    <w:p w14:paraId="77AF382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431C7139">
      <w:pPr>
        <w:snapToGrid w:val="0"/>
        <w:spacing w:line="360" w:lineRule="auto"/>
        <w:ind w:firstLine="482" w:firstLineChars="20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一、投诉相关主体基本情况：</w:t>
      </w:r>
    </w:p>
    <w:p w14:paraId="2975BA66">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供应商：</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4C41D76F">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0596A6C5">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法定代表人/主要负责人：</w:t>
      </w:r>
      <w:r>
        <w:rPr>
          <w:rFonts w:hint="eastAsia" w:ascii="宋体" w:hAnsi="宋体" w:cs="宋体"/>
          <w:bCs/>
          <w:color w:val="auto"/>
          <w:kern w:val="0"/>
          <w:sz w:val="24"/>
          <w:szCs w:val="24"/>
          <w:highlight w:val="none"/>
          <w:u w:val="single"/>
          <w:lang w:val="zh-CN"/>
        </w:rPr>
        <w:t xml:space="preserve">                                                         </w:t>
      </w:r>
    </w:p>
    <w:p w14:paraId="31C8A691">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p>
    <w:p w14:paraId="40AB9295">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授权代表：</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p>
    <w:p w14:paraId="3053FE36">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p>
    <w:p w14:paraId="21EE33E4">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6894E5E9">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被投诉人1：</w:t>
      </w:r>
    </w:p>
    <w:p w14:paraId="7AB52DA5">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p>
    <w:p w14:paraId="0D7A4B8F">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46646C4B">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联系人：</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p>
    <w:p w14:paraId="244BC625">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被投诉人2：</w:t>
      </w:r>
    </w:p>
    <w:p w14:paraId="49E38A03">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w:t>
      </w:r>
    </w:p>
    <w:p w14:paraId="602FCD15">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相关供应商：</w:t>
      </w:r>
      <w:r>
        <w:rPr>
          <w:rFonts w:hint="eastAsia" w:ascii="宋体" w:hAnsi="宋体" w:cs="宋体"/>
          <w:bCs/>
          <w:color w:val="auto"/>
          <w:kern w:val="0"/>
          <w:sz w:val="24"/>
          <w:szCs w:val="24"/>
          <w:highlight w:val="none"/>
          <w:u w:val="single"/>
          <w:lang w:val="zh-CN"/>
        </w:rPr>
        <w:t xml:space="preserve">                                                                       </w:t>
      </w:r>
    </w:p>
    <w:p w14:paraId="42FBB7B6">
      <w:pPr>
        <w:snapToGrid w:val="0"/>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地址：</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邮编：</w:t>
      </w:r>
      <w:r>
        <w:rPr>
          <w:rFonts w:hint="eastAsia" w:ascii="宋体" w:hAnsi="宋体" w:cs="宋体"/>
          <w:bCs/>
          <w:color w:val="auto"/>
          <w:kern w:val="0"/>
          <w:sz w:val="24"/>
          <w:szCs w:val="24"/>
          <w:highlight w:val="none"/>
          <w:u w:val="single"/>
          <w:lang w:val="zh-CN"/>
        </w:rPr>
        <w:t xml:space="preserve">                         </w:t>
      </w:r>
    </w:p>
    <w:p w14:paraId="59AD7151">
      <w:pPr>
        <w:snapToGrid w:val="0"/>
        <w:spacing w:line="360" w:lineRule="auto"/>
        <w:ind w:firstLine="480" w:firstLineChars="200"/>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联系人：</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联系电话：</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lang w:val="zh-CN"/>
        </w:rPr>
        <w:t xml:space="preserve">                </w:t>
      </w:r>
    </w:p>
    <w:p w14:paraId="51019E33">
      <w:pPr>
        <w:snapToGrid w:val="0"/>
        <w:spacing w:line="360" w:lineRule="auto"/>
        <w:ind w:firstLine="482" w:firstLineChars="20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二、投诉项目基本情况：</w:t>
      </w:r>
    </w:p>
    <w:p w14:paraId="76DBEA32">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lang w:val="zh-CN"/>
        </w:rPr>
        <w:t>采购</w:t>
      </w:r>
      <w:r>
        <w:rPr>
          <w:rFonts w:hint="eastAsia" w:ascii="宋体" w:hAnsi="宋体" w:cs="宋体"/>
          <w:color w:val="auto"/>
          <w:kern w:val="0"/>
          <w:sz w:val="24"/>
          <w:szCs w:val="24"/>
          <w:highlight w:val="none"/>
          <w:lang w:val="zh-CN"/>
        </w:rPr>
        <w:t>项目的名称：</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78015B9F">
      <w:pPr>
        <w:spacing w:line="360" w:lineRule="auto"/>
        <w:ind w:left="25" w:leftChars="12" w:firstLine="472" w:firstLineChars="197"/>
        <w:rPr>
          <w:rFonts w:hint="eastAsia" w:ascii="宋体" w:hAnsi="宋体" w:cs="宋体"/>
          <w:color w:val="auto"/>
          <w:kern w:val="0"/>
          <w:sz w:val="24"/>
          <w:szCs w:val="24"/>
          <w:highlight w:val="none"/>
        </w:rPr>
      </w:pPr>
      <w:r>
        <w:rPr>
          <w:rFonts w:hint="eastAsia" w:ascii="宋体" w:hAnsi="宋体" w:cs="宋体"/>
          <w:bCs/>
          <w:color w:val="auto"/>
          <w:kern w:val="0"/>
          <w:sz w:val="24"/>
          <w:szCs w:val="24"/>
          <w:highlight w:val="none"/>
          <w:lang w:val="zh-CN"/>
        </w:rPr>
        <w:t>采购</w:t>
      </w:r>
      <w:r>
        <w:rPr>
          <w:rFonts w:hint="eastAsia" w:ascii="宋体" w:hAnsi="宋体" w:cs="宋体"/>
          <w:color w:val="auto"/>
          <w:kern w:val="0"/>
          <w:sz w:val="24"/>
          <w:szCs w:val="24"/>
          <w:highlight w:val="none"/>
          <w:lang w:val="zh-CN"/>
        </w:rPr>
        <w:t>项目的编号：</w:t>
      </w:r>
      <w:r>
        <w:rPr>
          <w:rFonts w:hint="eastAsia" w:ascii="宋体" w:hAnsi="宋体" w:cs="宋体"/>
          <w:bCs/>
          <w:color w:val="auto"/>
          <w:kern w:val="0"/>
          <w:sz w:val="24"/>
          <w:szCs w:val="24"/>
          <w:highlight w:val="none"/>
          <w:u w:val="single"/>
        </w:rPr>
        <w:t xml:space="preserve">                 </w:t>
      </w:r>
    </w:p>
    <w:p w14:paraId="393D5A93">
      <w:pPr>
        <w:spacing w:line="360" w:lineRule="auto"/>
        <w:ind w:left="25" w:leftChars="12" w:firstLine="472" w:firstLineChars="197"/>
        <w:rPr>
          <w:rFonts w:hint="eastAsia" w:ascii="宋体" w:hAnsi="宋体" w:cs="宋体"/>
          <w:bCs/>
          <w:color w:val="auto"/>
          <w:kern w:val="0"/>
          <w:sz w:val="24"/>
          <w:szCs w:val="24"/>
          <w:highlight w:val="none"/>
          <w:u w:val="single"/>
          <w:lang w:val="zh-CN"/>
        </w:rPr>
      </w:pPr>
      <w:r>
        <w:rPr>
          <w:rFonts w:hint="eastAsia" w:ascii="宋体" w:hAnsi="宋体" w:cs="宋体"/>
          <w:color w:val="auto"/>
          <w:kern w:val="0"/>
          <w:sz w:val="24"/>
          <w:szCs w:val="24"/>
          <w:highlight w:val="none"/>
          <w:lang w:val="zh-CN"/>
        </w:rPr>
        <w:t>采购人名称：</w:t>
      </w:r>
      <w:r>
        <w:rPr>
          <w:rFonts w:hint="eastAsia" w:ascii="宋体" w:hAnsi="宋体" w:cs="宋体"/>
          <w:bCs/>
          <w:color w:val="auto"/>
          <w:kern w:val="0"/>
          <w:sz w:val="24"/>
          <w:szCs w:val="24"/>
          <w:highlight w:val="none"/>
          <w:u w:val="single"/>
          <w:lang w:val="zh-CN"/>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064CCC7C">
      <w:pPr>
        <w:spacing w:line="360" w:lineRule="auto"/>
        <w:ind w:left="25" w:leftChars="12" w:firstLine="472" w:firstLineChars="197"/>
        <w:rPr>
          <w:rFonts w:hint="eastAsia" w:ascii="宋体" w:hAnsi="宋体" w:cs="宋体"/>
          <w:bCs/>
          <w:color w:val="auto"/>
          <w:kern w:val="0"/>
          <w:sz w:val="24"/>
          <w:szCs w:val="24"/>
          <w:highlight w:val="none"/>
          <w:u w:val="single"/>
          <w:lang w:val="zh-CN"/>
        </w:rPr>
      </w:pPr>
      <w:r>
        <w:rPr>
          <w:rFonts w:hint="eastAsia" w:ascii="宋体" w:hAnsi="宋体" w:cs="宋体"/>
          <w:color w:val="auto"/>
          <w:kern w:val="0"/>
          <w:sz w:val="24"/>
          <w:szCs w:val="24"/>
          <w:highlight w:val="none"/>
          <w:lang w:val="zh-CN"/>
        </w:rPr>
        <w:t>代理机构名称：</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zh-CN"/>
        </w:rPr>
        <w:t xml:space="preserve"> </w:t>
      </w:r>
    </w:p>
    <w:p w14:paraId="40435FFD">
      <w:pPr>
        <w:spacing w:line="360" w:lineRule="auto"/>
        <w:ind w:left="25" w:leftChars="12" w:firstLine="472" w:firstLineChars="197"/>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rPr>
        <w:t>采购</w:t>
      </w:r>
      <w:r>
        <w:rPr>
          <w:rFonts w:hint="eastAsia" w:ascii="宋体" w:hAnsi="宋体" w:cs="宋体"/>
          <w:bCs/>
          <w:color w:val="auto"/>
          <w:kern w:val="0"/>
          <w:sz w:val="24"/>
          <w:szCs w:val="24"/>
          <w:highlight w:val="none"/>
          <w:lang w:val="zh-CN"/>
        </w:rPr>
        <w:t>文件公告：</w:t>
      </w:r>
      <w:r>
        <w:rPr>
          <w:rFonts w:hint="eastAsia" w:ascii="宋体" w:hAnsi="宋体" w:cs="宋体"/>
          <w:bCs/>
          <w:color w:val="auto"/>
          <w:kern w:val="0"/>
          <w:sz w:val="24"/>
          <w:szCs w:val="24"/>
          <w:highlight w:val="none"/>
          <w:u w:val="single"/>
          <w:lang w:val="zh-CN"/>
        </w:rPr>
        <w:t>是/否</w:t>
      </w:r>
      <w:r>
        <w:rPr>
          <w:rFonts w:hint="eastAsia" w:ascii="宋体" w:hAnsi="宋体" w:cs="宋体"/>
          <w:bCs/>
          <w:color w:val="auto"/>
          <w:kern w:val="0"/>
          <w:sz w:val="24"/>
          <w:szCs w:val="24"/>
          <w:highlight w:val="none"/>
          <w:lang w:val="zh-CN"/>
        </w:rPr>
        <w:t>公告期限：</w:t>
      </w:r>
      <w:r>
        <w:rPr>
          <w:rFonts w:hint="eastAsia" w:ascii="宋体" w:hAnsi="宋体" w:cs="宋体"/>
          <w:bCs/>
          <w:color w:val="auto"/>
          <w:kern w:val="0"/>
          <w:sz w:val="24"/>
          <w:szCs w:val="24"/>
          <w:highlight w:val="none"/>
          <w:u w:val="single"/>
          <w:lang w:val="zh-CN"/>
        </w:rPr>
        <w:t xml:space="preserve">                                                       </w:t>
      </w:r>
    </w:p>
    <w:p w14:paraId="1383E339">
      <w:pPr>
        <w:spacing w:line="360" w:lineRule="auto"/>
        <w:ind w:left="25" w:leftChars="12" w:firstLine="472" w:firstLineChars="197"/>
        <w:rPr>
          <w:rFonts w:hint="eastAsia" w:ascii="宋体" w:hAnsi="宋体" w:cs="宋体"/>
          <w:b/>
          <w:color w:val="auto"/>
          <w:kern w:val="0"/>
          <w:sz w:val="24"/>
          <w:szCs w:val="24"/>
          <w:highlight w:val="none"/>
          <w:lang w:val="zh-CN"/>
        </w:rPr>
      </w:pPr>
      <w:r>
        <w:rPr>
          <w:rFonts w:hint="eastAsia" w:ascii="宋体" w:hAnsi="宋体" w:cs="宋体"/>
          <w:bCs/>
          <w:color w:val="auto"/>
          <w:kern w:val="0"/>
          <w:sz w:val="24"/>
          <w:szCs w:val="24"/>
          <w:highlight w:val="none"/>
          <w:lang w:val="zh-CN"/>
        </w:rPr>
        <w:t>采购结果公告：</w:t>
      </w:r>
      <w:r>
        <w:rPr>
          <w:rFonts w:hint="eastAsia" w:ascii="宋体" w:hAnsi="宋体" w:cs="宋体"/>
          <w:bCs/>
          <w:color w:val="auto"/>
          <w:kern w:val="0"/>
          <w:sz w:val="24"/>
          <w:szCs w:val="24"/>
          <w:highlight w:val="none"/>
          <w:u w:val="single"/>
          <w:lang w:val="zh-CN"/>
        </w:rPr>
        <w:t>是/否</w:t>
      </w:r>
      <w:r>
        <w:rPr>
          <w:rFonts w:hint="eastAsia" w:ascii="宋体" w:hAnsi="宋体" w:cs="宋体"/>
          <w:bCs/>
          <w:color w:val="auto"/>
          <w:kern w:val="0"/>
          <w:sz w:val="24"/>
          <w:szCs w:val="24"/>
          <w:highlight w:val="none"/>
          <w:lang w:val="zh-CN"/>
        </w:rPr>
        <w:t>公告期限：</w:t>
      </w:r>
      <w:r>
        <w:rPr>
          <w:rFonts w:hint="eastAsia" w:ascii="宋体" w:hAnsi="宋体" w:cs="宋体"/>
          <w:bCs/>
          <w:color w:val="auto"/>
          <w:kern w:val="0"/>
          <w:sz w:val="24"/>
          <w:szCs w:val="24"/>
          <w:highlight w:val="none"/>
          <w:u w:val="single"/>
          <w:lang w:val="zh-CN"/>
        </w:rPr>
        <w:t xml:space="preserve">                                                       </w:t>
      </w:r>
    </w:p>
    <w:p w14:paraId="36FBC58D">
      <w:pPr>
        <w:spacing w:line="360" w:lineRule="auto"/>
        <w:ind w:left="25" w:leftChars="12" w:firstLine="472" w:firstLineChars="196"/>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三、质疑基本情况</w:t>
      </w:r>
    </w:p>
    <w:p w14:paraId="2F1730BE">
      <w:pPr>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投诉人于</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日，向</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提出质疑，质疑事项为：</w:t>
      </w:r>
    </w:p>
    <w:p w14:paraId="025240C3">
      <w:pPr>
        <w:spacing w:line="360" w:lineRule="auto"/>
        <w:ind w:firstLine="241"/>
        <w:rPr>
          <w:rFonts w:hint="eastAsia" w:ascii="宋体" w:hAnsi="宋体" w:cs="宋体"/>
          <w:bCs/>
          <w:color w:val="auto"/>
          <w:kern w:val="0"/>
          <w:sz w:val="24"/>
          <w:szCs w:val="24"/>
          <w:highlight w:val="none"/>
          <w:u w:val="single"/>
          <w:lang w:val="zh-CN"/>
        </w:rPr>
      </w:pPr>
      <w:r>
        <w:rPr>
          <w:rFonts w:hint="eastAsia" w:ascii="宋体" w:hAnsi="宋体" w:cs="宋体"/>
          <w:color w:val="auto"/>
          <w:kern w:val="0"/>
          <w:sz w:val="24"/>
          <w:szCs w:val="24"/>
          <w:highlight w:val="none"/>
          <w:lang w:val="zh-CN"/>
        </w:rPr>
        <w:t xml:space="preserve">    </w:t>
      </w:r>
      <w:r>
        <w:rPr>
          <w:rFonts w:hint="eastAsia" w:ascii="宋体" w:hAnsi="宋体" w:cs="宋体"/>
          <w:bCs/>
          <w:color w:val="auto"/>
          <w:kern w:val="0"/>
          <w:sz w:val="24"/>
          <w:szCs w:val="24"/>
          <w:highlight w:val="none"/>
          <w:u w:val="single"/>
          <w:lang w:val="zh-CN"/>
        </w:rPr>
        <w:t xml:space="preserve">                                                                                      </w:t>
      </w:r>
    </w:p>
    <w:p w14:paraId="75843255">
      <w:pPr>
        <w:spacing w:line="360" w:lineRule="auto"/>
        <w:ind w:firstLine="241"/>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 xml:space="preserve">    </w:t>
      </w:r>
      <w:r>
        <w:rPr>
          <w:rFonts w:hint="eastAsia" w:ascii="宋体" w:hAnsi="宋体" w:cs="宋体"/>
          <w:bCs/>
          <w:color w:val="auto"/>
          <w:kern w:val="0"/>
          <w:sz w:val="24"/>
          <w:szCs w:val="24"/>
          <w:highlight w:val="none"/>
          <w:u w:val="single"/>
          <w:lang w:val="zh-CN"/>
        </w:rPr>
        <w:t xml:space="preserve">                                                                                      </w:t>
      </w:r>
    </w:p>
    <w:p w14:paraId="777F3C7B">
      <w:pPr>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u w:val="single"/>
          <w:lang w:val="zh-CN"/>
        </w:rPr>
        <w:t>采购人/代理机构</w:t>
      </w:r>
      <w:r>
        <w:rPr>
          <w:rFonts w:hint="eastAsia" w:ascii="宋体" w:hAnsi="宋体" w:cs="宋体"/>
          <w:bCs/>
          <w:color w:val="auto"/>
          <w:kern w:val="0"/>
          <w:sz w:val="24"/>
          <w:szCs w:val="24"/>
          <w:highlight w:val="none"/>
          <w:lang w:val="zh-CN"/>
        </w:rPr>
        <w:t>于</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r>
        <w:rPr>
          <w:rFonts w:hint="eastAsia" w:ascii="宋体" w:hAnsi="宋体" w:cs="宋体"/>
          <w:bCs/>
          <w:color w:val="auto"/>
          <w:kern w:val="0"/>
          <w:sz w:val="24"/>
          <w:szCs w:val="24"/>
          <w:highlight w:val="none"/>
          <w:lang w:val="zh-CN"/>
        </w:rPr>
        <w:t xml:space="preserve">就质疑事项作出了答复/没有在法定期限内作出答复。                                                                                             </w:t>
      </w:r>
    </w:p>
    <w:p w14:paraId="7613B537">
      <w:pPr>
        <w:spacing w:line="360" w:lineRule="auto"/>
        <w:ind w:left="25" w:leftChars="12" w:firstLine="472" w:firstLineChars="196"/>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四、投诉事项具体内容</w:t>
      </w:r>
    </w:p>
    <w:p w14:paraId="06ECC61D">
      <w:pPr>
        <w:spacing w:line="360" w:lineRule="auto"/>
        <w:ind w:left="25" w:leftChars="12" w:firstLine="472" w:firstLineChars="197"/>
        <w:rPr>
          <w:rFonts w:hint="eastAsia" w:ascii="宋体" w:hAnsi="宋体" w:cs="宋体"/>
          <w:bCs/>
          <w:color w:val="auto"/>
          <w:kern w:val="0"/>
          <w:sz w:val="24"/>
          <w:szCs w:val="24"/>
          <w:highlight w:val="none"/>
          <w:u w:val="single"/>
          <w:lang w:val="zh-CN"/>
        </w:rPr>
      </w:pPr>
      <w:r>
        <w:rPr>
          <w:rFonts w:hint="eastAsia" w:ascii="宋体" w:hAnsi="宋体" w:cs="宋体"/>
          <w:color w:val="auto"/>
          <w:kern w:val="0"/>
          <w:sz w:val="24"/>
          <w:szCs w:val="24"/>
          <w:highlight w:val="none"/>
          <w:lang w:val="zh-CN"/>
        </w:rPr>
        <w:t>投诉事项1：</w:t>
      </w:r>
      <w:r>
        <w:rPr>
          <w:rFonts w:hint="eastAsia" w:ascii="宋体" w:hAnsi="宋体" w:cs="宋体"/>
          <w:bCs/>
          <w:color w:val="auto"/>
          <w:kern w:val="0"/>
          <w:sz w:val="24"/>
          <w:szCs w:val="24"/>
          <w:highlight w:val="none"/>
          <w:u w:val="single"/>
          <w:lang w:val="zh-CN"/>
        </w:rPr>
        <w:t xml:space="preserve">                                                                           </w:t>
      </w:r>
    </w:p>
    <w:p w14:paraId="127790BF">
      <w:pPr>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事实依据：</w:t>
      </w:r>
      <w:r>
        <w:rPr>
          <w:rFonts w:hint="eastAsia" w:ascii="宋体" w:hAnsi="宋体" w:cs="宋体"/>
          <w:color w:val="auto"/>
          <w:kern w:val="0"/>
          <w:sz w:val="24"/>
          <w:szCs w:val="24"/>
          <w:highlight w:val="none"/>
          <w:lang w:val="zh-CN"/>
        </w:rPr>
        <w:t xml:space="preserve"> </w:t>
      </w:r>
      <w:r>
        <w:rPr>
          <w:rFonts w:hint="eastAsia" w:ascii="宋体" w:hAnsi="宋体" w:cs="宋体"/>
          <w:bCs/>
          <w:color w:val="auto"/>
          <w:kern w:val="0"/>
          <w:sz w:val="24"/>
          <w:szCs w:val="24"/>
          <w:highlight w:val="none"/>
          <w:u w:val="single"/>
          <w:lang w:val="zh-CN"/>
        </w:rPr>
        <w:t xml:space="preserve">                                                                                      </w:t>
      </w:r>
    </w:p>
    <w:p w14:paraId="4F8542D3">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u w:val="single"/>
          <w:lang w:val="zh-CN"/>
        </w:rPr>
        <w:t xml:space="preserve">                                                                                        </w:t>
      </w:r>
    </w:p>
    <w:p w14:paraId="5C6CFEBD">
      <w:pPr>
        <w:spacing w:line="360" w:lineRule="auto"/>
        <w:ind w:firstLine="480" w:firstLineChars="200"/>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法律依据：</w:t>
      </w:r>
      <w:r>
        <w:rPr>
          <w:rFonts w:hint="eastAsia" w:ascii="宋体" w:hAnsi="宋体" w:cs="宋体"/>
          <w:color w:val="auto"/>
          <w:kern w:val="0"/>
          <w:sz w:val="24"/>
          <w:szCs w:val="24"/>
          <w:highlight w:val="none"/>
          <w:lang w:val="zh-CN"/>
        </w:rPr>
        <w:t xml:space="preserve"> </w:t>
      </w:r>
      <w:r>
        <w:rPr>
          <w:rFonts w:hint="eastAsia" w:ascii="宋体" w:hAnsi="宋体" w:cs="宋体"/>
          <w:bCs/>
          <w:color w:val="auto"/>
          <w:kern w:val="0"/>
          <w:sz w:val="24"/>
          <w:szCs w:val="24"/>
          <w:highlight w:val="none"/>
          <w:u w:val="single"/>
          <w:lang w:val="zh-CN"/>
        </w:rPr>
        <w:t xml:space="preserve">                                                                                      </w:t>
      </w:r>
    </w:p>
    <w:p w14:paraId="3D6E2B18">
      <w:pPr>
        <w:spacing w:line="360" w:lineRule="auto"/>
        <w:ind w:left="25" w:leftChars="12" w:firstLine="352" w:firstLineChars="147"/>
        <w:rPr>
          <w:rFonts w:hint="eastAsia" w:ascii="宋体" w:hAnsi="宋体" w:cs="宋体"/>
          <w:bCs/>
          <w:color w:val="auto"/>
          <w:kern w:val="0"/>
          <w:sz w:val="24"/>
          <w:szCs w:val="24"/>
          <w:highlight w:val="none"/>
          <w:u w:val="single"/>
          <w:lang w:val="zh-CN"/>
        </w:rPr>
      </w:pPr>
      <w:r>
        <w:rPr>
          <w:rFonts w:hint="eastAsia" w:ascii="宋体" w:hAnsi="宋体" w:cs="宋体"/>
          <w:bCs/>
          <w:color w:val="auto"/>
          <w:kern w:val="0"/>
          <w:sz w:val="24"/>
          <w:szCs w:val="24"/>
          <w:highlight w:val="none"/>
          <w:lang w:val="zh-CN"/>
        </w:rPr>
        <w:t xml:space="preserve"> </w:t>
      </w:r>
      <w:r>
        <w:rPr>
          <w:rFonts w:hint="eastAsia" w:ascii="宋体" w:hAnsi="宋体" w:cs="宋体"/>
          <w:bCs/>
          <w:color w:val="auto"/>
          <w:kern w:val="0"/>
          <w:sz w:val="24"/>
          <w:szCs w:val="24"/>
          <w:highlight w:val="none"/>
          <w:u w:val="single"/>
          <w:lang w:val="zh-CN"/>
        </w:rPr>
        <w:t xml:space="preserve">                                                                                        </w:t>
      </w:r>
    </w:p>
    <w:p w14:paraId="7212F242">
      <w:pPr>
        <w:spacing w:line="360" w:lineRule="auto"/>
        <w:ind w:left="25" w:leftChars="12" w:firstLine="472" w:firstLineChars="197"/>
        <w:rPr>
          <w:rFonts w:hint="eastAsia" w:ascii="宋体" w:hAnsi="宋体" w:cs="宋体"/>
          <w:bCs/>
          <w:color w:val="auto"/>
          <w:kern w:val="0"/>
          <w:sz w:val="24"/>
          <w:szCs w:val="24"/>
          <w:highlight w:val="none"/>
          <w:lang w:val="zh-CN"/>
        </w:rPr>
      </w:pPr>
      <w:r>
        <w:rPr>
          <w:rFonts w:hint="eastAsia" w:ascii="宋体" w:hAnsi="宋体" w:cs="宋体"/>
          <w:color w:val="auto"/>
          <w:kern w:val="0"/>
          <w:sz w:val="24"/>
          <w:szCs w:val="24"/>
          <w:highlight w:val="none"/>
          <w:lang w:val="zh-CN"/>
        </w:rPr>
        <w:t xml:space="preserve">投诉事项2  </w:t>
      </w:r>
      <w:r>
        <w:rPr>
          <w:rFonts w:hint="eastAsia" w:ascii="宋体" w:hAnsi="宋体" w:cs="宋体"/>
          <w:bCs/>
          <w:color w:val="auto"/>
          <w:kern w:val="0"/>
          <w:sz w:val="24"/>
          <w:szCs w:val="24"/>
          <w:highlight w:val="none"/>
          <w:lang w:val="zh-CN"/>
        </w:rPr>
        <w:t xml:space="preserve">   </w:t>
      </w:r>
    </w:p>
    <w:p w14:paraId="33C42547">
      <w:pPr>
        <w:spacing w:line="360" w:lineRule="auto"/>
        <w:ind w:left="25" w:leftChars="12" w:firstLine="472" w:firstLineChars="197"/>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w:t>
      </w:r>
    </w:p>
    <w:p w14:paraId="036FB0B0">
      <w:pPr>
        <w:spacing w:line="360" w:lineRule="auto"/>
        <w:ind w:left="25" w:leftChars="12" w:firstLine="472" w:firstLineChars="196"/>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五、与投诉事项相关的投诉请求：</w:t>
      </w:r>
    </w:p>
    <w:p w14:paraId="2D711247">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请求：</w:t>
      </w:r>
      <w:r>
        <w:rPr>
          <w:rFonts w:hint="eastAsia" w:ascii="宋体" w:hAnsi="宋体" w:cs="宋体"/>
          <w:bCs/>
          <w:color w:val="auto"/>
          <w:kern w:val="0"/>
          <w:sz w:val="24"/>
          <w:szCs w:val="24"/>
          <w:highlight w:val="none"/>
          <w:u w:val="single"/>
          <w:lang w:val="zh-CN"/>
        </w:rPr>
        <w:t xml:space="preserve">                                                                                 </w:t>
      </w:r>
    </w:p>
    <w:p w14:paraId="22ADAC12">
      <w:pPr>
        <w:spacing w:line="360" w:lineRule="auto"/>
        <w:ind w:left="25" w:leftChars="12" w:firstLine="352" w:firstLineChars="147"/>
        <w:rPr>
          <w:rFonts w:hint="eastAsia" w:ascii="宋体" w:hAnsi="宋体" w:cs="宋体"/>
          <w:color w:val="auto"/>
          <w:kern w:val="0"/>
          <w:sz w:val="24"/>
          <w:szCs w:val="24"/>
          <w:highlight w:val="none"/>
          <w:lang w:val="zh-CN"/>
        </w:rPr>
      </w:pPr>
    </w:p>
    <w:p w14:paraId="1BF5A582">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签字（签章）：                                       公章：</w:t>
      </w:r>
    </w:p>
    <w:p w14:paraId="48709D1D">
      <w:pPr>
        <w:spacing w:line="360" w:lineRule="auto"/>
        <w:ind w:left="25" w:leftChars="12" w:firstLine="352" w:firstLineChars="147"/>
        <w:rPr>
          <w:rFonts w:hint="eastAsia" w:ascii="宋体" w:hAnsi="宋体" w:cs="宋体"/>
          <w:color w:val="auto"/>
          <w:kern w:val="0"/>
          <w:sz w:val="24"/>
          <w:szCs w:val="24"/>
          <w:highlight w:val="none"/>
          <w:lang w:val="zh-CN"/>
        </w:rPr>
      </w:pPr>
    </w:p>
    <w:p w14:paraId="1C2FFEFD">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14:paraId="69399050">
      <w:pPr>
        <w:spacing w:line="360" w:lineRule="auto"/>
        <w:ind w:left="25" w:leftChars="12" w:firstLine="472" w:firstLineChars="197"/>
        <w:rPr>
          <w:rFonts w:hint="eastAsia" w:ascii="宋体" w:hAnsi="宋体" w:cs="宋体"/>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w:t>
      </w:r>
    </w:p>
    <w:p w14:paraId="4996A6F5">
      <w:pPr>
        <w:snapToGrid w:val="0"/>
        <w:spacing w:line="360" w:lineRule="auto"/>
        <w:rPr>
          <w:rFonts w:hint="eastAsia" w:ascii="宋体" w:hAnsi="宋体" w:cs="宋体"/>
          <w:b/>
          <w:color w:val="auto"/>
          <w:kern w:val="0"/>
          <w:sz w:val="24"/>
          <w:szCs w:val="24"/>
          <w:highlight w:val="none"/>
          <w:lang w:val="zh-CN"/>
        </w:rPr>
      </w:pPr>
    </w:p>
    <w:p w14:paraId="12F466B3">
      <w:pPr>
        <w:snapToGrid w:val="0"/>
        <w:spacing w:line="360" w:lineRule="auto"/>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说明：</w:t>
      </w:r>
    </w:p>
    <w:p w14:paraId="47CCAFC2">
      <w:pPr>
        <w:spacing w:line="360" w:lineRule="auto"/>
        <w:ind w:left="25" w:leftChars="12" w:firstLine="354" w:firstLineChars="147"/>
        <w:rPr>
          <w:rFonts w:hint="eastAsia" w:ascii="宋体" w:hAnsi="宋体" w:cs="宋体"/>
          <w:b/>
          <w:bCs/>
          <w:color w:val="auto"/>
          <w:kern w:val="0"/>
          <w:sz w:val="24"/>
          <w:szCs w:val="24"/>
          <w:highlight w:val="none"/>
          <w:lang w:val="zh-CN"/>
        </w:rPr>
      </w:pPr>
      <w:r>
        <w:rPr>
          <w:rFonts w:hint="eastAsia" w:ascii="宋体" w:hAnsi="宋体" w:cs="宋体"/>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szCs w:val="24"/>
          <w:highlight w:val="none"/>
          <w:lang w:val="zh-CN"/>
        </w:rPr>
        <w:t>。</w:t>
      </w:r>
    </w:p>
    <w:p w14:paraId="5CCECF2F">
      <w:pPr>
        <w:spacing w:line="360" w:lineRule="auto"/>
        <w:ind w:left="25" w:leftChars="12" w:firstLine="354" w:firstLineChars="147"/>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B0620B">
      <w:pPr>
        <w:spacing w:line="360" w:lineRule="auto"/>
        <w:ind w:left="25" w:leftChars="12" w:firstLine="354" w:firstLineChars="147"/>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3.投诉书应简要列明质疑事项，质疑函、质疑答复等作为附件材料提供。</w:t>
      </w:r>
    </w:p>
    <w:p w14:paraId="2814DDDC">
      <w:pPr>
        <w:spacing w:line="360" w:lineRule="auto"/>
        <w:ind w:left="25" w:leftChars="12" w:firstLine="354" w:firstLineChars="147"/>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4.投诉书的投诉事项应具体、明确，并有必要的事实依据和法律依据。</w:t>
      </w:r>
    </w:p>
    <w:p w14:paraId="127F1AF6">
      <w:pPr>
        <w:spacing w:line="360" w:lineRule="auto"/>
        <w:ind w:left="25" w:leftChars="12" w:firstLine="354" w:firstLineChars="147"/>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5.投诉书的投诉请求应与投诉事项相关。</w:t>
      </w:r>
    </w:p>
    <w:p w14:paraId="4C699C1A">
      <w:pPr>
        <w:spacing w:line="360" w:lineRule="auto"/>
        <w:ind w:left="25" w:leftChars="12" w:firstLine="354" w:firstLineChars="147"/>
        <w:rPr>
          <w:rFonts w:hint="eastAsia" w:ascii="宋体" w:hAnsi="宋体" w:cs="宋体"/>
          <w:b/>
          <w:color w:val="auto"/>
          <w:kern w:val="0"/>
          <w:sz w:val="20"/>
          <w:szCs w:val="21"/>
          <w:highlight w:val="none"/>
          <w:lang w:val="zh-CN"/>
        </w:rPr>
      </w:pPr>
      <w:r>
        <w:rPr>
          <w:rFonts w:hint="eastAsia" w:ascii="宋体" w:hAnsi="宋体" w:cs="宋体"/>
          <w:b/>
          <w:color w:val="auto"/>
          <w:kern w:val="0"/>
          <w:sz w:val="24"/>
          <w:szCs w:val="24"/>
          <w:highlight w:val="none"/>
          <w:lang w:val="zh-CN"/>
        </w:rPr>
        <w:t>6.投诉人为法人或者其他组织的，投诉书应由法定代表人、主要负责人，或者其授权代表签字或者盖章，并加盖公章。</w:t>
      </w:r>
    </w:p>
    <w:p w14:paraId="4EB0B423">
      <w:pPr>
        <w:rPr>
          <w:rFonts w:hint="eastAsia" w:ascii="宋体" w:hAnsi="宋体" w:cs="宋体"/>
          <w:color w:val="auto"/>
          <w:highlight w:val="none"/>
        </w:rPr>
      </w:pPr>
    </w:p>
    <w:bookmarkEnd w:id="122"/>
    <w:sectPr>
      <w:footerReference r:id="rId5" w:type="default"/>
      <w:pgSz w:w="11910" w:h="16840"/>
      <w:pgMar w:top="1134" w:right="1134" w:bottom="1134" w:left="1134"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2F2F12-B2B4-4C4A-B599-0D816F456388}"/>
  </w:font>
  <w:font w:name="黑体">
    <w:panose1 w:val="02010609060101010101"/>
    <w:charset w:val="86"/>
    <w:family w:val="auto"/>
    <w:pitch w:val="default"/>
    <w:sig w:usb0="800002BF" w:usb1="38CF7CFA" w:usb2="00000016" w:usb3="00000000" w:csb0="00040001" w:csb1="00000000"/>
    <w:embedRegular r:id="rId2" w:fontKey="{4BB9E073-C66D-4F9A-B58E-AAFE3D5F5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46CCE626-69FB-4D66-83C5-EFB5DB731B7E}"/>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4F2705DA-7C18-45B0-B99A-FDD22E3550E4}"/>
  </w:font>
  <w:font w:name="Verdana">
    <w:panose1 w:val="020B0604030504040204"/>
    <w:charset w:val="00"/>
    <w:family w:val="swiss"/>
    <w:pitch w:val="default"/>
    <w:sig w:usb0="A00006FF" w:usb1="4000205B" w:usb2="00000010" w:usb3="00000000" w:csb0="2000019F" w:csb1="00000000"/>
    <w:embedRegular r:id="rId5" w:fontKey="{15113C96-25AB-4880-92EA-E7E0307B1914}"/>
  </w:font>
  <w:font w:name="Wingdings 2">
    <w:panose1 w:val="05020102010507070707"/>
    <w:charset w:val="02"/>
    <w:family w:val="roman"/>
    <w:pitch w:val="default"/>
    <w:sig w:usb0="00000000" w:usb1="00000000" w:usb2="00000000" w:usb3="00000000" w:csb0="80000000" w:csb1="00000000"/>
    <w:embedRegular r:id="rId6" w:fontKey="{F1B6A8F5-38B1-46DA-9FC2-3AF25A8AEB4E}"/>
  </w:font>
  <w:font w:name="Arial Unicode MS">
    <w:panose1 w:val="020B0604020202020204"/>
    <w:charset w:val="86"/>
    <w:family w:val="roman"/>
    <w:pitch w:val="default"/>
    <w:sig w:usb0="FFFFFFFF" w:usb1="E9FFFFFF" w:usb2="0000003F" w:usb3="00000000" w:csb0="603F01FF" w:csb1="FFFF0000"/>
    <w:embedRegular r:id="rId7" w:fontKey="{A7575995-2265-45E9-A85E-DB7309FC7D8C}"/>
  </w:font>
  <w:font w:name="方正公文小标宋">
    <w:panose1 w:val="02000500000000000000"/>
    <w:charset w:val="86"/>
    <w:family w:val="auto"/>
    <w:pitch w:val="default"/>
    <w:sig w:usb0="A00002BF" w:usb1="38CF7CFA" w:usb2="00000016" w:usb3="00000000" w:csb0="00040001" w:csb1="00000000"/>
    <w:embedRegular r:id="rId8" w:fontKey="{1C06200F-A113-4F3A-955C-4242947772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9231">
    <w:pPr>
      <w:pStyle w:val="2"/>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014EBA1">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7014EBA1">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992E">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70FEA1">
                          <w:pPr>
                            <w:pStyle w:val="2"/>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370FEA1">
                    <w:pPr>
                      <w:pStyle w:val="2"/>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EEE0">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11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96B2952"/>
    <w:multiLevelType w:val="singleLevel"/>
    <w:tmpl w:val="196B2952"/>
    <w:lvl w:ilvl="0" w:tentative="0">
      <w:start w:val="1"/>
      <w:numFmt w:val="chineseCounting"/>
      <w:suff w:val="nothing"/>
      <w:lvlText w:val="%1、"/>
      <w:lvlJc w:val="left"/>
      <w:rPr>
        <w:rFonts w:hint="eastAsi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ZTZlNjIwNzIyNWYyOGI1YWUwNjIyOTc5ZGFlMGIifQ=="/>
  </w:docVars>
  <w:rsids>
    <w:rsidRoot w:val="007C21E9"/>
    <w:rsid w:val="00013A77"/>
    <w:rsid w:val="00016A4A"/>
    <w:rsid w:val="000903CF"/>
    <w:rsid w:val="000C6C67"/>
    <w:rsid w:val="000D4BF1"/>
    <w:rsid w:val="001A40DC"/>
    <w:rsid w:val="00260670"/>
    <w:rsid w:val="002B0919"/>
    <w:rsid w:val="0037160C"/>
    <w:rsid w:val="003B29C7"/>
    <w:rsid w:val="003B6050"/>
    <w:rsid w:val="003E201C"/>
    <w:rsid w:val="003F5C87"/>
    <w:rsid w:val="004A1493"/>
    <w:rsid w:val="004F513E"/>
    <w:rsid w:val="00522450"/>
    <w:rsid w:val="005241E9"/>
    <w:rsid w:val="00572345"/>
    <w:rsid w:val="005D30B9"/>
    <w:rsid w:val="005E2883"/>
    <w:rsid w:val="005F254C"/>
    <w:rsid w:val="00624829"/>
    <w:rsid w:val="006249EA"/>
    <w:rsid w:val="00673A86"/>
    <w:rsid w:val="006A6C1F"/>
    <w:rsid w:val="006C01F7"/>
    <w:rsid w:val="006F0AEB"/>
    <w:rsid w:val="00730A26"/>
    <w:rsid w:val="00763D9D"/>
    <w:rsid w:val="00767C3D"/>
    <w:rsid w:val="007B7208"/>
    <w:rsid w:val="007C21E9"/>
    <w:rsid w:val="007D4938"/>
    <w:rsid w:val="008375C9"/>
    <w:rsid w:val="0087340B"/>
    <w:rsid w:val="00880141"/>
    <w:rsid w:val="00934591"/>
    <w:rsid w:val="00A0088C"/>
    <w:rsid w:val="00A0178D"/>
    <w:rsid w:val="00A17116"/>
    <w:rsid w:val="00A40730"/>
    <w:rsid w:val="00A428BF"/>
    <w:rsid w:val="00A612AB"/>
    <w:rsid w:val="00AD001E"/>
    <w:rsid w:val="00AF28AE"/>
    <w:rsid w:val="00B40195"/>
    <w:rsid w:val="00B90A16"/>
    <w:rsid w:val="00BA095D"/>
    <w:rsid w:val="00BE1D02"/>
    <w:rsid w:val="00C70D5B"/>
    <w:rsid w:val="00C83381"/>
    <w:rsid w:val="00C867E3"/>
    <w:rsid w:val="00C91C98"/>
    <w:rsid w:val="00CD4870"/>
    <w:rsid w:val="00D16939"/>
    <w:rsid w:val="00D224F2"/>
    <w:rsid w:val="00E2271B"/>
    <w:rsid w:val="00E8521E"/>
    <w:rsid w:val="00E92185"/>
    <w:rsid w:val="00EA5165"/>
    <w:rsid w:val="00F657E7"/>
    <w:rsid w:val="00F81A01"/>
    <w:rsid w:val="00FF5583"/>
    <w:rsid w:val="012B6DB2"/>
    <w:rsid w:val="01E07623"/>
    <w:rsid w:val="01FF46E4"/>
    <w:rsid w:val="02034B85"/>
    <w:rsid w:val="021A4987"/>
    <w:rsid w:val="022126C1"/>
    <w:rsid w:val="02244B48"/>
    <w:rsid w:val="02700A12"/>
    <w:rsid w:val="027F4BED"/>
    <w:rsid w:val="028E126D"/>
    <w:rsid w:val="028F0E13"/>
    <w:rsid w:val="02CC213D"/>
    <w:rsid w:val="02D81677"/>
    <w:rsid w:val="02ED640B"/>
    <w:rsid w:val="03082F4B"/>
    <w:rsid w:val="03214847"/>
    <w:rsid w:val="0328714A"/>
    <w:rsid w:val="036B6560"/>
    <w:rsid w:val="0372245E"/>
    <w:rsid w:val="037F62D3"/>
    <w:rsid w:val="03E301C6"/>
    <w:rsid w:val="03FB16C0"/>
    <w:rsid w:val="04235CC0"/>
    <w:rsid w:val="046C4C54"/>
    <w:rsid w:val="04922410"/>
    <w:rsid w:val="04E640F2"/>
    <w:rsid w:val="05304A58"/>
    <w:rsid w:val="05827A6F"/>
    <w:rsid w:val="059652F0"/>
    <w:rsid w:val="059D76E4"/>
    <w:rsid w:val="05B23EA4"/>
    <w:rsid w:val="05BA0F6E"/>
    <w:rsid w:val="05C55C01"/>
    <w:rsid w:val="05D3143D"/>
    <w:rsid w:val="05F17190"/>
    <w:rsid w:val="05F55A06"/>
    <w:rsid w:val="061C77CE"/>
    <w:rsid w:val="062D753B"/>
    <w:rsid w:val="065B47F7"/>
    <w:rsid w:val="06851AB9"/>
    <w:rsid w:val="06B45B9F"/>
    <w:rsid w:val="06D361CC"/>
    <w:rsid w:val="070868DF"/>
    <w:rsid w:val="07167B55"/>
    <w:rsid w:val="072F39E1"/>
    <w:rsid w:val="07601340"/>
    <w:rsid w:val="078556FE"/>
    <w:rsid w:val="078A7F14"/>
    <w:rsid w:val="08261F6C"/>
    <w:rsid w:val="086200D7"/>
    <w:rsid w:val="08841649"/>
    <w:rsid w:val="0892386F"/>
    <w:rsid w:val="08952405"/>
    <w:rsid w:val="0896540B"/>
    <w:rsid w:val="08A72DDC"/>
    <w:rsid w:val="08D80636"/>
    <w:rsid w:val="08DB7137"/>
    <w:rsid w:val="08E40B8D"/>
    <w:rsid w:val="08EC4778"/>
    <w:rsid w:val="08F10D92"/>
    <w:rsid w:val="090B3A39"/>
    <w:rsid w:val="094521FA"/>
    <w:rsid w:val="09786076"/>
    <w:rsid w:val="09AF056B"/>
    <w:rsid w:val="09BA7FC8"/>
    <w:rsid w:val="09CF3FB8"/>
    <w:rsid w:val="0A2D2358"/>
    <w:rsid w:val="0A303492"/>
    <w:rsid w:val="0A3C4843"/>
    <w:rsid w:val="0A40121D"/>
    <w:rsid w:val="0A7D2FA4"/>
    <w:rsid w:val="0AA52997"/>
    <w:rsid w:val="0AF223C6"/>
    <w:rsid w:val="0B04533F"/>
    <w:rsid w:val="0B097343"/>
    <w:rsid w:val="0B254482"/>
    <w:rsid w:val="0B5551FE"/>
    <w:rsid w:val="0C1C1207"/>
    <w:rsid w:val="0C56063C"/>
    <w:rsid w:val="0C696813"/>
    <w:rsid w:val="0CA0352B"/>
    <w:rsid w:val="0CBC262F"/>
    <w:rsid w:val="0CC61B2F"/>
    <w:rsid w:val="0D22418C"/>
    <w:rsid w:val="0D576FA9"/>
    <w:rsid w:val="0D5A1F05"/>
    <w:rsid w:val="0D982CF5"/>
    <w:rsid w:val="0DAB0389"/>
    <w:rsid w:val="0DBA1896"/>
    <w:rsid w:val="0E241EB1"/>
    <w:rsid w:val="0E554997"/>
    <w:rsid w:val="0E9D4D60"/>
    <w:rsid w:val="0EAE428B"/>
    <w:rsid w:val="0EC817E1"/>
    <w:rsid w:val="0ECA4573"/>
    <w:rsid w:val="0F2C2E76"/>
    <w:rsid w:val="0F4F611E"/>
    <w:rsid w:val="0F5064B0"/>
    <w:rsid w:val="0F5512C6"/>
    <w:rsid w:val="0F6A1F1A"/>
    <w:rsid w:val="0F782A69"/>
    <w:rsid w:val="0F9E23E9"/>
    <w:rsid w:val="0FAB64A0"/>
    <w:rsid w:val="0FB55CA2"/>
    <w:rsid w:val="0FD462CE"/>
    <w:rsid w:val="0FEC6BC7"/>
    <w:rsid w:val="101F264D"/>
    <w:rsid w:val="10240EAE"/>
    <w:rsid w:val="10267F1F"/>
    <w:rsid w:val="10430FC5"/>
    <w:rsid w:val="105155FF"/>
    <w:rsid w:val="10706A71"/>
    <w:rsid w:val="10864090"/>
    <w:rsid w:val="109E1CBC"/>
    <w:rsid w:val="10B94371"/>
    <w:rsid w:val="11061ED7"/>
    <w:rsid w:val="113E5504"/>
    <w:rsid w:val="113F075A"/>
    <w:rsid w:val="11694069"/>
    <w:rsid w:val="11A56003"/>
    <w:rsid w:val="11AB207C"/>
    <w:rsid w:val="11B318C1"/>
    <w:rsid w:val="11B56492"/>
    <w:rsid w:val="11D87F8D"/>
    <w:rsid w:val="11FA0818"/>
    <w:rsid w:val="12163B3D"/>
    <w:rsid w:val="123A29F6"/>
    <w:rsid w:val="12412737"/>
    <w:rsid w:val="12415A70"/>
    <w:rsid w:val="1257563E"/>
    <w:rsid w:val="12631DB2"/>
    <w:rsid w:val="12777439"/>
    <w:rsid w:val="128E5246"/>
    <w:rsid w:val="12A01BE3"/>
    <w:rsid w:val="12B14A74"/>
    <w:rsid w:val="12CA5145"/>
    <w:rsid w:val="13264E55"/>
    <w:rsid w:val="134304E5"/>
    <w:rsid w:val="13480A4F"/>
    <w:rsid w:val="137D37A0"/>
    <w:rsid w:val="1418585A"/>
    <w:rsid w:val="14474BAA"/>
    <w:rsid w:val="147D4F72"/>
    <w:rsid w:val="148A3D0B"/>
    <w:rsid w:val="149430D9"/>
    <w:rsid w:val="149C28BF"/>
    <w:rsid w:val="14A6243D"/>
    <w:rsid w:val="14A92545"/>
    <w:rsid w:val="14EC4753"/>
    <w:rsid w:val="14F435CE"/>
    <w:rsid w:val="152436A7"/>
    <w:rsid w:val="15412561"/>
    <w:rsid w:val="155234DD"/>
    <w:rsid w:val="158E19C1"/>
    <w:rsid w:val="159C4EFE"/>
    <w:rsid w:val="15C60DCC"/>
    <w:rsid w:val="162F52A8"/>
    <w:rsid w:val="16493163"/>
    <w:rsid w:val="165401BC"/>
    <w:rsid w:val="16B178C3"/>
    <w:rsid w:val="16C14BCE"/>
    <w:rsid w:val="16E46F14"/>
    <w:rsid w:val="16E87E3D"/>
    <w:rsid w:val="17120F22"/>
    <w:rsid w:val="1727563A"/>
    <w:rsid w:val="173F21B4"/>
    <w:rsid w:val="177A3318"/>
    <w:rsid w:val="17B86748"/>
    <w:rsid w:val="17BA0187"/>
    <w:rsid w:val="17C47764"/>
    <w:rsid w:val="17E413A1"/>
    <w:rsid w:val="18023817"/>
    <w:rsid w:val="181B2614"/>
    <w:rsid w:val="18AF432C"/>
    <w:rsid w:val="1920187E"/>
    <w:rsid w:val="1953774B"/>
    <w:rsid w:val="198E56A0"/>
    <w:rsid w:val="19C21A99"/>
    <w:rsid w:val="19C40971"/>
    <w:rsid w:val="19F17C09"/>
    <w:rsid w:val="1A0E41E2"/>
    <w:rsid w:val="1A165AF6"/>
    <w:rsid w:val="1A1B57CD"/>
    <w:rsid w:val="1AAD7BA2"/>
    <w:rsid w:val="1AB33A4E"/>
    <w:rsid w:val="1AC71182"/>
    <w:rsid w:val="1AE64D67"/>
    <w:rsid w:val="1B19522C"/>
    <w:rsid w:val="1B382423"/>
    <w:rsid w:val="1B4E247D"/>
    <w:rsid w:val="1B6612C9"/>
    <w:rsid w:val="1BC44353"/>
    <w:rsid w:val="1C00124E"/>
    <w:rsid w:val="1C06719D"/>
    <w:rsid w:val="1C297A1C"/>
    <w:rsid w:val="1C642B1A"/>
    <w:rsid w:val="1C830837"/>
    <w:rsid w:val="1C8B2EA7"/>
    <w:rsid w:val="1CB75DAF"/>
    <w:rsid w:val="1CBB2985"/>
    <w:rsid w:val="1D1A32C0"/>
    <w:rsid w:val="1D5860E0"/>
    <w:rsid w:val="1D9D1A60"/>
    <w:rsid w:val="1DB94416"/>
    <w:rsid w:val="1DE541AF"/>
    <w:rsid w:val="1E5D0CA7"/>
    <w:rsid w:val="1E71154D"/>
    <w:rsid w:val="1E7362D1"/>
    <w:rsid w:val="1E81491B"/>
    <w:rsid w:val="1E844A04"/>
    <w:rsid w:val="1EA72DBD"/>
    <w:rsid w:val="1F357124"/>
    <w:rsid w:val="1F526FB3"/>
    <w:rsid w:val="1F9F7F10"/>
    <w:rsid w:val="1FC73078"/>
    <w:rsid w:val="1FC9696C"/>
    <w:rsid w:val="20682955"/>
    <w:rsid w:val="20A22E61"/>
    <w:rsid w:val="20AA183D"/>
    <w:rsid w:val="20D11800"/>
    <w:rsid w:val="20E60491"/>
    <w:rsid w:val="210431F4"/>
    <w:rsid w:val="215C59D3"/>
    <w:rsid w:val="216C7A4B"/>
    <w:rsid w:val="218E49DB"/>
    <w:rsid w:val="21BB6D03"/>
    <w:rsid w:val="21DB5AB4"/>
    <w:rsid w:val="220B2862"/>
    <w:rsid w:val="22344949"/>
    <w:rsid w:val="227F590B"/>
    <w:rsid w:val="22972D63"/>
    <w:rsid w:val="22AD570A"/>
    <w:rsid w:val="233F18A9"/>
    <w:rsid w:val="237F7B4B"/>
    <w:rsid w:val="238306FE"/>
    <w:rsid w:val="23DB0F39"/>
    <w:rsid w:val="24367BD5"/>
    <w:rsid w:val="24476E69"/>
    <w:rsid w:val="245078AD"/>
    <w:rsid w:val="245B23CF"/>
    <w:rsid w:val="24603FA7"/>
    <w:rsid w:val="24942439"/>
    <w:rsid w:val="24963CCF"/>
    <w:rsid w:val="24986210"/>
    <w:rsid w:val="24B81ED1"/>
    <w:rsid w:val="24BC52F1"/>
    <w:rsid w:val="24D2452F"/>
    <w:rsid w:val="24D5550B"/>
    <w:rsid w:val="24E753E1"/>
    <w:rsid w:val="25644CFB"/>
    <w:rsid w:val="256E54CC"/>
    <w:rsid w:val="25ED19E5"/>
    <w:rsid w:val="263F5510"/>
    <w:rsid w:val="26484BDD"/>
    <w:rsid w:val="266279B9"/>
    <w:rsid w:val="26650CFE"/>
    <w:rsid w:val="26931184"/>
    <w:rsid w:val="26AA5D19"/>
    <w:rsid w:val="26B17E46"/>
    <w:rsid w:val="27006CC8"/>
    <w:rsid w:val="27600647"/>
    <w:rsid w:val="27996369"/>
    <w:rsid w:val="27A060EE"/>
    <w:rsid w:val="27A71AC8"/>
    <w:rsid w:val="27B839C1"/>
    <w:rsid w:val="27F70088"/>
    <w:rsid w:val="27F80870"/>
    <w:rsid w:val="28033475"/>
    <w:rsid w:val="28197630"/>
    <w:rsid w:val="28220E76"/>
    <w:rsid w:val="283E4B96"/>
    <w:rsid w:val="28574CEA"/>
    <w:rsid w:val="285E1230"/>
    <w:rsid w:val="287273F2"/>
    <w:rsid w:val="2885273C"/>
    <w:rsid w:val="28B358C7"/>
    <w:rsid w:val="28CA5E86"/>
    <w:rsid w:val="28EC61BA"/>
    <w:rsid w:val="29095871"/>
    <w:rsid w:val="290C539D"/>
    <w:rsid w:val="29306F87"/>
    <w:rsid w:val="293D4E4D"/>
    <w:rsid w:val="29BF7193"/>
    <w:rsid w:val="29D61C04"/>
    <w:rsid w:val="2A046273"/>
    <w:rsid w:val="2A4223DA"/>
    <w:rsid w:val="2AA07BC7"/>
    <w:rsid w:val="2AD01E8E"/>
    <w:rsid w:val="2B0E63FE"/>
    <w:rsid w:val="2B1E5AC4"/>
    <w:rsid w:val="2B5112DB"/>
    <w:rsid w:val="2B5460A0"/>
    <w:rsid w:val="2B55197B"/>
    <w:rsid w:val="2B564195"/>
    <w:rsid w:val="2B700E33"/>
    <w:rsid w:val="2BC767C3"/>
    <w:rsid w:val="2BF32229"/>
    <w:rsid w:val="2C010A23"/>
    <w:rsid w:val="2C156F20"/>
    <w:rsid w:val="2CA912D0"/>
    <w:rsid w:val="2CB814C7"/>
    <w:rsid w:val="2CEA435F"/>
    <w:rsid w:val="2CFC7DA1"/>
    <w:rsid w:val="2CFD444F"/>
    <w:rsid w:val="2D586C07"/>
    <w:rsid w:val="2DE50C75"/>
    <w:rsid w:val="2E1B21AB"/>
    <w:rsid w:val="2E267AAE"/>
    <w:rsid w:val="2E294A91"/>
    <w:rsid w:val="2E2C2CF3"/>
    <w:rsid w:val="2E977830"/>
    <w:rsid w:val="2EBC5ED0"/>
    <w:rsid w:val="2EE43201"/>
    <w:rsid w:val="2EE67CD4"/>
    <w:rsid w:val="2F28021B"/>
    <w:rsid w:val="2F3B4499"/>
    <w:rsid w:val="2F4E70FA"/>
    <w:rsid w:val="2F5A67CD"/>
    <w:rsid w:val="2F6061FA"/>
    <w:rsid w:val="2F6B336F"/>
    <w:rsid w:val="2F7E3967"/>
    <w:rsid w:val="2F8A259F"/>
    <w:rsid w:val="2FAE1719"/>
    <w:rsid w:val="2FBD7DEB"/>
    <w:rsid w:val="300F463E"/>
    <w:rsid w:val="30112B90"/>
    <w:rsid w:val="304820D8"/>
    <w:rsid w:val="30643430"/>
    <w:rsid w:val="307C438B"/>
    <w:rsid w:val="30905E99"/>
    <w:rsid w:val="30E70993"/>
    <w:rsid w:val="30F56C6E"/>
    <w:rsid w:val="31256FBF"/>
    <w:rsid w:val="31396EFD"/>
    <w:rsid w:val="31B95D43"/>
    <w:rsid w:val="32077110"/>
    <w:rsid w:val="323B2880"/>
    <w:rsid w:val="32AA4AAD"/>
    <w:rsid w:val="33262C45"/>
    <w:rsid w:val="335D21B5"/>
    <w:rsid w:val="33722773"/>
    <w:rsid w:val="33834B7C"/>
    <w:rsid w:val="33C5268F"/>
    <w:rsid w:val="33E04D53"/>
    <w:rsid w:val="33ED7470"/>
    <w:rsid w:val="342437A7"/>
    <w:rsid w:val="34317897"/>
    <w:rsid w:val="34613F15"/>
    <w:rsid w:val="348273D4"/>
    <w:rsid w:val="34A96C23"/>
    <w:rsid w:val="35480275"/>
    <w:rsid w:val="35673B29"/>
    <w:rsid w:val="36983186"/>
    <w:rsid w:val="36B74E3D"/>
    <w:rsid w:val="36BF0535"/>
    <w:rsid w:val="36D13CC6"/>
    <w:rsid w:val="3717778E"/>
    <w:rsid w:val="371F5976"/>
    <w:rsid w:val="3747202B"/>
    <w:rsid w:val="377A5B12"/>
    <w:rsid w:val="37887E97"/>
    <w:rsid w:val="379F04AB"/>
    <w:rsid w:val="37E54FA0"/>
    <w:rsid w:val="37FD2E72"/>
    <w:rsid w:val="385F2FBF"/>
    <w:rsid w:val="386629E9"/>
    <w:rsid w:val="38845E7E"/>
    <w:rsid w:val="38A70067"/>
    <w:rsid w:val="38C61DEC"/>
    <w:rsid w:val="38D60B41"/>
    <w:rsid w:val="39195460"/>
    <w:rsid w:val="392A049E"/>
    <w:rsid w:val="394F0285"/>
    <w:rsid w:val="39886599"/>
    <w:rsid w:val="398A077C"/>
    <w:rsid w:val="399D0FAB"/>
    <w:rsid w:val="39AB655A"/>
    <w:rsid w:val="39AF6A7B"/>
    <w:rsid w:val="39B95146"/>
    <w:rsid w:val="3A5A096E"/>
    <w:rsid w:val="3A6F521E"/>
    <w:rsid w:val="3A756C76"/>
    <w:rsid w:val="3ADA5B5D"/>
    <w:rsid w:val="3ADD73C6"/>
    <w:rsid w:val="3B351174"/>
    <w:rsid w:val="3B5509C6"/>
    <w:rsid w:val="3B9F4965"/>
    <w:rsid w:val="3BA260E2"/>
    <w:rsid w:val="3BB31A1F"/>
    <w:rsid w:val="3BDF51E9"/>
    <w:rsid w:val="3BF26FD3"/>
    <w:rsid w:val="3C040584"/>
    <w:rsid w:val="3C242EAE"/>
    <w:rsid w:val="3C2E5359"/>
    <w:rsid w:val="3C6B166C"/>
    <w:rsid w:val="3C8B13BC"/>
    <w:rsid w:val="3CC31E83"/>
    <w:rsid w:val="3CD06CEA"/>
    <w:rsid w:val="3CFF4663"/>
    <w:rsid w:val="3DB135FF"/>
    <w:rsid w:val="3DB339C8"/>
    <w:rsid w:val="3DB51BFC"/>
    <w:rsid w:val="3DC314B2"/>
    <w:rsid w:val="3E0275FA"/>
    <w:rsid w:val="3E4A6973"/>
    <w:rsid w:val="3E646774"/>
    <w:rsid w:val="3E736717"/>
    <w:rsid w:val="3E946D6E"/>
    <w:rsid w:val="3EF732F4"/>
    <w:rsid w:val="3EFC308E"/>
    <w:rsid w:val="3F060785"/>
    <w:rsid w:val="3F302E94"/>
    <w:rsid w:val="3F3538AF"/>
    <w:rsid w:val="3F646EED"/>
    <w:rsid w:val="3F967FAC"/>
    <w:rsid w:val="3FAA26B9"/>
    <w:rsid w:val="3FB670F9"/>
    <w:rsid w:val="3FC1296F"/>
    <w:rsid w:val="3FC27DA5"/>
    <w:rsid w:val="3FD15E98"/>
    <w:rsid w:val="3FE17866"/>
    <w:rsid w:val="3FFB07ED"/>
    <w:rsid w:val="40015D3D"/>
    <w:rsid w:val="4012098A"/>
    <w:rsid w:val="401A39C1"/>
    <w:rsid w:val="403F2197"/>
    <w:rsid w:val="40503C85"/>
    <w:rsid w:val="407E3A21"/>
    <w:rsid w:val="40A131C8"/>
    <w:rsid w:val="40E53345"/>
    <w:rsid w:val="40EF2C59"/>
    <w:rsid w:val="40F257FB"/>
    <w:rsid w:val="410459C4"/>
    <w:rsid w:val="41251DF1"/>
    <w:rsid w:val="412A4DF8"/>
    <w:rsid w:val="41480BFA"/>
    <w:rsid w:val="41555C84"/>
    <w:rsid w:val="41672EEA"/>
    <w:rsid w:val="416750F2"/>
    <w:rsid w:val="421D4EA6"/>
    <w:rsid w:val="426E2642"/>
    <w:rsid w:val="42883836"/>
    <w:rsid w:val="42993D4D"/>
    <w:rsid w:val="42EF1902"/>
    <w:rsid w:val="42F05AF9"/>
    <w:rsid w:val="436446AC"/>
    <w:rsid w:val="43777787"/>
    <w:rsid w:val="438E731E"/>
    <w:rsid w:val="43943869"/>
    <w:rsid w:val="439815C4"/>
    <w:rsid w:val="43D227C4"/>
    <w:rsid w:val="43FA0D9A"/>
    <w:rsid w:val="441964E3"/>
    <w:rsid w:val="443F7874"/>
    <w:rsid w:val="44473DD4"/>
    <w:rsid w:val="448E4A9A"/>
    <w:rsid w:val="4497149C"/>
    <w:rsid w:val="44C0670E"/>
    <w:rsid w:val="44CE4B84"/>
    <w:rsid w:val="44F00076"/>
    <w:rsid w:val="454D6AAB"/>
    <w:rsid w:val="454E067C"/>
    <w:rsid w:val="457635EC"/>
    <w:rsid w:val="45A271CF"/>
    <w:rsid w:val="45C04752"/>
    <w:rsid w:val="45F54D27"/>
    <w:rsid w:val="468C48C7"/>
    <w:rsid w:val="46B57629"/>
    <w:rsid w:val="46BE504B"/>
    <w:rsid w:val="46C14906"/>
    <w:rsid w:val="46CB0A6B"/>
    <w:rsid w:val="46CE73EA"/>
    <w:rsid w:val="472C05EE"/>
    <w:rsid w:val="473A42AA"/>
    <w:rsid w:val="478402DF"/>
    <w:rsid w:val="47937301"/>
    <w:rsid w:val="47C8182E"/>
    <w:rsid w:val="47F409BD"/>
    <w:rsid w:val="47F90B25"/>
    <w:rsid w:val="47FB3498"/>
    <w:rsid w:val="48435FA8"/>
    <w:rsid w:val="484C7288"/>
    <w:rsid w:val="485052D8"/>
    <w:rsid w:val="48703954"/>
    <w:rsid w:val="48CF747F"/>
    <w:rsid w:val="48DD765B"/>
    <w:rsid w:val="48FA2A51"/>
    <w:rsid w:val="491403CF"/>
    <w:rsid w:val="49156D95"/>
    <w:rsid w:val="491A3E95"/>
    <w:rsid w:val="492274E1"/>
    <w:rsid w:val="493424A6"/>
    <w:rsid w:val="4955729B"/>
    <w:rsid w:val="496074EF"/>
    <w:rsid w:val="49D8660C"/>
    <w:rsid w:val="4A3009D4"/>
    <w:rsid w:val="4A7E6C1C"/>
    <w:rsid w:val="4ACA3E87"/>
    <w:rsid w:val="4AE61714"/>
    <w:rsid w:val="4B1B05A1"/>
    <w:rsid w:val="4B2932C8"/>
    <w:rsid w:val="4B4350CB"/>
    <w:rsid w:val="4B5B5F59"/>
    <w:rsid w:val="4BF52E1B"/>
    <w:rsid w:val="4C3F6109"/>
    <w:rsid w:val="4C9E5CED"/>
    <w:rsid w:val="4CEC4311"/>
    <w:rsid w:val="4CF4135C"/>
    <w:rsid w:val="4D421D43"/>
    <w:rsid w:val="4D4A22EC"/>
    <w:rsid w:val="4D8F32A0"/>
    <w:rsid w:val="4DD16A27"/>
    <w:rsid w:val="4E1A512D"/>
    <w:rsid w:val="4E374B25"/>
    <w:rsid w:val="4E496C05"/>
    <w:rsid w:val="4E614C78"/>
    <w:rsid w:val="4E656C40"/>
    <w:rsid w:val="4EC22FEF"/>
    <w:rsid w:val="4EE96625"/>
    <w:rsid w:val="4F522C31"/>
    <w:rsid w:val="4F5C0714"/>
    <w:rsid w:val="4F654F68"/>
    <w:rsid w:val="4F8F6D42"/>
    <w:rsid w:val="4FE8653E"/>
    <w:rsid w:val="500408DE"/>
    <w:rsid w:val="50153B85"/>
    <w:rsid w:val="50163486"/>
    <w:rsid w:val="50334BA2"/>
    <w:rsid w:val="503C2CE4"/>
    <w:rsid w:val="50A14F50"/>
    <w:rsid w:val="50B27017"/>
    <w:rsid w:val="50C03339"/>
    <w:rsid w:val="50C6631B"/>
    <w:rsid w:val="5100482F"/>
    <w:rsid w:val="51210720"/>
    <w:rsid w:val="513E1BFC"/>
    <w:rsid w:val="51621046"/>
    <w:rsid w:val="516850BA"/>
    <w:rsid w:val="518C2C3D"/>
    <w:rsid w:val="51DB39B9"/>
    <w:rsid w:val="51DC40BF"/>
    <w:rsid w:val="52030B17"/>
    <w:rsid w:val="5257234F"/>
    <w:rsid w:val="52922181"/>
    <w:rsid w:val="53070C6E"/>
    <w:rsid w:val="5322283B"/>
    <w:rsid w:val="536024EA"/>
    <w:rsid w:val="53746B8D"/>
    <w:rsid w:val="538C78B4"/>
    <w:rsid w:val="53B2760A"/>
    <w:rsid w:val="53BE59EE"/>
    <w:rsid w:val="53E852FA"/>
    <w:rsid w:val="54784ECA"/>
    <w:rsid w:val="54A5026E"/>
    <w:rsid w:val="54B836B4"/>
    <w:rsid w:val="54CA0673"/>
    <w:rsid w:val="54D31581"/>
    <w:rsid w:val="550562A2"/>
    <w:rsid w:val="5558480C"/>
    <w:rsid w:val="55761090"/>
    <w:rsid w:val="55A1249C"/>
    <w:rsid w:val="55CC4AD8"/>
    <w:rsid w:val="55DF61D7"/>
    <w:rsid w:val="55F92E98"/>
    <w:rsid w:val="56A85425"/>
    <w:rsid w:val="56F67C83"/>
    <w:rsid w:val="570A3F07"/>
    <w:rsid w:val="570E6CD9"/>
    <w:rsid w:val="5736758D"/>
    <w:rsid w:val="574A6372"/>
    <w:rsid w:val="57560E52"/>
    <w:rsid w:val="57775CAB"/>
    <w:rsid w:val="579E132A"/>
    <w:rsid w:val="57AB500F"/>
    <w:rsid w:val="57CD7318"/>
    <w:rsid w:val="57E30AE1"/>
    <w:rsid w:val="57F70FE0"/>
    <w:rsid w:val="58127246"/>
    <w:rsid w:val="58311AAA"/>
    <w:rsid w:val="587D2A64"/>
    <w:rsid w:val="58832CA7"/>
    <w:rsid w:val="58984351"/>
    <w:rsid w:val="58A837E2"/>
    <w:rsid w:val="58CF0505"/>
    <w:rsid w:val="58DF3E49"/>
    <w:rsid w:val="59066A61"/>
    <w:rsid w:val="59135C56"/>
    <w:rsid w:val="592438F8"/>
    <w:rsid w:val="596078FE"/>
    <w:rsid w:val="597F637D"/>
    <w:rsid w:val="59882C3D"/>
    <w:rsid w:val="59BF56A8"/>
    <w:rsid w:val="5A107157"/>
    <w:rsid w:val="5A1233D7"/>
    <w:rsid w:val="5A501676"/>
    <w:rsid w:val="5A871B1D"/>
    <w:rsid w:val="5AAC1340"/>
    <w:rsid w:val="5ABF2826"/>
    <w:rsid w:val="5AC039E7"/>
    <w:rsid w:val="5B2C167F"/>
    <w:rsid w:val="5B4C010D"/>
    <w:rsid w:val="5B835D00"/>
    <w:rsid w:val="5B9D7992"/>
    <w:rsid w:val="5BB62323"/>
    <w:rsid w:val="5BDE0527"/>
    <w:rsid w:val="5C2C297C"/>
    <w:rsid w:val="5C33344D"/>
    <w:rsid w:val="5C47491A"/>
    <w:rsid w:val="5CB94636"/>
    <w:rsid w:val="5CBA7444"/>
    <w:rsid w:val="5CC4676D"/>
    <w:rsid w:val="5D6A7321"/>
    <w:rsid w:val="5DD026E5"/>
    <w:rsid w:val="5E006713"/>
    <w:rsid w:val="5E1C2A8B"/>
    <w:rsid w:val="5E326B7D"/>
    <w:rsid w:val="5E493FE8"/>
    <w:rsid w:val="5E4B5582"/>
    <w:rsid w:val="5E7A19E2"/>
    <w:rsid w:val="5E9F5FBB"/>
    <w:rsid w:val="5EA00D2C"/>
    <w:rsid w:val="5ECB4F8C"/>
    <w:rsid w:val="5F3D5B26"/>
    <w:rsid w:val="5F76621D"/>
    <w:rsid w:val="5FD21DA9"/>
    <w:rsid w:val="5FE453D1"/>
    <w:rsid w:val="5FEC1660"/>
    <w:rsid w:val="5FF4728A"/>
    <w:rsid w:val="600F33B6"/>
    <w:rsid w:val="602D199B"/>
    <w:rsid w:val="60482004"/>
    <w:rsid w:val="60483A03"/>
    <w:rsid w:val="607169C6"/>
    <w:rsid w:val="60A42C31"/>
    <w:rsid w:val="60CA2A32"/>
    <w:rsid w:val="6135604C"/>
    <w:rsid w:val="61542C34"/>
    <w:rsid w:val="61743F05"/>
    <w:rsid w:val="61E01682"/>
    <w:rsid w:val="61EC4EB7"/>
    <w:rsid w:val="61FD59BC"/>
    <w:rsid w:val="62585A7C"/>
    <w:rsid w:val="629A4D36"/>
    <w:rsid w:val="62E061FD"/>
    <w:rsid w:val="62EE71CA"/>
    <w:rsid w:val="62F51D1A"/>
    <w:rsid w:val="63143492"/>
    <w:rsid w:val="63284472"/>
    <w:rsid w:val="63403FBC"/>
    <w:rsid w:val="634878E4"/>
    <w:rsid w:val="63D43630"/>
    <w:rsid w:val="63F3044E"/>
    <w:rsid w:val="64634B8A"/>
    <w:rsid w:val="64646320"/>
    <w:rsid w:val="64B77BC7"/>
    <w:rsid w:val="64D375A3"/>
    <w:rsid w:val="659B7170"/>
    <w:rsid w:val="65C45B6C"/>
    <w:rsid w:val="65C57959"/>
    <w:rsid w:val="65DA53D0"/>
    <w:rsid w:val="65FD47A4"/>
    <w:rsid w:val="66052F39"/>
    <w:rsid w:val="660A0B49"/>
    <w:rsid w:val="6677718C"/>
    <w:rsid w:val="667967BE"/>
    <w:rsid w:val="668F04BD"/>
    <w:rsid w:val="66C361F5"/>
    <w:rsid w:val="66FA7955"/>
    <w:rsid w:val="67045800"/>
    <w:rsid w:val="67104872"/>
    <w:rsid w:val="67303947"/>
    <w:rsid w:val="67855FB8"/>
    <w:rsid w:val="682F280A"/>
    <w:rsid w:val="68552E02"/>
    <w:rsid w:val="687F6274"/>
    <w:rsid w:val="690D6941"/>
    <w:rsid w:val="692270F9"/>
    <w:rsid w:val="69AF0145"/>
    <w:rsid w:val="69C575D6"/>
    <w:rsid w:val="69D53233"/>
    <w:rsid w:val="6A07095A"/>
    <w:rsid w:val="6A310ACA"/>
    <w:rsid w:val="6A422C13"/>
    <w:rsid w:val="6A475C3C"/>
    <w:rsid w:val="6A762D68"/>
    <w:rsid w:val="6ACB2D3F"/>
    <w:rsid w:val="6B2423E8"/>
    <w:rsid w:val="6B7226E0"/>
    <w:rsid w:val="6B7554DF"/>
    <w:rsid w:val="6BA81731"/>
    <w:rsid w:val="6BBC39AC"/>
    <w:rsid w:val="6BD47040"/>
    <w:rsid w:val="6C1919E1"/>
    <w:rsid w:val="6C4D4C1E"/>
    <w:rsid w:val="6C800049"/>
    <w:rsid w:val="6C9B563C"/>
    <w:rsid w:val="6CD21729"/>
    <w:rsid w:val="6CD51B1B"/>
    <w:rsid w:val="6D26029B"/>
    <w:rsid w:val="6D311F7D"/>
    <w:rsid w:val="6D5D2B62"/>
    <w:rsid w:val="6D6745F5"/>
    <w:rsid w:val="6D813889"/>
    <w:rsid w:val="6DB73788"/>
    <w:rsid w:val="6E0923D8"/>
    <w:rsid w:val="6E71421E"/>
    <w:rsid w:val="6E7243FD"/>
    <w:rsid w:val="6F41302D"/>
    <w:rsid w:val="6F42354B"/>
    <w:rsid w:val="6F60676D"/>
    <w:rsid w:val="6F610C1F"/>
    <w:rsid w:val="6F9D5714"/>
    <w:rsid w:val="6FC0545D"/>
    <w:rsid w:val="7023310F"/>
    <w:rsid w:val="70545513"/>
    <w:rsid w:val="705A50F3"/>
    <w:rsid w:val="707B198B"/>
    <w:rsid w:val="70C8462E"/>
    <w:rsid w:val="70D9311B"/>
    <w:rsid w:val="71290211"/>
    <w:rsid w:val="71762C26"/>
    <w:rsid w:val="71A0693C"/>
    <w:rsid w:val="71B20C5B"/>
    <w:rsid w:val="720A6060"/>
    <w:rsid w:val="722331A5"/>
    <w:rsid w:val="72836566"/>
    <w:rsid w:val="72A44BC2"/>
    <w:rsid w:val="72C429AD"/>
    <w:rsid w:val="72CB03A1"/>
    <w:rsid w:val="72D73503"/>
    <w:rsid w:val="730218E9"/>
    <w:rsid w:val="73281380"/>
    <w:rsid w:val="735143BA"/>
    <w:rsid w:val="737F23C2"/>
    <w:rsid w:val="73CD1CC0"/>
    <w:rsid w:val="73CD4ED4"/>
    <w:rsid w:val="73EF6ABA"/>
    <w:rsid w:val="74166749"/>
    <w:rsid w:val="743254BC"/>
    <w:rsid w:val="74402A3F"/>
    <w:rsid w:val="746C7F8F"/>
    <w:rsid w:val="74865393"/>
    <w:rsid w:val="74C97E89"/>
    <w:rsid w:val="74E236BE"/>
    <w:rsid w:val="74E7523A"/>
    <w:rsid w:val="74F5031E"/>
    <w:rsid w:val="754444B6"/>
    <w:rsid w:val="759355C1"/>
    <w:rsid w:val="75E67CFF"/>
    <w:rsid w:val="764D6A4B"/>
    <w:rsid w:val="769F05AF"/>
    <w:rsid w:val="77775D89"/>
    <w:rsid w:val="77865594"/>
    <w:rsid w:val="779C20FF"/>
    <w:rsid w:val="77A17D0C"/>
    <w:rsid w:val="77A7245B"/>
    <w:rsid w:val="77E110B4"/>
    <w:rsid w:val="78166FF5"/>
    <w:rsid w:val="78250553"/>
    <w:rsid w:val="784E01D3"/>
    <w:rsid w:val="78674783"/>
    <w:rsid w:val="786848AD"/>
    <w:rsid w:val="78685C72"/>
    <w:rsid w:val="78A52233"/>
    <w:rsid w:val="78B629C9"/>
    <w:rsid w:val="79447889"/>
    <w:rsid w:val="79AF1C2F"/>
    <w:rsid w:val="79BD656A"/>
    <w:rsid w:val="79C74800"/>
    <w:rsid w:val="79E454CE"/>
    <w:rsid w:val="79FB6F95"/>
    <w:rsid w:val="7A0F409C"/>
    <w:rsid w:val="7A594FBA"/>
    <w:rsid w:val="7A6F341F"/>
    <w:rsid w:val="7A7237F8"/>
    <w:rsid w:val="7AA97D3A"/>
    <w:rsid w:val="7AD0558D"/>
    <w:rsid w:val="7AD8085B"/>
    <w:rsid w:val="7B02202A"/>
    <w:rsid w:val="7B3F19BB"/>
    <w:rsid w:val="7C0E4B3F"/>
    <w:rsid w:val="7C373D16"/>
    <w:rsid w:val="7C516BDF"/>
    <w:rsid w:val="7C5400E1"/>
    <w:rsid w:val="7C74092F"/>
    <w:rsid w:val="7C966A96"/>
    <w:rsid w:val="7CF3413E"/>
    <w:rsid w:val="7D603861"/>
    <w:rsid w:val="7D7E50D0"/>
    <w:rsid w:val="7DFD59A0"/>
    <w:rsid w:val="7E2B43E5"/>
    <w:rsid w:val="7E5C7652"/>
    <w:rsid w:val="7E694279"/>
    <w:rsid w:val="7E765D97"/>
    <w:rsid w:val="7EA50B70"/>
    <w:rsid w:val="7ED80383"/>
    <w:rsid w:val="7EEF0E7A"/>
    <w:rsid w:val="7EFD0989"/>
    <w:rsid w:val="7F0251EE"/>
    <w:rsid w:val="7F5C31CD"/>
    <w:rsid w:val="7F6B5095"/>
    <w:rsid w:val="7F822053"/>
    <w:rsid w:val="7FA147C6"/>
    <w:rsid w:val="7FC17032"/>
    <w:rsid w:val="7FE50115"/>
    <w:rsid w:val="7FE67798"/>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b/>
      <w:bCs/>
      <w:kern w:val="44"/>
      <w:sz w:val="44"/>
      <w:szCs w:val="44"/>
      <w:lang w:val="zh-CN"/>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b/>
      <w:bCs/>
      <w:sz w:val="32"/>
      <w:szCs w:val="32"/>
      <w:lang w:val="zh-CN"/>
    </w:rPr>
  </w:style>
  <w:style w:type="paragraph" w:styleId="6">
    <w:name w:val="heading 5"/>
    <w:basedOn w:val="1"/>
    <w:next w:val="7"/>
    <w:link w:val="43"/>
    <w:qFormat/>
    <w:uiPriority w:val="9"/>
    <w:pPr>
      <w:keepNext/>
      <w:keepLines/>
      <w:spacing w:before="280" w:after="290" w:line="376" w:lineRule="auto"/>
      <w:outlineLvl w:val="4"/>
    </w:pPr>
    <w:rPr>
      <w:rFonts w:ascii="Times New Roman" w:hAnsi="Times New Roman"/>
      <w:b/>
      <w:bCs/>
      <w:sz w:val="28"/>
      <w:szCs w:val="28"/>
      <w:lang w:val="zh-CN"/>
    </w:rPr>
  </w:style>
  <w:style w:type="paragraph" w:styleId="8">
    <w:name w:val="heading 8"/>
    <w:basedOn w:val="1"/>
    <w:next w:val="1"/>
    <w:link w:val="44"/>
    <w:qFormat/>
    <w:uiPriority w:val="9"/>
    <w:pPr>
      <w:keepNext/>
      <w:keepLines/>
      <w:spacing w:before="240" w:after="64" w:line="320" w:lineRule="auto"/>
      <w:outlineLvl w:val="7"/>
    </w:pPr>
    <w:rPr>
      <w:rFonts w:ascii="等线 Light" w:hAnsi="等线 Light" w:eastAsia="等线 Light"/>
      <w:sz w:val="24"/>
      <w:szCs w:val="24"/>
      <w:lang w:val="zh-CN"/>
    </w:rPr>
  </w:style>
  <w:style w:type="paragraph" w:styleId="9">
    <w:name w:val="heading 9"/>
    <w:basedOn w:val="1"/>
    <w:next w:val="1"/>
    <w:link w:val="45"/>
    <w:qFormat/>
    <w:uiPriority w:val="9"/>
    <w:pPr>
      <w:keepNext/>
      <w:keepLines/>
      <w:spacing w:before="240" w:after="64" w:line="320" w:lineRule="auto"/>
      <w:outlineLvl w:val="8"/>
    </w:pPr>
    <w:rPr>
      <w:rFonts w:ascii="Cambria" w:hAnsi="Cambria"/>
      <w:szCs w:val="21"/>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5"/>
    <w:unhideWhenUsed/>
    <w:qFormat/>
    <w:uiPriority w:val="0"/>
    <w:pPr>
      <w:tabs>
        <w:tab w:val="center" w:pos="4153"/>
        <w:tab w:val="right" w:pos="8306"/>
      </w:tabs>
      <w:snapToGrid w:val="0"/>
      <w:jc w:val="left"/>
    </w:pPr>
    <w:rPr>
      <w:rFonts w:ascii="Times New Roman" w:hAnsi="Times New Roman"/>
      <w:kern w:val="0"/>
      <w:sz w:val="18"/>
      <w:szCs w:val="18"/>
      <w:lang w:val="zh-CN"/>
    </w:rPr>
  </w:style>
  <w:style w:type="paragraph" w:styleId="7">
    <w:name w:val="Normal Indent"/>
    <w:basedOn w:val="1"/>
    <w:qFormat/>
    <w:uiPriority w:val="0"/>
    <w:pPr>
      <w:ind w:firstLine="420"/>
    </w:pPr>
    <w:rPr>
      <w:rFonts w:ascii="Times New Roman" w:hAnsi="Times New Roman"/>
      <w:szCs w:val="20"/>
    </w:rPr>
  </w:style>
  <w:style w:type="paragraph" w:styleId="10">
    <w:name w:val="table of authorities"/>
    <w:basedOn w:val="1"/>
    <w:next w:val="1"/>
    <w:qFormat/>
    <w:uiPriority w:val="99"/>
    <w:pPr>
      <w:ind w:left="420" w:leftChars="200"/>
    </w:p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13">
    <w:name w:val="annotation text"/>
    <w:basedOn w:val="1"/>
    <w:link w:val="46"/>
    <w:qFormat/>
    <w:uiPriority w:val="0"/>
    <w:pPr>
      <w:jc w:val="left"/>
    </w:pPr>
    <w:rPr>
      <w:rFonts w:ascii="Times New Roman" w:hAnsi="Times New Roman"/>
      <w:szCs w:val="24"/>
      <w:lang w:val="zh-CN"/>
    </w:rPr>
  </w:style>
  <w:style w:type="paragraph" w:styleId="14">
    <w:name w:val="Body Text 3"/>
    <w:basedOn w:val="1"/>
    <w:link w:val="47"/>
    <w:unhideWhenUsed/>
    <w:qFormat/>
    <w:uiPriority w:val="99"/>
    <w:pPr>
      <w:spacing w:after="120"/>
    </w:pPr>
    <w:rPr>
      <w:rFonts w:ascii="Times New Roman" w:hAnsi="Times New Roman"/>
      <w:sz w:val="16"/>
      <w:szCs w:val="16"/>
      <w:lang w:val="zh-CN"/>
    </w:rPr>
  </w:style>
  <w:style w:type="paragraph" w:styleId="15">
    <w:name w:val="Body Text"/>
    <w:basedOn w:val="1"/>
    <w:next w:val="16"/>
    <w:link w:val="48"/>
    <w:unhideWhenUsed/>
    <w:qFormat/>
    <w:uiPriority w:val="0"/>
    <w:pPr>
      <w:spacing w:after="120"/>
    </w:pPr>
    <w:rPr>
      <w:rFonts w:ascii="Times New Roman" w:hAnsi="Times New Roman"/>
      <w:szCs w:val="24"/>
      <w:lang w:val="zh-CN"/>
    </w:rPr>
  </w:style>
  <w:style w:type="paragraph" w:styleId="16">
    <w:name w:val="Body Text First Indent 2"/>
    <w:basedOn w:val="17"/>
    <w:link w:val="51"/>
    <w:unhideWhenUsed/>
    <w:qFormat/>
    <w:uiPriority w:val="99"/>
    <w:pPr>
      <w:spacing w:after="120"/>
      <w:ind w:left="420" w:leftChars="200" w:firstLine="420" w:firstLineChars="200"/>
    </w:pPr>
    <w:rPr>
      <w:rFonts w:ascii="Times New Roman" w:eastAsia="宋体"/>
      <w:kern w:val="2"/>
      <w:sz w:val="21"/>
      <w:szCs w:val="24"/>
      <w:lang w:val="en-US"/>
    </w:rPr>
  </w:style>
  <w:style w:type="paragraph" w:styleId="17">
    <w:name w:val="Body Text Indent"/>
    <w:basedOn w:val="1"/>
    <w:next w:val="18"/>
    <w:link w:val="49"/>
    <w:qFormat/>
    <w:uiPriority w:val="0"/>
    <w:pPr>
      <w:ind w:firstLine="830" w:firstLineChars="352"/>
    </w:pPr>
    <w:rPr>
      <w:rFonts w:ascii="仿宋_GB2312" w:hAnsi="Times New Roman" w:eastAsia="仿宋_GB2312"/>
      <w:kern w:val="0"/>
      <w:sz w:val="32"/>
      <w:szCs w:val="20"/>
      <w:lang w:val="zh-CN"/>
    </w:rPr>
  </w:style>
  <w:style w:type="paragraph" w:styleId="18">
    <w:name w:val="annotation subject"/>
    <w:basedOn w:val="13"/>
    <w:next w:val="1"/>
    <w:link w:val="50"/>
    <w:qFormat/>
    <w:uiPriority w:val="99"/>
    <w:rPr>
      <w:b/>
      <w:bCs/>
    </w:rPr>
  </w:style>
  <w:style w:type="paragraph" w:styleId="19">
    <w:name w:val="List 2"/>
    <w:basedOn w:val="1"/>
    <w:unhideWhenUsed/>
    <w:qFormat/>
    <w:uiPriority w:val="99"/>
    <w:pPr>
      <w:ind w:left="100" w:leftChars="200" w:hanging="200" w:hangingChars="200"/>
      <w:contextualSpacing/>
    </w:pPr>
    <w:rPr>
      <w:rFonts w:ascii="Times New Roman" w:hAnsi="Times New Roman"/>
      <w:szCs w:val="24"/>
    </w:rPr>
  </w:style>
  <w:style w:type="paragraph" w:styleId="20">
    <w:name w:val="toc 3"/>
    <w:basedOn w:val="1"/>
    <w:next w:val="1"/>
    <w:unhideWhenUsed/>
    <w:qFormat/>
    <w:uiPriority w:val="39"/>
    <w:pPr>
      <w:ind w:left="840" w:leftChars="400"/>
    </w:pPr>
  </w:style>
  <w:style w:type="paragraph" w:styleId="21">
    <w:name w:val="Plain Text"/>
    <w:basedOn w:val="1"/>
    <w:next w:val="11"/>
    <w:link w:val="52"/>
    <w:qFormat/>
    <w:uiPriority w:val="0"/>
    <w:rPr>
      <w:rFonts w:ascii="宋体" w:hAnsi="Courier New"/>
      <w:kern w:val="0"/>
      <w:sz w:val="20"/>
      <w:szCs w:val="21"/>
      <w:lang w:val="zh-CN"/>
    </w:rPr>
  </w:style>
  <w:style w:type="paragraph" w:styleId="22">
    <w:name w:val="Date"/>
    <w:basedOn w:val="1"/>
    <w:next w:val="1"/>
    <w:link w:val="53"/>
    <w:unhideWhenUsed/>
    <w:qFormat/>
    <w:uiPriority w:val="99"/>
    <w:pPr>
      <w:ind w:left="100" w:leftChars="2500"/>
    </w:pPr>
    <w:rPr>
      <w:rFonts w:ascii="Times New Roman" w:hAnsi="Times New Roman"/>
      <w:szCs w:val="24"/>
      <w:lang w:val="zh-CN"/>
    </w:rPr>
  </w:style>
  <w:style w:type="paragraph" w:styleId="23">
    <w:name w:val="Balloon Text"/>
    <w:basedOn w:val="1"/>
    <w:link w:val="54"/>
    <w:semiHidden/>
    <w:qFormat/>
    <w:uiPriority w:val="0"/>
    <w:rPr>
      <w:rFonts w:ascii="Times New Roman" w:hAnsi="Times New Roman"/>
      <w:sz w:val="18"/>
      <w:szCs w:val="18"/>
    </w:rPr>
  </w:style>
  <w:style w:type="paragraph" w:styleId="24">
    <w:name w:val="header"/>
    <w:basedOn w:val="1"/>
    <w:link w:val="56"/>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rPr>
      <w:rFonts w:ascii="Times New Roman" w:hAnsi="Times New Roman"/>
      <w:szCs w:val="24"/>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rPr>
      <w:kern w:val="0"/>
      <w:sz w:val="24"/>
      <w:szCs w:val="24"/>
    </w:rPr>
  </w:style>
  <w:style w:type="paragraph" w:styleId="29">
    <w:name w:val="Title"/>
    <w:basedOn w:val="1"/>
    <w:link w:val="57"/>
    <w:qFormat/>
    <w:uiPriority w:val="10"/>
    <w:pPr>
      <w:widowControl/>
      <w:overflowPunct w:val="0"/>
      <w:autoSpaceDE w:val="0"/>
      <w:autoSpaceDN w:val="0"/>
      <w:adjustRightInd w:val="0"/>
      <w:jc w:val="center"/>
      <w:textAlignment w:val="baseline"/>
    </w:pPr>
    <w:rPr>
      <w:rFonts w:ascii="Cambria" w:hAnsi="Cambria"/>
      <w:b/>
      <w:bCs/>
      <w:sz w:val="32"/>
      <w:szCs w:val="32"/>
      <w:lang w:val="zh-CN"/>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22"/>
    <w:rPr>
      <w:b/>
    </w:rPr>
  </w:style>
  <w:style w:type="character" w:styleId="34">
    <w:name w:val="endnote reference"/>
    <w:unhideWhenUsed/>
    <w:qFormat/>
    <w:uiPriority w:val="99"/>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styleId="39">
    <w:name w:val="HTML Sample"/>
    <w:unhideWhenUsed/>
    <w:qFormat/>
    <w:uiPriority w:val="99"/>
    <w:rPr>
      <w:rFonts w:ascii="Courier New" w:hAnsi="Courier New"/>
    </w:rPr>
  </w:style>
  <w:style w:type="character" w:customStyle="1" w:styleId="40">
    <w:name w:val="标题 1 字符"/>
    <w:link w:val="3"/>
    <w:qFormat/>
    <w:uiPriority w:val="9"/>
    <w:rPr>
      <w:rFonts w:ascii="Times New Roman" w:hAnsi="Times New Roman" w:eastAsia="宋体" w:cs="Times New Roman"/>
      <w:b/>
      <w:bCs/>
      <w:kern w:val="44"/>
      <w:sz w:val="44"/>
      <w:szCs w:val="44"/>
      <w:lang w:val="zh-CN" w:eastAsia="zh-CN"/>
    </w:rPr>
  </w:style>
  <w:style w:type="character" w:customStyle="1" w:styleId="41">
    <w:name w:val="标题 2 字符"/>
    <w:link w:val="4"/>
    <w:qFormat/>
    <w:uiPriority w:val="9"/>
    <w:rPr>
      <w:rFonts w:ascii="Cambria" w:hAnsi="Cambria" w:eastAsia="宋体" w:cs="Times New Roman"/>
      <w:b/>
      <w:bCs/>
      <w:sz w:val="32"/>
      <w:szCs w:val="32"/>
      <w:lang w:val="zh-CN" w:eastAsia="zh-CN"/>
    </w:rPr>
  </w:style>
  <w:style w:type="character" w:customStyle="1" w:styleId="42">
    <w:name w:val="标题 3 字符"/>
    <w:link w:val="5"/>
    <w:qFormat/>
    <w:uiPriority w:val="9"/>
    <w:rPr>
      <w:rFonts w:ascii="Times New Roman" w:hAnsi="Times New Roman" w:eastAsia="宋体" w:cs="Times New Roman"/>
      <w:b/>
      <w:bCs/>
      <w:sz w:val="32"/>
      <w:szCs w:val="32"/>
      <w:lang w:val="zh-CN" w:eastAsia="zh-CN"/>
    </w:rPr>
  </w:style>
  <w:style w:type="character" w:customStyle="1" w:styleId="43">
    <w:name w:val="标题 5 字符"/>
    <w:link w:val="6"/>
    <w:qFormat/>
    <w:uiPriority w:val="9"/>
    <w:rPr>
      <w:rFonts w:ascii="Times New Roman" w:hAnsi="Times New Roman" w:eastAsia="宋体" w:cs="Times New Roman"/>
      <w:b/>
      <w:bCs/>
      <w:sz w:val="28"/>
      <w:szCs w:val="28"/>
      <w:lang w:val="zh-CN" w:eastAsia="zh-CN"/>
    </w:rPr>
  </w:style>
  <w:style w:type="character" w:customStyle="1" w:styleId="44">
    <w:name w:val="标题 8 字符"/>
    <w:link w:val="8"/>
    <w:qFormat/>
    <w:uiPriority w:val="9"/>
    <w:rPr>
      <w:rFonts w:ascii="等线 Light" w:hAnsi="等线 Light" w:eastAsia="等线 Light" w:cs="Times New Roman"/>
      <w:sz w:val="24"/>
      <w:szCs w:val="24"/>
      <w:lang w:val="zh-CN" w:eastAsia="zh-CN"/>
    </w:rPr>
  </w:style>
  <w:style w:type="character" w:customStyle="1" w:styleId="45">
    <w:name w:val="标题 9 字符"/>
    <w:link w:val="9"/>
    <w:qFormat/>
    <w:uiPriority w:val="9"/>
    <w:rPr>
      <w:rFonts w:ascii="Cambria" w:hAnsi="Cambria" w:eastAsia="宋体" w:cs="Times New Roman"/>
      <w:szCs w:val="21"/>
      <w:lang w:val="zh-CN" w:eastAsia="zh-CN"/>
    </w:rPr>
  </w:style>
  <w:style w:type="character" w:customStyle="1" w:styleId="46">
    <w:name w:val="批注文字 字符2"/>
    <w:link w:val="13"/>
    <w:qFormat/>
    <w:uiPriority w:val="0"/>
    <w:rPr>
      <w:rFonts w:ascii="Times New Roman" w:hAnsi="Times New Roman" w:eastAsia="宋体" w:cs="Times New Roman"/>
      <w:szCs w:val="24"/>
      <w:lang w:val="zh-CN" w:eastAsia="zh-CN"/>
    </w:rPr>
  </w:style>
  <w:style w:type="character" w:customStyle="1" w:styleId="47">
    <w:name w:val="正文文本 3 字符"/>
    <w:link w:val="14"/>
    <w:qFormat/>
    <w:uiPriority w:val="99"/>
    <w:rPr>
      <w:rFonts w:ascii="Times New Roman" w:hAnsi="Times New Roman" w:eastAsia="宋体" w:cs="Times New Roman"/>
      <w:sz w:val="16"/>
      <w:szCs w:val="16"/>
      <w:lang w:val="zh-CN" w:eastAsia="zh-CN"/>
    </w:rPr>
  </w:style>
  <w:style w:type="character" w:customStyle="1" w:styleId="48">
    <w:name w:val="正文文本 字符1"/>
    <w:link w:val="15"/>
    <w:qFormat/>
    <w:uiPriority w:val="0"/>
    <w:rPr>
      <w:rFonts w:ascii="Times New Roman" w:hAnsi="Times New Roman" w:eastAsia="宋体" w:cs="Times New Roman"/>
      <w:szCs w:val="24"/>
      <w:lang w:val="zh-CN" w:eastAsia="zh-CN"/>
    </w:rPr>
  </w:style>
  <w:style w:type="character" w:customStyle="1" w:styleId="49">
    <w:name w:val="正文文本缩进 字符1"/>
    <w:link w:val="17"/>
    <w:qFormat/>
    <w:uiPriority w:val="0"/>
    <w:rPr>
      <w:rFonts w:ascii="仿宋_GB2312" w:hAnsi="Times New Roman" w:eastAsia="仿宋_GB2312" w:cs="Times New Roman"/>
      <w:kern w:val="0"/>
      <w:sz w:val="32"/>
      <w:szCs w:val="20"/>
      <w:lang w:val="zh-CN" w:eastAsia="zh-CN"/>
    </w:rPr>
  </w:style>
  <w:style w:type="character" w:customStyle="1" w:styleId="50">
    <w:name w:val="批注主题 字符"/>
    <w:link w:val="18"/>
    <w:qFormat/>
    <w:uiPriority w:val="99"/>
    <w:rPr>
      <w:rFonts w:ascii="Times New Roman" w:hAnsi="Times New Roman" w:eastAsia="宋体" w:cs="Times New Roman"/>
      <w:b/>
      <w:bCs/>
      <w:szCs w:val="24"/>
      <w:lang w:val="zh-CN" w:eastAsia="zh-CN"/>
    </w:rPr>
  </w:style>
  <w:style w:type="character" w:customStyle="1" w:styleId="51">
    <w:name w:val="正文文本首行缩进 2 字符1"/>
    <w:link w:val="16"/>
    <w:semiHidden/>
    <w:qFormat/>
    <w:uiPriority w:val="99"/>
    <w:rPr>
      <w:rFonts w:ascii="Times New Roman" w:hAnsi="Times New Roman" w:eastAsia="宋体" w:cs="Times New Roman"/>
      <w:szCs w:val="24"/>
    </w:rPr>
  </w:style>
  <w:style w:type="character" w:customStyle="1" w:styleId="52">
    <w:name w:val="纯文本 字符3"/>
    <w:link w:val="21"/>
    <w:qFormat/>
    <w:uiPriority w:val="0"/>
    <w:rPr>
      <w:rFonts w:ascii="宋体" w:hAnsi="Courier New" w:eastAsia="宋体" w:cs="Times New Roman"/>
      <w:kern w:val="0"/>
      <w:sz w:val="20"/>
      <w:szCs w:val="21"/>
      <w:lang w:val="zh-CN" w:eastAsia="zh-CN"/>
    </w:rPr>
  </w:style>
  <w:style w:type="character" w:customStyle="1" w:styleId="53">
    <w:name w:val="日期 字符"/>
    <w:link w:val="22"/>
    <w:qFormat/>
    <w:uiPriority w:val="99"/>
    <w:rPr>
      <w:rFonts w:ascii="Times New Roman" w:hAnsi="Times New Roman" w:eastAsia="宋体" w:cs="Times New Roman"/>
      <w:szCs w:val="24"/>
      <w:lang w:val="zh-CN" w:eastAsia="zh-CN"/>
    </w:rPr>
  </w:style>
  <w:style w:type="character" w:customStyle="1" w:styleId="54">
    <w:name w:val="批注框文本 字符"/>
    <w:link w:val="23"/>
    <w:semiHidden/>
    <w:qFormat/>
    <w:uiPriority w:val="0"/>
    <w:rPr>
      <w:rFonts w:ascii="Times New Roman" w:hAnsi="Times New Roman" w:eastAsia="宋体" w:cs="Times New Roman"/>
      <w:sz w:val="18"/>
      <w:szCs w:val="18"/>
    </w:rPr>
  </w:style>
  <w:style w:type="character" w:customStyle="1" w:styleId="55">
    <w:name w:val="页脚 字符"/>
    <w:link w:val="2"/>
    <w:qFormat/>
    <w:uiPriority w:val="0"/>
    <w:rPr>
      <w:rFonts w:ascii="Times New Roman" w:hAnsi="Times New Roman" w:eastAsia="宋体" w:cs="Times New Roman"/>
      <w:kern w:val="0"/>
      <w:sz w:val="18"/>
      <w:szCs w:val="18"/>
      <w:lang w:val="zh-CN" w:eastAsia="zh-CN"/>
    </w:rPr>
  </w:style>
  <w:style w:type="character" w:customStyle="1" w:styleId="56">
    <w:name w:val="页眉 字符"/>
    <w:link w:val="24"/>
    <w:qFormat/>
    <w:uiPriority w:val="0"/>
    <w:rPr>
      <w:rFonts w:ascii="Times New Roman" w:hAnsi="Times New Roman" w:eastAsia="宋体" w:cs="Times New Roman"/>
      <w:kern w:val="0"/>
      <w:sz w:val="18"/>
      <w:szCs w:val="18"/>
      <w:lang w:val="zh-CN" w:eastAsia="zh-CN"/>
    </w:rPr>
  </w:style>
  <w:style w:type="character" w:customStyle="1" w:styleId="57">
    <w:name w:val="标题 字符"/>
    <w:link w:val="29"/>
    <w:qFormat/>
    <w:uiPriority w:val="10"/>
    <w:rPr>
      <w:rFonts w:ascii="Cambria" w:hAnsi="Cambria" w:eastAsia="宋体" w:cs="Times New Roman"/>
      <w:b/>
      <w:bCs/>
      <w:sz w:val="32"/>
      <w:szCs w:val="32"/>
      <w:lang w:val="zh-CN" w:eastAsia="zh-CN"/>
    </w:rPr>
  </w:style>
  <w:style w:type="character" w:customStyle="1" w:styleId="58">
    <w:name w:val="正文文本缩进 Char"/>
    <w:qFormat/>
    <w:uiPriority w:val="0"/>
  </w:style>
  <w:style w:type="paragraph" w:customStyle="1" w:styleId="59">
    <w:name w:val="TOC 标题2"/>
    <w:next w:val="1"/>
    <w:qFormat/>
    <w:uiPriority w:val="99"/>
    <w:pPr>
      <w:wordWrap w:val="0"/>
    </w:pPr>
    <w:rPr>
      <w:rFonts w:ascii="Calibri" w:hAnsi="Calibri" w:eastAsia="宋体" w:cs="Times New Roman"/>
      <w:sz w:val="32"/>
      <w:lang w:val="en-US" w:eastAsia="zh-CN" w:bidi="ar-SA"/>
    </w:rPr>
  </w:style>
  <w:style w:type="paragraph" w:customStyle="1" w:styleId="60">
    <w:name w:val="表格文字"/>
    <w:basedOn w:val="1"/>
    <w:next w:val="15"/>
    <w:qFormat/>
    <w:uiPriority w:val="0"/>
    <w:pPr>
      <w:adjustRightInd w:val="0"/>
      <w:spacing w:line="420" w:lineRule="atLeast"/>
      <w:jc w:val="left"/>
      <w:textAlignment w:val="baseline"/>
    </w:pPr>
    <w:rPr>
      <w:rFonts w:ascii="Times New Roman" w:hAnsi="Times New Roman"/>
      <w:kern w:val="0"/>
      <w:szCs w:val="24"/>
    </w:rPr>
  </w:style>
  <w:style w:type="paragraph" w:customStyle="1" w:styleId="61">
    <w:name w:val="样式1"/>
    <w:basedOn w:val="1"/>
    <w:qFormat/>
    <w:uiPriority w:val="0"/>
    <w:pPr>
      <w:spacing w:line="360" w:lineRule="auto"/>
    </w:pPr>
    <w:rPr>
      <w:rFonts w:ascii="宋体"/>
      <w:sz w:val="24"/>
    </w:rPr>
  </w:style>
  <w:style w:type="character" w:customStyle="1" w:styleId="62">
    <w:name w:val="标题 1 Char"/>
    <w:qFormat/>
    <w:uiPriority w:val="9"/>
    <w:rPr>
      <w:b/>
      <w:bCs/>
      <w:kern w:val="44"/>
      <w:sz w:val="44"/>
      <w:szCs w:val="44"/>
    </w:rPr>
  </w:style>
  <w:style w:type="character" w:customStyle="1" w:styleId="63">
    <w:name w:val="标题 2 Char"/>
    <w:qFormat/>
    <w:uiPriority w:val="9"/>
    <w:rPr>
      <w:rFonts w:ascii="Calibri Light" w:hAnsi="Calibri Light" w:eastAsia="宋体" w:cs="Times New Roman"/>
      <w:b/>
      <w:bCs/>
      <w:sz w:val="32"/>
      <w:szCs w:val="32"/>
    </w:rPr>
  </w:style>
  <w:style w:type="character" w:customStyle="1" w:styleId="64">
    <w:name w:val="标题 3 Char"/>
    <w:qFormat/>
    <w:uiPriority w:val="9"/>
    <w:rPr>
      <w:b/>
      <w:bCs/>
      <w:sz w:val="32"/>
      <w:szCs w:val="32"/>
    </w:rPr>
  </w:style>
  <w:style w:type="character" w:customStyle="1" w:styleId="65">
    <w:name w:val="标题 5 Char"/>
    <w:qFormat/>
    <w:uiPriority w:val="9"/>
    <w:rPr>
      <w:b/>
      <w:bCs/>
      <w:sz w:val="28"/>
      <w:szCs w:val="28"/>
    </w:rPr>
  </w:style>
  <w:style w:type="character" w:customStyle="1" w:styleId="66">
    <w:name w:val="标题 8 Char"/>
    <w:qFormat/>
    <w:uiPriority w:val="0"/>
    <w:rPr>
      <w:rFonts w:ascii="Calibri Light" w:hAnsi="Calibri Light" w:eastAsia="宋体" w:cs="Times New Roman"/>
      <w:sz w:val="24"/>
      <w:szCs w:val="24"/>
    </w:rPr>
  </w:style>
  <w:style w:type="character" w:customStyle="1" w:styleId="67">
    <w:name w:val="标题 9 Char"/>
    <w:semiHidden/>
    <w:qFormat/>
    <w:uiPriority w:val="9"/>
    <w:rPr>
      <w:rFonts w:ascii="Calibri Light" w:hAnsi="Calibri Light" w:eastAsia="宋体" w:cs="Times New Roman"/>
      <w:szCs w:val="21"/>
    </w:rPr>
  </w:style>
  <w:style w:type="character" w:customStyle="1" w:styleId="68">
    <w:name w:val="批注文字 Char"/>
    <w:qFormat/>
    <w:uiPriority w:val="0"/>
  </w:style>
  <w:style w:type="character" w:customStyle="1" w:styleId="69">
    <w:name w:val="正文文本 3 Char"/>
    <w:qFormat/>
    <w:uiPriority w:val="99"/>
    <w:rPr>
      <w:sz w:val="16"/>
      <w:szCs w:val="16"/>
    </w:rPr>
  </w:style>
  <w:style w:type="character" w:customStyle="1" w:styleId="70">
    <w:name w:val="正文文本 Char"/>
    <w:qFormat/>
    <w:uiPriority w:val="0"/>
  </w:style>
  <w:style w:type="paragraph" w:customStyle="1" w:styleId="71">
    <w:name w:val="_Style 36"/>
    <w:basedOn w:val="1"/>
    <w:next w:val="72"/>
    <w:qFormat/>
    <w:uiPriority w:val="99"/>
    <w:pPr>
      <w:ind w:firstLine="420" w:firstLineChars="200"/>
    </w:pPr>
    <w:rPr>
      <w:rFonts w:ascii="Times New Roman" w:hAnsi="Times New Roman"/>
      <w:szCs w:val="24"/>
    </w:rPr>
  </w:style>
  <w:style w:type="paragraph" w:styleId="72">
    <w:name w:val="List Paragraph"/>
    <w:basedOn w:val="1"/>
    <w:qFormat/>
    <w:uiPriority w:val="34"/>
    <w:pPr>
      <w:ind w:firstLine="420" w:firstLineChars="200"/>
    </w:pPr>
    <w:rPr>
      <w:rFonts w:ascii="Times New Roman" w:hAnsi="Times New Roman"/>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日期 Char"/>
    <w:qFormat/>
    <w:uiPriority w:val="99"/>
  </w:style>
  <w:style w:type="character" w:customStyle="1" w:styleId="75">
    <w:name w:val="批注框文本 Char"/>
    <w:semiHidden/>
    <w:qFormat/>
    <w:uiPriority w:val="0"/>
    <w:rPr>
      <w:sz w:val="18"/>
      <w:szCs w:val="18"/>
    </w:rPr>
  </w:style>
  <w:style w:type="character" w:customStyle="1" w:styleId="76">
    <w:name w:val="页脚 Char"/>
    <w:qFormat/>
    <w:uiPriority w:val="99"/>
    <w:rPr>
      <w:sz w:val="18"/>
      <w:szCs w:val="18"/>
    </w:rPr>
  </w:style>
  <w:style w:type="character" w:customStyle="1" w:styleId="77">
    <w:name w:val="页眉 Char"/>
    <w:qFormat/>
    <w:uiPriority w:val="99"/>
    <w:rPr>
      <w:sz w:val="18"/>
      <w:szCs w:val="18"/>
    </w:rPr>
  </w:style>
  <w:style w:type="character" w:customStyle="1" w:styleId="78">
    <w:name w:val="标题 Char"/>
    <w:qFormat/>
    <w:uiPriority w:val="10"/>
    <w:rPr>
      <w:rFonts w:ascii="Calibri Light" w:hAnsi="Calibri Light" w:eastAsia="宋体" w:cs="Times New Roman"/>
      <w:b/>
      <w:bCs/>
      <w:sz w:val="32"/>
      <w:szCs w:val="32"/>
    </w:rPr>
  </w:style>
  <w:style w:type="character" w:customStyle="1" w:styleId="79">
    <w:name w:val="批注主题 Char"/>
    <w:qFormat/>
    <w:uiPriority w:val="99"/>
    <w:rPr>
      <w:b/>
      <w:bCs/>
    </w:rPr>
  </w:style>
  <w:style w:type="character" w:customStyle="1" w:styleId="80">
    <w:name w:val="正文文本首行缩进 2 字符"/>
    <w:qFormat/>
    <w:uiPriority w:val="99"/>
    <w:rPr>
      <w:kern w:val="2"/>
      <w:sz w:val="21"/>
      <w:szCs w:val="24"/>
    </w:rPr>
  </w:style>
  <w:style w:type="character" w:customStyle="1" w:styleId="81">
    <w:name w:val="标题 Char1"/>
    <w:qFormat/>
    <w:uiPriority w:val="0"/>
    <w:rPr>
      <w:rFonts w:ascii="Calibri" w:hAnsi="Calibri"/>
      <w:b/>
      <w:sz w:val="24"/>
      <w:lang w:val="en-GB"/>
    </w:rPr>
  </w:style>
  <w:style w:type="character" w:customStyle="1" w:styleId="8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正文文本 字符"/>
    <w:qFormat/>
    <w:uiPriority w:val="0"/>
    <w:rPr>
      <w:rFonts w:ascii="Times New Roman" w:hAnsi="Times New Roman"/>
      <w:kern w:val="2"/>
      <w:sz w:val="21"/>
      <w:szCs w:val="24"/>
    </w:rPr>
  </w:style>
  <w:style w:type="character" w:customStyle="1" w:styleId="84">
    <w:name w:val="批注文字 字符1"/>
    <w:qFormat/>
    <w:uiPriority w:val="0"/>
    <w:rPr>
      <w:rFonts w:ascii="Times New Roman" w:hAnsi="Times New Roman"/>
      <w:kern w:val="2"/>
      <w:sz w:val="21"/>
      <w:szCs w:val="24"/>
    </w:rPr>
  </w:style>
  <w:style w:type="character" w:customStyle="1" w:styleId="85">
    <w:name w:val="批注文字 字符"/>
    <w:qFormat/>
    <w:uiPriority w:val="0"/>
    <w:rPr>
      <w:rFonts w:ascii="Times New Roman" w:hAnsi="Times New Roman"/>
      <w:kern w:val="2"/>
      <w:sz w:val="21"/>
      <w:szCs w:val="24"/>
    </w:rPr>
  </w:style>
  <w:style w:type="character" w:customStyle="1" w:styleId="86">
    <w:name w:val="_Style 85"/>
    <w:unhideWhenUsed/>
    <w:qFormat/>
    <w:uiPriority w:val="99"/>
    <w:rPr>
      <w:color w:val="605E5C"/>
      <w:shd w:val="clear" w:color="auto" w:fill="E1DFDD"/>
    </w:rPr>
  </w:style>
  <w:style w:type="character" w:customStyle="1" w:styleId="87">
    <w:name w:val="apple-style-span"/>
    <w:qFormat/>
    <w:uiPriority w:val="0"/>
  </w:style>
  <w:style w:type="character" w:customStyle="1" w:styleId="88">
    <w:name w:val="纯文本 字符2"/>
    <w:qFormat/>
    <w:uiPriority w:val="0"/>
    <w:rPr>
      <w:rFonts w:ascii="宋体" w:hAnsi="Courier New" w:eastAsia="宋体" w:cs="Courier New"/>
      <w:szCs w:val="21"/>
    </w:rPr>
  </w:style>
  <w:style w:type="character" w:customStyle="1" w:styleId="89">
    <w:name w:val="textcontents"/>
    <w:qFormat/>
    <w:uiPriority w:val="0"/>
  </w:style>
  <w:style w:type="character" w:customStyle="1" w:styleId="90">
    <w:name w:val="纯文本 字符1"/>
    <w:qFormat/>
    <w:uiPriority w:val="0"/>
    <w:rPr>
      <w:rFonts w:ascii="宋体" w:hAnsi="Courier New"/>
    </w:rPr>
  </w:style>
  <w:style w:type="character" w:customStyle="1" w:styleId="91">
    <w:name w:val="标题 1 字符1"/>
    <w:qFormat/>
    <w:uiPriority w:val="0"/>
    <w:rPr>
      <w:b/>
      <w:bCs/>
      <w:kern w:val="44"/>
      <w:sz w:val="44"/>
      <w:szCs w:val="44"/>
    </w:rPr>
  </w:style>
  <w:style w:type="character" w:customStyle="1" w:styleId="92">
    <w:name w:val="纯文本 字符"/>
    <w:qFormat/>
    <w:uiPriority w:val="0"/>
    <w:rPr>
      <w:rFonts w:ascii="宋体" w:hAnsi="Courier New" w:eastAsia="宋体" w:cs="Courier New"/>
      <w:szCs w:val="21"/>
    </w:rPr>
  </w:style>
  <w:style w:type="paragraph" w:customStyle="1" w:styleId="93">
    <w:name w:val="Char Char Char Char"/>
    <w:basedOn w:val="1"/>
    <w:qFormat/>
    <w:uiPriority w:val="0"/>
    <w:pPr>
      <w:widowControl/>
      <w:spacing w:after="160" w:line="240" w:lineRule="exact"/>
      <w:jc w:val="left"/>
    </w:pPr>
    <w:rPr>
      <w:rFonts w:ascii="Times New Roman" w:hAnsi="Times New Roman"/>
      <w:szCs w:val="24"/>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1"/>
    <w:pPr>
      <w:jc w:val="left"/>
    </w:pPr>
    <w:rPr>
      <w:kern w:val="0"/>
      <w:sz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正文2 Char Char"/>
    <w:link w:val="100"/>
    <w:qFormat/>
    <w:uiPriority w:val="0"/>
    <w:rPr>
      <w:sz w:val="24"/>
    </w:rPr>
  </w:style>
  <w:style w:type="paragraph" w:customStyle="1" w:styleId="100">
    <w:name w:val="正文2"/>
    <w:basedOn w:val="1"/>
    <w:link w:val="99"/>
    <w:qFormat/>
    <w:uiPriority w:val="0"/>
    <w:pPr>
      <w:adjustRightInd w:val="0"/>
      <w:spacing w:before="156" w:line="360" w:lineRule="auto"/>
      <w:ind w:firstLine="510" w:firstLineChars="200"/>
    </w:pPr>
    <w:rPr>
      <w:sz w:val="24"/>
    </w:rPr>
  </w:style>
  <w:style w:type="character" w:customStyle="1" w:styleId="101">
    <w:name w:val="纯文本 Char2"/>
    <w:qFormat/>
    <w:uiPriority w:val="0"/>
    <w:rPr>
      <w:rFonts w:ascii="宋体" w:hAnsi="Courier New" w:cs="Arial"/>
      <w:snapToGrid w:val="0"/>
      <w:szCs w:val="21"/>
    </w:rPr>
  </w:style>
  <w:style w:type="paragraph" w:customStyle="1" w:styleId="102">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103">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character" w:customStyle="1" w:styleId="104">
    <w:name w:val="NormalCharacter"/>
    <w:qFormat/>
    <w:uiPriority w:val="0"/>
  </w:style>
  <w:style w:type="character" w:customStyle="1" w:styleId="105">
    <w:name w:val="正文首行缩进 2 字符"/>
    <w:qFormat/>
    <w:uiPriority w:val="99"/>
    <w:rPr>
      <w:rFonts w:ascii="仿宋_GB2312" w:hAnsi="Times New Roman" w:eastAsia="仿宋_GB2312" w:cs="Times New Roman"/>
      <w:kern w:val="2"/>
      <w:sz w:val="21"/>
      <w:szCs w:val="24"/>
    </w:rPr>
  </w:style>
  <w:style w:type="character" w:customStyle="1" w:styleId="106">
    <w:name w:val="纯文本 Char1"/>
    <w:qFormat/>
    <w:uiPriority w:val="0"/>
    <w:rPr>
      <w:rFonts w:ascii="宋体" w:hAnsi="Courier New" w:eastAsia="宋体" w:cs="Times New Roman"/>
      <w:kern w:val="0"/>
      <w:sz w:val="20"/>
      <w:szCs w:val="21"/>
    </w:rPr>
  </w:style>
  <w:style w:type="character" w:customStyle="1" w:styleId="107">
    <w:name w:val="标题 2 Char1"/>
    <w:qFormat/>
    <w:uiPriority w:val="9"/>
    <w:rPr>
      <w:rFonts w:ascii="Cambria" w:hAnsi="Cambria"/>
      <w:b/>
      <w:bCs/>
      <w:kern w:val="2"/>
      <w:sz w:val="32"/>
      <w:szCs w:val="32"/>
      <w:lang w:val="zh-CN" w:eastAsia="zh-CN"/>
    </w:rPr>
  </w:style>
  <w:style w:type="character" w:customStyle="1" w:styleId="108">
    <w:name w:val="标题 8 Char1"/>
    <w:qFormat/>
    <w:uiPriority w:val="9"/>
    <w:rPr>
      <w:rFonts w:ascii="等线 Light" w:hAnsi="等线 Light" w:eastAsia="等线 Light"/>
      <w:kern w:val="2"/>
      <w:sz w:val="24"/>
      <w:szCs w:val="24"/>
      <w:lang w:val="zh-CN" w:eastAsia="zh-CN"/>
    </w:rPr>
  </w:style>
  <w:style w:type="character" w:customStyle="1" w:styleId="109">
    <w:name w:val="批注文字 Char1"/>
    <w:qFormat/>
    <w:uiPriority w:val="0"/>
    <w:rPr>
      <w:kern w:val="2"/>
      <w:sz w:val="21"/>
      <w:szCs w:val="24"/>
      <w:lang w:val="zh-CN" w:eastAsia="zh-CN"/>
    </w:rPr>
  </w:style>
  <w:style w:type="character" w:customStyle="1" w:styleId="110">
    <w:name w:val="正文文本 Char1"/>
    <w:qFormat/>
    <w:uiPriority w:val="0"/>
    <w:rPr>
      <w:kern w:val="2"/>
      <w:sz w:val="21"/>
      <w:szCs w:val="24"/>
      <w:lang w:val="zh-CN" w:eastAsia="zh-CN"/>
    </w:rPr>
  </w:style>
  <w:style w:type="character" w:customStyle="1" w:styleId="111">
    <w:name w:val="正文首行缩进 2 字符1"/>
    <w:semiHidden/>
    <w:qFormat/>
    <w:uiPriority w:val="99"/>
    <w:rPr>
      <w:rFonts w:ascii="仿宋_GB2312" w:hAnsi="Times New Roman" w:eastAsia="仿宋_GB2312" w:cs="Times New Roman"/>
      <w:kern w:val="2"/>
      <w:sz w:val="21"/>
      <w:szCs w:val="24"/>
      <w:lang w:val="zh-CN" w:eastAsia="zh-CN"/>
    </w:rPr>
  </w:style>
  <w:style w:type="character" w:customStyle="1" w:styleId="112">
    <w:name w:val="正文首行缩进 2 字符2"/>
    <w:semiHidden/>
    <w:qFormat/>
    <w:uiPriority w:val="99"/>
    <w:rPr>
      <w:rFonts w:ascii="仿宋_GB2312" w:hAnsi="Times New Roman" w:eastAsia="仿宋_GB2312" w:cs="Times New Roman"/>
      <w:kern w:val="2"/>
      <w:sz w:val="21"/>
      <w:szCs w:val="24"/>
      <w:lang w:val="zh-CN" w:eastAsia="zh-CN"/>
    </w:rPr>
  </w:style>
  <w:style w:type="paragraph" w:customStyle="1" w:styleId="113">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14">
    <w:name w:val="列出段落1"/>
    <w:basedOn w:val="1"/>
    <w:qFormat/>
    <w:uiPriority w:val="0"/>
    <w:pPr>
      <w:ind w:firstLine="420" w:firstLineChars="200"/>
    </w:pPr>
    <w:rPr>
      <w:rFonts w:cs="Calibri"/>
      <w:szCs w:val="21"/>
    </w:rPr>
  </w:style>
  <w:style w:type="paragraph" w:customStyle="1" w:styleId="115">
    <w:name w:val="样式 纯文本 + (符号) 宋体 五号"/>
    <w:basedOn w:val="24"/>
    <w:qFormat/>
    <w:uiPriority w:val="0"/>
    <w:pPr>
      <w:pBdr>
        <w:bottom w:val="none" w:color="auto" w:sz="0" w:space="0"/>
      </w:pBdr>
      <w:snapToGrid/>
      <w:spacing w:line="300" w:lineRule="auto"/>
      <w:ind w:firstLine="200" w:firstLineChars="200"/>
      <w:jc w:val="both"/>
    </w:pPr>
    <w:rPr>
      <w:rFonts w:ascii="宋体" w:hAnsi="宋体" w:cs="宋体"/>
      <w:kern w:val="2"/>
      <w:sz w:val="24"/>
      <w:szCs w:val="20"/>
    </w:rPr>
  </w:style>
  <w:style w:type="paragraph" w:customStyle="1" w:styleId="116">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Normal Indent1"/>
    <w:basedOn w:val="1"/>
    <w:unhideWhenUsed/>
    <w:qFormat/>
    <w:uiPriority w:val="0"/>
    <w:pPr>
      <w:widowControl/>
      <w:ind w:firstLine="420"/>
      <w:jc w:val="left"/>
    </w:pPr>
    <w:rPr>
      <w:rFonts w:ascii="Times New Roman" w:hAnsi="Times New Roman"/>
      <w:kern w:val="0"/>
      <w:szCs w:val="24"/>
    </w:rPr>
  </w:style>
  <w:style w:type="paragraph" w:customStyle="1" w:styleId="118">
    <w:name w:val="（符号）三标题1.1"/>
    <w:qFormat/>
    <w:uiPriority w:val="0"/>
    <w:pPr>
      <w:widowControl w:val="0"/>
      <w:numPr>
        <w:ilvl w:val="1"/>
        <w:numId w:val="1"/>
      </w:numPr>
      <w:spacing w:line="500" w:lineRule="exact"/>
      <w:jc w:val="both"/>
    </w:pPr>
    <w:rPr>
      <w:rFonts w:ascii="宋体" w:hAnsi="宋体" w:eastAsia="宋体" w:cs="Times New Roman"/>
      <w:kern w:val="2"/>
      <w:sz w:val="24"/>
      <w:szCs w:val="22"/>
      <w:lang w:val="en-US" w:eastAsia="zh-CN" w:bidi="ar-SA"/>
    </w:rPr>
  </w:style>
  <w:style w:type="character" w:customStyle="1" w:styleId="119">
    <w:name w:val="font51"/>
    <w:qFormat/>
    <w:uiPriority w:val="0"/>
    <w:rPr>
      <w:rFonts w:hint="eastAsia" w:ascii="宋体" w:hAnsi="宋体" w:eastAsia="宋体" w:cs="宋体"/>
      <w:color w:val="000000"/>
      <w:sz w:val="12"/>
      <w:szCs w:val="12"/>
      <w:u w:val="none"/>
    </w:rPr>
  </w:style>
  <w:style w:type="paragraph" w:customStyle="1" w:styleId="120">
    <w:name w:val="_Style 119"/>
    <w:unhideWhenUsed/>
    <w:qFormat/>
    <w:uiPriority w:val="99"/>
    <w:rPr>
      <w:rFonts w:ascii="Calibri" w:hAnsi="Calibri" w:eastAsia="宋体" w:cs="Times New Roman"/>
      <w:kern w:val="2"/>
      <w:sz w:val="21"/>
      <w:szCs w:val="22"/>
      <w:lang w:val="en-US" w:eastAsia="zh-CN" w:bidi="ar-SA"/>
    </w:rPr>
  </w:style>
  <w:style w:type="paragraph" w:customStyle="1" w:styleId="12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92</Pages>
  <Words>8231</Words>
  <Characters>9272</Characters>
  <Lines>567</Lines>
  <Paragraphs>159</Paragraphs>
  <TotalTime>21</TotalTime>
  <ScaleCrop>false</ScaleCrop>
  <LinksUpToDate>false</LinksUpToDate>
  <CharactersWithSpaces>9351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2024-11-08T19:54:00Z</dcterms:created>
  <dc:creator>个人用户</dc:creator>
  <cp:lastModifiedBy>黄艳颀</cp:lastModifiedBy>
  <dcterms:modified xsi:type="dcterms:W3CDTF">2024-11-14T11:25:42Z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CC4105946BD4497F91B97156E50358C6_13</vt:lpwstr>
  </property>
</Properties>
</file>