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8A150">
      <w:pPr>
        <w:spacing w:line="360" w:lineRule="auto"/>
        <w:jc w:val="center"/>
        <w:rPr>
          <w:rFonts w:hint="eastAsia" w:ascii="宋体" w:hAnsi="宋体" w:cs="宋体"/>
          <w:color w:val="auto"/>
          <w:sz w:val="52"/>
          <w:szCs w:val="52"/>
        </w:rPr>
      </w:pPr>
    </w:p>
    <w:p w14:paraId="1D03279C">
      <w:pPr>
        <w:spacing w:line="360" w:lineRule="auto"/>
        <w:jc w:val="center"/>
        <w:rPr>
          <w:rFonts w:hint="eastAsia" w:ascii="宋体" w:hAnsi="宋体" w:cs="宋体"/>
          <w:b/>
          <w:bCs/>
          <w:color w:val="auto"/>
          <w:sz w:val="72"/>
          <w:szCs w:val="72"/>
        </w:rPr>
      </w:pPr>
    </w:p>
    <w:p w14:paraId="396233B8">
      <w:pPr>
        <w:spacing w:line="360" w:lineRule="auto"/>
        <w:jc w:val="center"/>
        <w:rPr>
          <w:rFonts w:hint="eastAsia" w:ascii="宋体" w:hAnsi="宋体" w:cs="宋体"/>
          <w:color w:val="auto"/>
          <w:sz w:val="56"/>
          <w:szCs w:val="28"/>
        </w:rPr>
      </w:pPr>
      <w:r>
        <w:rPr>
          <w:rFonts w:hint="eastAsia" w:ascii="宋体" w:hAnsi="宋体" w:cs="宋体"/>
          <w:b/>
          <w:bCs/>
          <w:color w:val="auto"/>
          <w:sz w:val="72"/>
          <w:szCs w:val="72"/>
        </w:rPr>
        <w:t>广西汉昌工程咨询有限公司</w:t>
      </w:r>
      <w:r>
        <w:rPr>
          <w:rFonts w:hint="eastAsia" w:ascii="宋体" w:hAnsi="宋体" w:cs="宋体"/>
          <w:color w:val="auto"/>
          <w:sz w:val="56"/>
          <w:szCs w:val="28"/>
        </w:rPr>
        <w:cr/>
      </w:r>
    </w:p>
    <w:p w14:paraId="0AB06736">
      <w:pPr>
        <w:pStyle w:val="26"/>
        <w:rPr>
          <w:rFonts w:hint="eastAsia"/>
          <w:color w:val="auto"/>
        </w:rPr>
      </w:pPr>
    </w:p>
    <w:p w14:paraId="05124A32">
      <w:pPr>
        <w:pStyle w:val="22"/>
        <w:snapToGrid w:val="0"/>
        <w:spacing w:before="120" w:after="120" w:line="360" w:lineRule="auto"/>
        <w:rPr>
          <w:rFonts w:hint="eastAsia" w:hAnsi="宋体" w:cs="宋体"/>
          <w:b/>
          <w:color w:val="auto"/>
          <w:sz w:val="84"/>
          <w:szCs w:val="84"/>
        </w:rPr>
      </w:pPr>
    </w:p>
    <w:p w14:paraId="1EF6CE3D">
      <w:pPr>
        <w:pStyle w:val="22"/>
        <w:snapToGrid w:val="0"/>
        <w:spacing w:before="120" w:after="120" w:line="360" w:lineRule="auto"/>
        <w:jc w:val="center"/>
        <w:rPr>
          <w:rFonts w:hint="eastAsia" w:hAnsi="宋体" w:cs="宋体"/>
          <w:b/>
          <w:bCs/>
          <w:color w:val="auto"/>
          <w:sz w:val="72"/>
          <w:szCs w:val="72"/>
        </w:rPr>
      </w:pPr>
      <w:r>
        <w:rPr>
          <w:rFonts w:hint="eastAsia" w:hAnsi="宋体" w:cs="宋体"/>
          <w:b/>
          <w:bCs/>
          <w:color w:val="auto"/>
          <w:sz w:val="72"/>
          <w:szCs w:val="72"/>
        </w:rPr>
        <w:t>竞争性磋商文件</w:t>
      </w:r>
    </w:p>
    <w:p w14:paraId="25BD107F">
      <w:pPr>
        <w:pStyle w:val="22"/>
        <w:spacing w:line="360" w:lineRule="auto"/>
        <w:rPr>
          <w:rFonts w:hint="eastAsia" w:hAnsi="宋体" w:cs="宋体"/>
          <w:color w:val="auto"/>
        </w:rPr>
      </w:pPr>
    </w:p>
    <w:p w14:paraId="1E34121C">
      <w:pPr>
        <w:spacing w:line="360" w:lineRule="auto"/>
        <w:ind w:firstLine="643" w:firstLineChars="200"/>
        <w:rPr>
          <w:rFonts w:hint="eastAsia" w:ascii="宋体" w:hAnsi="宋体" w:cs="宋体"/>
          <w:b/>
          <w:color w:val="auto"/>
          <w:sz w:val="32"/>
          <w:szCs w:val="32"/>
        </w:rPr>
      </w:pPr>
    </w:p>
    <w:p w14:paraId="3D253FF3">
      <w:pPr>
        <w:spacing w:line="360" w:lineRule="auto"/>
        <w:ind w:firstLine="643" w:firstLineChars="200"/>
        <w:rPr>
          <w:rFonts w:hint="eastAsia" w:ascii="宋体" w:hAnsi="宋体" w:cs="宋体"/>
          <w:b/>
          <w:color w:val="auto"/>
          <w:sz w:val="32"/>
          <w:szCs w:val="32"/>
          <w:lang w:eastAsia="zh-CN"/>
        </w:rPr>
      </w:pPr>
      <w:r>
        <w:rPr>
          <w:rFonts w:hint="eastAsia" w:ascii="宋体" w:hAnsi="宋体" w:cs="宋体"/>
          <w:b/>
          <w:color w:val="auto"/>
          <w:sz w:val="32"/>
          <w:szCs w:val="32"/>
        </w:rPr>
        <w:t>项目名称：</w:t>
      </w:r>
      <w:r>
        <w:rPr>
          <w:rFonts w:hint="eastAsia" w:ascii="宋体" w:hAnsi="宋体" w:cs="宋体"/>
          <w:b/>
          <w:color w:val="auto"/>
          <w:sz w:val="32"/>
          <w:szCs w:val="32"/>
          <w:lang w:eastAsia="zh-CN"/>
        </w:rPr>
        <w:t>广西农业工程职业技术学院“一站式”</w:t>
      </w:r>
    </w:p>
    <w:p w14:paraId="107D77F5">
      <w:pPr>
        <w:spacing w:line="360" w:lineRule="auto"/>
        <w:ind w:firstLine="1928" w:firstLineChars="600"/>
        <w:rPr>
          <w:rFonts w:hint="eastAsia" w:ascii="宋体" w:hAnsi="宋体" w:cs="宋体"/>
          <w:b/>
          <w:color w:val="auto"/>
          <w:sz w:val="32"/>
          <w:szCs w:val="32"/>
        </w:rPr>
      </w:pPr>
      <w:r>
        <w:rPr>
          <w:rFonts w:hint="eastAsia" w:ascii="宋体" w:hAnsi="宋体" w:cs="宋体"/>
          <w:b/>
          <w:color w:val="auto"/>
          <w:sz w:val="32"/>
          <w:szCs w:val="32"/>
          <w:lang w:eastAsia="zh-CN"/>
        </w:rPr>
        <w:t>学生社区物理空间建设项目</w:t>
      </w:r>
      <w:r>
        <w:rPr>
          <w:rFonts w:hint="eastAsia" w:ascii="宋体" w:hAnsi="宋体" w:cs="宋体"/>
          <w:b/>
          <w:color w:val="auto"/>
          <w:sz w:val="32"/>
          <w:szCs w:val="32"/>
        </w:rPr>
        <w:t xml:space="preserve">   </w:t>
      </w:r>
    </w:p>
    <w:p w14:paraId="4260307F">
      <w:pPr>
        <w:spacing w:line="360" w:lineRule="auto"/>
        <w:ind w:firstLine="643" w:firstLineChars="200"/>
        <w:rPr>
          <w:rFonts w:hint="eastAsia" w:ascii="宋体" w:hAnsi="宋体" w:cs="宋体"/>
          <w:b/>
          <w:color w:val="auto"/>
          <w:sz w:val="32"/>
          <w:szCs w:val="32"/>
        </w:rPr>
      </w:pPr>
      <w:r>
        <w:rPr>
          <w:rFonts w:hint="eastAsia" w:ascii="宋体" w:hAnsi="宋体" w:cs="宋体"/>
          <w:b/>
          <w:color w:val="auto"/>
          <w:sz w:val="32"/>
          <w:szCs w:val="32"/>
        </w:rPr>
        <w:t>项目编号：GXZC2024-C3-006381-HCZX</w:t>
      </w:r>
    </w:p>
    <w:p w14:paraId="0606FD81">
      <w:pPr>
        <w:spacing w:line="360" w:lineRule="auto"/>
        <w:ind w:firstLine="643" w:firstLineChars="200"/>
        <w:rPr>
          <w:rFonts w:hint="eastAsia" w:ascii="宋体" w:hAnsi="宋体" w:cs="宋体"/>
          <w:b/>
          <w:color w:val="auto"/>
          <w:sz w:val="32"/>
          <w:szCs w:val="32"/>
        </w:rPr>
      </w:pPr>
      <w:r>
        <w:rPr>
          <w:rFonts w:hint="eastAsia" w:ascii="宋体" w:hAnsi="宋体" w:cs="宋体"/>
          <w:b/>
          <w:color w:val="auto"/>
          <w:sz w:val="32"/>
          <w:szCs w:val="32"/>
        </w:rPr>
        <w:t xml:space="preserve">采购人：广西农业工程职业技术学院 </w:t>
      </w:r>
    </w:p>
    <w:p w14:paraId="367FCFC9">
      <w:pPr>
        <w:spacing w:line="360" w:lineRule="auto"/>
        <w:ind w:firstLine="643" w:firstLineChars="200"/>
        <w:rPr>
          <w:rFonts w:hint="eastAsia" w:ascii="宋体" w:hAnsi="宋体" w:cs="宋体"/>
          <w:b/>
          <w:color w:val="auto"/>
          <w:sz w:val="32"/>
          <w:szCs w:val="32"/>
        </w:rPr>
      </w:pPr>
      <w:r>
        <w:rPr>
          <w:rFonts w:hint="eastAsia" w:ascii="宋体" w:hAnsi="宋体" w:cs="宋体"/>
          <w:b/>
          <w:color w:val="auto"/>
          <w:sz w:val="32"/>
          <w:szCs w:val="32"/>
        </w:rPr>
        <w:t>采购代理机构：广西汉昌工程咨询有限公司</w:t>
      </w:r>
    </w:p>
    <w:p w14:paraId="4605A421">
      <w:pPr>
        <w:spacing w:line="360" w:lineRule="auto"/>
        <w:ind w:firstLine="643" w:firstLineChars="200"/>
        <w:jc w:val="center"/>
        <w:rPr>
          <w:rFonts w:hint="eastAsia" w:ascii="宋体" w:hAnsi="宋体" w:cs="宋体"/>
          <w:b/>
          <w:color w:val="auto"/>
          <w:sz w:val="32"/>
          <w:szCs w:val="32"/>
        </w:rPr>
      </w:pPr>
    </w:p>
    <w:p w14:paraId="44DBAC2E">
      <w:pPr>
        <w:spacing w:line="360" w:lineRule="auto"/>
        <w:ind w:firstLine="643" w:firstLineChars="200"/>
        <w:jc w:val="center"/>
        <w:rPr>
          <w:rFonts w:hint="eastAsia" w:ascii="宋体" w:hAnsi="宋体" w:cs="宋体"/>
          <w:b/>
          <w:color w:val="auto"/>
          <w:sz w:val="32"/>
          <w:szCs w:val="32"/>
        </w:rPr>
        <w:sectPr>
          <w:headerReference r:id="rId3" w:type="default"/>
          <w:pgSz w:w="11906" w:h="16838"/>
          <w:pgMar w:top="1134" w:right="1134" w:bottom="1134" w:left="1134" w:header="851" w:footer="992" w:gutter="0"/>
          <w:cols w:space="720" w:num="1"/>
          <w:docGrid w:type="lines" w:linePitch="312" w:charSpace="0"/>
        </w:sectPr>
      </w:pPr>
      <w:r>
        <w:rPr>
          <w:rFonts w:hint="eastAsia" w:ascii="宋体" w:hAnsi="宋体" w:cs="宋体"/>
          <w:b/>
          <w:color w:val="auto"/>
          <w:sz w:val="32"/>
          <w:szCs w:val="32"/>
        </w:rPr>
        <w:t>2024年</w:t>
      </w:r>
      <w:r>
        <w:rPr>
          <w:rFonts w:hint="eastAsia" w:ascii="宋体" w:hAnsi="宋体" w:cs="宋体"/>
          <w:b/>
          <w:color w:val="auto"/>
          <w:sz w:val="32"/>
          <w:szCs w:val="32"/>
          <w:lang w:val="en-US" w:eastAsia="zh-CN"/>
        </w:rPr>
        <w:t>12</w:t>
      </w:r>
      <w:r>
        <w:rPr>
          <w:rFonts w:hint="eastAsia" w:ascii="宋体" w:hAnsi="宋体" w:cs="宋体"/>
          <w:b/>
          <w:color w:val="auto"/>
          <w:sz w:val="32"/>
          <w:szCs w:val="32"/>
        </w:rPr>
        <w:t>月</w:t>
      </w:r>
    </w:p>
    <w:p w14:paraId="48E52CA7">
      <w:pPr>
        <w:spacing w:line="360" w:lineRule="auto"/>
        <w:jc w:val="center"/>
        <w:rPr>
          <w:rFonts w:hint="eastAsia" w:ascii="宋体" w:hAnsi="宋体" w:cs="宋体"/>
          <w:b/>
          <w:color w:val="auto"/>
          <w:sz w:val="44"/>
          <w:szCs w:val="44"/>
        </w:rPr>
      </w:pPr>
      <w:r>
        <w:rPr>
          <w:rFonts w:hint="eastAsia" w:ascii="宋体" w:hAnsi="宋体" w:cs="宋体"/>
          <w:b/>
          <w:color w:val="auto"/>
          <w:sz w:val="44"/>
          <w:szCs w:val="44"/>
        </w:rPr>
        <w:t>目  录</w:t>
      </w:r>
    </w:p>
    <w:p w14:paraId="0B2B102E">
      <w:pPr>
        <w:pStyle w:val="28"/>
        <w:tabs>
          <w:tab w:val="right" w:leader="dot" w:pos="9642"/>
        </w:tabs>
        <w:spacing w:line="360" w:lineRule="auto"/>
        <w:rPr>
          <w:rFonts w:hint="eastAsia" w:ascii="宋体" w:hAnsi="宋体" w:cs="宋体"/>
          <w:color w:val="auto"/>
          <w:sz w:val="32"/>
          <w:szCs w:val="32"/>
        </w:rPr>
      </w:pPr>
      <w:r>
        <w:rPr>
          <w:rFonts w:hint="eastAsia" w:ascii="宋体" w:hAnsi="宋体" w:cs="宋体"/>
          <w:b/>
          <w:color w:val="auto"/>
          <w:sz w:val="32"/>
          <w:szCs w:val="32"/>
        </w:rPr>
        <w:fldChar w:fldCharType="begin"/>
      </w:r>
      <w:r>
        <w:rPr>
          <w:rFonts w:hint="eastAsia" w:ascii="宋体" w:hAnsi="宋体" w:cs="宋体"/>
          <w:b/>
          <w:color w:val="auto"/>
          <w:sz w:val="32"/>
          <w:szCs w:val="32"/>
        </w:rPr>
        <w:instrText xml:space="preserve"> TOC \o "1-1" \h \z \u </w:instrText>
      </w:r>
      <w:r>
        <w:rPr>
          <w:rFonts w:hint="eastAsia" w:ascii="宋体" w:hAnsi="宋体" w:cs="宋体"/>
          <w:b/>
          <w:color w:val="auto"/>
          <w:sz w:val="32"/>
          <w:szCs w:val="32"/>
        </w:rPr>
        <w:fldChar w:fldCharType="separate"/>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HYPERLINK \l _Toc12532 </w:instrText>
      </w:r>
      <w:r>
        <w:rPr>
          <w:rFonts w:hint="eastAsia" w:ascii="宋体" w:hAnsi="宋体" w:cs="宋体"/>
          <w:color w:val="auto"/>
          <w:sz w:val="32"/>
          <w:szCs w:val="32"/>
        </w:rPr>
        <w:fldChar w:fldCharType="separate"/>
      </w:r>
      <w:r>
        <w:rPr>
          <w:rFonts w:hint="eastAsia" w:ascii="宋体" w:hAnsi="宋体" w:cs="宋体"/>
          <w:color w:val="auto"/>
          <w:sz w:val="32"/>
          <w:szCs w:val="32"/>
        </w:rPr>
        <w:t>第一章  竞争性磋商公告</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_Toc12532 \h </w:instrText>
      </w:r>
      <w:r>
        <w:rPr>
          <w:rFonts w:hint="eastAsia" w:ascii="宋体" w:hAnsi="宋体" w:cs="宋体"/>
          <w:color w:val="auto"/>
          <w:sz w:val="32"/>
          <w:szCs w:val="32"/>
        </w:rPr>
        <w:fldChar w:fldCharType="separate"/>
      </w:r>
      <w:r>
        <w:rPr>
          <w:rFonts w:hint="eastAsia" w:ascii="宋体" w:hAnsi="宋体" w:cs="宋体"/>
          <w:color w:val="auto"/>
          <w:sz w:val="32"/>
          <w:szCs w:val="32"/>
        </w:rPr>
        <w:t>1</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14:paraId="3117D297">
      <w:pPr>
        <w:pStyle w:val="28"/>
        <w:tabs>
          <w:tab w:val="right" w:leader="dot" w:pos="9642"/>
        </w:tabs>
        <w:spacing w:line="360" w:lineRule="auto"/>
        <w:rPr>
          <w:rFonts w:hint="eastAsia" w:ascii="宋体" w:hAnsi="宋体" w:cs="宋体"/>
          <w:color w:val="auto"/>
          <w:sz w:val="32"/>
          <w:szCs w:val="32"/>
        </w:rPr>
      </w:pP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HYPERLINK \l _Toc13872 </w:instrText>
      </w:r>
      <w:r>
        <w:rPr>
          <w:rFonts w:hint="eastAsia" w:ascii="宋体" w:hAnsi="宋体" w:cs="宋体"/>
          <w:color w:val="auto"/>
          <w:sz w:val="32"/>
          <w:szCs w:val="32"/>
        </w:rPr>
        <w:fldChar w:fldCharType="separate"/>
      </w:r>
      <w:r>
        <w:rPr>
          <w:rFonts w:hint="eastAsia" w:ascii="宋体" w:hAnsi="宋体" w:cs="宋体"/>
          <w:color w:val="auto"/>
          <w:sz w:val="32"/>
          <w:szCs w:val="32"/>
        </w:rPr>
        <w:t>第二章  磋商供应商须知</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_Toc13872 \h </w:instrText>
      </w:r>
      <w:r>
        <w:rPr>
          <w:rFonts w:hint="eastAsia" w:ascii="宋体" w:hAnsi="宋体" w:cs="宋体"/>
          <w:color w:val="auto"/>
          <w:sz w:val="32"/>
          <w:szCs w:val="32"/>
        </w:rPr>
        <w:fldChar w:fldCharType="separate"/>
      </w:r>
      <w:r>
        <w:rPr>
          <w:rFonts w:hint="eastAsia" w:ascii="宋体" w:hAnsi="宋体" w:cs="宋体"/>
          <w:color w:val="auto"/>
          <w:sz w:val="32"/>
          <w:szCs w:val="32"/>
        </w:rPr>
        <w:t>5</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14:paraId="0574EF72">
      <w:pPr>
        <w:pStyle w:val="28"/>
        <w:tabs>
          <w:tab w:val="right" w:leader="dot" w:pos="9642"/>
        </w:tabs>
        <w:spacing w:line="360" w:lineRule="auto"/>
        <w:rPr>
          <w:rFonts w:hint="eastAsia" w:ascii="宋体" w:hAnsi="宋体" w:cs="宋体"/>
          <w:color w:val="auto"/>
          <w:sz w:val="32"/>
          <w:szCs w:val="32"/>
        </w:rPr>
      </w:pP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HYPERLINK \l _Toc13378 </w:instrText>
      </w:r>
      <w:r>
        <w:rPr>
          <w:rFonts w:hint="eastAsia" w:ascii="宋体" w:hAnsi="宋体" w:cs="宋体"/>
          <w:color w:val="auto"/>
          <w:sz w:val="32"/>
          <w:szCs w:val="32"/>
        </w:rPr>
        <w:fldChar w:fldCharType="separate"/>
      </w:r>
      <w:r>
        <w:rPr>
          <w:rFonts w:hint="eastAsia" w:ascii="宋体" w:hAnsi="宋体" w:cs="宋体"/>
          <w:color w:val="auto"/>
          <w:sz w:val="32"/>
          <w:szCs w:val="32"/>
        </w:rPr>
        <w:t>第三章  采购需求</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_Toc13378 \h </w:instrText>
      </w:r>
      <w:r>
        <w:rPr>
          <w:rFonts w:hint="eastAsia" w:ascii="宋体" w:hAnsi="宋体" w:cs="宋体"/>
          <w:color w:val="auto"/>
          <w:sz w:val="32"/>
          <w:szCs w:val="32"/>
        </w:rPr>
        <w:fldChar w:fldCharType="separate"/>
      </w:r>
      <w:r>
        <w:rPr>
          <w:rFonts w:hint="eastAsia" w:ascii="宋体" w:hAnsi="宋体" w:cs="宋体"/>
          <w:color w:val="auto"/>
          <w:sz w:val="32"/>
          <w:szCs w:val="32"/>
        </w:rPr>
        <w:t>17</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14:paraId="586CF725">
      <w:pPr>
        <w:pStyle w:val="28"/>
        <w:tabs>
          <w:tab w:val="right" w:leader="dot" w:pos="9642"/>
        </w:tabs>
        <w:spacing w:line="360" w:lineRule="auto"/>
        <w:rPr>
          <w:rFonts w:hint="eastAsia" w:ascii="宋体" w:hAnsi="宋体" w:cs="宋体"/>
          <w:color w:val="auto"/>
          <w:sz w:val="32"/>
          <w:szCs w:val="32"/>
        </w:rPr>
      </w:pP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HYPERLINK \l _Toc28461 </w:instrText>
      </w:r>
      <w:r>
        <w:rPr>
          <w:rFonts w:hint="eastAsia" w:ascii="宋体" w:hAnsi="宋体" w:cs="宋体"/>
          <w:color w:val="auto"/>
          <w:sz w:val="32"/>
          <w:szCs w:val="32"/>
        </w:rPr>
        <w:fldChar w:fldCharType="separate"/>
      </w:r>
      <w:r>
        <w:rPr>
          <w:rFonts w:hint="eastAsia" w:ascii="宋体" w:hAnsi="宋体" w:cs="宋体"/>
          <w:color w:val="auto"/>
          <w:kern w:val="0"/>
          <w:sz w:val="32"/>
          <w:szCs w:val="32"/>
        </w:rPr>
        <w:t>第四章  评标标准</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_Toc28461 \h </w:instrText>
      </w:r>
      <w:r>
        <w:rPr>
          <w:rFonts w:hint="eastAsia" w:ascii="宋体" w:hAnsi="宋体" w:cs="宋体"/>
          <w:color w:val="auto"/>
          <w:sz w:val="32"/>
          <w:szCs w:val="32"/>
        </w:rPr>
        <w:fldChar w:fldCharType="separate"/>
      </w:r>
      <w:r>
        <w:rPr>
          <w:rFonts w:hint="eastAsia" w:ascii="宋体" w:hAnsi="宋体" w:cs="宋体"/>
          <w:color w:val="auto"/>
          <w:sz w:val="32"/>
          <w:szCs w:val="32"/>
        </w:rPr>
        <w:t>41</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14:paraId="44D820D4">
      <w:pPr>
        <w:pStyle w:val="28"/>
        <w:tabs>
          <w:tab w:val="right" w:leader="dot" w:pos="9642"/>
        </w:tabs>
        <w:spacing w:line="360" w:lineRule="auto"/>
        <w:rPr>
          <w:rFonts w:hint="eastAsia" w:ascii="宋体" w:hAnsi="宋体" w:cs="宋体"/>
          <w:color w:val="auto"/>
          <w:sz w:val="32"/>
          <w:szCs w:val="32"/>
        </w:rPr>
      </w:pP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HYPERLINK \l _Toc17336 </w:instrText>
      </w:r>
      <w:r>
        <w:rPr>
          <w:rFonts w:hint="eastAsia" w:ascii="宋体" w:hAnsi="宋体" w:cs="宋体"/>
          <w:color w:val="auto"/>
          <w:sz w:val="32"/>
          <w:szCs w:val="32"/>
        </w:rPr>
        <w:fldChar w:fldCharType="separate"/>
      </w:r>
      <w:r>
        <w:rPr>
          <w:rFonts w:hint="eastAsia" w:ascii="宋体" w:hAnsi="宋体" w:cs="宋体"/>
          <w:color w:val="auto"/>
          <w:kern w:val="0"/>
          <w:sz w:val="32"/>
          <w:szCs w:val="32"/>
        </w:rPr>
        <w:t>第五章  合同主要条款</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_Toc17336 \h </w:instrText>
      </w:r>
      <w:r>
        <w:rPr>
          <w:rFonts w:hint="eastAsia" w:ascii="宋体" w:hAnsi="宋体" w:cs="宋体"/>
          <w:color w:val="auto"/>
          <w:sz w:val="32"/>
          <w:szCs w:val="32"/>
        </w:rPr>
        <w:fldChar w:fldCharType="separate"/>
      </w:r>
      <w:r>
        <w:rPr>
          <w:rFonts w:hint="eastAsia" w:ascii="宋体" w:hAnsi="宋体" w:cs="宋体"/>
          <w:color w:val="auto"/>
          <w:sz w:val="32"/>
          <w:szCs w:val="32"/>
        </w:rPr>
        <w:t>46</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14:paraId="2D1F2B0C">
      <w:pPr>
        <w:pStyle w:val="28"/>
        <w:tabs>
          <w:tab w:val="right" w:leader="dot" w:pos="9642"/>
        </w:tabs>
        <w:spacing w:line="360" w:lineRule="auto"/>
        <w:rPr>
          <w:rFonts w:hint="eastAsia" w:ascii="宋体" w:hAnsi="宋体" w:cs="宋体"/>
          <w:color w:val="auto"/>
          <w:sz w:val="32"/>
          <w:szCs w:val="32"/>
        </w:rPr>
      </w:pP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HYPERLINK \l _Toc2085 </w:instrText>
      </w:r>
      <w:r>
        <w:rPr>
          <w:rFonts w:hint="eastAsia" w:ascii="宋体" w:hAnsi="宋体" w:cs="宋体"/>
          <w:color w:val="auto"/>
          <w:sz w:val="32"/>
          <w:szCs w:val="32"/>
        </w:rPr>
        <w:fldChar w:fldCharType="separate"/>
      </w:r>
      <w:r>
        <w:rPr>
          <w:rFonts w:hint="eastAsia" w:ascii="宋体" w:hAnsi="宋体" w:cs="宋体"/>
          <w:color w:val="auto"/>
          <w:sz w:val="32"/>
          <w:szCs w:val="32"/>
        </w:rPr>
        <w:t>第六章  竞争性磋商响应文件格式</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_Toc2085 \h </w:instrText>
      </w:r>
      <w:r>
        <w:rPr>
          <w:rFonts w:hint="eastAsia" w:ascii="宋体" w:hAnsi="宋体" w:cs="宋体"/>
          <w:color w:val="auto"/>
          <w:sz w:val="32"/>
          <w:szCs w:val="32"/>
        </w:rPr>
        <w:fldChar w:fldCharType="separate"/>
      </w:r>
      <w:r>
        <w:rPr>
          <w:rFonts w:hint="eastAsia" w:ascii="宋体" w:hAnsi="宋体" w:cs="宋体"/>
          <w:color w:val="auto"/>
          <w:sz w:val="32"/>
          <w:szCs w:val="32"/>
        </w:rPr>
        <w:t>55</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14:paraId="5F6589B6">
      <w:pPr>
        <w:pStyle w:val="28"/>
        <w:tabs>
          <w:tab w:val="right" w:leader="dot" w:pos="9642"/>
        </w:tabs>
        <w:spacing w:line="360" w:lineRule="auto"/>
        <w:rPr>
          <w:rFonts w:hint="eastAsia" w:ascii="宋体" w:hAnsi="宋体" w:cs="宋体"/>
          <w:color w:val="auto"/>
        </w:rPr>
      </w:pP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HYPERLINK \l _Toc16104 </w:instrText>
      </w:r>
      <w:r>
        <w:rPr>
          <w:rFonts w:hint="eastAsia" w:ascii="宋体" w:hAnsi="宋体" w:cs="宋体"/>
          <w:color w:val="auto"/>
          <w:sz w:val="32"/>
          <w:szCs w:val="32"/>
        </w:rPr>
        <w:fldChar w:fldCharType="separate"/>
      </w:r>
      <w:r>
        <w:rPr>
          <w:rFonts w:hint="eastAsia" w:ascii="宋体" w:hAnsi="宋体" w:cs="宋体"/>
          <w:bCs/>
          <w:color w:val="auto"/>
          <w:sz w:val="32"/>
          <w:szCs w:val="32"/>
        </w:rPr>
        <w:t>第七章 质疑、投诉材料格式</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_Toc16104 \h </w:instrText>
      </w:r>
      <w:r>
        <w:rPr>
          <w:rFonts w:hint="eastAsia" w:ascii="宋体" w:hAnsi="宋体" w:cs="宋体"/>
          <w:color w:val="auto"/>
          <w:sz w:val="32"/>
          <w:szCs w:val="32"/>
        </w:rPr>
        <w:fldChar w:fldCharType="separate"/>
      </w:r>
      <w:r>
        <w:rPr>
          <w:rFonts w:hint="eastAsia" w:ascii="宋体" w:hAnsi="宋体" w:cs="宋体"/>
          <w:color w:val="auto"/>
          <w:sz w:val="32"/>
          <w:szCs w:val="32"/>
        </w:rPr>
        <w:t>67</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14:paraId="7969F3E9">
      <w:pPr>
        <w:spacing w:line="360" w:lineRule="auto"/>
        <w:jc w:val="center"/>
        <w:rPr>
          <w:rFonts w:hint="eastAsia" w:ascii="宋体" w:hAnsi="宋体" w:cs="宋体"/>
          <w:b/>
          <w:color w:val="auto"/>
          <w:sz w:val="32"/>
          <w:szCs w:val="32"/>
        </w:rPr>
      </w:pPr>
      <w:r>
        <w:rPr>
          <w:rFonts w:hint="eastAsia" w:ascii="宋体" w:hAnsi="宋体" w:cs="宋体"/>
          <w:color w:val="auto"/>
          <w:szCs w:val="32"/>
        </w:rPr>
        <w:fldChar w:fldCharType="end"/>
      </w:r>
    </w:p>
    <w:p w14:paraId="0B084DF4">
      <w:pPr>
        <w:spacing w:line="360" w:lineRule="auto"/>
        <w:jc w:val="center"/>
        <w:rPr>
          <w:rFonts w:hint="eastAsia" w:ascii="宋体" w:hAnsi="宋体" w:cs="宋体"/>
          <w:b/>
          <w:color w:val="auto"/>
          <w:sz w:val="32"/>
          <w:szCs w:val="32"/>
        </w:rPr>
      </w:pPr>
    </w:p>
    <w:p w14:paraId="366A3160">
      <w:pPr>
        <w:spacing w:line="360" w:lineRule="auto"/>
        <w:jc w:val="center"/>
        <w:rPr>
          <w:rFonts w:hint="eastAsia" w:ascii="宋体" w:hAnsi="宋体" w:cs="宋体"/>
          <w:b/>
          <w:color w:val="auto"/>
          <w:sz w:val="32"/>
          <w:szCs w:val="32"/>
        </w:rPr>
      </w:pPr>
    </w:p>
    <w:p w14:paraId="3B545B78">
      <w:pPr>
        <w:spacing w:line="360" w:lineRule="auto"/>
        <w:jc w:val="center"/>
        <w:rPr>
          <w:rFonts w:hint="eastAsia" w:ascii="宋体" w:hAnsi="宋体" w:cs="宋体"/>
          <w:b/>
          <w:color w:val="auto"/>
          <w:sz w:val="32"/>
          <w:szCs w:val="32"/>
        </w:rPr>
      </w:pPr>
    </w:p>
    <w:p w14:paraId="7D07BDEC">
      <w:pPr>
        <w:spacing w:line="360" w:lineRule="auto"/>
        <w:jc w:val="center"/>
        <w:rPr>
          <w:rFonts w:hint="eastAsia" w:ascii="宋体" w:hAnsi="宋体" w:cs="宋体"/>
          <w:b/>
          <w:color w:val="auto"/>
          <w:sz w:val="32"/>
          <w:szCs w:val="32"/>
        </w:rPr>
      </w:pPr>
    </w:p>
    <w:p w14:paraId="6C188397">
      <w:pPr>
        <w:spacing w:line="360" w:lineRule="auto"/>
        <w:jc w:val="center"/>
        <w:rPr>
          <w:rFonts w:hint="eastAsia" w:ascii="宋体" w:hAnsi="宋体" w:cs="宋体"/>
          <w:b/>
          <w:color w:val="auto"/>
          <w:sz w:val="32"/>
          <w:szCs w:val="32"/>
        </w:rPr>
      </w:pPr>
    </w:p>
    <w:p w14:paraId="71CD2574">
      <w:pPr>
        <w:spacing w:line="360" w:lineRule="auto"/>
        <w:jc w:val="center"/>
        <w:rPr>
          <w:rFonts w:hint="eastAsia" w:ascii="宋体" w:hAnsi="宋体" w:cs="宋体"/>
          <w:b/>
          <w:color w:val="auto"/>
          <w:sz w:val="32"/>
          <w:szCs w:val="32"/>
        </w:rPr>
      </w:pPr>
    </w:p>
    <w:p w14:paraId="41DD92DD">
      <w:pPr>
        <w:spacing w:line="360" w:lineRule="auto"/>
        <w:jc w:val="center"/>
        <w:rPr>
          <w:rFonts w:hint="eastAsia" w:ascii="宋体" w:hAnsi="宋体" w:cs="宋体"/>
          <w:b/>
          <w:color w:val="auto"/>
          <w:sz w:val="32"/>
          <w:szCs w:val="32"/>
        </w:rPr>
      </w:pPr>
    </w:p>
    <w:p w14:paraId="503835FC">
      <w:pPr>
        <w:spacing w:line="360" w:lineRule="auto"/>
        <w:jc w:val="center"/>
        <w:rPr>
          <w:rFonts w:hint="eastAsia" w:ascii="宋体" w:hAnsi="宋体" w:cs="宋体"/>
          <w:b/>
          <w:color w:val="auto"/>
          <w:sz w:val="32"/>
          <w:szCs w:val="32"/>
        </w:rPr>
      </w:pPr>
    </w:p>
    <w:p w14:paraId="7459FF3B">
      <w:pPr>
        <w:spacing w:line="360" w:lineRule="auto"/>
        <w:jc w:val="center"/>
        <w:rPr>
          <w:rFonts w:hint="eastAsia" w:ascii="宋体" w:hAnsi="宋体" w:cs="宋体"/>
          <w:b/>
          <w:color w:val="auto"/>
          <w:sz w:val="32"/>
          <w:szCs w:val="32"/>
        </w:rPr>
      </w:pPr>
    </w:p>
    <w:p w14:paraId="12A07CA2">
      <w:pPr>
        <w:spacing w:line="360" w:lineRule="auto"/>
        <w:jc w:val="center"/>
        <w:rPr>
          <w:rFonts w:hint="eastAsia" w:ascii="宋体" w:hAnsi="宋体" w:cs="宋体"/>
          <w:b/>
          <w:color w:val="auto"/>
          <w:sz w:val="32"/>
          <w:szCs w:val="32"/>
        </w:rPr>
      </w:pPr>
    </w:p>
    <w:p w14:paraId="3B9D29CC">
      <w:pPr>
        <w:spacing w:line="360" w:lineRule="auto"/>
        <w:jc w:val="center"/>
        <w:rPr>
          <w:rFonts w:hint="eastAsia" w:ascii="宋体" w:hAnsi="宋体" w:cs="宋体"/>
          <w:b/>
          <w:color w:val="auto"/>
          <w:sz w:val="32"/>
          <w:szCs w:val="32"/>
        </w:rPr>
      </w:pPr>
    </w:p>
    <w:p w14:paraId="40A21A55">
      <w:pPr>
        <w:spacing w:line="360" w:lineRule="auto"/>
        <w:jc w:val="center"/>
        <w:rPr>
          <w:rFonts w:hint="eastAsia" w:ascii="宋体" w:hAnsi="宋体" w:cs="宋体"/>
          <w:b/>
          <w:color w:val="auto"/>
          <w:sz w:val="32"/>
          <w:szCs w:val="32"/>
        </w:rPr>
      </w:pPr>
    </w:p>
    <w:p w14:paraId="56DB6191">
      <w:pPr>
        <w:spacing w:line="360" w:lineRule="auto"/>
        <w:jc w:val="center"/>
        <w:rPr>
          <w:rFonts w:hint="eastAsia" w:ascii="宋体" w:hAnsi="宋体" w:cs="宋体"/>
          <w:b/>
          <w:color w:val="auto"/>
          <w:sz w:val="32"/>
          <w:szCs w:val="32"/>
        </w:rPr>
      </w:pPr>
    </w:p>
    <w:p w14:paraId="2B9C8AC1">
      <w:pPr>
        <w:spacing w:line="360" w:lineRule="auto"/>
        <w:jc w:val="center"/>
        <w:rPr>
          <w:rFonts w:hint="eastAsia" w:ascii="宋体" w:hAnsi="宋体" w:cs="宋体"/>
          <w:b/>
          <w:color w:val="auto"/>
          <w:sz w:val="32"/>
          <w:szCs w:val="32"/>
        </w:rPr>
      </w:pPr>
    </w:p>
    <w:p w14:paraId="50B0C6D1">
      <w:pPr>
        <w:spacing w:line="360" w:lineRule="auto"/>
        <w:jc w:val="center"/>
        <w:rPr>
          <w:rFonts w:hint="eastAsia" w:ascii="宋体" w:hAnsi="宋体" w:cs="宋体"/>
          <w:b/>
          <w:color w:val="auto"/>
          <w:sz w:val="32"/>
          <w:szCs w:val="32"/>
        </w:rPr>
        <w:sectPr>
          <w:pgSz w:w="11910" w:h="16840"/>
          <w:pgMar w:top="1134" w:right="1134" w:bottom="1134" w:left="1134" w:header="720" w:footer="720" w:gutter="0"/>
          <w:cols w:space="720" w:num="1"/>
        </w:sectPr>
      </w:pPr>
    </w:p>
    <w:p w14:paraId="755A6D55">
      <w:pPr>
        <w:spacing w:line="360" w:lineRule="auto"/>
        <w:jc w:val="center"/>
        <w:rPr>
          <w:rFonts w:hint="eastAsia" w:ascii="宋体" w:hAnsi="宋体" w:cs="宋体"/>
          <w:b/>
          <w:color w:val="auto"/>
          <w:sz w:val="32"/>
          <w:szCs w:val="32"/>
        </w:rPr>
      </w:pPr>
    </w:p>
    <w:p w14:paraId="6BB905A0">
      <w:pPr>
        <w:spacing w:line="360" w:lineRule="auto"/>
        <w:jc w:val="center"/>
        <w:rPr>
          <w:rFonts w:hint="eastAsia" w:ascii="宋体" w:hAnsi="宋体" w:cs="宋体"/>
          <w:b/>
          <w:color w:val="auto"/>
          <w:sz w:val="32"/>
          <w:szCs w:val="32"/>
        </w:rPr>
      </w:pPr>
    </w:p>
    <w:p w14:paraId="7F803115">
      <w:pPr>
        <w:spacing w:line="360" w:lineRule="auto"/>
        <w:jc w:val="center"/>
        <w:rPr>
          <w:rFonts w:hint="eastAsia" w:ascii="宋体" w:hAnsi="宋体" w:cs="宋体"/>
          <w:b/>
          <w:color w:val="auto"/>
          <w:sz w:val="32"/>
          <w:szCs w:val="32"/>
        </w:rPr>
      </w:pPr>
    </w:p>
    <w:p w14:paraId="0E1E555B">
      <w:pPr>
        <w:spacing w:line="360" w:lineRule="auto"/>
        <w:jc w:val="center"/>
        <w:rPr>
          <w:rFonts w:hint="eastAsia" w:ascii="宋体" w:hAnsi="宋体" w:cs="宋体"/>
          <w:b/>
          <w:color w:val="auto"/>
          <w:sz w:val="32"/>
          <w:szCs w:val="32"/>
        </w:rPr>
      </w:pPr>
    </w:p>
    <w:p w14:paraId="53786FA6">
      <w:pPr>
        <w:spacing w:line="360" w:lineRule="auto"/>
        <w:jc w:val="center"/>
        <w:rPr>
          <w:rFonts w:hint="eastAsia" w:ascii="宋体" w:hAnsi="宋体" w:cs="宋体"/>
          <w:b/>
          <w:color w:val="auto"/>
          <w:sz w:val="32"/>
          <w:szCs w:val="32"/>
        </w:rPr>
      </w:pPr>
    </w:p>
    <w:p w14:paraId="005EE8D0">
      <w:pPr>
        <w:spacing w:line="360" w:lineRule="auto"/>
        <w:jc w:val="center"/>
        <w:rPr>
          <w:rFonts w:hint="eastAsia" w:ascii="宋体" w:hAnsi="宋体" w:cs="宋体"/>
          <w:b/>
          <w:color w:val="auto"/>
          <w:sz w:val="32"/>
          <w:szCs w:val="32"/>
        </w:rPr>
      </w:pPr>
    </w:p>
    <w:p w14:paraId="1240CA38">
      <w:pPr>
        <w:spacing w:line="360" w:lineRule="auto"/>
        <w:rPr>
          <w:rFonts w:hint="eastAsia" w:ascii="宋体" w:hAnsi="宋体" w:cs="宋体"/>
          <w:b/>
          <w:color w:val="auto"/>
          <w:sz w:val="32"/>
          <w:szCs w:val="32"/>
        </w:rPr>
      </w:pPr>
    </w:p>
    <w:p w14:paraId="2ED9C8D1">
      <w:pPr>
        <w:pStyle w:val="36"/>
        <w:spacing w:line="360" w:lineRule="auto"/>
        <w:rPr>
          <w:rFonts w:hint="eastAsia" w:ascii="宋体" w:hAnsi="宋体" w:cs="宋体"/>
          <w:color w:val="auto"/>
          <w:sz w:val="44"/>
          <w:szCs w:val="44"/>
        </w:rPr>
      </w:pPr>
      <w:bookmarkStart w:id="0" w:name="_Toc12532"/>
      <w:bookmarkStart w:id="1" w:name="_Toc476258662"/>
      <w:r>
        <w:rPr>
          <w:rFonts w:hint="eastAsia" w:ascii="宋体" w:hAnsi="宋体" w:cs="宋体"/>
          <w:color w:val="auto"/>
          <w:sz w:val="44"/>
          <w:szCs w:val="44"/>
        </w:rPr>
        <w:t>第一章  竞争性磋商公告</w:t>
      </w:r>
      <w:bookmarkEnd w:id="0"/>
      <w:bookmarkEnd w:id="1"/>
    </w:p>
    <w:p w14:paraId="18540FCC">
      <w:pPr>
        <w:spacing w:line="360" w:lineRule="auto"/>
        <w:rPr>
          <w:rFonts w:hint="eastAsia" w:ascii="宋体" w:hAnsi="宋体" w:cs="宋体"/>
          <w:color w:val="auto"/>
          <w:sz w:val="44"/>
          <w:szCs w:val="44"/>
        </w:rPr>
      </w:pPr>
      <w:r>
        <w:rPr>
          <w:rFonts w:hint="eastAsia" w:ascii="宋体" w:hAnsi="宋体" w:cs="宋体"/>
          <w:color w:val="auto"/>
          <w:sz w:val="44"/>
          <w:szCs w:val="44"/>
        </w:rPr>
        <w:t xml:space="preserve"> </w:t>
      </w:r>
    </w:p>
    <w:p w14:paraId="4D09E134">
      <w:pPr>
        <w:spacing w:line="360" w:lineRule="auto"/>
        <w:jc w:val="center"/>
        <w:rPr>
          <w:rFonts w:hint="eastAsia" w:ascii="宋体" w:hAnsi="宋体" w:cs="宋体"/>
          <w:color w:val="auto"/>
          <w:sz w:val="44"/>
          <w:szCs w:val="44"/>
        </w:rPr>
        <w:sectPr>
          <w:footerReference r:id="rId4" w:type="default"/>
          <w:pgSz w:w="11910" w:h="16840"/>
          <w:pgMar w:top="1134" w:right="1134" w:bottom="1134" w:left="1134" w:header="720" w:footer="720" w:gutter="0"/>
          <w:pgNumType w:start="1"/>
          <w:cols w:space="720" w:num="1"/>
        </w:sectPr>
      </w:pPr>
    </w:p>
    <w:p w14:paraId="5381F7FD">
      <w:pPr>
        <w:spacing w:line="360" w:lineRule="auto"/>
        <w:jc w:val="center"/>
        <w:rPr>
          <w:rFonts w:hint="eastAsia" w:ascii="宋体" w:hAnsi="宋体" w:cs="宋体"/>
          <w:color w:val="auto"/>
          <w:sz w:val="44"/>
          <w:szCs w:val="44"/>
        </w:rPr>
      </w:pPr>
      <w:r>
        <w:rPr>
          <w:rFonts w:hint="eastAsia" w:ascii="宋体" w:hAnsi="宋体" w:cs="宋体"/>
          <w:color w:val="auto"/>
          <w:sz w:val="44"/>
          <w:szCs w:val="44"/>
        </w:rPr>
        <w:t>广西汉昌工程咨询有限公司</w:t>
      </w:r>
    </w:p>
    <w:p w14:paraId="0E9B0EFA">
      <w:pPr>
        <w:spacing w:line="360" w:lineRule="auto"/>
        <w:jc w:val="center"/>
        <w:rPr>
          <w:rFonts w:hint="eastAsia" w:ascii="宋体" w:hAnsi="宋体" w:cs="宋体"/>
          <w:color w:val="auto"/>
          <w:sz w:val="44"/>
          <w:szCs w:val="44"/>
        </w:rPr>
      </w:pPr>
      <w:r>
        <w:rPr>
          <w:rFonts w:hint="eastAsia" w:ascii="宋体" w:hAnsi="宋体" w:cs="宋体"/>
          <w:color w:val="auto"/>
          <w:sz w:val="44"/>
          <w:szCs w:val="44"/>
        </w:rPr>
        <w:t>竞争性磋商公告</w:t>
      </w:r>
    </w:p>
    <w:p w14:paraId="0840878F">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auto"/>
          <w:szCs w:val="21"/>
        </w:rPr>
      </w:pPr>
      <w:r>
        <w:rPr>
          <w:rFonts w:hint="eastAsia" w:ascii="宋体" w:hAnsi="宋体" w:cs="宋体"/>
          <w:color w:val="auto"/>
          <w:szCs w:val="21"/>
        </w:rPr>
        <w:t>项目概况</w:t>
      </w:r>
    </w:p>
    <w:p w14:paraId="2C4C2718">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auto"/>
          <w:szCs w:val="21"/>
        </w:rPr>
      </w:pPr>
      <w:r>
        <w:rPr>
          <w:rFonts w:hint="eastAsia" w:ascii="宋体" w:hAnsi="宋体" w:cs="宋体"/>
          <w:color w:val="auto"/>
          <w:szCs w:val="21"/>
          <w:u w:val="single"/>
          <w:lang w:eastAsia="zh-CN"/>
        </w:rPr>
        <w:t>广西农业工程职业技术学院“一站式”学生社区物理空间建设项目</w:t>
      </w:r>
      <w:r>
        <w:rPr>
          <w:rFonts w:hint="eastAsia" w:ascii="宋体" w:hAnsi="宋体" w:cs="宋体"/>
          <w:color w:val="auto"/>
          <w:szCs w:val="21"/>
        </w:rPr>
        <w:t>的潜在供应商应在“</w:t>
      </w:r>
      <w:r>
        <w:rPr>
          <w:rFonts w:hint="eastAsia" w:ascii="宋体" w:hAnsi="宋体" w:cs="宋体"/>
          <w:color w:val="auto"/>
          <w:szCs w:val="21"/>
          <w:u w:val="single"/>
        </w:rPr>
        <w:t>广西政府采购云平台</w:t>
      </w:r>
      <w:r>
        <w:rPr>
          <w:rFonts w:hint="eastAsia" w:ascii="宋体" w:hAnsi="宋体" w:cs="宋体"/>
          <w:color w:val="auto"/>
          <w:szCs w:val="21"/>
        </w:rPr>
        <w:t>”</w:t>
      </w:r>
      <w:r>
        <w:rPr>
          <w:rFonts w:hint="eastAsia" w:ascii="宋体" w:hAnsi="宋体" w:cs="宋体"/>
          <w:color w:val="auto"/>
          <w:szCs w:val="21"/>
          <w:u w:val="single"/>
        </w:rPr>
        <w:t>（https://www.gcy.zfcg.gxzf.gov.cn/）</w:t>
      </w:r>
      <w:r>
        <w:rPr>
          <w:rFonts w:hint="eastAsia" w:ascii="宋体" w:hAnsi="宋体" w:cs="宋体"/>
          <w:color w:val="auto"/>
          <w:szCs w:val="21"/>
        </w:rPr>
        <w:t>获取采购文件，并于</w:t>
      </w:r>
      <w:r>
        <w:rPr>
          <w:rFonts w:hint="eastAsia" w:ascii="宋体" w:hAnsi="宋体" w:cs="宋体"/>
          <w:color w:val="auto"/>
          <w:szCs w:val="21"/>
          <w:u w:val="single"/>
        </w:rPr>
        <w:t>2024年</w:t>
      </w:r>
      <w:r>
        <w:rPr>
          <w:rFonts w:hint="eastAsia" w:ascii="宋体" w:hAnsi="宋体" w:cs="宋体"/>
          <w:bCs/>
          <w:color w:val="auto"/>
          <w:szCs w:val="21"/>
          <w:u w:val="single"/>
          <w:lang w:val="en-US" w:eastAsia="zh-CN"/>
        </w:rPr>
        <w:t>12</w:t>
      </w:r>
      <w:r>
        <w:rPr>
          <w:rFonts w:hint="eastAsia" w:ascii="宋体" w:hAnsi="宋体" w:cs="宋体"/>
          <w:bCs/>
          <w:color w:val="auto"/>
          <w:szCs w:val="21"/>
          <w:u w:val="single"/>
        </w:rPr>
        <w:t>月</w:t>
      </w:r>
      <w:r>
        <w:rPr>
          <w:rFonts w:hint="eastAsia" w:ascii="宋体" w:hAnsi="宋体" w:cs="宋体"/>
          <w:bCs/>
          <w:color w:val="auto"/>
          <w:szCs w:val="21"/>
          <w:u w:val="single"/>
          <w:lang w:val="en-US" w:eastAsia="zh-CN"/>
        </w:rPr>
        <w:t>23</w:t>
      </w:r>
      <w:r>
        <w:rPr>
          <w:rFonts w:hint="eastAsia" w:ascii="宋体" w:hAnsi="宋体" w:cs="宋体"/>
          <w:bCs/>
          <w:color w:val="auto"/>
          <w:szCs w:val="21"/>
          <w:u w:val="single"/>
        </w:rPr>
        <w:t>日</w:t>
      </w:r>
      <w:r>
        <w:rPr>
          <w:rFonts w:hint="eastAsia" w:ascii="宋体" w:hAnsi="宋体" w:cs="宋体"/>
          <w:bCs/>
          <w:color w:val="auto"/>
          <w:szCs w:val="21"/>
          <w:u w:val="single"/>
          <w:lang w:val="en-US" w:eastAsia="zh-CN"/>
        </w:rPr>
        <w:t>15</w:t>
      </w:r>
      <w:r>
        <w:rPr>
          <w:rFonts w:hint="eastAsia" w:ascii="宋体" w:hAnsi="宋体" w:cs="宋体"/>
          <w:bCs/>
          <w:color w:val="auto"/>
          <w:szCs w:val="21"/>
          <w:u w:val="single"/>
        </w:rPr>
        <w:t>点</w:t>
      </w:r>
      <w:r>
        <w:rPr>
          <w:rFonts w:hint="eastAsia" w:ascii="宋体" w:hAnsi="宋体" w:cs="宋体"/>
          <w:bCs/>
          <w:color w:val="auto"/>
          <w:szCs w:val="21"/>
          <w:u w:val="single"/>
          <w:lang w:val="en-US" w:eastAsia="zh-CN"/>
        </w:rPr>
        <w:t>00</w:t>
      </w:r>
      <w:r>
        <w:rPr>
          <w:rFonts w:hint="eastAsia" w:ascii="宋体" w:hAnsi="宋体" w:cs="宋体"/>
          <w:bCs/>
          <w:color w:val="auto"/>
          <w:szCs w:val="21"/>
          <w:u w:val="single"/>
        </w:rPr>
        <w:t>分</w:t>
      </w:r>
      <w:r>
        <w:rPr>
          <w:rFonts w:hint="eastAsia" w:ascii="宋体" w:hAnsi="宋体" w:cs="宋体"/>
          <w:bCs/>
          <w:color w:val="auto"/>
          <w:szCs w:val="21"/>
        </w:rPr>
        <w:t>（北京时间）前提交响应文件</w:t>
      </w:r>
      <w:r>
        <w:rPr>
          <w:rFonts w:hint="eastAsia" w:ascii="宋体" w:hAnsi="宋体" w:cs="宋体"/>
          <w:color w:val="auto"/>
          <w:szCs w:val="21"/>
        </w:rPr>
        <w:t>。</w:t>
      </w:r>
    </w:p>
    <w:p w14:paraId="57F18CB1">
      <w:pPr>
        <w:spacing w:line="360" w:lineRule="auto"/>
        <w:rPr>
          <w:rFonts w:hint="eastAsia" w:ascii="宋体" w:hAnsi="宋体" w:cs="宋体"/>
          <w:color w:val="auto"/>
          <w:szCs w:val="21"/>
        </w:rPr>
      </w:pPr>
    </w:p>
    <w:p w14:paraId="42B963B1">
      <w:pPr>
        <w:spacing w:line="360" w:lineRule="auto"/>
        <w:rPr>
          <w:rFonts w:hint="eastAsia" w:ascii="宋体" w:hAnsi="宋体" w:cs="宋体"/>
          <w:b/>
          <w:color w:val="auto"/>
        </w:rPr>
      </w:pPr>
      <w:bookmarkStart w:id="2" w:name="_Toc35393798"/>
      <w:bookmarkStart w:id="3" w:name="_Toc28359012"/>
      <w:bookmarkStart w:id="4" w:name="_Toc28359089"/>
      <w:bookmarkStart w:id="5" w:name="_Toc35393629"/>
      <w:r>
        <w:rPr>
          <w:rFonts w:hint="eastAsia" w:ascii="宋体" w:hAnsi="宋体" w:cs="宋体"/>
          <w:b/>
          <w:color w:val="auto"/>
        </w:rPr>
        <w:t>一、项目基本情况</w:t>
      </w:r>
      <w:bookmarkEnd w:id="2"/>
      <w:bookmarkEnd w:id="3"/>
      <w:bookmarkEnd w:id="4"/>
      <w:bookmarkEnd w:id="5"/>
    </w:p>
    <w:p w14:paraId="2BF0D2B9">
      <w:pPr>
        <w:widowControl/>
        <w:adjustRightInd w:val="0"/>
        <w:snapToGrid w:val="0"/>
        <w:spacing w:line="360" w:lineRule="auto"/>
        <w:jc w:val="left"/>
        <w:rPr>
          <w:rFonts w:hint="eastAsia" w:ascii="宋体" w:hAnsi="宋体" w:cs="宋体"/>
          <w:color w:val="auto"/>
          <w:kern w:val="0"/>
          <w:szCs w:val="21"/>
        </w:rPr>
      </w:pPr>
      <w:r>
        <w:rPr>
          <w:rFonts w:hint="eastAsia" w:ascii="宋体" w:hAnsi="宋体" w:cs="宋体"/>
          <w:color w:val="auto"/>
          <w:kern w:val="0"/>
          <w:szCs w:val="21"/>
        </w:rPr>
        <w:t>   项目编号：GXZC2024-C3-006381-HCZX</w:t>
      </w:r>
    </w:p>
    <w:p w14:paraId="49BC3A1D">
      <w:pPr>
        <w:widowControl/>
        <w:adjustRightInd w:val="0"/>
        <w:snapToGrid w:val="0"/>
        <w:spacing w:line="360" w:lineRule="auto"/>
        <w:jc w:val="left"/>
        <w:rPr>
          <w:rFonts w:hint="eastAsia" w:ascii="宋体" w:hAnsi="宋体" w:eastAsia="宋体" w:cs="宋体"/>
          <w:color w:val="auto"/>
          <w:lang w:eastAsia="zh-CN"/>
        </w:rPr>
      </w:pPr>
      <w:r>
        <w:rPr>
          <w:rFonts w:hint="eastAsia" w:ascii="宋体" w:hAnsi="宋体" w:cs="宋体"/>
          <w:color w:val="auto"/>
          <w:kern w:val="0"/>
          <w:szCs w:val="21"/>
        </w:rPr>
        <w:t>   项目名称：</w:t>
      </w:r>
      <w:r>
        <w:rPr>
          <w:rFonts w:hint="eastAsia" w:ascii="宋体" w:hAnsi="宋体" w:cs="宋体"/>
          <w:color w:val="auto"/>
          <w:kern w:val="0"/>
          <w:szCs w:val="21"/>
          <w:lang w:eastAsia="zh-CN"/>
        </w:rPr>
        <w:t>广西农业工程职业技术学院“一站式”学生社区物理空间建设项目</w:t>
      </w:r>
    </w:p>
    <w:p w14:paraId="4926611D">
      <w:pPr>
        <w:spacing w:line="360" w:lineRule="auto"/>
        <w:ind w:firstLine="420" w:firstLineChars="200"/>
        <w:rPr>
          <w:rFonts w:hint="eastAsia" w:ascii="宋体" w:hAnsi="宋体" w:cs="宋体"/>
          <w:color w:val="auto"/>
        </w:rPr>
      </w:pPr>
      <w:r>
        <w:rPr>
          <w:rFonts w:hint="eastAsia" w:ascii="宋体" w:hAnsi="宋体" w:cs="宋体"/>
          <w:color w:val="auto"/>
        </w:rPr>
        <w:t>数量：1项</w:t>
      </w:r>
    </w:p>
    <w:p w14:paraId="10624C1D">
      <w:pPr>
        <w:spacing w:line="360" w:lineRule="auto"/>
        <w:ind w:firstLine="420" w:firstLineChars="200"/>
        <w:rPr>
          <w:rFonts w:hint="eastAsia" w:ascii="宋体" w:hAnsi="宋体" w:cs="宋体"/>
          <w:bCs/>
          <w:color w:val="auto"/>
          <w:kern w:val="0"/>
          <w:szCs w:val="21"/>
        </w:rPr>
      </w:pPr>
      <w:r>
        <w:rPr>
          <w:rFonts w:hint="eastAsia" w:ascii="宋体" w:hAnsi="宋体" w:cs="宋体"/>
          <w:color w:val="auto"/>
        </w:rPr>
        <w:t>预算金额（元）：</w:t>
      </w:r>
      <w:r>
        <w:rPr>
          <w:rFonts w:hint="eastAsia" w:ascii="宋体" w:hAnsi="宋体" w:cs="宋体"/>
          <w:bCs/>
          <w:color w:val="auto"/>
        </w:rPr>
        <w:t>1311259.12</w:t>
      </w:r>
      <w:r>
        <w:rPr>
          <w:rFonts w:hint="eastAsia"/>
          <w:bCs/>
          <w:color w:val="auto"/>
        </w:rPr>
        <w:t>元</w:t>
      </w:r>
    </w:p>
    <w:p w14:paraId="57B12159">
      <w:pPr>
        <w:spacing w:line="360" w:lineRule="auto"/>
        <w:ind w:firstLine="420" w:firstLineChars="200"/>
        <w:rPr>
          <w:rFonts w:hint="eastAsia" w:ascii="宋体" w:hAnsi="宋体" w:cs="宋体"/>
          <w:color w:val="auto"/>
        </w:rPr>
      </w:pPr>
      <w:r>
        <w:rPr>
          <w:rFonts w:hint="eastAsia" w:ascii="宋体" w:hAnsi="宋体" w:cs="宋体"/>
          <w:color w:val="auto"/>
        </w:rPr>
        <w:t>简要规格描述或项目基本概况介绍、用途：采购</w:t>
      </w:r>
      <w:r>
        <w:rPr>
          <w:rFonts w:hint="eastAsia" w:ascii="宋体" w:hAnsi="宋体" w:cs="宋体"/>
          <w:color w:val="auto"/>
          <w:lang w:eastAsia="zh-CN"/>
        </w:rPr>
        <w:t>广西农业工程职业技术学院“一站式”学生社区物理空间建设项目</w:t>
      </w:r>
      <w:r>
        <w:rPr>
          <w:rFonts w:hint="eastAsia" w:ascii="宋体" w:hAnsi="宋体" w:cs="宋体"/>
          <w:color w:val="auto"/>
        </w:rPr>
        <w:t>货物及服务1项</w:t>
      </w:r>
      <w:r>
        <w:rPr>
          <w:rFonts w:hint="eastAsia" w:ascii="宋体" w:hAnsi="宋体" w:cs="宋体"/>
          <w:bCs/>
          <w:color w:val="auto"/>
          <w:kern w:val="0"/>
          <w:szCs w:val="21"/>
        </w:rPr>
        <w:t>。</w:t>
      </w:r>
      <w:r>
        <w:rPr>
          <w:rFonts w:hint="eastAsia" w:ascii="宋体" w:hAnsi="宋体" w:cs="宋体"/>
          <w:color w:val="auto"/>
          <w:szCs w:val="21"/>
        </w:rPr>
        <w:t>如需进一步了解详细内容，详见竞争性磋商文件。</w:t>
      </w:r>
    </w:p>
    <w:p w14:paraId="4FE8E215">
      <w:pPr>
        <w:spacing w:line="360" w:lineRule="auto"/>
        <w:ind w:firstLine="420" w:firstLineChars="200"/>
        <w:rPr>
          <w:rFonts w:hint="eastAsia" w:ascii="宋体" w:hAnsi="宋体"/>
          <w:color w:val="auto"/>
        </w:rPr>
      </w:pPr>
      <w:r>
        <w:rPr>
          <w:rFonts w:hint="eastAsia" w:ascii="宋体" w:hAnsi="宋体"/>
          <w:color w:val="auto"/>
        </w:rPr>
        <w:t>服务时间：自签订合同之日起60个日历日内全部交货安装完成并验收合格。</w:t>
      </w:r>
    </w:p>
    <w:p w14:paraId="39545DDA">
      <w:pPr>
        <w:spacing w:line="360" w:lineRule="auto"/>
        <w:ind w:firstLine="420" w:firstLineChars="200"/>
        <w:rPr>
          <w:rFonts w:hint="eastAsia" w:ascii="宋体" w:hAnsi="宋体" w:cs="宋体"/>
          <w:color w:val="auto"/>
        </w:rPr>
      </w:pPr>
      <w:r>
        <w:rPr>
          <w:rFonts w:hint="eastAsia" w:ascii="宋体" w:hAnsi="宋体" w:cs="宋体"/>
          <w:color w:val="auto"/>
        </w:rPr>
        <w:t>本标项（否）接受联合体投标</w:t>
      </w:r>
    </w:p>
    <w:p w14:paraId="1CD79CDA">
      <w:pPr>
        <w:spacing w:line="360" w:lineRule="auto"/>
        <w:ind w:firstLine="420" w:firstLineChars="200"/>
        <w:rPr>
          <w:rFonts w:hint="eastAsia" w:ascii="宋体" w:hAnsi="宋体" w:cs="宋体"/>
          <w:color w:val="auto"/>
        </w:rPr>
      </w:pPr>
      <w:r>
        <w:rPr>
          <w:rFonts w:hint="eastAsia" w:ascii="宋体" w:hAnsi="宋体" w:cs="宋体"/>
          <w:color w:val="auto"/>
        </w:rPr>
        <w:t>备注：本项目为线上电子招标项目，有意向参与本项目的供应商应当做好参与全流程电子招投标交易的充分准备。</w:t>
      </w:r>
    </w:p>
    <w:p w14:paraId="73F4E2D8">
      <w:pPr>
        <w:spacing w:line="360" w:lineRule="auto"/>
        <w:rPr>
          <w:rFonts w:hint="eastAsia" w:ascii="宋体" w:hAnsi="宋体" w:cs="宋体"/>
          <w:b/>
          <w:color w:val="auto"/>
        </w:rPr>
      </w:pPr>
      <w:bookmarkStart w:id="6" w:name="_Toc28359013"/>
      <w:bookmarkStart w:id="7" w:name="_Toc28359090"/>
      <w:bookmarkStart w:id="8" w:name="_Toc35393630"/>
      <w:bookmarkStart w:id="9" w:name="_Toc35393799"/>
      <w:r>
        <w:rPr>
          <w:rFonts w:hint="eastAsia" w:ascii="宋体" w:hAnsi="宋体" w:cs="宋体"/>
          <w:b/>
          <w:color w:val="auto"/>
        </w:rPr>
        <w:t>二、申请人的资格要求：</w:t>
      </w:r>
      <w:bookmarkEnd w:id="6"/>
      <w:bookmarkEnd w:id="7"/>
      <w:bookmarkEnd w:id="8"/>
      <w:bookmarkEnd w:id="9"/>
    </w:p>
    <w:p w14:paraId="697E58D9">
      <w:pPr>
        <w:spacing w:line="360" w:lineRule="auto"/>
        <w:ind w:firstLine="420" w:firstLineChars="200"/>
        <w:rPr>
          <w:rFonts w:hint="eastAsia" w:ascii="宋体" w:hAnsi="宋体" w:cs="宋体"/>
          <w:color w:val="auto"/>
        </w:rPr>
      </w:pPr>
      <w:r>
        <w:rPr>
          <w:rFonts w:hint="eastAsia" w:ascii="宋体" w:hAnsi="宋体" w:cs="宋体"/>
          <w:color w:val="auto"/>
        </w:rPr>
        <w:t>1.满足《中华人民共和国政府采购法》第二十二条规定；</w:t>
      </w:r>
    </w:p>
    <w:p w14:paraId="77907E4B">
      <w:pPr>
        <w:spacing w:before="1" w:line="360" w:lineRule="auto"/>
        <w:ind w:firstLine="420" w:firstLineChars="200"/>
        <w:rPr>
          <w:rFonts w:hint="eastAsia" w:ascii="宋体" w:hAnsi="宋体" w:cs="宋体"/>
          <w:color w:val="auto"/>
          <w:szCs w:val="21"/>
        </w:rPr>
      </w:pPr>
      <w:bookmarkStart w:id="10" w:name="_Toc28359091"/>
      <w:bookmarkStart w:id="11" w:name="_Toc28359014"/>
      <w:r>
        <w:rPr>
          <w:rFonts w:hint="eastAsia" w:ascii="宋体" w:hAnsi="宋体" w:cs="宋体"/>
          <w:color w:val="auto"/>
        </w:rPr>
        <w:t>2.落实政府采购政策需满足的资格要求：</w:t>
      </w:r>
    </w:p>
    <w:p w14:paraId="013F3A8A">
      <w:pPr>
        <w:spacing w:before="68" w:line="360" w:lineRule="auto"/>
        <w:ind w:firstLine="624" w:firstLineChars="300"/>
        <w:rPr>
          <w:rFonts w:hint="eastAsia" w:ascii="宋体" w:hAnsi="宋体" w:cs="宋体"/>
          <w:color w:val="auto"/>
          <w:szCs w:val="21"/>
        </w:rPr>
      </w:pPr>
      <w:r>
        <w:rPr>
          <w:rFonts w:hint="eastAsia" w:ascii="宋体" w:hAnsi="宋体" w:cs="宋体"/>
          <w:color w:val="auto"/>
          <w:spacing w:val="-1"/>
          <w:szCs w:val="21"/>
        </w:rPr>
        <w:t>□专门面向中小微企业采购的项目（供应商应为中小微企业、监狱企业、残疾人福利性单位)</w:t>
      </w:r>
    </w:p>
    <w:p w14:paraId="434998CC">
      <w:pPr>
        <w:spacing w:before="66" w:line="360" w:lineRule="auto"/>
        <w:ind w:firstLine="618" w:firstLineChars="300"/>
        <w:rPr>
          <w:rFonts w:hint="eastAsia" w:ascii="宋体" w:hAnsi="宋体" w:cs="宋体"/>
          <w:color w:val="auto"/>
          <w:szCs w:val="21"/>
        </w:rPr>
      </w:pPr>
      <w:r>
        <w:rPr>
          <w:rFonts w:ascii="Segoe UI Symbol" w:hAnsi="Segoe UI Symbol" w:cs="Segoe UI Symbol"/>
          <w:color w:val="auto"/>
          <w:spacing w:val="-2"/>
          <w:szCs w:val="21"/>
        </w:rPr>
        <w:t>☑</w:t>
      </w:r>
      <w:r>
        <w:rPr>
          <w:rFonts w:hint="eastAsia" w:ascii="宋体" w:hAnsi="宋体" w:cs="宋体"/>
          <w:color w:val="auto"/>
          <w:spacing w:val="-2"/>
          <w:szCs w:val="21"/>
        </w:rPr>
        <w:t>非专门面向中小微企业采购的项目</w:t>
      </w:r>
    </w:p>
    <w:p w14:paraId="29CB9585">
      <w:pPr>
        <w:spacing w:line="360" w:lineRule="auto"/>
        <w:ind w:firstLine="420" w:firstLineChars="200"/>
        <w:rPr>
          <w:rFonts w:hint="eastAsia" w:ascii="宋体" w:hAnsi="宋体" w:cs="宋体"/>
          <w:color w:val="auto"/>
        </w:rPr>
      </w:pPr>
      <w:r>
        <w:rPr>
          <w:rFonts w:hint="eastAsia" w:ascii="宋体" w:hAnsi="宋体" w:cs="宋体"/>
          <w:color w:val="auto"/>
        </w:rPr>
        <w:t>3.本项目的特定资格要求：无</w:t>
      </w:r>
    </w:p>
    <w:p w14:paraId="70CB316F">
      <w:pPr>
        <w:spacing w:line="360" w:lineRule="auto"/>
        <w:rPr>
          <w:rFonts w:hint="eastAsia" w:ascii="宋体" w:hAnsi="宋体" w:cs="宋体"/>
          <w:b/>
          <w:color w:val="auto"/>
        </w:rPr>
      </w:pPr>
      <w:bookmarkStart w:id="12" w:name="_Toc35393800"/>
      <w:bookmarkStart w:id="13" w:name="_Toc35393631"/>
      <w:r>
        <w:rPr>
          <w:rFonts w:hint="eastAsia" w:ascii="宋体" w:hAnsi="宋体" w:cs="宋体"/>
          <w:b/>
          <w:color w:val="auto"/>
        </w:rPr>
        <w:t>三、获取采购文件</w:t>
      </w:r>
      <w:bookmarkEnd w:id="10"/>
      <w:bookmarkEnd w:id="11"/>
      <w:bookmarkEnd w:id="12"/>
      <w:bookmarkEnd w:id="13"/>
    </w:p>
    <w:p w14:paraId="4316E4C8">
      <w:pPr>
        <w:spacing w:line="360" w:lineRule="auto"/>
        <w:ind w:firstLine="420" w:firstLineChars="200"/>
        <w:rPr>
          <w:rFonts w:hint="eastAsia" w:ascii="宋体" w:hAnsi="宋体" w:cs="宋体"/>
          <w:color w:val="auto"/>
        </w:rPr>
      </w:pPr>
      <w:r>
        <w:rPr>
          <w:rFonts w:hint="eastAsia" w:ascii="宋体" w:hAnsi="宋体" w:cs="宋体"/>
          <w:color w:val="auto"/>
        </w:rPr>
        <w:t>时间：</w:t>
      </w:r>
      <w:r>
        <w:rPr>
          <w:rFonts w:hint="eastAsia" w:ascii="宋体" w:hAnsi="宋体" w:cs="宋体"/>
          <w:color w:val="auto"/>
          <w:u w:val="single"/>
        </w:rPr>
        <w:t>2024年</w:t>
      </w:r>
      <w:r>
        <w:rPr>
          <w:rFonts w:hint="eastAsia" w:ascii="宋体" w:hAnsi="宋体" w:cs="宋体"/>
          <w:color w:val="auto"/>
          <w:u w:val="single"/>
          <w:lang w:val="en-US" w:eastAsia="zh-CN"/>
        </w:rPr>
        <w:t>12</w:t>
      </w:r>
      <w:r>
        <w:rPr>
          <w:rFonts w:hint="eastAsia" w:ascii="宋体" w:hAnsi="宋体" w:cs="宋体"/>
          <w:color w:val="auto"/>
          <w:u w:val="single"/>
        </w:rPr>
        <w:t>月</w:t>
      </w:r>
      <w:r>
        <w:rPr>
          <w:rFonts w:hint="eastAsia" w:ascii="宋体" w:hAnsi="宋体" w:cs="宋体"/>
          <w:color w:val="auto"/>
          <w:u w:val="single"/>
          <w:lang w:val="en-US" w:eastAsia="zh-CN"/>
        </w:rPr>
        <w:t>12</w:t>
      </w:r>
      <w:r>
        <w:rPr>
          <w:rFonts w:hint="eastAsia" w:ascii="宋体" w:hAnsi="宋体" w:cs="宋体"/>
          <w:color w:val="auto"/>
          <w:u w:val="single"/>
        </w:rPr>
        <w:t>日</w:t>
      </w:r>
      <w:r>
        <w:rPr>
          <w:rFonts w:hint="eastAsia" w:ascii="宋体" w:hAnsi="宋体" w:cs="宋体"/>
          <w:color w:val="auto"/>
        </w:rPr>
        <w:t>至</w:t>
      </w:r>
      <w:r>
        <w:rPr>
          <w:rFonts w:hint="eastAsia" w:ascii="宋体" w:hAnsi="宋体" w:cs="宋体"/>
          <w:color w:val="auto"/>
          <w:u w:val="single"/>
          <w:lang w:val="en-US" w:eastAsia="zh-CN"/>
        </w:rPr>
        <w:t>2024</w:t>
      </w:r>
      <w:r>
        <w:rPr>
          <w:rFonts w:hint="eastAsia" w:ascii="宋体" w:hAnsi="宋体" w:cs="宋体"/>
          <w:color w:val="auto"/>
          <w:u w:val="single"/>
        </w:rPr>
        <w:t>年</w:t>
      </w:r>
      <w:r>
        <w:rPr>
          <w:rFonts w:hint="eastAsia" w:ascii="宋体" w:hAnsi="宋体" w:cs="宋体"/>
          <w:color w:val="auto"/>
          <w:u w:val="single"/>
          <w:lang w:val="en-US" w:eastAsia="zh-CN"/>
        </w:rPr>
        <w:t>12</w:t>
      </w:r>
      <w:r>
        <w:rPr>
          <w:rFonts w:hint="eastAsia" w:ascii="宋体" w:hAnsi="宋体" w:cs="宋体"/>
          <w:color w:val="auto"/>
          <w:u w:val="single"/>
        </w:rPr>
        <w:t>月</w:t>
      </w:r>
      <w:r>
        <w:rPr>
          <w:rFonts w:hint="eastAsia" w:ascii="宋体" w:hAnsi="宋体" w:cs="宋体"/>
          <w:color w:val="auto"/>
          <w:u w:val="single"/>
          <w:lang w:val="en-US" w:eastAsia="zh-CN"/>
        </w:rPr>
        <w:t>19</w:t>
      </w:r>
      <w:r>
        <w:rPr>
          <w:rFonts w:hint="eastAsia" w:ascii="宋体" w:hAnsi="宋体" w:cs="宋体"/>
          <w:color w:val="auto"/>
          <w:u w:val="single"/>
        </w:rPr>
        <w:t>日</w:t>
      </w:r>
      <w:r>
        <w:rPr>
          <w:rFonts w:hint="eastAsia" w:ascii="宋体" w:hAnsi="宋体" w:cs="宋体"/>
          <w:color w:val="auto"/>
        </w:rPr>
        <w:t>，每天上午</w:t>
      </w:r>
      <w:r>
        <w:rPr>
          <w:rFonts w:hint="eastAsia" w:ascii="宋体" w:hAnsi="宋体" w:cs="宋体"/>
          <w:color w:val="auto"/>
          <w:u w:val="single"/>
        </w:rPr>
        <w:t>09时00分</w:t>
      </w:r>
      <w:r>
        <w:rPr>
          <w:rFonts w:hint="eastAsia" w:ascii="宋体" w:hAnsi="宋体" w:cs="宋体"/>
          <w:color w:val="auto"/>
        </w:rPr>
        <w:t>至</w:t>
      </w:r>
      <w:r>
        <w:rPr>
          <w:rFonts w:hint="eastAsia" w:ascii="宋体" w:hAnsi="宋体" w:cs="宋体"/>
          <w:color w:val="auto"/>
          <w:u w:val="single"/>
        </w:rPr>
        <w:t>12时00分</w:t>
      </w:r>
      <w:r>
        <w:rPr>
          <w:rFonts w:hint="eastAsia" w:ascii="宋体" w:hAnsi="宋体" w:cs="宋体"/>
          <w:color w:val="auto"/>
        </w:rPr>
        <w:t>，下午</w:t>
      </w:r>
      <w:r>
        <w:rPr>
          <w:rFonts w:hint="eastAsia" w:ascii="宋体" w:hAnsi="宋体" w:cs="宋体"/>
          <w:color w:val="auto"/>
          <w:u w:val="single"/>
        </w:rPr>
        <w:t>15时00分</w:t>
      </w:r>
      <w:r>
        <w:rPr>
          <w:rFonts w:hint="eastAsia" w:ascii="宋体" w:hAnsi="宋体" w:cs="宋体"/>
          <w:color w:val="auto"/>
        </w:rPr>
        <w:t>至</w:t>
      </w:r>
      <w:r>
        <w:rPr>
          <w:rFonts w:hint="eastAsia" w:ascii="宋体" w:hAnsi="宋体" w:cs="宋体"/>
          <w:color w:val="auto"/>
          <w:u w:val="single"/>
        </w:rPr>
        <w:t>18时00分</w:t>
      </w:r>
      <w:r>
        <w:rPr>
          <w:rFonts w:hint="eastAsia" w:ascii="宋体" w:hAnsi="宋体" w:cs="宋体"/>
          <w:color w:val="auto"/>
        </w:rPr>
        <w:t>（北京时间，法定节假日除外 ）</w:t>
      </w:r>
    </w:p>
    <w:p w14:paraId="5A9E89DF">
      <w:pPr>
        <w:spacing w:line="360" w:lineRule="auto"/>
        <w:ind w:firstLine="420" w:firstLineChars="200"/>
        <w:rPr>
          <w:rFonts w:hint="eastAsia" w:ascii="宋体" w:hAnsi="宋体" w:cs="宋体"/>
          <w:color w:val="auto"/>
          <w:u w:val="single"/>
        </w:rPr>
      </w:pPr>
      <w:r>
        <w:rPr>
          <w:rFonts w:hint="eastAsia" w:ascii="宋体" w:hAnsi="宋体" w:cs="宋体"/>
          <w:color w:val="auto"/>
        </w:rPr>
        <w:t>地点：“广西政府采购云平台”（https://login.gcy.zfcg.gxzf.gov.cn/user-login/#/）；</w:t>
      </w:r>
    </w:p>
    <w:p w14:paraId="3D0F3864">
      <w:pPr>
        <w:spacing w:line="360" w:lineRule="auto"/>
        <w:ind w:firstLine="420" w:firstLineChars="200"/>
        <w:rPr>
          <w:rFonts w:hint="eastAsia" w:ascii="宋体" w:hAnsi="宋体" w:cs="宋体"/>
          <w:color w:val="auto"/>
        </w:rPr>
      </w:pPr>
      <w:r>
        <w:rPr>
          <w:rFonts w:hint="eastAsia" w:ascii="宋体" w:hAnsi="宋体" w:cs="宋体"/>
          <w:color w:val="auto"/>
        </w:rPr>
        <w:t>方式：请登录“广西政府采购云平台”（https://login.gcy.zfcg.gxzf.gov.cn/user-login/#/）进行报名并获取采购文件；未注册的供应商可在政采云平台完成注册后再行报名。如在操作过程中遇到问题或需技术支持，请致电政采云客服热线：95763。提示：供应商只有在“</w:t>
      </w:r>
      <w:r>
        <w:rPr>
          <w:rFonts w:hint="eastAsia" w:ascii="宋体" w:hAnsi="宋体" w:cs="宋体"/>
          <w:color w:val="auto"/>
          <w:lang w:val="en-US" w:eastAsia="zh-CN"/>
        </w:rPr>
        <w:t>广西政府采购</w:t>
      </w:r>
      <w:r>
        <w:rPr>
          <w:rFonts w:hint="eastAsia" w:ascii="宋体" w:hAnsi="宋体" w:cs="宋体"/>
          <w:color w:val="auto"/>
        </w:rPr>
        <w:t>云平台”完成获取采购文件申请并下载了采购文件后才视作依法获取采购文件（法律法规所指的供应商获取采购文件时间以供应商完成获取采购文件申请后下载采购文件的时间为准）。</w:t>
      </w:r>
    </w:p>
    <w:p w14:paraId="71AE5DD7">
      <w:pPr>
        <w:spacing w:line="360" w:lineRule="auto"/>
        <w:ind w:firstLine="420" w:firstLineChars="200"/>
        <w:rPr>
          <w:rFonts w:hint="eastAsia" w:ascii="宋体" w:hAnsi="宋体" w:cs="宋体"/>
          <w:color w:val="auto"/>
        </w:rPr>
      </w:pPr>
      <w:r>
        <w:rPr>
          <w:rFonts w:hint="eastAsia" w:ascii="宋体" w:hAnsi="宋体" w:cs="宋体"/>
          <w:color w:val="auto"/>
          <w:kern w:val="0"/>
          <w:szCs w:val="21"/>
        </w:rPr>
        <w:t>售价（元）：0</w:t>
      </w:r>
    </w:p>
    <w:p w14:paraId="1D8AD371">
      <w:pPr>
        <w:spacing w:line="360" w:lineRule="auto"/>
        <w:rPr>
          <w:rFonts w:hint="eastAsia" w:ascii="宋体" w:hAnsi="宋体" w:eastAsia="宋体" w:cs="宋体"/>
          <w:b/>
          <w:color w:val="auto"/>
          <w:lang w:val="en-US" w:eastAsia="zh-CN"/>
        </w:rPr>
      </w:pPr>
      <w:bookmarkStart w:id="14" w:name="_Toc28359092"/>
      <w:bookmarkStart w:id="15" w:name="_Toc35393801"/>
      <w:bookmarkStart w:id="16" w:name="_Toc28359015"/>
      <w:bookmarkStart w:id="17" w:name="_Toc35393632"/>
      <w:r>
        <w:rPr>
          <w:rFonts w:hint="eastAsia" w:ascii="宋体" w:hAnsi="宋体" w:cs="宋体"/>
          <w:b/>
          <w:color w:val="auto"/>
        </w:rPr>
        <w:t>四、响应文件提交</w:t>
      </w:r>
      <w:bookmarkEnd w:id="14"/>
      <w:bookmarkEnd w:id="15"/>
      <w:bookmarkEnd w:id="16"/>
      <w:bookmarkEnd w:id="17"/>
      <w:r>
        <w:rPr>
          <w:rFonts w:hint="eastAsia" w:ascii="宋体" w:hAnsi="宋体" w:cs="宋体"/>
          <w:b/>
          <w:color w:val="auto"/>
          <w:lang w:val="en-US" w:eastAsia="zh-CN"/>
        </w:rPr>
        <w:tab/>
      </w:r>
    </w:p>
    <w:p w14:paraId="16A083BD">
      <w:pPr>
        <w:spacing w:line="360" w:lineRule="auto"/>
        <w:ind w:firstLine="420" w:firstLineChars="200"/>
        <w:rPr>
          <w:rFonts w:hint="eastAsia" w:ascii="宋体" w:hAnsi="宋体" w:cs="宋体"/>
          <w:bCs/>
          <w:color w:val="auto"/>
          <w:u w:val="single"/>
        </w:rPr>
      </w:pPr>
      <w:r>
        <w:rPr>
          <w:rFonts w:hint="eastAsia" w:ascii="宋体" w:hAnsi="宋体" w:cs="宋体"/>
          <w:color w:val="auto"/>
        </w:rPr>
        <w:t>截止时间：</w:t>
      </w:r>
      <w:r>
        <w:rPr>
          <w:rFonts w:hint="eastAsia" w:ascii="宋体" w:hAnsi="宋体" w:cs="宋体"/>
          <w:bCs/>
          <w:color w:val="auto"/>
        </w:rPr>
        <w:t>2024年</w:t>
      </w:r>
      <w:r>
        <w:rPr>
          <w:rFonts w:hint="eastAsia" w:ascii="宋体" w:hAnsi="宋体" w:cs="宋体"/>
          <w:bCs/>
          <w:color w:val="auto"/>
          <w:lang w:val="en-US" w:eastAsia="zh-CN"/>
        </w:rPr>
        <w:t>12</w:t>
      </w:r>
      <w:r>
        <w:rPr>
          <w:rFonts w:hint="eastAsia" w:ascii="宋体" w:hAnsi="宋体" w:cs="宋体"/>
          <w:bCs/>
          <w:color w:val="auto"/>
        </w:rPr>
        <w:t>月</w:t>
      </w:r>
      <w:r>
        <w:rPr>
          <w:rFonts w:hint="eastAsia" w:ascii="宋体" w:hAnsi="宋体" w:cs="宋体"/>
          <w:bCs/>
          <w:color w:val="auto"/>
          <w:lang w:val="en-US" w:eastAsia="zh-CN"/>
        </w:rPr>
        <w:t>23</w:t>
      </w:r>
      <w:r>
        <w:rPr>
          <w:rFonts w:hint="eastAsia" w:ascii="宋体" w:hAnsi="宋体" w:cs="宋体"/>
          <w:bCs/>
          <w:color w:val="auto"/>
        </w:rPr>
        <w:t xml:space="preserve">日 </w:t>
      </w:r>
      <w:r>
        <w:rPr>
          <w:rFonts w:hint="eastAsia" w:ascii="宋体" w:hAnsi="宋体" w:cs="宋体"/>
          <w:bCs/>
          <w:color w:val="auto"/>
          <w:lang w:val="en-US" w:eastAsia="zh-CN"/>
        </w:rPr>
        <w:t>15</w:t>
      </w:r>
      <w:r>
        <w:rPr>
          <w:rFonts w:hint="eastAsia" w:ascii="宋体" w:hAnsi="宋体" w:cs="宋体"/>
          <w:bCs/>
          <w:color w:val="auto"/>
        </w:rPr>
        <w:t>:</w:t>
      </w:r>
      <w:r>
        <w:rPr>
          <w:rFonts w:hint="eastAsia" w:ascii="宋体" w:hAnsi="宋体" w:cs="宋体"/>
          <w:bCs/>
          <w:color w:val="auto"/>
          <w:lang w:val="en-US" w:eastAsia="zh-CN"/>
        </w:rPr>
        <w:t>0</w:t>
      </w:r>
      <w:r>
        <w:rPr>
          <w:rFonts w:hint="eastAsia" w:ascii="宋体" w:hAnsi="宋体" w:cs="宋体"/>
          <w:bCs/>
          <w:color w:val="auto"/>
        </w:rPr>
        <w:t>0（北京时间）</w:t>
      </w:r>
    </w:p>
    <w:p w14:paraId="19BB7AA9">
      <w:pPr>
        <w:spacing w:line="360" w:lineRule="auto"/>
        <w:ind w:firstLine="420" w:firstLineChars="200"/>
        <w:rPr>
          <w:rFonts w:hint="eastAsia" w:ascii="宋体" w:hAnsi="宋体" w:cs="宋体"/>
          <w:color w:val="auto"/>
          <w:szCs w:val="21"/>
        </w:rPr>
      </w:pPr>
      <w:r>
        <w:rPr>
          <w:rFonts w:hint="eastAsia" w:ascii="宋体" w:hAnsi="宋体" w:cs="宋体"/>
          <w:color w:val="auto"/>
        </w:rPr>
        <w:t>地点（网址）：“广西政府采购云平台”（ https://www.gcy.zfcg.gxzf.gov.cn/）</w:t>
      </w:r>
      <w:r>
        <w:rPr>
          <w:rFonts w:hint="eastAsia" w:ascii="宋体" w:hAnsi="宋体" w:cs="宋体"/>
          <w:color w:val="auto"/>
          <w:szCs w:val="21"/>
        </w:rPr>
        <w:t>（本项目不要求竞标供应商到达开标现场，但供应商应派法定代表人或委托代理人准时在线出席电子开评标会议，随时关注开评标进度，如在开评标过程中有电子询标，应在规定的时间内对电子询标函进行澄清回复。）</w:t>
      </w:r>
    </w:p>
    <w:p w14:paraId="2E4043A2">
      <w:pPr>
        <w:spacing w:line="360" w:lineRule="auto"/>
        <w:rPr>
          <w:rFonts w:hint="eastAsia" w:ascii="宋体" w:hAnsi="宋体" w:cs="宋体"/>
          <w:b/>
          <w:color w:val="auto"/>
        </w:rPr>
      </w:pPr>
      <w:bookmarkStart w:id="18" w:name="_Toc28359093"/>
      <w:bookmarkStart w:id="19" w:name="_Toc35393633"/>
      <w:bookmarkStart w:id="20" w:name="_Toc28359016"/>
      <w:bookmarkStart w:id="21" w:name="_Toc35393802"/>
      <w:bookmarkStart w:id="22" w:name="_Toc28359094"/>
      <w:bookmarkStart w:id="23" w:name="_Toc28359017"/>
      <w:bookmarkStart w:id="24" w:name="_Toc35393634"/>
      <w:bookmarkStart w:id="25" w:name="_Toc35393803"/>
      <w:r>
        <w:rPr>
          <w:rFonts w:hint="eastAsia" w:ascii="宋体" w:hAnsi="宋体" w:cs="宋体"/>
          <w:b/>
          <w:color w:val="auto"/>
        </w:rPr>
        <w:t>五、开启</w:t>
      </w:r>
      <w:bookmarkEnd w:id="18"/>
      <w:bookmarkEnd w:id="19"/>
      <w:bookmarkEnd w:id="20"/>
      <w:bookmarkEnd w:id="21"/>
    </w:p>
    <w:p w14:paraId="35A9E995">
      <w:pPr>
        <w:spacing w:line="360" w:lineRule="auto"/>
        <w:ind w:firstLine="420" w:firstLineChars="200"/>
        <w:rPr>
          <w:rFonts w:hint="eastAsia" w:ascii="宋体" w:hAnsi="宋体" w:cs="宋体"/>
          <w:bCs/>
          <w:color w:val="auto"/>
          <w:u w:val="single"/>
        </w:rPr>
      </w:pPr>
      <w:r>
        <w:rPr>
          <w:rFonts w:hint="eastAsia" w:ascii="宋体" w:hAnsi="宋体" w:cs="宋体"/>
          <w:color w:val="auto"/>
        </w:rPr>
        <w:t>开启时间：</w:t>
      </w:r>
      <w:r>
        <w:rPr>
          <w:rFonts w:hint="eastAsia" w:ascii="宋体" w:hAnsi="宋体" w:cs="宋体"/>
          <w:bCs/>
          <w:color w:val="auto"/>
        </w:rPr>
        <w:t>2024年</w:t>
      </w:r>
      <w:r>
        <w:rPr>
          <w:rFonts w:hint="eastAsia" w:ascii="宋体" w:hAnsi="宋体" w:cs="宋体"/>
          <w:bCs/>
          <w:color w:val="auto"/>
          <w:lang w:val="en-US" w:eastAsia="zh-CN"/>
        </w:rPr>
        <w:t>12</w:t>
      </w:r>
      <w:r>
        <w:rPr>
          <w:rFonts w:hint="eastAsia" w:ascii="宋体" w:hAnsi="宋体" w:cs="宋体"/>
          <w:bCs/>
          <w:color w:val="auto"/>
        </w:rPr>
        <w:t>月</w:t>
      </w:r>
      <w:r>
        <w:rPr>
          <w:rFonts w:hint="eastAsia" w:ascii="宋体" w:hAnsi="宋体" w:cs="宋体"/>
          <w:bCs/>
          <w:color w:val="auto"/>
          <w:lang w:val="en-US" w:eastAsia="zh-CN"/>
        </w:rPr>
        <w:t>23</w:t>
      </w:r>
      <w:r>
        <w:rPr>
          <w:rFonts w:hint="eastAsia" w:ascii="宋体" w:hAnsi="宋体" w:cs="宋体"/>
          <w:bCs/>
          <w:color w:val="auto"/>
        </w:rPr>
        <w:t xml:space="preserve">日 </w:t>
      </w:r>
      <w:r>
        <w:rPr>
          <w:rFonts w:hint="eastAsia" w:ascii="宋体" w:hAnsi="宋体" w:cs="宋体"/>
          <w:bCs/>
          <w:color w:val="auto"/>
          <w:lang w:val="en-US" w:eastAsia="zh-CN"/>
        </w:rPr>
        <w:t>15</w:t>
      </w:r>
      <w:r>
        <w:rPr>
          <w:rFonts w:hint="eastAsia" w:ascii="宋体" w:hAnsi="宋体" w:cs="宋体"/>
          <w:bCs/>
          <w:color w:val="auto"/>
        </w:rPr>
        <w:t>:</w:t>
      </w:r>
      <w:r>
        <w:rPr>
          <w:rFonts w:hint="eastAsia" w:ascii="宋体" w:hAnsi="宋体" w:cs="宋体"/>
          <w:bCs/>
          <w:color w:val="auto"/>
          <w:lang w:val="en-US" w:eastAsia="zh-CN"/>
        </w:rPr>
        <w:t>00</w:t>
      </w:r>
      <w:r>
        <w:rPr>
          <w:rFonts w:hint="eastAsia" w:ascii="宋体" w:hAnsi="宋体" w:cs="宋体"/>
          <w:bCs/>
          <w:color w:val="auto"/>
        </w:rPr>
        <w:t>（北京时间）</w:t>
      </w:r>
    </w:p>
    <w:p w14:paraId="07AEB2BA">
      <w:pPr>
        <w:spacing w:line="360" w:lineRule="auto"/>
        <w:ind w:firstLine="420" w:firstLineChars="200"/>
        <w:rPr>
          <w:rFonts w:hint="eastAsia" w:ascii="宋体" w:hAnsi="宋体" w:cs="宋体"/>
          <w:b/>
          <w:color w:val="auto"/>
        </w:rPr>
      </w:pPr>
      <w:r>
        <w:rPr>
          <w:rFonts w:hint="eastAsia" w:ascii="宋体" w:hAnsi="宋体" w:cs="宋体"/>
          <w:color w:val="auto"/>
        </w:rPr>
        <w:t>地点：</w:t>
      </w:r>
      <w:r>
        <w:rPr>
          <w:rFonts w:hint="eastAsia" w:ascii="宋体" w:hAnsi="宋体" w:cs="宋体"/>
          <w:color w:val="auto"/>
          <w:szCs w:val="21"/>
        </w:rPr>
        <w:t>广西政府采购云平台远程开标大厅。</w:t>
      </w:r>
    </w:p>
    <w:p w14:paraId="6C63F84D">
      <w:pPr>
        <w:spacing w:line="360" w:lineRule="auto"/>
        <w:rPr>
          <w:rFonts w:hint="eastAsia" w:ascii="宋体" w:hAnsi="宋体" w:cs="宋体"/>
          <w:b/>
          <w:color w:val="auto"/>
        </w:rPr>
      </w:pPr>
      <w:r>
        <w:rPr>
          <w:rFonts w:hint="eastAsia" w:ascii="宋体" w:hAnsi="宋体" w:cs="宋体"/>
          <w:b/>
          <w:color w:val="auto"/>
        </w:rPr>
        <w:t>六、公告期限</w:t>
      </w:r>
      <w:bookmarkEnd w:id="22"/>
      <w:bookmarkEnd w:id="23"/>
      <w:bookmarkEnd w:id="24"/>
      <w:bookmarkEnd w:id="25"/>
    </w:p>
    <w:p w14:paraId="26705EFB">
      <w:pPr>
        <w:spacing w:line="360" w:lineRule="auto"/>
        <w:ind w:firstLine="420" w:firstLineChars="200"/>
        <w:rPr>
          <w:rFonts w:hint="eastAsia" w:ascii="宋体" w:hAnsi="宋体" w:cs="宋体"/>
          <w:color w:val="auto"/>
          <w:kern w:val="0"/>
        </w:rPr>
      </w:pPr>
      <w:r>
        <w:rPr>
          <w:rFonts w:hint="eastAsia" w:ascii="宋体" w:hAnsi="宋体" w:cs="宋体"/>
          <w:color w:val="auto"/>
          <w:kern w:val="0"/>
        </w:rPr>
        <w:t>自本公告发布之日起5个工作日。</w:t>
      </w:r>
    </w:p>
    <w:p w14:paraId="42C1F1C4">
      <w:pPr>
        <w:spacing w:line="360" w:lineRule="auto"/>
        <w:rPr>
          <w:rFonts w:hint="eastAsia" w:ascii="宋体" w:hAnsi="宋体" w:cs="宋体"/>
          <w:b/>
          <w:color w:val="auto"/>
        </w:rPr>
      </w:pPr>
      <w:bookmarkStart w:id="26" w:name="_Toc35393804"/>
      <w:bookmarkStart w:id="27" w:name="_Toc35393635"/>
      <w:r>
        <w:rPr>
          <w:rFonts w:hint="eastAsia" w:ascii="宋体" w:hAnsi="宋体" w:cs="宋体"/>
          <w:b/>
          <w:color w:val="auto"/>
        </w:rPr>
        <w:t>七、其他补充事宜</w:t>
      </w:r>
      <w:bookmarkEnd w:id="26"/>
      <w:bookmarkEnd w:id="27"/>
    </w:p>
    <w:p w14:paraId="4B99725B">
      <w:pPr>
        <w:spacing w:line="360" w:lineRule="auto"/>
        <w:ind w:firstLine="422" w:firstLineChars="200"/>
        <w:rPr>
          <w:rFonts w:hint="eastAsia" w:ascii="宋体" w:hAnsi="宋体" w:cs="宋体"/>
          <w:b/>
          <w:color w:val="auto"/>
        </w:rPr>
      </w:pPr>
      <w:r>
        <w:rPr>
          <w:rFonts w:hint="eastAsia" w:ascii="宋体" w:hAnsi="宋体" w:cs="宋体"/>
          <w:b/>
          <w:color w:val="auto"/>
        </w:rPr>
        <w:t xml:space="preserve">1. </w:t>
      </w:r>
      <w:r>
        <w:rPr>
          <w:rFonts w:hint="eastAsia" w:ascii="宋体" w:hAnsi="宋体" w:cs="宋体"/>
          <w:b/>
          <w:color w:val="auto"/>
          <w:szCs w:val="21"/>
        </w:rPr>
        <w:t>磋商</w:t>
      </w:r>
      <w:r>
        <w:rPr>
          <w:rFonts w:hint="eastAsia" w:ascii="宋体" w:hAnsi="宋体" w:cs="宋体"/>
          <w:b/>
          <w:color w:val="auto"/>
        </w:rPr>
        <w:t>保证金（人民币）：12000.00（必须足额交纳）</w:t>
      </w:r>
    </w:p>
    <w:p w14:paraId="21DE1AA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（1）磋商保证金的交纳方式：支票、汇票、本票、网上银行或者金融机构、保险机构出具的保函等非现金形式。</w:t>
      </w:r>
    </w:p>
    <w:p w14:paraId="4792576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（2）采用银行转账方式的，供应商应于响应文件提交截止时间前将磋商保证金交至以下账户：</w:t>
      </w:r>
    </w:p>
    <w:p w14:paraId="487F2E4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开户名称：广西汉昌工程咨询有限公司第七分公司；</w:t>
      </w:r>
    </w:p>
    <w:p w14:paraId="665436D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开户银行：中国工商银行股份有限公司南宁市五象支行；</w:t>
      </w:r>
    </w:p>
    <w:p w14:paraId="3170640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银行账号：2102116009300145703 </w:t>
      </w:r>
    </w:p>
    <w:p w14:paraId="791D3A8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注：转账备注项目名称        </w:t>
      </w:r>
    </w:p>
    <w:p w14:paraId="2B29C136">
      <w:pPr>
        <w:spacing w:line="360" w:lineRule="auto"/>
        <w:ind w:firstLine="420" w:firstLineChars="200"/>
        <w:rPr>
          <w:rFonts w:hint="eastAsia" w:ascii="宋体" w:hAnsi="宋体" w:cs="宋体"/>
          <w:color w:val="auto"/>
        </w:rPr>
      </w:pPr>
      <w:r>
        <w:rPr>
          <w:rFonts w:hint="eastAsia" w:ascii="宋体" w:hAnsi="宋体" w:cs="宋体"/>
          <w:color w:val="auto"/>
          <w:szCs w:val="21"/>
        </w:rPr>
        <w:t>（3）采用支票、汇票、本票或者保函等方式的，供应商应于响应文件提交截止时间前递交单独密封的支票、汇票、本票或者保函原件至我公司。（地址：南宁市青秀区仙葫大道西16号鼎丰国际美食广场A栋11楼HC区域；电话：0771-3154419）</w:t>
      </w:r>
    </w:p>
    <w:p w14:paraId="67AAB0E9">
      <w:pPr>
        <w:spacing w:line="360" w:lineRule="auto"/>
        <w:ind w:firstLine="422" w:firstLineChars="200"/>
        <w:rPr>
          <w:rFonts w:hint="eastAsia" w:ascii="宋体" w:hAnsi="宋体" w:cs="宋体"/>
          <w:b/>
          <w:color w:val="auto"/>
        </w:rPr>
      </w:pPr>
      <w:r>
        <w:rPr>
          <w:rFonts w:hint="eastAsia" w:ascii="宋体" w:hAnsi="宋体" w:cs="宋体"/>
          <w:b/>
          <w:color w:val="auto"/>
        </w:rPr>
        <w:t>2.本项目需要落实的政府采购政策</w:t>
      </w:r>
    </w:p>
    <w:p w14:paraId="03F2AF59">
      <w:pPr>
        <w:spacing w:line="360" w:lineRule="auto"/>
        <w:ind w:firstLine="420" w:firstLineChars="200"/>
        <w:rPr>
          <w:rFonts w:hint="eastAsia" w:ascii="宋体" w:hAnsi="宋体" w:cs="宋体"/>
          <w:b/>
          <w:color w:val="auto"/>
        </w:rPr>
      </w:pPr>
      <w:r>
        <w:rPr>
          <w:rFonts w:hint="eastAsia" w:ascii="宋体" w:hAnsi="宋体" w:cs="宋体"/>
          <w:color w:val="auto"/>
          <w:szCs w:val="21"/>
        </w:rPr>
        <w:t>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p>
    <w:p w14:paraId="672BB86E">
      <w:pPr>
        <w:spacing w:line="360" w:lineRule="auto"/>
        <w:ind w:firstLine="422" w:firstLineChars="200"/>
        <w:rPr>
          <w:rFonts w:hint="eastAsia" w:ascii="宋体" w:hAnsi="宋体" w:cs="宋体"/>
          <w:b/>
          <w:color w:val="auto"/>
        </w:rPr>
      </w:pPr>
      <w:r>
        <w:rPr>
          <w:rFonts w:hint="eastAsia" w:ascii="宋体" w:hAnsi="宋体" w:cs="宋体"/>
          <w:b/>
          <w:color w:val="auto"/>
        </w:rPr>
        <w:t>3.网上公告媒体查询</w:t>
      </w:r>
    </w:p>
    <w:p w14:paraId="7523932E">
      <w:pPr>
        <w:spacing w:line="360" w:lineRule="auto"/>
        <w:ind w:firstLine="420" w:firstLineChars="200"/>
        <w:rPr>
          <w:rFonts w:hint="eastAsia" w:ascii="宋体" w:hAnsi="宋体" w:cs="宋体"/>
          <w:color w:val="auto"/>
        </w:rPr>
      </w:pPr>
      <w:r>
        <w:rPr>
          <w:rFonts w:hint="eastAsia" w:ascii="宋体" w:hAnsi="宋体" w:cs="宋体"/>
          <w:color w:val="auto"/>
          <w:szCs w:val="21"/>
        </w:rPr>
        <w:t>中国政府采购网（www.ccgp.gov.cn）、广西壮族自治区政府采购网（zfcg.gxzf.gov.cn）</w:t>
      </w:r>
      <w:r>
        <w:rPr>
          <w:rFonts w:hint="eastAsia" w:ascii="宋体" w:hAnsi="宋体" w:cs="宋体"/>
          <w:color w:val="auto"/>
        </w:rPr>
        <w:t>。</w:t>
      </w:r>
    </w:p>
    <w:p w14:paraId="7D5EB77A">
      <w:pPr>
        <w:spacing w:line="360" w:lineRule="auto"/>
        <w:ind w:firstLine="422" w:firstLineChars="200"/>
        <w:rPr>
          <w:rFonts w:hint="eastAsia" w:ascii="宋体" w:hAnsi="宋体" w:cs="宋体"/>
          <w:color w:val="auto"/>
          <w:szCs w:val="21"/>
        </w:rPr>
      </w:pPr>
      <w:r>
        <w:rPr>
          <w:rFonts w:hint="eastAsia" w:ascii="宋体" w:hAnsi="宋体" w:cs="宋体"/>
          <w:b/>
          <w:color w:val="auto"/>
        </w:rPr>
        <w:t>4.</w:t>
      </w:r>
      <w:r>
        <w:rPr>
          <w:rFonts w:hint="eastAsia" w:ascii="宋体" w:hAnsi="宋体" w:cs="宋体"/>
          <w:b/>
          <w:color w:val="auto"/>
          <w:szCs w:val="21"/>
        </w:rPr>
        <w:t>其他注意事项</w:t>
      </w:r>
    </w:p>
    <w:p w14:paraId="1545384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本项目实行电子竞标，供应商应按照本项目招标文件和政采云平台的要求编制、加密并提交竞标响应文件。供应商在使用系统参与竞标过程中遇到涉及平台使用的任何问题，可致电政采云平台技术支持热线咨询，联系方式：95763。</w:t>
      </w:r>
    </w:p>
    <w:p w14:paraId="6254311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（2）供应商应及时熟悉掌握电子标系统操作指南（见政采云电子卖场首页右上角—服务中心—帮助文档—项目采购）：https://service.zcygov.cn/#/knowledges/tree?tag=AG1DtGwBFdiHxlNdhY0r。</w:t>
      </w:r>
    </w:p>
    <w:p w14:paraId="04EC286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（3）供应商应及时完成CA申领和绑定（见广西壮族自治区政府采购网—办事服务—下载专区-政采云CA证书办理操作指南）；</w:t>
      </w:r>
    </w:p>
    <w:p w14:paraId="67F8C23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供应商通过政采云投标客户端软件制作竞标响应文件，政采云投标客户端软件请供应商自行前往下载并安装（见广西壮族自治区政府采购网—办事服务—下载专区-广西壮族自治区全流程电子招投标项目管理系统--供应商客户端）。</w:t>
      </w:r>
    </w:p>
    <w:p w14:paraId="04D4238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（5）因未注册入库、未办理CA数字证书、CA证书故障、操作不当等原因造成无法投标或投标失败等后果由供应商自行承担。</w:t>
      </w:r>
    </w:p>
    <w:p w14:paraId="5C4A935D">
      <w:pPr>
        <w:spacing w:line="360" w:lineRule="auto"/>
        <w:ind w:firstLine="420" w:firstLineChars="200"/>
        <w:rPr>
          <w:rFonts w:hint="eastAsia" w:ascii="宋体" w:hAnsi="宋体" w:cs="宋体"/>
          <w:color w:val="auto"/>
        </w:rPr>
      </w:pPr>
      <w:r>
        <w:rPr>
          <w:rFonts w:hint="eastAsia" w:ascii="宋体" w:hAnsi="宋体" w:cs="宋体"/>
          <w:color w:val="auto"/>
          <w:szCs w:val="21"/>
        </w:rPr>
        <w:t>（6）竞标响应文件网上提交截止后，政采云（电子标系统）自动提取所有竞标响应文件，各供应商须在开标开始后30分钟内对上传政采云的竞标响应文件进行解密，所有供应商在规定的解密时限内解密完成或解密时限结束后，本公司开启竞标响应文件；供应商超过解密时限的，系统默认自动放弃。</w:t>
      </w:r>
    </w:p>
    <w:p w14:paraId="413DF2C6">
      <w:pPr>
        <w:spacing w:line="360" w:lineRule="auto"/>
        <w:rPr>
          <w:rFonts w:hint="eastAsia" w:ascii="宋体" w:hAnsi="宋体" w:cs="宋体"/>
          <w:b/>
          <w:color w:val="auto"/>
        </w:rPr>
      </w:pPr>
      <w:bookmarkStart w:id="28" w:name="_Toc35393636"/>
      <w:bookmarkStart w:id="29" w:name="_Toc35393805"/>
      <w:bookmarkStart w:id="30" w:name="_Toc28359018"/>
      <w:bookmarkStart w:id="31" w:name="_Toc28359095"/>
      <w:r>
        <w:rPr>
          <w:rFonts w:hint="eastAsia" w:ascii="宋体" w:hAnsi="宋体" w:cs="宋体"/>
          <w:b/>
          <w:color w:val="auto"/>
        </w:rPr>
        <w:t>八、凡对本次采购提出询问，请按以下方式联系。</w:t>
      </w:r>
      <w:bookmarkEnd w:id="28"/>
      <w:bookmarkEnd w:id="29"/>
      <w:bookmarkEnd w:id="30"/>
      <w:bookmarkEnd w:id="31"/>
    </w:p>
    <w:p w14:paraId="169D68FD">
      <w:pPr>
        <w:spacing w:line="360" w:lineRule="auto"/>
        <w:ind w:firstLine="420" w:firstLineChars="200"/>
        <w:rPr>
          <w:rFonts w:hint="eastAsia" w:ascii="宋体" w:hAnsi="宋体" w:cs="宋体"/>
          <w:color w:val="auto"/>
        </w:rPr>
      </w:pPr>
      <w:r>
        <w:rPr>
          <w:rFonts w:hint="eastAsia" w:ascii="宋体" w:hAnsi="宋体" w:cs="宋体"/>
          <w:color w:val="auto"/>
        </w:rPr>
        <w:t>1.采购人：广西农业工程职业技术学院</w:t>
      </w:r>
    </w:p>
    <w:p w14:paraId="36DE37CA">
      <w:pPr>
        <w:spacing w:line="360" w:lineRule="auto"/>
        <w:ind w:firstLine="420" w:firstLineChars="200"/>
        <w:rPr>
          <w:rFonts w:hint="eastAsia" w:ascii="宋体" w:hAnsi="宋体" w:cs="宋体"/>
          <w:color w:val="auto"/>
        </w:rPr>
      </w:pPr>
      <w:r>
        <w:rPr>
          <w:rFonts w:hint="eastAsia" w:ascii="宋体" w:hAnsi="宋体" w:cs="宋体"/>
          <w:color w:val="auto"/>
        </w:rPr>
        <w:t>联系人： 刘老师</w:t>
      </w:r>
    </w:p>
    <w:p w14:paraId="75BDE15B">
      <w:pPr>
        <w:spacing w:line="360" w:lineRule="auto"/>
        <w:ind w:firstLine="420" w:firstLineChars="200"/>
        <w:rPr>
          <w:rFonts w:hint="eastAsia" w:ascii="宋体" w:hAnsi="宋体" w:cs="宋体"/>
          <w:color w:val="auto"/>
        </w:rPr>
      </w:pPr>
      <w:r>
        <w:rPr>
          <w:rFonts w:hint="eastAsia" w:ascii="宋体" w:hAnsi="宋体" w:cs="宋体"/>
          <w:color w:val="auto"/>
        </w:rPr>
        <w:t>联系电话：0771- 6600648</w:t>
      </w:r>
    </w:p>
    <w:p w14:paraId="30953767">
      <w:pPr>
        <w:spacing w:line="360" w:lineRule="auto"/>
        <w:ind w:firstLine="420" w:firstLineChars="200"/>
        <w:rPr>
          <w:rFonts w:hint="eastAsia" w:ascii="宋体" w:hAnsi="宋体" w:cs="宋体"/>
          <w:color w:val="auto"/>
        </w:rPr>
      </w:pPr>
      <w:r>
        <w:rPr>
          <w:rFonts w:hint="eastAsia" w:ascii="宋体" w:hAnsi="宋体" w:cs="宋体"/>
          <w:color w:val="auto"/>
        </w:rPr>
        <w:t>地址： 广西壮族自治区崇左市扶绥县空港大道25号</w:t>
      </w:r>
    </w:p>
    <w:p w14:paraId="71F3708B">
      <w:pPr>
        <w:spacing w:line="360" w:lineRule="auto"/>
        <w:ind w:firstLine="420" w:firstLineChars="200"/>
        <w:rPr>
          <w:rFonts w:hint="eastAsia" w:ascii="宋体" w:hAnsi="宋体" w:cs="宋体"/>
          <w:color w:val="auto"/>
        </w:rPr>
      </w:pPr>
    </w:p>
    <w:p w14:paraId="40E447AF">
      <w:pPr>
        <w:spacing w:line="360" w:lineRule="auto"/>
        <w:ind w:firstLine="420" w:firstLineChars="200"/>
        <w:rPr>
          <w:rFonts w:hint="eastAsia" w:ascii="宋体" w:hAnsi="宋体" w:cs="宋体"/>
          <w:color w:val="auto"/>
        </w:rPr>
      </w:pPr>
      <w:r>
        <w:rPr>
          <w:rFonts w:hint="eastAsia" w:ascii="宋体" w:hAnsi="宋体" w:cs="宋体"/>
          <w:color w:val="auto"/>
        </w:rPr>
        <w:t>2.代理机构：广西汉昌工程咨询有限公司</w:t>
      </w:r>
    </w:p>
    <w:p w14:paraId="13D155F4">
      <w:pPr>
        <w:spacing w:line="360" w:lineRule="auto"/>
        <w:ind w:firstLine="420" w:firstLineChars="200"/>
        <w:rPr>
          <w:rFonts w:hint="eastAsia" w:ascii="宋体" w:hAnsi="宋体" w:cs="宋体"/>
          <w:color w:val="auto"/>
        </w:rPr>
      </w:pPr>
      <w:r>
        <w:rPr>
          <w:rFonts w:hint="eastAsia" w:ascii="宋体" w:hAnsi="宋体" w:cs="宋体"/>
          <w:color w:val="auto"/>
        </w:rPr>
        <w:t>地址：南宁市青秀区仙葫大道西16号鼎丰国际美食广场A栋11楼HC区域</w:t>
      </w:r>
    </w:p>
    <w:p w14:paraId="29924F5B">
      <w:pPr>
        <w:spacing w:line="360" w:lineRule="auto"/>
        <w:ind w:firstLine="420" w:firstLineChars="200"/>
        <w:rPr>
          <w:rFonts w:hint="eastAsia" w:ascii="宋体" w:hAnsi="宋体" w:cs="宋体"/>
          <w:color w:val="auto"/>
        </w:rPr>
      </w:pPr>
      <w:r>
        <w:rPr>
          <w:rFonts w:hint="eastAsia" w:ascii="宋体" w:hAnsi="宋体" w:cs="宋体"/>
          <w:color w:val="auto"/>
        </w:rPr>
        <w:t>项目负责人：李工</w:t>
      </w:r>
    </w:p>
    <w:p w14:paraId="3D412589">
      <w:pPr>
        <w:spacing w:line="360" w:lineRule="auto"/>
        <w:ind w:firstLine="420" w:firstLineChars="200"/>
        <w:rPr>
          <w:rFonts w:hint="eastAsia" w:ascii="宋体" w:hAnsi="宋体" w:cs="宋体"/>
          <w:color w:val="auto"/>
          <w:u w:val="single"/>
        </w:rPr>
      </w:pPr>
      <w:r>
        <w:rPr>
          <w:rFonts w:hint="eastAsia" w:ascii="宋体" w:hAnsi="宋体" w:cs="宋体"/>
          <w:color w:val="auto"/>
        </w:rPr>
        <w:t>联系电话：0771-3313954</w:t>
      </w:r>
    </w:p>
    <w:p w14:paraId="318A3732">
      <w:pPr>
        <w:spacing w:line="360" w:lineRule="auto"/>
        <w:ind w:firstLine="420" w:firstLineChars="200"/>
        <w:rPr>
          <w:rFonts w:hint="eastAsia" w:ascii="宋体" w:hAnsi="宋体" w:cs="宋体"/>
          <w:color w:val="auto"/>
          <w:u w:val="single"/>
        </w:rPr>
      </w:pPr>
    </w:p>
    <w:p w14:paraId="56221951">
      <w:pPr>
        <w:snapToGrid w:val="0"/>
        <w:spacing w:line="360" w:lineRule="auto"/>
        <w:ind w:left="238"/>
        <w:jc w:val="right"/>
        <w:rPr>
          <w:rFonts w:hint="eastAsia" w:ascii="宋体" w:hAnsi="宋体" w:cs="宋体"/>
          <w:color w:val="auto"/>
        </w:rPr>
      </w:pPr>
      <w:r>
        <w:rPr>
          <w:rFonts w:hint="eastAsia" w:ascii="宋体" w:hAnsi="宋体" w:cs="宋体"/>
          <w:color w:val="auto"/>
        </w:rPr>
        <w:t>广西汉昌工程咨询有限公司</w:t>
      </w:r>
    </w:p>
    <w:p w14:paraId="644257B2">
      <w:pPr>
        <w:spacing w:line="360" w:lineRule="auto"/>
        <w:ind w:right="105" w:firstLine="420" w:firstLineChars="200"/>
        <w:jc w:val="right"/>
        <w:rPr>
          <w:rFonts w:hint="eastAsia" w:ascii="宋体" w:hAnsi="宋体" w:cs="宋体"/>
          <w:color w:val="auto"/>
          <w:u w:val="single"/>
        </w:rPr>
      </w:pPr>
      <w:r>
        <w:rPr>
          <w:rFonts w:hint="eastAsia" w:ascii="宋体" w:hAnsi="宋体" w:cs="宋体"/>
          <w:color w:val="auto"/>
        </w:rPr>
        <w:t>2024年</w:t>
      </w:r>
      <w:r>
        <w:rPr>
          <w:rFonts w:hint="eastAsia" w:ascii="宋体" w:hAnsi="宋体" w:cs="宋体"/>
          <w:color w:val="auto"/>
          <w:lang w:val="en-US" w:eastAsia="zh-CN"/>
        </w:rPr>
        <w:t>12</w:t>
      </w:r>
      <w:r>
        <w:rPr>
          <w:rFonts w:hint="eastAsia" w:ascii="宋体" w:hAnsi="宋体" w:cs="宋体"/>
          <w:color w:val="auto"/>
        </w:rPr>
        <w:t>月</w:t>
      </w:r>
      <w:r>
        <w:rPr>
          <w:rFonts w:hint="eastAsia" w:ascii="宋体" w:hAnsi="宋体" w:cs="宋体"/>
          <w:color w:val="auto"/>
          <w:lang w:val="en-US" w:eastAsia="zh-CN"/>
        </w:rPr>
        <w:t>12</w:t>
      </w:r>
      <w:r>
        <w:rPr>
          <w:rFonts w:hint="eastAsia" w:ascii="宋体" w:hAnsi="宋体" w:cs="宋体"/>
          <w:color w:val="auto"/>
        </w:rPr>
        <w:t>日</w:t>
      </w:r>
    </w:p>
    <w:p w14:paraId="026DF34A">
      <w:pPr>
        <w:spacing w:line="360" w:lineRule="auto"/>
        <w:jc w:val="center"/>
        <w:rPr>
          <w:rFonts w:hint="eastAsia" w:ascii="宋体" w:hAnsi="宋体" w:cs="宋体"/>
          <w:b/>
          <w:color w:val="auto"/>
          <w:sz w:val="32"/>
          <w:szCs w:val="32"/>
        </w:rPr>
      </w:pPr>
      <w:r>
        <w:rPr>
          <w:rFonts w:hint="eastAsia" w:ascii="宋体" w:hAnsi="宋体" w:cs="宋体"/>
          <w:b/>
          <w:color w:val="auto"/>
          <w:sz w:val="32"/>
          <w:szCs w:val="32"/>
        </w:rPr>
        <w:br w:type="page"/>
      </w:r>
    </w:p>
    <w:p w14:paraId="236F0764">
      <w:pPr>
        <w:spacing w:line="360" w:lineRule="auto"/>
        <w:jc w:val="center"/>
        <w:rPr>
          <w:rFonts w:hint="eastAsia" w:ascii="宋体" w:hAnsi="宋体" w:cs="宋体"/>
          <w:b/>
          <w:color w:val="auto"/>
          <w:sz w:val="32"/>
          <w:szCs w:val="32"/>
        </w:rPr>
      </w:pPr>
    </w:p>
    <w:p w14:paraId="221D1460">
      <w:pPr>
        <w:spacing w:line="360" w:lineRule="auto"/>
        <w:jc w:val="center"/>
        <w:rPr>
          <w:rFonts w:hint="eastAsia" w:ascii="宋体" w:hAnsi="宋体" w:cs="宋体"/>
          <w:b/>
          <w:color w:val="auto"/>
          <w:sz w:val="32"/>
          <w:szCs w:val="32"/>
        </w:rPr>
      </w:pPr>
    </w:p>
    <w:p w14:paraId="5C5A02E7">
      <w:pPr>
        <w:spacing w:line="360" w:lineRule="auto"/>
        <w:jc w:val="center"/>
        <w:rPr>
          <w:rFonts w:hint="eastAsia" w:ascii="宋体" w:hAnsi="宋体" w:cs="宋体"/>
          <w:b/>
          <w:color w:val="auto"/>
          <w:sz w:val="32"/>
          <w:szCs w:val="32"/>
        </w:rPr>
      </w:pPr>
    </w:p>
    <w:p w14:paraId="5FA890B3">
      <w:pPr>
        <w:spacing w:line="360" w:lineRule="auto"/>
        <w:jc w:val="center"/>
        <w:rPr>
          <w:rFonts w:hint="eastAsia" w:ascii="宋体" w:hAnsi="宋体" w:cs="宋体"/>
          <w:b/>
          <w:color w:val="auto"/>
          <w:sz w:val="32"/>
          <w:szCs w:val="32"/>
        </w:rPr>
      </w:pPr>
    </w:p>
    <w:p w14:paraId="516CDD3A">
      <w:pPr>
        <w:spacing w:line="360" w:lineRule="auto"/>
        <w:jc w:val="center"/>
        <w:rPr>
          <w:rFonts w:hint="eastAsia" w:ascii="宋体" w:hAnsi="宋体" w:cs="宋体"/>
          <w:b/>
          <w:color w:val="auto"/>
          <w:sz w:val="32"/>
          <w:szCs w:val="32"/>
        </w:rPr>
      </w:pPr>
    </w:p>
    <w:p w14:paraId="3CC8BF46">
      <w:pPr>
        <w:spacing w:line="360" w:lineRule="auto"/>
        <w:jc w:val="center"/>
        <w:rPr>
          <w:rFonts w:hint="eastAsia" w:ascii="宋体" w:hAnsi="宋体" w:cs="宋体"/>
          <w:b/>
          <w:color w:val="auto"/>
          <w:sz w:val="32"/>
          <w:szCs w:val="32"/>
        </w:rPr>
      </w:pPr>
    </w:p>
    <w:p w14:paraId="374FE25E">
      <w:pPr>
        <w:spacing w:line="360" w:lineRule="auto"/>
        <w:rPr>
          <w:rFonts w:hint="eastAsia" w:ascii="宋体" w:hAnsi="宋体" w:cs="宋体"/>
          <w:b/>
          <w:color w:val="auto"/>
          <w:sz w:val="32"/>
          <w:szCs w:val="32"/>
        </w:rPr>
      </w:pPr>
    </w:p>
    <w:p w14:paraId="2D3C30EE">
      <w:pPr>
        <w:pStyle w:val="36"/>
        <w:spacing w:line="360" w:lineRule="auto"/>
        <w:rPr>
          <w:rFonts w:hint="eastAsia" w:ascii="宋体" w:hAnsi="宋体" w:cs="宋体"/>
          <w:color w:val="auto"/>
          <w:sz w:val="44"/>
          <w:szCs w:val="44"/>
        </w:rPr>
      </w:pPr>
      <w:bookmarkStart w:id="32" w:name="_Toc476258663"/>
      <w:bookmarkStart w:id="33" w:name="_Toc13872"/>
      <w:r>
        <w:rPr>
          <w:rFonts w:hint="eastAsia" w:ascii="宋体" w:hAnsi="宋体" w:cs="宋体"/>
          <w:color w:val="auto"/>
          <w:sz w:val="44"/>
          <w:szCs w:val="44"/>
        </w:rPr>
        <w:t>第二章  磋商供应商须知</w:t>
      </w:r>
      <w:bookmarkEnd w:id="32"/>
      <w:bookmarkEnd w:id="33"/>
    </w:p>
    <w:p w14:paraId="12E935C7">
      <w:pPr>
        <w:spacing w:line="360" w:lineRule="auto"/>
        <w:jc w:val="center"/>
        <w:rPr>
          <w:rFonts w:hint="eastAsia" w:ascii="宋体" w:hAnsi="宋体" w:cs="宋体"/>
          <w:b/>
          <w:color w:val="auto"/>
          <w:sz w:val="32"/>
          <w:szCs w:val="32"/>
        </w:rPr>
      </w:pPr>
      <w:r>
        <w:rPr>
          <w:rFonts w:hint="eastAsia" w:ascii="宋体" w:hAnsi="宋体" w:cs="宋体"/>
          <w:b/>
          <w:color w:val="auto"/>
          <w:sz w:val="32"/>
          <w:szCs w:val="32"/>
        </w:rPr>
        <w:br w:type="page"/>
      </w:r>
      <w:r>
        <w:rPr>
          <w:rFonts w:hint="eastAsia" w:ascii="宋体" w:hAnsi="宋体" w:cs="宋体"/>
          <w:b/>
          <w:color w:val="auto"/>
          <w:sz w:val="32"/>
          <w:szCs w:val="32"/>
        </w:rPr>
        <w:t>磋商供应商须知前附表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510"/>
      </w:tblGrid>
      <w:tr w14:paraId="0D0F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6" w:type="dxa"/>
            <w:noWrap w:val="0"/>
            <w:vAlign w:val="top"/>
          </w:tcPr>
          <w:p w14:paraId="486A2972">
            <w:pPr>
              <w:pStyle w:val="102"/>
              <w:spacing w:line="360" w:lineRule="auto"/>
              <w:jc w:val="center"/>
              <w:rPr>
                <w:rFonts w:hint="eastAsia" w:hAnsi="宋体" w:cs="宋体"/>
                <w:color w:val="auto"/>
              </w:rPr>
            </w:pPr>
            <w:r>
              <w:rPr>
                <w:rFonts w:hint="eastAsia" w:hAnsi="宋体" w:cs="宋体"/>
                <w:color w:val="auto"/>
              </w:rPr>
              <w:t>序号</w:t>
            </w:r>
          </w:p>
        </w:tc>
        <w:tc>
          <w:tcPr>
            <w:tcW w:w="8510" w:type="dxa"/>
            <w:noWrap w:val="0"/>
            <w:vAlign w:val="top"/>
          </w:tcPr>
          <w:p w14:paraId="7A93A9FC">
            <w:pPr>
              <w:pStyle w:val="102"/>
              <w:spacing w:line="360" w:lineRule="auto"/>
              <w:jc w:val="center"/>
              <w:rPr>
                <w:rFonts w:hint="eastAsia" w:hAnsi="宋体" w:cs="宋体"/>
                <w:color w:val="auto"/>
              </w:rPr>
            </w:pPr>
            <w:r>
              <w:rPr>
                <w:rFonts w:hint="eastAsia" w:hAnsi="宋体" w:cs="宋体"/>
                <w:color w:val="auto"/>
              </w:rPr>
              <w:t>内    容</w:t>
            </w:r>
          </w:p>
        </w:tc>
      </w:tr>
      <w:tr w14:paraId="1460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noWrap w:val="0"/>
            <w:vAlign w:val="center"/>
          </w:tcPr>
          <w:p w14:paraId="1441905A">
            <w:pPr>
              <w:pStyle w:val="102"/>
              <w:numPr>
                <w:ilvl w:val="0"/>
                <w:numId w:val="3"/>
              </w:numPr>
              <w:spacing w:line="360" w:lineRule="auto"/>
              <w:jc w:val="center"/>
              <w:rPr>
                <w:rFonts w:hint="eastAsia" w:hAnsi="宋体" w:cs="宋体"/>
                <w:color w:val="auto"/>
              </w:rPr>
            </w:pPr>
          </w:p>
        </w:tc>
        <w:tc>
          <w:tcPr>
            <w:tcW w:w="8510" w:type="dxa"/>
            <w:noWrap w:val="0"/>
            <w:vAlign w:val="center"/>
          </w:tcPr>
          <w:p w14:paraId="6F983C4D">
            <w:pPr>
              <w:pStyle w:val="102"/>
              <w:spacing w:line="360" w:lineRule="auto"/>
              <w:rPr>
                <w:rFonts w:hint="eastAsia" w:hAnsi="宋体" w:eastAsia="宋体" w:cs="宋体"/>
                <w:bCs/>
                <w:color w:val="auto"/>
                <w:szCs w:val="21"/>
                <w:lang w:eastAsia="zh-CN"/>
              </w:rPr>
            </w:pPr>
            <w:r>
              <w:rPr>
                <w:rFonts w:hint="eastAsia" w:hAnsi="宋体" w:cs="宋体"/>
                <w:color w:val="auto"/>
              </w:rPr>
              <w:t>采购项目名称：</w:t>
            </w:r>
            <w:r>
              <w:rPr>
                <w:rFonts w:hint="eastAsia" w:hAnsi="宋体" w:cs="宋体"/>
                <w:color w:val="auto"/>
                <w:lang w:eastAsia="zh-CN"/>
              </w:rPr>
              <w:t>广西农业工程职业技术学院“一站式”学生社区物理空间建设项目</w:t>
            </w:r>
          </w:p>
          <w:p w14:paraId="2435F0A6">
            <w:pPr>
              <w:pStyle w:val="102"/>
              <w:spacing w:line="360" w:lineRule="auto"/>
              <w:rPr>
                <w:rFonts w:hint="eastAsia" w:hAnsi="宋体" w:cs="宋体"/>
                <w:bCs/>
                <w:color w:val="auto"/>
                <w:szCs w:val="21"/>
              </w:rPr>
            </w:pPr>
            <w:r>
              <w:rPr>
                <w:rFonts w:hint="eastAsia" w:hAnsi="宋体" w:cs="宋体"/>
                <w:color w:val="auto"/>
              </w:rPr>
              <w:t>采购项目编号：GXZC2024-C3-006381-HCZX</w:t>
            </w:r>
          </w:p>
        </w:tc>
      </w:tr>
      <w:tr w14:paraId="18881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noWrap w:val="0"/>
            <w:vAlign w:val="center"/>
          </w:tcPr>
          <w:p w14:paraId="667DA026">
            <w:pPr>
              <w:pStyle w:val="102"/>
              <w:numPr>
                <w:ilvl w:val="0"/>
                <w:numId w:val="3"/>
              </w:numPr>
              <w:spacing w:line="360" w:lineRule="auto"/>
              <w:jc w:val="center"/>
              <w:rPr>
                <w:rFonts w:hint="eastAsia" w:hAnsi="宋体" w:cs="宋体"/>
                <w:color w:val="auto"/>
              </w:rPr>
            </w:pPr>
          </w:p>
        </w:tc>
        <w:tc>
          <w:tcPr>
            <w:tcW w:w="8510" w:type="dxa"/>
            <w:noWrap w:val="0"/>
            <w:vAlign w:val="center"/>
          </w:tcPr>
          <w:p w14:paraId="1CC27A56">
            <w:pPr>
              <w:pStyle w:val="102"/>
              <w:spacing w:line="360" w:lineRule="auto"/>
              <w:ind w:left="-36" w:firstLine="36"/>
              <w:rPr>
                <w:rFonts w:hint="eastAsia" w:hAnsi="宋体" w:cs="宋体"/>
                <w:color w:val="auto"/>
              </w:rPr>
            </w:pPr>
            <w:r>
              <w:rPr>
                <w:rFonts w:hint="eastAsia" w:hAnsi="宋体" w:cs="宋体"/>
                <w:color w:val="auto"/>
              </w:rPr>
              <w:t>供应商资格：按第一章竞争性磋商第二条规定。</w:t>
            </w:r>
          </w:p>
        </w:tc>
      </w:tr>
      <w:tr w14:paraId="6E90C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noWrap w:val="0"/>
            <w:vAlign w:val="center"/>
          </w:tcPr>
          <w:p w14:paraId="21C69959">
            <w:pPr>
              <w:pStyle w:val="102"/>
              <w:numPr>
                <w:ilvl w:val="0"/>
                <w:numId w:val="3"/>
              </w:numPr>
              <w:spacing w:line="360" w:lineRule="auto"/>
              <w:jc w:val="center"/>
              <w:rPr>
                <w:rFonts w:hint="eastAsia" w:hAnsi="宋体" w:cs="宋体"/>
                <w:color w:val="auto"/>
              </w:rPr>
            </w:pPr>
          </w:p>
        </w:tc>
        <w:tc>
          <w:tcPr>
            <w:tcW w:w="8510" w:type="dxa"/>
            <w:noWrap w:val="0"/>
            <w:vAlign w:val="center"/>
          </w:tcPr>
          <w:p w14:paraId="3DDA3C0C">
            <w:pPr>
              <w:spacing w:line="360" w:lineRule="auto"/>
              <w:rPr>
                <w:rFonts w:hint="eastAsia" w:ascii="宋体" w:hAnsi="宋体" w:cs="宋体"/>
                <w:color w:val="auto"/>
                <w:szCs w:val="21"/>
              </w:rPr>
            </w:pPr>
            <w:r>
              <w:rPr>
                <w:rFonts w:hint="eastAsia" w:ascii="宋体" w:hAnsi="宋体" w:cs="宋体"/>
                <w:color w:val="auto"/>
              </w:rPr>
              <w:t>磋商报价：供应商必须就所竞项目的全部内容作完整唯一报价，漏项报价的或有选择的或有条件的报价，其响应文件将视为无效。</w:t>
            </w:r>
          </w:p>
        </w:tc>
      </w:tr>
      <w:tr w14:paraId="239F0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noWrap w:val="0"/>
            <w:vAlign w:val="center"/>
          </w:tcPr>
          <w:p w14:paraId="24F3F02B">
            <w:pPr>
              <w:pStyle w:val="102"/>
              <w:numPr>
                <w:ilvl w:val="0"/>
                <w:numId w:val="3"/>
              </w:numPr>
              <w:spacing w:line="360" w:lineRule="auto"/>
              <w:jc w:val="center"/>
              <w:rPr>
                <w:rFonts w:hint="eastAsia" w:hAnsi="宋体" w:cs="宋体"/>
                <w:color w:val="auto"/>
              </w:rPr>
            </w:pPr>
          </w:p>
        </w:tc>
        <w:tc>
          <w:tcPr>
            <w:tcW w:w="8510" w:type="dxa"/>
            <w:noWrap w:val="0"/>
            <w:vAlign w:val="center"/>
          </w:tcPr>
          <w:p w14:paraId="311924FD">
            <w:pPr>
              <w:spacing w:line="360" w:lineRule="auto"/>
              <w:rPr>
                <w:rFonts w:hint="eastAsia" w:ascii="宋体" w:hAnsi="宋体" w:cs="宋体"/>
                <w:color w:val="auto"/>
              </w:rPr>
            </w:pPr>
            <w:r>
              <w:rPr>
                <w:rFonts w:hint="eastAsia" w:ascii="宋体" w:hAnsi="宋体" w:cs="宋体"/>
                <w:color w:val="auto"/>
              </w:rPr>
              <w:t>成交服务费：本项目的成交服务费按本须知16.1款规定的标准采用差额定率累进计费方式计取，由成交供应商在发布成交结果公告后，一次性向采购代理机构支付。</w:t>
            </w:r>
          </w:p>
        </w:tc>
      </w:tr>
      <w:tr w14:paraId="1EE7C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noWrap w:val="0"/>
            <w:vAlign w:val="center"/>
          </w:tcPr>
          <w:p w14:paraId="0AE808F1">
            <w:pPr>
              <w:pStyle w:val="102"/>
              <w:numPr>
                <w:ilvl w:val="0"/>
                <w:numId w:val="3"/>
              </w:numPr>
              <w:spacing w:line="360" w:lineRule="auto"/>
              <w:jc w:val="center"/>
              <w:rPr>
                <w:rFonts w:hint="eastAsia" w:hAnsi="宋体" w:cs="宋体"/>
                <w:color w:val="auto"/>
              </w:rPr>
            </w:pPr>
          </w:p>
        </w:tc>
        <w:tc>
          <w:tcPr>
            <w:tcW w:w="8510" w:type="dxa"/>
            <w:noWrap w:val="0"/>
            <w:vAlign w:val="center"/>
          </w:tcPr>
          <w:p w14:paraId="153BB8B8">
            <w:pPr>
              <w:pStyle w:val="22"/>
              <w:spacing w:line="360" w:lineRule="auto"/>
              <w:rPr>
                <w:rFonts w:hint="eastAsia" w:hAnsi="宋体" w:cs="宋体"/>
                <w:color w:val="auto"/>
              </w:rPr>
            </w:pPr>
            <w:r>
              <w:rPr>
                <w:rFonts w:hint="eastAsia" w:hAnsi="宋体" w:cs="宋体"/>
                <w:color w:val="auto"/>
              </w:rPr>
              <w:t>响应文件的上传和提交：本项目通过</w:t>
            </w:r>
            <w:r>
              <w:rPr>
                <w:rFonts w:hint="eastAsia" w:hAnsi="宋体"/>
                <w:color w:val="auto"/>
              </w:rPr>
              <w:fldChar w:fldCharType="begin"/>
            </w:r>
            <w:r>
              <w:rPr>
                <w:rFonts w:hint="eastAsia" w:hAnsi="宋体"/>
                <w:color w:val="auto"/>
              </w:rPr>
              <w:instrText xml:space="preserve"> HYPERLINK "" </w:instrText>
            </w:r>
            <w:r>
              <w:rPr>
                <w:rFonts w:hAnsi="宋体"/>
                <w:color w:val="auto"/>
              </w:rPr>
              <w:fldChar w:fldCharType="separate"/>
            </w:r>
            <w:r>
              <w:rPr>
                <w:rFonts w:hint="eastAsia" w:hAnsi="宋体"/>
                <w:color w:val="auto"/>
              </w:rPr>
              <w:fldChar w:fldCharType="end"/>
            </w:r>
            <w:r>
              <w:rPr>
                <w:rFonts w:hint="eastAsia" w:ascii="FangSong_GB2312" w:hAnsi="仿宋" w:eastAsia="FangSong_GB2312"/>
                <w:color w:val="auto"/>
                <w:sz w:val="24"/>
              </w:rPr>
              <w:t>“</w:t>
            </w:r>
            <w:r>
              <w:rPr>
                <w:rFonts w:hint="eastAsia" w:hAnsi="宋体"/>
                <w:color w:val="auto"/>
              </w:rPr>
              <w:t>广西政府采购云平台</w:t>
            </w:r>
            <w:r>
              <w:rPr>
                <w:rFonts w:hint="eastAsia" w:ascii="FangSong_GB2312" w:hAnsi="仿宋" w:eastAsia="FangSong_GB2312"/>
                <w:color w:val="auto"/>
                <w:sz w:val="24"/>
              </w:rPr>
              <w:t>”</w:t>
            </w:r>
            <w:r>
              <w:rPr>
                <w:rFonts w:hint="eastAsia" w:hAnsi="宋体"/>
                <w:color w:val="auto"/>
              </w:rPr>
              <w:t xml:space="preserve">（ </w:t>
            </w:r>
            <w:r>
              <w:rPr>
                <w:rFonts w:hAnsi="宋体"/>
                <w:bCs/>
                <w:color w:val="auto"/>
              </w:rPr>
              <w:fldChar w:fldCharType="begin"/>
            </w:r>
            <w:r>
              <w:rPr>
                <w:rFonts w:hAnsi="宋体"/>
                <w:bCs/>
                <w:color w:val="auto"/>
              </w:rPr>
              <w:instrText xml:space="preserve"> HYPERLINK "</w:instrText>
            </w:r>
            <w:r>
              <w:rPr>
                <w:rFonts w:hint="eastAsia" w:hAnsi="宋体"/>
                <w:bCs/>
                <w:color w:val="auto"/>
              </w:rPr>
              <w:instrText xml:space="preserve">https://www.gcy.zfcg.gxzf.gov.cn/</w:instrText>
            </w:r>
            <w:r>
              <w:rPr>
                <w:rFonts w:hint="eastAsia" w:hAnsi="宋体"/>
                <w:color w:val="auto"/>
              </w:rPr>
              <w:instrText xml:space="preserve">）获取（下载）招标文件，并于</w:instrText>
            </w:r>
            <w:r>
              <w:rPr>
                <w:rFonts w:hAnsi="宋体"/>
                <w:color w:val="auto"/>
              </w:rPr>
              <w:instrText xml:space="preserve"> 202</w:instrText>
            </w:r>
            <w:r>
              <w:rPr>
                <w:rFonts w:hint="eastAsia" w:hAnsi="宋体"/>
                <w:color w:val="auto"/>
              </w:rPr>
              <w:instrText xml:space="preserve">4年3月 18  日 9</w:instrText>
            </w:r>
            <w:r>
              <w:rPr>
                <w:rFonts w:hAnsi="宋体"/>
                <w:bCs/>
                <w:color w:val="auto"/>
              </w:rPr>
              <w:instrText xml:space="preserve">" </w:instrText>
            </w:r>
            <w:r>
              <w:rPr>
                <w:rFonts w:hAnsi="宋体"/>
                <w:bCs/>
                <w:color w:val="auto"/>
              </w:rPr>
              <w:fldChar w:fldCharType="separate"/>
            </w:r>
            <w:r>
              <w:rPr>
                <w:rFonts w:hint="eastAsia" w:hAnsi="宋体"/>
                <w:bCs/>
                <w:color w:val="auto"/>
                <w:u w:val="single"/>
              </w:rPr>
              <w:t>https://www.gcy.zfcg.gxzf.gov.cn/</w:t>
            </w:r>
            <w:r>
              <w:rPr>
                <w:rFonts w:hint="eastAsia" w:hAnsi="宋体"/>
                <w:color w:val="auto"/>
                <w:u w:val="single"/>
              </w:rPr>
              <w:t>）</w:t>
            </w:r>
            <w:r>
              <w:rPr>
                <w:rFonts w:hAnsi="宋体"/>
                <w:bCs/>
                <w:color w:val="auto"/>
              </w:rPr>
              <w:fldChar w:fldCharType="end"/>
            </w:r>
            <w:r>
              <w:rPr>
                <w:rFonts w:hint="eastAsia" w:hAnsi="宋体" w:cs="宋体"/>
                <w:color w:val="auto"/>
              </w:rPr>
              <w:t>实行在线竞标响应（电子标），竞标供应商应当在</w:t>
            </w:r>
            <w:r>
              <w:rPr>
                <w:rFonts w:hint="eastAsia" w:hAnsi="宋体" w:cs="宋体"/>
                <w:b/>
                <w:color w:val="auto"/>
              </w:rPr>
              <w:t>响应文件提交截止时间</w:t>
            </w:r>
            <w:r>
              <w:rPr>
                <w:rFonts w:hint="eastAsia" w:hAnsi="宋体" w:cs="宋体"/>
                <w:color w:val="auto"/>
              </w:rPr>
              <w:t>前，将生成的“电子加密响应文件”上传提交至“</w:t>
            </w:r>
            <w:r>
              <w:rPr>
                <w:rFonts w:hint="eastAsia" w:hAnsi="宋体"/>
                <w:color w:val="auto"/>
              </w:rPr>
              <w:t>广西政府采购云</w:t>
            </w:r>
            <w:r>
              <w:rPr>
                <w:rFonts w:hint="eastAsia" w:hAnsi="宋体" w:cs="宋体"/>
                <w:color w:val="auto"/>
              </w:rPr>
              <w:t>平台”。</w:t>
            </w:r>
          </w:p>
          <w:p w14:paraId="3C9B2E71">
            <w:pPr>
              <w:pStyle w:val="22"/>
              <w:spacing w:line="360" w:lineRule="auto"/>
              <w:rPr>
                <w:rFonts w:hint="eastAsia" w:hAnsi="宋体" w:cs="宋体"/>
                <w:color w:val="auto"/>
              </w:rPr>
            </w:pPr>
            <w:r>
              <w:rPr>
                <w:rFonts w:hint="eastAsia" w:hAnsi="宋体" w:cs="宋体"/>
                <w:color w:val="auto"/>
              </w:rPr>
              <w:t>“电子加密响应文件”的上传、提交：</w:t>
            </w:r>
          </w:p>
          <w:p w14:paraId="3D0B510F">
            <w:pPr>
              <w:pStyle w:val="22"/>
              <w:spacing w:line="360" w:lineRule="auto"/>
              <w:rPr>
                <w:rFonts w:hint="eastAsia" w:hAnsi="宋体" w:cs="宋体"/>
                <w:color w:val="auto"/>
              </w:rPr>
            </w:pPr>
            <w:r>
              <w:rPr>
                <w:rFonts w:hint="eastAsia" w:hAnsi="宋体" w:cs="宋体"/>
                <w:color w:val="auto"/>
              </w:rPr>
              <w:t>a.磋商供应商应在</w:t>
            </w:r>
            <w:r>
              <w:rPr>
                <w:rFonts w:hint="eastAsia" w:hAnsi="宋体" w:cs="宋体"/>
                <w:b/>
                <w:color w:val="auto"/>
              </w:rPr>
              <w:t>响应文件提交截止时间</w:t>
            </w:r>
            <w:r>
              <w:rPr>
                <w:rFonts w:hint="eastAsia" w:hAnsi="宋体" w:cs="宋体"/>
                <w:color w:val="auto"/>
              </w:rPr>
              <w:t>前将“电子加密响应文件”成功上传提交至“广西政府采购云平台”，否则磋商无效。</w:t>
            </w:r>
          </w:p>
          <w:p w14:paraId="7BD8AF19">
            <w:pPr>
              <w:pStyle w:val="22"/>
              <w:spacing w:line="360" w:lineRule="auto"/>
              <w:rPr>
                <w:rFonts w:hint="eastAsia" w:hAnsi="宋体" w:cs="宋体"/>
                <w:color w:val="auto"/>
              </w:rPr>
            </w:pPr>
            <w:r>
              <w:rPr>
                <w:rFonts w:hint="eastAsia" w:hAnsi="宋体" w:cs="宋体"/>
                <w:color w:val="auto"/>
              </w:rPr>
              <w:t>b.“电子加密磋商响应文件”成功上传提交后，供应商可自行打印响应文件接收回执。</w:t>
            </w:r>
          </w:p>
        </w:tc>
      </w:tr>
      <w:tr w14:paraId="12487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noWrap w:val="0"/>
            <w:vAlign w:val="center"/>
          </w:tcPr>
          <w:p w14:paraId="50D6D11C">
            <w:pPr>
              <w:pStyle w:val="102"/>
              <w:numPr>
                <w:ilvl w:val="0"/>
                <w:numId w:val="3"/>
              </w:numPr>
              <w:spacing w:line="360" w:lineRule="auto"/>
              <w:jc w:val="center"/>
              <w:rPr>
                <w:rFonts w:hint="eastAsia" w:hAnsi="宋体" w:cs="宋体"/>
                <w:color w:val="auto"/>
              </w:rPr>
            </w:pPr>
          </w:p>
        </w:tc>
        <w:tc>
          <w:tcPr>
            <w:tcW w:w="8510" w:type="dxa"/>
            <w:noWrap w:val="0"/>
            <w:vAlign w:val="center"/>
          </w:tcPr>
          <w:p w14:paraId="302A7946">
            <w:pPr>
              <w:pStyle w:val="102"/>
              <w:spacing w:line="360" w:lineRule="auto"/>
              <w:rPr>
                <w:rFonts w:hint="eastAsia" w:hAnsi="宋体" w:cs="宋体"/>
                <w:bCs/>
                <w:color w:val="auto"/>
              </w:rPr>
            </w:pPr>
            <w:r>
              <w:rPr>
                <w:rFonts w:hint="eastAsia" w:hAnsi="宋体" w:cs="宋体"/>
                <w:color w:val="auto"/>
              </w:rPr>
              <w:t>响应文件递交截止时间：</w:t>
            </w:r>
            <w:r>
              <w:rPr>
                <w:rFonts w:hint="eastAsia" w:hAnsi="宋体" w:cs="宋体"/>
                <w:color w:val="auto"/>
                <w:szCs w:val="21"/>
                <w:u w:val="single"/>
              </w:rPr>
              <w:t>详见竞争性磋商公告</w:t>
            </w:r>
          </w:p>
          <w:p w14:paraId="3E819069">
            <w:pPr>
              <w:pStyle w:val="22"/>
              <w:spacing w:line="360" w:lineRule="auto"/>
              <w:rPr>
                <w:rFonts w:hint="eastAsia" w:hAnsi="宋体" w:cs="宋体"/>
                <w:color w:val="auto"/>
              </w:rPr>
            </w:pPr>
            <w:r>
              <w:rPr>
                <w:rFonts w:hint="eastAsia" w:hAnsi="宋体" w:cs="宋体"/>
                <w:color w:val="auto"/>
              </w:rPr>
              <w:t>响应文件递交地址：</w:t>
            </w:r>
            <w:r>
              <w:rPr>
                <w:rFonts w:hint="eastAsia" w:hAnsi="宋体" w:cs="宋体"/>
                <w:color w:val="auto"/>
                <w:u w:val="single"/>
              </w:rPr>
              <w:t>详见竞争性磋商公告</w:t>
            </w:r>
          </w:p>
        </w:tc>
      </w:tr>
      <w:tr w14:paraId="58CD6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6" w:type="dxa"/>
            <w:noWrap w:val="0"/>
            <w:vAlign w:val="center"/>
          </w:tcPr>
          <w:p w14:paraId="11AEEDBD">
            <w:pPr>
              <w:pStyle w:val="102"/>
              <w:numPr>
                <w:ilvl w:val="0"/>
                <w:numId w:val="3"/>
              </w:numPr>
              <w:spacing w:line="360" w:lineRule="auto"/>
              <w:jc w:val="center"/>
              <w:rPr>
                <w:rFonts w:hint="eastAsia" w:hAnsi="宋体" w:cs="宋体"/>
                <w:color w:val="auto"/>
              </w:rPr>
            </w:pPr>
          </w:p>
        </w:tc>
        <w:tc>
          <w:tcPr>
            <w:tcW w:w="8510" w:type="dxa"/>
            <w:noWrap w:val="0"/>
            <w:vAlign w:val="center"/>
          </w:tcPr>
          <w:p w14:paraId="7E1FBA30">
            <w:pPr>
              <w:pStyle w:val="102"/>
              <w:spacing w:line="360" w:lineRule="auto"/>
              <w:rPr>
                <w:rFonts w:hint="eastAsia" w:hAnsi="宋体" w:cs="宋体"/>
                <w:color w:val="auto"/>
              </w:rPr>
            </w:pPr>
            <w:r>
              <w:rPr>
                <w:rFonts w:hint="eastAsia" w:hAnsi="宋体" w:cs="宋体"/>
                <w:color w:val="auto"/>
              </w:rPr>
              <w:t>竞争性磋商响应文件有效期：响应文件递交截止日期后60日。</w:t>
            </w:r>
          </w:p>
        </w:tc>
      </w:tr>
      <w:tr w14:paraId="13E74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7915DC58">
            <w:pPr>
              <w:pStyle w:val="102"/>
              <w:numPr>
                <w:ilvl w:val="0"/>
                <w:numId w:val="3"/>
              </w:numPr>
              <w:spacing w:line="360" w:lineRule="auto"/>
              <w:jc w:val="center"/>
              <w:rPr>
                <w:rFonts w:hint="eastAsia" w:hAnsi="宋体" w:cs="宋体"/>
                <w:color w:val="auto"/>
              </w:rPr>
            </w:pPr>
          </w:p>
        </w:tc>
        <w:tc>
          <w:tcPr>
            <w:tcW w:w="8510" w:type="dxa"/>
            <w:noWrap w:val="0"/>
            <w:vAlign w:val="center"/>
          </w:tcPr>
          <w:p w14:paraId="0CBC8B05">
            <w:pPr>
              <w:pStyle w:val="22"/>
              <w:spacing w:line="360" w:lineRule="auto"/>
              <w:rPr>
                <w:rFonts w:hint="eastAsia" w:hAnsi="宋体" w:cs="宋体"/>
                <w:color w:val="auto"/>
              </w:rPr>
            </w:pPr>
            <w:r>
              <w:rPr>
                <w:rFonts w:hint="eastAsia" w:hAnsi="宋体" w:cs="宋体"/>
                <w:color w:val="auto"/>
              </w:rPr>
              <w:t>磋商保证金（人民币）：</w:t>
            </w:r>
            <w:r>
              <w:rPr>
                <w:rFonts w:hint="eastAsia" w:hAnsi="宋体" w:cs="宋体"/>
                <w:color w:val="auto"/>
                <w:u w:val="single"/>
              </w:rPr>
              <w:t>详见竞争性磋商公告</w:t>
            </w:r>
          </w:p>
        </w:tc>
      </w:tr>
      <w:tr w14:paraId="48FE8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3AF53E3A">
            <w:pPr>
              <w:pStyle w:val="102"/>
              <w:numPr>
                <w:ilvl w:val="0"/>
                <w:numId w:val="3"/>
              </w:numPr>
              <w:spacing w:line="360" w:lineRule="auto"/>
              <w:jc w:val="center"/>
              <w:rPr>
                <w:rFonts w:hint="eastAsia" w:hAnsi="宋体" w:cs="宋体"/>
                <w:color w:val="auto"/>
              </w:rPr>
            </w:pPr>
          </w:p>
        </w:tc>
        <w:tc>
          <w:tcPr>
            <w:tcW w:w="8510" w:type="dxa"/>
            <w:noWrap w:val="0"/>
            <w:vAlign w:val="center"/>
          </w:tcPr>
          <w:p w14:paraId="76B84E94">
            <w:pPr>
              <w:pStyle w:val="102"/>
              <w:spacing w:line="360" w:lineRule="auto"/>
              <w:rPr>
                <w:rFonts w:hint="eastAsia" w:hAnsi="宋体" w:cs="宋体"/>
                <w:bCs/>
                <w:color w:val="auto"/>
              </w:rPr>
            </w:pPr>
            <w:r>
              <w:rPr>
                <w:rFonts w:hint="eastAsia" w:hAnsi="宋体" w:cs="宋体"/>
                <w:bCs/>
                <w:color w:val="auto"/>
              </w:rPr>
              <w:t>磋商时间：</w:t>
            </w:r>
            <w:r>
              <w:rPr>
                <w:rFonts w:hint="eastAsia" w:hAnsi="宋体" w:cs="宋体"/>
                <w:color w:val="auto"/>
                <w:szCs w:val="21"/>
                <w:u w:val="single"/>
              </w:rPr>
              <w:t>详见竞争性磋商公告</w:t>
            </w:r>
          </w:p>
          <w:p w14:paraId="0B95CCA1">
            <w:pPr>
              <w:pStyle w:val="102"/>
              <w:spacing w:line="360" w:lineRule="auto"/>
              <w:rPr>
                <w:rFonts w:hint="eastAsia" w:hAnsi="宋体" w:cs="宋体"/>
                <w:color w:val="auto"/>
              </w:rPr>
            </w:pPr>
            <w:r>
              <w:rPr>
                <w:rFonts w:hint="eastAsia" w:hAnsi="宋体" w:cs="宋体"/>
                <w:bCs/>
                <w:color w:val="auto"/>
              </w:rPr>
              <w:t>磋商地点：</w:t>
            </w:r>
            <w:r>
              <w:rPr>
                <w:rFonts w:hint="eastAsia" w:hAnsi="宋体" w:cs="宋体"/>
                <w:color w:val="auto"/>
                <w:u w:val="single"/>
              </w:rPr>
              <w:t>详见竞争性磋商</w:t>
            </w:r>
            <w:r>
              <w:rPr>
                <w:rFonts w:hint="eastAsia" w:hAnsi="宋体" w:cs="宋体"/>
                <w:color w:val="auto"/>
                <w:szCs w:val="21"/>
                <w:u w:val="single"/>
              </w:rPr>
              <w:t>公告</w:t>
            </w:r>
          </w:p>
        </w:tc>
      </w:tr>
      <w:tr w14:paraId="2A318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278407AC">
            <w:pPr>
              <w:pStyle w:val="102"/>
              <w:numPr>
                <w:ilvl w:val="0"/>
                <w:numId w:val="3"/>
              </w:numPr>
              <w:spacing w:line="360" w:lineRule="auto"/>
              <w:jc w:val="center"/>
              <w:rPr>
                <w:rFonts w:hint="eastAsia" w:hAnsi="宋体" w:cs="宋体"/>
                <w:color w:val="auto"/>
              </w:rPr>
            </w:pPr>
          </w:p>
        </w:tc>
        <w:tc>
          <w:tcPr>
            <w:tcW w:w="8510" w:type="dxa"/>
            <w:noWrap w:val="0"/>
            <w:vAlign w:val="center"/>
          </w:tcPr>
          <w:p w14:paraId="60C0DFAD">
            <w:pPr>
              <w:pStyle w:val="102"/>
              <w:spacing w:line="360" w:lineRule="auto"/>
              <w:rPr>
                <w:rFonts w:hint="eastAsia" w:hAnsi="宋体" w:cs="宋体"/>
                <w:color w:val="auto"/>
              </w:rPr>
            </w:pPr>
            <w:r>
              <w:rPr>
                <w:rFonts w:hint="eastAsia" w:hAnsi="宋体" w:cs="宋体"/>
                <w:color w:val="auto"/>
              </w:rPr>
              <w:t>评标方法：综合评分法（详细见第六章）</w:t>
            </w:r>
          </w:p>
        </w:tc>
      </w:tr>
      <w:tr w14:paraId="76D77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00917144">
            <w:pPr>
              <w:pStyle w:val="102"/>
              <w:numPr>
                <w:ilvl w:val="0"/>
                <w:numId w:val="3"/>
              </w:numPr>
              <w:spacing w:line="360" w:lineRule="auto"/>
              <w:jc w:val="center"/>
              <w:rPr>
                <w:rFonts w:hint="eastAsia" w:hAnsi="宋体" w:cs="宋体"/>
                <w:color w:val="auto"/>
              </w:rPr>
            </w:pPr>
          </w:p>
        </w:tc>
        <w:tc>
          <w:tcPr>
            <w:tcW w:w="8510" w:type="dxa"/>
            <w:noWrap w:val="0"/>
            <w:vAlign w:val="center"/>
          </w:tcPr>
          <w:p w14:paraId="55C3564C">
            <w:pPr>
              <w:spacing w:line="360" w:lineRule="auto"/>
              <w:rPr>
                <w:rFonts w:hint="eastAsia" w:ascii="宋体" w:hAnsi="宋体" w:cs="宋体"/>
                <w:snapToGrid w:val="0"/>
                <w:color w:val="auto"/>
                <w:szCs w:val="21"/>
              </w:rPr>
            </w:pPr>
            <w:r>
              <w:rPr>
                <w:rFonts w:hint="eastAsia" w:ascii="宋体" w:hAnsi="宋体" w:cs="宋体"/>
                <w:color w:val="auto"/>
                <w:szCs w:val="21"/>
              </w:rPr>
              <w:t>响应文件形式：</w:t>
            </w:r>
            <w:r>
              <w:rPr>
                <w:rFonts w:hint="eastAsia" w:ascii="宋体" w:hAnsi="宋体" w:cs="宋体"/>
                <w:snapToGrid w:val="0"/>
                <w:color w:val="auto"/>
                <w:szCs w:val="21"/>
              </w:rPr>
              <w:t>磋商供应商应准备电子响应文件。</w:t>
            </w:r>
          </w:p>
          <w:p w14:paraId="438AAC46">
            <w:pPr>
              <w:pStyle w:val="102"/>
              <w:spacing w:line="360" w:lineRule="auto"/>
              <w:rPr>
                <w:rFonts w:hint="eastAsia" w:hAnsi="宋体" w:cs="宋体"/>
                <w:color w:val="auto"/>
                <w:szCs w:val="21"/>
              </w:rPr>
            </w:pPr>
            <w:r>
              <w:rPr>
                <w:rFonts w:hint="eastAsia" w:hAnsi="宋体" w:cs="宋体"/>
                <w:snapToGrid w:val="0"/>
                <w:color w:val="auto"/>
                <w:szCs w:val="21"/>
              </w:rPr>
              <w:t>电子响应文件是指通过“</w:t>
            </w:r>
            <w:r>
              <w:rPr>
                <w:rFonts w:hint="eastAsia" w:hAnsi="宋体" w:cs="宋体"/>
                <w:color w:val="auto"/>
              </w:rPr>
              <w:t>广西政府采购云平台</w:t>
            </w:r>
            <w:r>
              <w:rPr>
                <w:rFonts w:hint="eastAsia" w:hAnsi="宋体" w:cs="宋体"/>
                <w:snapToGrid w:val="0"/>
                <w:color w:val="auto"/>
                <w:szCs w:val="21"/>
              </w:rPr>
              <w:t>电子投标客户端”完成响应文件编制后生成并加密的数据电文形式的电子加密响应文件。</w:t>
            </w:r>
          </w:p>
        </w:tc>
      </w:tr>
      <w:tr w14:paraId="56271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5809516F">
            <w:pPr>
              <w:pStyle w:val="102"/>
              <w:numPr>
                <w:ilvl w:val="0"/>
                <w:numId w:val="3"/>
              </w:numPr>
              <w:spacing w:line="360" w:lineRule="auto"/>
              <w:jc w:val="center"/>
              <w:rPr>
                <w:rFonts w:hint="eastAsia" w:hAnsi="宋体" w:cs="宋体"/>
                <w:color w:val="auto"/>
              </w:rPr>
            </w:pPr>
          </w:p>
        </w:tc>
        <w:tc>
          <w:tcPr>
            <w:tcW w:w="8510" w:type="dxa"/>
            <w:noWrap w:val="0"/>
            <w:vAlign w:val="center"/>
          </w:tcPr>
          <w:p w14:paraId="5E17AA9C">
            <w:pPr>
              <w:pStyle w:val="102"/>
              <w:spacing w:line="360" w:lineRule="auto"/>
              <w:rPr>
                <w:rFonts w:hint="eastAsia" w:hAnsi="宋体" w:cs="宋体"/>
                <w:color w:val="auto"/>
                <w:szCs w:val="21"/>
              </w:rPr>
            </w:pPr>
            <w:r>
              <w:rPr>
                <w:rFonts w:hint="eastAsia" w:hAnsi="宋体" w:cs="宋体"/>
                <w:snapToGrid w:val="0"/>
                <w:color w:val="auto"/>
                <w:szCs w:val="21"/>
              </w:rPr>
              <w:t>响应文件的编制：供应商应先安装“</w:t>
            </w:r>
            <w:r>
              <w:rPr>
                <w:rFonts w:hint="eastAsia" w:hAnsi="宋体" w:cs="宋体"/>
                <w:color w:val="auto"/>
              </w:rPr>
              <w:t>广西政府采购云平台</w:t>
            </w:r>
            <w:r>
              <w:rPr>
                <w:rFonts w:hint="eastAsia" w:hAnsi="宋体" w:cs="宋体"/>
                <w:snapToGrid w:val="0"/>
                <w:color w:val="auto"/>
                <w:szCs w:val="21"/>
              </w:rPr>
              <w:t>电子投标客户端”，并按照本竞争性磋商文件和“</w:t>
            </w:r>
            <w:r>
              <w:rPr>
                <w:rFonts w:hint="eastAsia" w:hAnsi="宋体" w:cs="宋体"/>
                <w:color w:val="auto"/>
              </w:rPr>
              <w:t>广西政府采购云平台</w:t>
            </w:r>
            <w:r>
              <w:rPr>
                <w:rFonts w:hint="eastAsia" w:hAnsi="宋体" w:cs="宋体"/>
                <w:snapToGrid w:val="0"/>
                <w:color w:val="auto"/>
                <w:szCs w:val="21"/>
              </w:rPr>
              <w:t>”的要求，通过“</w:t>
            </w:r>
            <w:r>
              <w:rPr>
                <w:rFonts w:hint="eastAsia" w:hAnsi="宋体" w:cs="宋体"/>
                <w:color w:val="auto"/>
              </w:rPr>
              <w:t>广西政府采购云平台</w:t>
            </w:r>
            <w:r>
              <w:rPr>
                <w:rFonts w:hint="eastAsia" w:hAnsi="宋体" w:cs="宋体"/>
                <w:snapToGrid w:val="0"/>
                <w:color w:val="auto"/>
                <w:szCs w:val="21"/>
              </w:rPr>
              <w:t>电子投标客户端”编制并加密响应文件。</w:t>
            </w:r>
          </w:p>
        </w:tc>
      </w:tr>
      <w:tr w14:paraId="50B1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45055FEA">
            <w:pPr>
              <w:pStyle w:val="102"/>
              <w:numPr>
                <w:ilvl w:val="0"/>
                <w:numId w:val="3"/>
              </w:numPr>
              <w:spacing w:line="360" w:lineRule="auto"/>
              <w:jc w:val="center"/>
              <w:rPr>
                <w:rFonts w:hint="eastAsia" w:hAnsi="宋体" w:cs="宋体"/>
                <w:color w:val="auto"/>
              </w:rPr>
            </w:pPr>
          </w:p>
        </w:tc>
        <w:tc>
          <w:tcPr>
            <w:tcW w:w="8510" w:type="dxa"/>
            <w:noWrap w:val="0"/>
            <w:vAlign w:val="center"/>
          </w:tcPr>
          <w:p w14:paraId="17215F04">
            <w:pPr>
              <w:pStyle w:val="102"/>
              <w:spacing w:line="360" w:lineRule="auto"/>
              <w:rPr>
                <w:rFonts w:hint="eastAsia" w:hAnsi="宋体" w:cs="宋体"/>
                <w:color w:val="auto"/>
                <w:szCs w:val="21"/>
              </w:rPr>
            </w:pPr>
            <w:r>
              <w:rPr>
                <w:rFonts w:hint="eastAsia" w:hAnsi="宋体" w:cs="宋体"/>
                <w:snapToGrid w:val="0"/>
                <w:color w:val="auto"/>
                <w:szCs w:val="21"/>
              </w:rPr>
              <w:t>响应文件的盖章：响应文件中所涉及的加盖公章均采用CA电子签章。</w:t>
            </w:r>
          </w:p>
        </w:tc>
      </w:tr>
      <w:tr w14:paraId="7D83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545C10CA">
            <w:pPr>
              <w:pStyle w:val="102"/>
              <w:numPr>
                <w:ilvl w:val="0"/>
                <w:numId w:val="3"/>
              </w:numPr>
              <w:spacing w:line="360" w:lineRule="auto"/>
              <w:jc w:val="center"/>
              <w:rPr>
                <w:rFonts w:hint="eastAsia" w:hAnsi="宋体" w:cs="宋体"/>
                <w:color w:val="auto"/>
              </w:rPr>
            </w:pPr>
          </w:p>
        </w:tc>
        <w:tc>
          <w:tcPr>
            <w:tcW w:w="8510" w:type="dxa"/>
            <w:noWrap w:val="0"/>
            <w:vAlign w:val="center"/>
          </w:tcPr>
          <w:p w14:paraId="02742A63">
            <w:pPr>
              <w:pStyle w:val="102"/>
              <w:spacing w:line="360" w:lineRule="auto"/>
              <w:rPr>
                <w:rFonts w:hint="eastAsia" w:hAnsi="宋体" w:cs="宋体"/>
                <w:color w:val="auto"/>
                <w:szCs w:val="21"/>
              </w:rPr>
            </w:pPr>
            <w:r>
              <w:rPr>
                <w:rFonts w:hint="eastAsia" w:hAnsi="宋体" w:cs="宋体"/>
                <w:snapToGrid w:val="0"/>
                <w:color w:val="auto"/>
                <w:szCs w:val="21"/>
              </w:rPr>
              <w:t>法定代表人或其授权代表签字或盖章：本竞争性磋商文件所涉及的法定代表人或其授权代表签字或盖章的内容，如果磋商供应商没有法定代表人电子签章，涉及到法定代表人或其授权代表签字或盖章的内容，磋商供应商可以线下签字或盖章后扫描上传。</w:t>
            </w:r>
          </w:p>
        </w:tc>
      </w:tr>
      <w:tr w14:paraId="2F186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2A847712">
            <w:pPr>
              <w:pStyle w:val="102"/>
              <w:numPr>
                <w:ilvl w:val="0"/>
                <w:numId w:val="3"/>
              </w:numPr>
              <w:spacing w:line="360" w:lineRule="auto"/>
              <w:jc w:val="center"/>
              <w:rPr>
                <w:rFonts w:hint="eastAsia" w:hAnsi="宋体" w:cs="宋体"/>
                <w:color w:val="auto"/>
              </w:rPr>
            </w:pPr>
          </w:p>
        </w:tc>
        <w:tc>
          <w:tcPr>
            <w:tcW w:w="8510" w:type="dxa"/>
            <w:noWrap w:val="0"/>
            <w:vAlign w:val="center"/>
          </w:tcPr>
          <w:p w14:paraId="1278B6CB">
            <w:pPr>
              <w:pStyle w:val="102"/>
              <w:spacing w:line="360" w:lineRule="auto"/>
              <w:rPr>
                <w:rFonts w:hint="eastAsia" w:hAnsi="宋体" w:cs="宋体"/>
                <w:color w:val="auto"/>
                <w:szCs w:val="21"/>
              </w:rPr>
            </w:pPr>
            <w:r>
              <w:rPr>
                <w:rFonts w:hint="eastAsia" w:hAnsi="宋体" w:cs="宋体"/>
                <w:snapToGrid w:val="0"/>
                <w:color w:val="auto"/>
                <w:szCs w:val="21"/>
              </w:rPr>
              <w:t>响应文件份数：电子加密响应文件在线上传提交一份。</w:t>
            </w:r>
          </w:p>
        </w:tc>
      </w:tr>
      <w:tr w14:paraId="6C64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6C3CA66B">
            <w:pPr>
              <w:pStyle w:val="102"/>
              <w:numPr>
                <w:ilvl w:val="0"/>
                <w:numId w:val="3"/>
              </w:numPr>
              <w:spacing w:line="360" w:lineRule="auto"/>
              <w:jc w:val="center"/>
              <w:rPr>
                <w:rFonts w:hint="eastAsia" w:hAnsi="宋体" w:cs="宋体"/>
                <w:color w:val="auto"/>
              </w:rPr>
            </w:pPr>
          </w:p>
        </w:tc>
        <w:tc>
          <w:tcPr>
            <w:tcW w:w="8510" w:type="dxa"/>
            <w:noWrap w:val="0"/>
            <w:vAlign w:val="center"/>
          </w:tcPr>
          <w:p w14:paraId="112ABB5D">
            <w:pPr>
              <w:pStyle w:val="102"/>
              <w:spacing w:line="360" w:lineRule="auto"/>
              <w:rPr>
                <w:rFonts w:hint="eastAsia" w:hAnsi="宋体" w:cs="宋体"/>
                <w:snapToGrid w:val="0"/>
                <w:color w:val="auto"/>
                <w:szCs w:val="21"/>
              </w:rPr>
            </w:pPr>
            <w:r>
              <w:rPr>
                <w:rFonts w:hint="eastAsia" w:hAnsi="宋体" w:cs="宋体"/>
                <w:snapToGrid w:val="0"/>
                <w:color w:val="auto"/>
                <w:szCs w:val="21"/>
              </w:rPr>
              <w:t>电子加密响应文件的解密：</w:t>
            </w:r>
          </w:p>
          <w:p w14:paraId="109A208E">
            <w:pPr>
              <w:pStyle w:val="102"/>
              <w:spacing w:line="360" w:lineRule="auto"/>
              <w:rPr>
                <w:rFonts w:hint="eastAsia" w:hAnsi="宋体" w:cs="宋体"/>
                <w:snapToGrid w:val="0"/>
                <w:color w:val="auto"/>
                <w:szCs w:val="21"/>
              </w:rPr>
            </w:pPr>
            <w:r>
              <w:rPr>
                <w:rFonts w:hint="eastAsia" w:hAnsi="宋体" w:cs="宋体"/>
                <w:snapToGrid w:val="0"/>
                <w:color w:val="auto"/>
                <w:szCs w:val="21"/>
              </w:rPr>
              <w:t>磋商响应文件开启后，本公司将向各参与磋商供应商发出“电子加密响应文件”的解密通知，各磋商供应商代表应当在接到解密通知后30分钟内自行完成“电子加密响应文件”的在线解密。</w:t>
            </w:r>
          </w:p>
        </w:tc>
      </w:tr>
    </w:tbl>
    <w:p w14:paraId="0BE63B55">
      <w:pPr>
        <w:spacing w:line="360" w:lineRule="auto"/>
        <w:jc w:val="center"/>
        <w:rPr>
          <w:rFonts w:hint="eastAsia" w:ascii="宋体" w:hAnsi="宋体" w:cs="宋体"/>
          <w:b/>
          <w:color w:val="auto"/>
          <w:sz w:val="32"/>
          <w:szCs w:val="32"/>
        </w:rPr>
      </w:pPr>
    </w:p>
    <w:p w14:paraId="09C24745">
      <w:pPr>
        <w:spacing w:line="360" w:lineRule="auto"/>
        <w:jc w:val="center"/>
        <w:outlineLvl w:val="1"/>
        <w:rPr>
          <w:rFonts w:hint="eastAsia" w:ascii="宋体" w:hAnsi="宋体" w:cs="宋体"/>
          <w:b/>
          <w:color w:val="auto"/>
          <w:sz w:val="32"/>
          <w:szCs w:val="32"/>
        </w:rPr>
      </w:pPr>
      <w:r>
        <w:rPr>
          <w:rFonts w:hint="eastAsia" w:ascii="宋体" w:hAnsi="宋体" w:cs="宋体"/>
          <w:b/>
          <w:color w:val="auto"/>
          <w:sz w:val="32"/>
          <w:szCs w:val="32"/>
        </w:rPr>
        <w:br w:type="page"/>
      </w:r>
      <w:r>
        <w:rPr>
          <w:rFonts w:hint="eastAsia" w:ascii="宋体" w:hAnsi="宋体" w:cs="宋体"/>
          <w:b/>
          <w:color w:val="auto"/>
          <w:sz w:val="32"/>
          <w:szCs w:val="32"/>
        </w:rPr>
        <w:t>磋商供应商须知</w:t>
      </w:r>
    </w:p>
    <w:p w14:paraId="1D32CCF1">
      <w:pPr>
        <w:spacing w:line="360" w:lineRule="auto"/>
        <w:ind w:firstLine="422" w:firstLineChars="200"/>
        <w:outlineLvl w:val="2"/>
        <w:rPr>
          <w:rFonts w:hint="eastAsia" w:ascii="宋体" w:hAnsi="宋体" w:cs="宋体"/>
          <w:b/>
          <w:color w:val="auto"/>
          <w:szCs w:val="21"/>
        </w:rPr>
      </w:pPr>
      <w:r>
        <w:rPr>
          <w:rFonts w:hint="eastAsia" w:ascii="宋体" w:hAnsi="宋体" w:cs="宋体"/>
          <w:b/>
          <w:color w:val="auto"/>
          <w:szCs w:val="21"/>
        </w:rPr>
        <w:t>一、总　则</w:t>
      </w:r>
    </w:p>
    <w:p w14:paraId="7A4D49B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 适用范围</w:t>
      </w:r>
    </w:p>
    <w:p w14:paraId="3F972C0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本文件仅适用于本文件中所叙述的</w:t>
      </w:r>
      <w:r>
        <w:rPr>
          <w:rFonts w:hint="eastAsia" w:ascii="宋体" w:hAnsi="宋体" w:cs="宋体"/>
          <w:b/>
          <w:color w:val="auto"/>
          <w:szCs w:val="21"/>
        </w:rPr>
        <w:t>服务类</w:t>
      </w:r>
      <w:r>
        <w:rPr>
          <w:rFonts w:hint="eastAsia" w:ascii="宋体" w:hAnsi="宋体" w:cs="宋体"/>
          <w:color w:val="auto"/>
          <w:szCs w:val="21"/>
        </w:rPr>
        <w:t>政府采购项目。</w:t>
      </w:r>
    </w:p>
    <w:p w14:paraId="5721F0D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 定义</w:t>
      </w:r>
    </w:p>
    <w:p w14:paraId="71A11EF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2.1“采购人”是</w:t>
      </w:r>
      <w:r>
        <w:rPr>
          <w:rFonts w:hint="eastAsia" w:ascii="宋体" w:hAnsi="宋体" w:cs="宋体"/>
          <w:color w:val="auto"/>
        </w:rPr>
        <w:t>指组织本次采购的采购单位</w:t>
      </w:r>
      <w:r>
        <w:rPr>
          <w:rFonts w:hint="eastAsia" w:ascii="宋体" w:hAnsi="宋体" w:cs="宋体"/>
          <w:color w:val="auto"/>
          <w:szCs w:val="21"/>
        </w:rPr>
        <w:t>。</w:t>
      </w:r>
    </w:p>
    <w:p w14:paraId="21923BF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2.2“采购代理机构”是指：</w:t>
      </w:r>
      <w:r>
        <w:rPr>
          <w:rFonts w:hint="eastAsia" w:ascii="宋体" w:hAnsi="宋体" w:cs="宋体"/>
          <w:color w:val="auto"/>
        </w:rPr>
        <w:t>广西汉昌工程咨询有限公司。</w:t>
      </w:r>
    </w:p>
    <w:p w14:paraId="7E5A67E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2.3“磋商供应商”是指响应本文件要求，参加磋商的法人或者其他组织和自然人。如果该供应商在本次磋商中成交,即成为“成交供应商”。</w:t>
      </w:r>
    </w:p>
    <w:p w14:paraId="7205E02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2.4“货物”是指各种形态和种类的物品，包括原材料、燃料、设备、产品等。</w:t>
      </w:r>
    </w:p>
    <w:p w14:paraId="70C843C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2.5“服务”是指除货物和工程以外的其他政府采购对象。</w:t>
      </w:r>
    </w:p>
    <w:p w14:paraId="359AB76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2.6“竞争性磋商响应文件”是指：供应商根据本文件要求，编制包含报价、技术和服务等所有内容的文件。</w:t>
      </w:r>
    </w:p>
    <w:p w14:paraId="3A20B2E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 磋商供应商的基本条件：详见须知前附表。</w:t>
      </w:r>
    </w:p>
    <w:p w14:paraId="68D400B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 磋商费用、代理服务费</w:t>
      </w:r>
    </w:p>
    <w:p w14:paraId="480DC0B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4.1磋商供应商应自行承担所有与编写和提交竞争性磋商响应文件有关的费用，不论磋商结果如何，采购人和</w:t>
      </w:r>
      <w:r>
        <w:rPr>
          <w:rFonts w:hint="eastAsia" w:ascii="宋体" w:hAnsi="宋体" w:cs="宋体"/>
          <w:color w:val="auto"/>
        </w:rPr>
        <w:t>广西汉昌工程咨询有限公司</w:t>
      </w:r>
      <w:r>
        <w:rPr>
          <w:rFonts w:hint="eastAsia" w:ascii="宋体" w:hAnsi="宋体" w:cs="宋体"/>
          <w:color w:val="auto"/>
          <w:szCs w:val="21"/>
        </w:rPr>
        <w:t>在任何情况下无义务和责任承担此类费用。</w:t>
      </w:r>
    </w:p>
    <w:p w14:paraId="3E69AFE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4.2本项目的代理服务费按须知前附表的规定执行，由成交供应商在发布成交结果公告后，一次性向采购代理机构支付。</w:t>
      </w:r>
    </w:p>
    <w:p w14:paraId="42687F16">
      <w:pPr>
        <w:spacing w:line="360" w:lineRule="auto"/>
        <w:ind w:firstLine="422" w:firstLineChars="200"/>
        <w:rPr>
          <w:rFonts w:hint="eastAsia" w:ascii="宋体" w:hAnsi="宋体" w:cs="宋体"/>
          <w:color w:val="auto"/>
          <w:szCs w:val="21"/>
        </w:rPr>
      </w:pPr>
      <w:r>
        <w:rPr>
          <w:rFonts w:hint="eastAsia" w:ascii="宋体" w:hAnsi="宋体" w:cs="宋体"/>
          <w:b/>
          <w:bCs/>
          <w:color w:val="auto"/>
        </w:rPr>
        <w:t xml:space="preserve">5. </w:t>
      </w:r>
      <w:r>
        <w:rPr>
          <w:rFonts w:hint="eastAsia" w:ascii="宋体" w:hAnsi="宋体" w:cs="宋体"/>
          <w:b/>
          <w:color w:val="auto"/>
          <w:szCs w:val="21"/>
        </w:rPr>
        <w:t>竞争性</w:t>
      </w:r>
      <w:r>
        <w:rPr>
          <w:rFonts w:hint="eastAsia" w:ascii="宋体" w:hAnsi="宋体" w:cs="宋体"/>
          <w:b/>
          <w:color w:val="auto"/>
        </w:rPr>
        <w:t>磋商文件的澄清和修改：</w:t>
      </w:r>
    </w:p>
    <w:p w14:paraId="3E42D4FC">
      <w:pPr>
        <w:widowControl/>
        <w:wordWrap w:val="0"/>
        <w:spacing w:line="360" w:lineRule="auto"/>
        <w:ind w:firstLine="420"/>
        <w:jc w:val="left"/>
        <w:rPr>
          <w:rFonts w:hint="eastAsia" w:ascii="宋体" w:hAnsi="宋体" w:cs="宋体"/>
          <w:color w:val="auto"/>
          <w:szCs w:val="21"/>
        </w:rPr>
      </w:pPr>
      <w:r>
        <w:rPr>
          <w:rFonts w:hint="eastAsia" w:ascii="宋体" w:hAnsi="宋体" w:cs="宋体"/>
          <w:color w:val="auto"/>
          <w:szCs w:val="21"/>
        </w:rPr>
        <w:t>5.1供应商应认真阅读磋商文件，供应商认为采购文件使自己的权益受到损害的，供应商必须在获取竞争性磋商文件之日起7个工作日内，以书面形式向采购人、采购代理机构提出，</w:t>
      </w:r>
      <w:r>
        <w:rPr>
          <w:rFonts w:hint="eastAsia" w:ascii="宋体" w:hAnsi="宋体" w:cs="宋体"/>
          <w:color w:val="auto"/>
        </w:rPr>
        <w:t>供应商在法定质疑期内必须一次性提出针对同一采购程序环节的质疑</w:t>
      </w:r>
      <w:r>
        <w:rPr>
          <w:rFonts w:hint="eastAsia" w:ascii="宋体" w:hAnsi="宋体" w:cs="宋体"/>
          <w:color w:val="auto"/>
          <w:szCs w:val="21"/>
        </w:rPr>
        <w:t>。</w:t>
      </w:r>
    </w:p>
    <w:p w14:paraId="4B20C845">
      <w:pPr>
        <w:widowControl/>
        <w:wordWrap w:val="0"/>
        <w:spacing w:line="360" w:lineRule="auto"/>
        <w:ind w:firstLine="420"/>
        <w:jc w:val="left"/>
        <w:rPr>
          <w:rFonts w:hint="eastAsia" w:ascii="宋体" w:hAnsi="宋体" w:cs="宋体"/>
          <w:color w:val="auto"/>
          <w:szCs w:val="21"/>
        </w:rPr>
      </w:pPr>
      <w:r>
        <w:rPr>
          <w:rFonts w:hint="eastAsia" w:ascii="宋体" w:hAnsi="宋体" w:cs="宋体"/>
          <w:color w:val="auto"/>
          <w:szCs w:val="21"/>
        </w:rPr>
        <w:t>5.2供应商提出质疑应当提交质疑函和必要的证明材料。质疑函应当包括下列内容：</w:t>
      </w:r>
    </w:p>
    <w:p w14:paraId="696F07D3">
      <w:pPr>
        <w:widowControl/>
        <w:wordWrap w:val="0"/>
        <w:spacing w:line="360" w:lineRule="auto"/>
        <w:ind w:firstLine="420"/>
        <w:jc w:val="left"/>
        <w:rPr>
          <w:rFonts w:hint="eastAsia" w:ascii="宋体" w:hAnsi="宋体" w:cs="宋体"/>
          <w:color w:val="auto"/>
          <w:szCs w:val="21"/>
        </w:rPr>
      </w:pPr>
      <w:r>
        <w:rPr>
          <w:rFonts w:hint="eastAsia" w:ascii="宋体" w:hAnsi="宋体" w:cs="宋体"/>
          <w:color w:val="auto"/>
          <w:szCs w:val="21"/>
        </w:rPr>
        <w:t>（1）供应商的姓名或者名称、地址、邮编、联系人及联系电话；</w:t>
      </w:r>
    </w:p>
    <w:p w14:paraId="151EF3AE">
      <w:pPr>
        <w:widowControl/>
        <w:wordWrap w:val="0"/>
        <w:spacing w:line="360" w:lineRule="auto"/>
        <w:ind w:firstLine="420"/>
        <w:jc w:val="left"/>
        <w:rPr>
          <w:rFonts w:hint="eastAsia" w:ascii="宋体" w:hAnsi="宋体" w:cs="宋体"/>
          <w:color w:val="auto"/>
          <w:szCs w:val="21"/>
        </w:rPr>
      </w:pPr>
      <w:r>
        <w:rPr>
          <w:rFonts w:hint="eastAsia" w:ascii="宋体" w:hAnsi="宋体" w:cs="宋体"/>
          <w:color w:val="auto"/>
          <w:szCs w:val="21"/>
        </w:rPr>
        <w:t>（2）质疑项目的名称、编号；</w:t>
      </w:r>
    </w:p>
    <w:p w14:paraId="5FCBF02C">
      <w:pPr>
        <w:widowControl/>
        <w:wordWrap w:val="0"/>
        <w:spacing w:line="360" w:lineRule="auto"/>
        <w:ind w:firstLine="420"/>
        <w:jc w:val="left"/>
        <w:rPr>
          <w:rFonts w:hint="eastAsia" w:ascii="宋体" w:hAnsi="宋体" w:cs="宋体"/>
          <w:color w:val="auto"/>
          <w:szCs w:val="21"/>
        </w:rPr>
      </w:pPr>
      <w:r>
        <w:rPr>
          <w:rFonts w:hint="eastAsia" w:ascii="宋体" w:hAnsi="宋体" w:cs="宋体"/>
          <w:color w:val="auto"/>
          <w:szCs w:val="21"/>
        </w:rPr>
        <w:t>（3）具体、明确的质疑事项和与质疑事项相关的请求；</w:t>
      </w:r>
    </w:p>
    <w:p w14:paraId="59CAD2EA">
      <w:pPr>
        <w:widowControl/>
        <w:wordWrap w:val="0"/>
        <w:spacing w:line="360" w:lineRule="auto"/>
        <w:ind w:firstLine="420"/>
        <w:jc w:val="left"/>
        <w:rPr>
          <w:rFonts w:hint="eastAsia" w:ascii="宋体" w:hAnsi="宋体" w:cs="宋体"/>
          <w:color w:val="auto"/>
          <w:szCs w:val="21"/>
        </w:rPr>
      </w:pPr>
      <w:r>
        <w:rPr>
          <w:rFonts w:hint="eastAsia" w:ascii="宋体" w:hAnsi="宋体" w:cs="宋体"/>
          <w:color w:val="auto"/>
          <w:szCs w:val="21"/>
        </w:rPr>
        <w:t>（4）事实依据；</w:t>
      </w:r>
    </w:p>
    <w:p w14:paraId="3E4363B9">
      <w:pPr>
        <w:widowControl/>
        <w:wordWrap w:val="0"/>
        <w:spacing w:line="360" w:lineRule="auto"/>
        <w:ind w:firstLine="420"/>
        <w:jc w:val="left"/>
        <w:rPr>
          <w:rFonts w:hint="eastAsia" w:ascii="宋体" w:hAnsi="宋体" w:cs="宋体"/>
          <w:color w:val="auto"/>
          <w:szCs w:val="21"/>
        </w:rPr>
      </w:pPr>
      <w:r>
        <w:rPr>
          <w:rFonts w:hint="eastAsia" w:ascii="宋体" w:hAnsi="宋体" w:cs="宋体"/>
          <w:color w:val="auto"/>
          <w:szCs w:val="21"/>
        </w:rPr>
        <w:t>（5）必要的法律依据；</w:t>
      </w:r>
    </w:p>
    <w:p w14:paraId="3BEA2DB8">
      <w:pPr>
        <w:widowControl/>
        <w:wordWrap w:val="0"/>
        <w:spacing w:line="360" w:lineRule="auto"/>
        <w:ind w:firstLine="420"/>
        <w:jc w:val="left"/>
        <w:rPr>
          <w:rFonts w:hint="eastAsia" w:ascii="宋体" w:hAnsi="宋体" w:cs="宋体"/>
          <w:color w:val="auto"/>
          <w:szCs w:val="21"/>
        </w:rPr>
      </w:pPr>
      <w:r>
        <w:rPr>
          <w:rFonts w:hint="eastAsia" w:ascii="宋体" w:hAnsi="宋体" w:cs="宋体"/>
          <w:color w:val="auto"/>
          <w:szCs w:val="21"/>
        </w:rPr>
        <w:t>（6）提出质疑的日期。</w:t>
      </w:r>
    </w:p>
    <w:p w14:paraId="7E652DE6">
      <w:pPr>
        <w:widowControl/>
        <w:wordWrap w:val="0"/>
        <w:spacing w:line="360" w:lineRule="auto"/>
        <w:ind w:firstLine="420"/>
        <w:jc w:val="left"/>
        <w:rPr>
          <w:rFonts w:hint="eastAsia" w:ascii="宋体" w:hAnsi="宋体" w:cs="宋体"/>
          <w:color w:val="auto"/>
          <w:szCs w:val="21"/>
        </w:rPr>
      </w:pPr>
      <w:r>
        <w:rPr>
          <w:rFonts w:hint="eastAsia" w:ascii="宋体" w:hAnsi="宋体" w:cs="宋体"/>
          <w:color w:val="auto"/>
          <w:szCs w:val="21"/>
        </w:rPr>
        <w:t>供应商为自然人的，应当由本人签字；供应商为法人或者其他组织的，应当由法定代表人、主要负责人，或者其授权代表签字或者盖章，并加盖公章。</w:t>
      </w:r>
    </w:p>
    <w:p w14:paraId="0DC7DE2F">
      <w:pPr>
        <w:widowControl/>
        <w:wordWrap w:val="0"/>
        <w:spacing w:line="360" w:lineRule="auto"/>
        <w:ind w:firstLine="420"/>
        <w:jc w:val="left"/>
        <w:rPr>
          <w:rFonts w:hint="eastAsia" w:ascii="宋体" w:hAnsi="宋体" w:cs="宋体"/>
          <w:color w:val="auto"/>
          <w:szCs w:val="21"/>
        </w:rPr>
      </w:pPr>
      <w:r>
        <w:rPr>
          <w:rFonts w:hint="eastAsia" w:ascii="宋体" w:hAnsi="宋体" w:cs="宋体"/>
          <w:color w:val="auto"/>
          <w:szCs w:val="21"/>
        </w:rPr>
        <w:t>5.3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时间5日前，以书面形式通知所有接收磋商文件的供应商，不足5日的，应当顺延提交首次响应文件截止之日。</w:t>
      </w:r>
    </w:p>
    <w:p w14:paraId="5A7B02BE">
      <w:pPr>
        <w:spacing w:line="360" w:lineRule="auto"/>
        <w:ind w:firstLine="420" w:firstLineChars="200"/>
        <w:rPr>
          <w:rFonts w:hint="eastAsia" w:ascii="宋体" w:hAnsi="宋体" w:cs="宋体"/>
          <w:color w:val="auto"/>
          <w:szCs w:val="21"/>
        </w:rPr>
      </w:pPr>
      <w:r>
        <w:rPr>
          <w:rFonts w:hint="eastAsia" w:ascii="宋体" w:hAnsi="宋体" w:cs="宋体"/>
          <w:color w:val="auto"/>
          <w:szCs w:val="20"/>
        </w:rPr>
        <w:t>5.4磋商</w:t>
      </w:r>
      <w:r>
        <w:rPr>
          <w:rFonts w:hint="eastAsia" w:ascii="宋体" w:hAnsi="宋体" w:cs="宋体"/>
          <w:color w:val="auto"/>
        </w:rPr>
        <w:t>供应商接电话通知后到采购代理机构处领取以上澄清答复（或补充通知、更改通知等），或在网上查询，如在电话通知后24小时内不上门领取的，则视为已在网上查询收到。该澄清或修改的内容为竞争性磋商文件的组成部分。磋商供应商在每一次收到澄清答复或补充通知后应立即以书面形式通知采购代理机构，确认已收到该澄清答复或补充通知。否则，由此造成的一切后果由磋商供应商负责。</w:t>
      </w:r>
    </w:p>
    <w:p w14:paraId="1DC34FA7">
      <w:pPr>
        <w:spacing w:line="360" w:lineRule="auto"/>
        <w:ind w:firstLine="422" w:firstLineChars="200"/>
        <w:outlineLvl w:val="2"/>
        <w:rPr>
          <w:rFonts w:hint="eastAsia" w:ascii="宋体" w:hAnsi="宋体" w:cs="宋体"/>
          <w:b/>
          <w:color w:val="auto"/>
          <w:szCs w:val="21"/>
        </w:rPr>
      </w:pPr>
      <w:r>
        <w:rPr>
          <w:rFonts w:hint="eastAsia" w:ascii="宋体" w:hAnsi="宋体" w:cs="宋体"/>
          <w:b/>
          <w:color w:val="auto"/>
          <w:szCs w:val="21"/>
        </w:rPr>
        <w:t>二、竞争性磋商响应文件的编制</w:t>
      </w:r>
    </w:p>
    <w:p w14:paraId="33E24CD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 竞争性磋商响应文件编制基本要求</w:t>
      </w:r>
    </w:p>
    <w:p w14:paraId="73115F6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6.1磋商供应商应按本竞争性磋商文件规定的格式和顺序编制并标注页码，响应文件内容不完整、编排混乱导致响应文件被误读、漏读或者查找不到相关内容的后果由磋商供应商承担。供应商应准确设置评审关联点。未设置或设置错误导致响应文件被误读、漏读或者查找不到相关内容的后果由磋商供应商承担。</w:t>
      </w:r>
    </w:p>
    <w:p w14:paraId="770B515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6.2响应文件须由磋商供应商在规定位置盖章并由法定代表人或法定代表人的授权委托人签署，磋商供应商应写全称。</w:t>
      </w:r>
    </w:p>
    <w:p w14:paraId="4974995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6.3响应文件不得涂改，若有修改错漏处，须加盖单位公章或者法定代表人或授权委托人签字或盖章。响应文件因扫描不清晰或乱码或表达不清所引起的后果由磋商供应商负责。</w:t>
      </w:r>
    </w:p>
    <w:p w14:paraId="5157B7FD">
      <w:pPr>
        <w:spacing w:line="360" w:lineRule="auto"/>
        <w:ind w:firstLine="420" w:firstLineChars="200"/>
        <w:rPr>
          <w:rFonts w:hint="eastAsia" w:ascii="宋体" w:hAnsi="宋体" w:cs="宋体"/>
          <w:color w:val="auto"/>
          <w:szCs w:val="21"/>
          <w:highlight w:val="yellow"/>
        </w:rPr>
      </w:pPr>
      <w:r>
        <w:rPr>
          <w:rFonts w:hint="eastAsia" w:ascii="宋体" w:hAnsi="宋体" w:cs="宋体"/>
          <w:color w:val="auto"/>
          <w:szCs w:val="21"/>
        </w:rPr>
        <w:t>6.4竞争性磋商响应文件的组成：竞争性磋商响应文件应分为资格文件、价格文件和商务技术文件三个部分组成</w:t>
      </w:r>
      <w:r>
        <w:rPr>
          <w:rFonts w:hint="eastAsia" w:ascii="宋体" w:hAnsi="宋体" w:cs="宋体"/>
          <w:b/>
          <w:color w:val="auto"/>
          <w:szCs w:val="21"/>
        </w:rPr>
        <w:t>（扫描件或其他电子文件）</w:t>
      </w:r>
      <w:r>
        <w:rPr>
          <w:rFonts w:hint="eastAsia" w:ascii="宋体" w:hAnsi="宋体" w:cs="宋体"/>
          <w:color w:val="auto"/>
          <w:szCs w:val="21"/>
        </w:rPr>
        <w:t>。</w:t>
      </w:r>
      <w:r>
        <w:rPr>
          <w:rFonts w:hint="eastAsia" w:ascii="宋体" w:hAnsi="宋体" w:cs="宋体"/>
          <w:b/>
          <w:color w:val="auto"/>
          <w:szCs w:val="21"/>
        </w:rPr>
        <w:t>（以下文件要求必须提供的文件如未提供，磋商小组有权拒绝其竞争性磋商响应文件）</w:t>
      </w:r>
    </w:p>
    <w:p w14:paraId="642BA872">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6.4.1资格文件</w:t>
      </w:r>
    </w:p>
    <w:p w14:paraId="216B801B">
      <w:pPr>
        <w:spacing w:line="360" w:lineRule="auto"/>
        <w:ind w:firstLine="420" w:firstLineChars="200"/>
        <w:rPr>
          <w:rFonts w:hint="eastAsia" w:ascii="宋体" w:hAnsi="宋体" w:cs="宋体"/>
          <w:b/>
          <w:color w:val="auto"/>
        </w:rPr>
      </w:pPr>
      <w:r>
        <w:rPr>
          <w:rFonts w:hint="eastAsia" w:ascii="宋体" w:hAnsi="宋体" w:cs="宋体"/>
          <w:color w:val="auto"/>
        </w:rPr>
        <w:t>1）磋商供应商有效的“主体资格证明文件”复印件（如营业执照、事业单位法人证书、执业许可证、自然人身份证等）；</w:t>
      </w:r>
      <w:r>
        <w:rPr>
          <w:rFonts w:hint="eastAsia" w:ascii="宋体" w:hAnsi="宋体" w:cs="宋体"/>
          <w:b/>
          <w:color w:val="auto"/>
        </w:rPr>
        <w:t xml:space="preserve">[必须提供] </w:t>
      </w:r>
    </w:p>
    <w:p w14:paraId="72FB06C5">
      <w:pPr>
        <w:snapToGrid w:val="0"/>
        <w:spacing w:line="360" w:lineRule="auto"/>
        <w:ind w:firstLine="411" w:firstLineChars="196"/>
        <w:jc w:val="left"/>
        <w:rPr>
          <w:rFonts w:hint="eastAsia" w:ascii="宋体" w:hAnsi="宋体" w:cs="宋体"/>
          <w:color w:val="auto"/>
          <w:szCs w:val="21"/>
        </w:rPr>
      </w:pPr>
      <w:r>
        <w:rPr>
          <w:rFonts w:hint="eastAsia" w:ascii="宋体" w:hAnsi="宋体" w:cs="宋体"/>
          <w:color w:val="auto"/>
          <w:szCs w:val="21"/>
        </w:rPr>
        <w:t>2）法定代表人身份证正、反面复印件；</w:t>
      </w:r>
      <w:r>
        <w:rPr>
          <w:rFonts w:hint="eastAsia" w:ascii="宋体" w:hAnsi="宋体" w:cs="宋体"/>
          <w:b/>
          <w:color w:val="auto"/>
          <w:szCs w:val="21"/>
        </w:rPr>
        <w:t>[必须提供]</w:t>
      </w:r>
      <w:r>
        <w:rPr>
          <w:rFonts w:hint="eastAsia" w:ascii="宋体" w:hAnsi="宋体" w:cs="宋体"/>
          <w:color w:val="auto"/>
          <w:szCs w:val="21"/>
        </w:rPr>
        <w:t xml:space="preserve"> </w:t>
      </w:r>
    </w:p>
    <w:p w14:paraId="0273563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3）法定代表人授权委托书</w:t>
      </w:r>
      <w:r>
        <w:rPr>
          <w:rFonts w:hint="eastAsia" w:ascii="宋体" w:hAnsi="宋体" w:cs="宋体"/>
          <w:color w:val="auto"/>
        </w:rPr>
        <w:t>和委托代理人身份证正、反面复印件</w:t>
      </w:r>
      <w:r>
        <w:rPr>
          <w:rFonts w:hint="eastAsia" w:ascii="宋体" w:hAnsi="宋体" w:cs="宋体"/>
          <w:color w:val="auto"/>
          <w:szCs w:val="21"/>
        </w:rPr>
        <w:t>；</w:t>
      </w:r>
      <w:r>
        <w:rPr>
          <w:rFonts w:hint="eastAsia" w:ascii="宋体" w:hAnsi="宋体" w:cs="宋体"/>
          <w:b/>
          <w:color w:val="auto"/>
        </w:rPr>
        <w:t>[委托代理时</w:t>
      </w:r>
      <w:r>
        <w:rPr>
          <w:rFonts w:hint="eastAsia" w:ascii="宋体" w:hAnsi="宋体" w:cs="宋体"/>
          <w:b/>
          <w:bCs/>
          <w:color w:val="auto"/>
        </w:rPr>
        <w:t>必须提供</w:t>
      </w:r>
      <w:r>
        <w:rPr>
          <w:rFonts w:hint="eastAsia" w:ascii="宋体" w:hAnsi="宋体" w:cs="宋体"/>
          <w:b/>
          <w:color w:val="auto"/>
        </w:rPr>
        <w:t>]</w:t>
      </w:r>
      <w:r>
        <w:rPr>
          <w:rFonts w:hint="eastAsia" w:ascii="宋体" w:hAnsi="宋体" w:cs="宋体"/>
          <w:color w:val="auto"/>
          <w:szCs w:val="21"/>
        </w:rPr>
        <w:t xml:space="preserve">； </w:t>
      </w:r>
    </w:p>
    <w:p w14:paraId="7C9B44E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供应商财务状况报告[2023年]财务状况报告复印件，供应商是法人的，应提供2023度财务报表（财务报表至少包含资产负债表、利润表、现金流量表）复印件（新成立的公司提供公司成立日之后次月起到响应文件递交截止前一个月的财务报表复印件）或者其基本开户银行出具的资信证明；（必须提供，否则作无效响应处理）</w:t>
      </w:r>
    </w:p>
    <w:p w14:paraId="33970AD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5）响应文件递交截止之日前半年内磋商供应商连续三个月的依法缴纳税费或依法免缴税费的证明复印件；无纳税记录的，应提供由磋商供应商所在地的税务部门出具的《依法纳税或依法免税证明》复印件； （必须提供，新成立单位按实际提供）</w:t>
      </w:r>
    </w:p>
    <w:p w14:paraId="697674A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响应文件递交截止之日前半年内磋商供应商连续三个月的依法缴纳社保费的缴费凭证复印件；无缴费记录的，应提供由磋商供应商所在地社保等相关部门出具的《依法缴纳或依法免缴社保费证明》复印件；（必须提供，新成立单位按实际提供）</w:t>
      </w:r>
    </w:p>
    <w:p w14:paraId="2522CE4D">
      <w:pPr>
        <w:spacing w:line="360" w:lineRule="auto"/>
        <w:ind w:firstLine="420" w:firstLineChars="200"/>
        <w:rPr>
          <w:rFonts w:hint="eastAsia" w:ascii="宋体" w:hAnsi="宋体" w:cs="宋体"/>
          <w:b/>
          <w:color w:val="auto"/>
        </w:rPr>
      </w:pPr>
      <w:r>
        <w:rPr>
          <w:rFonts w:hint="eastAsia" w:ascii="宋体" w:hAnsi="宋体" w:cs="宋体"/>
          <w:color w:val="auto"/>
          <w:szCs w:val="21"/>
        </w:rPr>
        <w:t>7）磋商保证金的提交凭证；</w:t>
      </w:r>
      <w:r>
        <w:rPr>
          <w:rFonts w:hint="eastAsia" w:ascii="宋体" w:hAnsi="宋体" w:cs="宋体"/>
          <w:b/>
          <w:color w:val="auto"/>
        </w:rPr>
        <w:t>[必须提供]</w:t>
      </w:r>
    </w:p>
    <w:p w14:paraId="3454D71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8）中小企业声明函；（按最新相关政策执行，格式见第六章，如有必须提供）</w:t>
      </w:r>
    </w:p>
    <w:p w14:paraId="34D1F466">
      <w:pPr>
        <w:pStyle w:val="26"/>
        <w:spacing w:line="360" w:lineRule="auto"/>
        <w:rPr>
          <w:rFonts w:hint="eastAsia" w:ascii="宋体" w:hAnsi="宋体" w:cs="宋体"/>
          <w:color w:val="auto"/>
        </w:rPr>
      </w:pPr>
    </w:p>
    <w:p w14:paraId="14378112">
      <w:pPr>
        <w:spacing w:line="360" w:lineRule="auto"/>
        <w:ind w:firstLine="420" w:firstLineChars="200"/>
        <w:rPr>
          <w:rFonts w:hint="eastAsia" w:ascii="宋体" w:hAnsi="宋体" w:cs="宋体"/>
          <w:b/>
          <w:color w:val="auto"/>
          <w:szCs w:val="21"/>
        </w:rPr>
      </w:pPr>
      <w:r>
        <w:rPr>
          <w:rFonts w:hint="eastAsia" w:ascii="宋体" w:hAnsi="宋体" w:cs="宋体"/>
          <w:color w:val="auto"/>
          <w:szCs w:val="21"/>
        </w:rPr>
        <w:t>9）供应商认为需要提供的其他证明材料。（如有，请提供）</w:t>
      </w:r>
    </w:p>
    <w:p w14:paraId="437133D1">
      <w:pPr>
        <w:wordWrap w:val="0"/>
        <w:snapToGrid w:val="0"/>
        <w:spacing w:line="360" w:lineRule="auto"/>
        <w:ind w:firstLine="411" w:firstLineChars="196"/>
        <w:jc w:val="left"/>
        <w:rPr>
          <w:rFonts w:hint="eastAsia" w:ascii="宋体" w:hAnsi="宋体" w:cs="宋体"/>
          <w:b/>
          <w:color w:val="auto"/>
          <w:szCs w:val="21"/>
        </w:rPr>
      </w:pPr>
      <w:r>
        <w:rPr>
          <w:rFonts w:hint="eastAsia" w:ascii="宋体" w:hAnsi="宋体" w:cs="宋体"/>
          <w:color w:val="auto"/>
          <w:szCs w:val="21"/>
        </w:rPr>
        <w:t>10）</w:t>
      </w:r>
      <w:r>
        <w:rPr>
          <w:rFonts w:hint="eastAsia" w:ascii="宋体" w:hAnsi="宋体" w:cs="宋体"/>
          <w:color w:val="auto"/>
          <w:kern w:val="0"/>
          <w:szCs w:val="21"/>
        </w:rPr>
        <w:t>参加政府采购活动前三年内在经营活动中没有重大违法记录和不良信用记录的书面声明</w:t>
      </w:r>
      <w:r>
        <w:rPr>
          <w:rFonts w:hint="eastAsia" w:ascii="宋体" w:hAnsi="宋体" w:cs="宋体"/>
          <w:color w:val="auto"/>
          <w:kern w:val="0"/>
          <w:sz w:val="24"/>
        </w:rPr>
        <w:t>；</w:t>
      </w:r>
      <w:r>
        <w:rPr>
          <w:rFonts w:hint="eastAsia" w:ascii="宋体" w:hAnsi="宋体" w:cs="宋体"/>
          <w:b/>
          <w:color w:val="auto"/>
          <w:szCs w:val="21"/>
        </w:rPr>
        <w:t>[格式自拟，必须提供]</w:t>
      </w:r>
    </w:p>
    <w:p w14:paraId="300E36C4">
      <w:pPr>
        <w:wordWrap w:val="0"/>
        <w:snapToGrid w:val="0"/>
        <w:spacing w:line="360" w:lineRule="auto"/>
        <w:ind w:firstLine="413" w:firstLineChars="196"/>
        <w:jc w:val="left"/>
        <w:rPr>
          <w:rFonts w:ascii="宋体" w:hAnsi="宋体" w:cs="宋体"/>
          <w:b/>
          <w:color w:val="auto"/>
          <w:szCs w:val="21"/>
        </w:rPr>
      </w:pPr>
      <w:r>
        <w:rPr>
          <w:rFonts w:hint="eastAsia" w:ascii="宋体" w:hAnsi="宋体" w:cs="宋体"/>
          <w:b/>
          <w:color w:val="auto"/>
          <w:szCs w:val="21"/>
        </w:rPr>
        <w:t>注：供应商进行信用查询，并附响应文件内。</w:t>
      </w:r>
    </w:p>
    <w:p w14:paraId="5C80F711">
      <w:pPr>
        <w:wordWrap w:val="0"/>
        <w:snapToGrid w:val="0"/>
        <w:spacing w:line="360" w:lineRule="auto"/>
        <w:ind w:firstLine="413" w:firstLineChars="196"/>
        <w:jc w:val="left"/>
        <w:rPr>
          <w:rFonts w:hint="eastAsia" w:ascii="宋体" w:hAnsi="宋体" w:cs="宋体"/>
          <w:b/>
          <w:color w:val="auto"/>
          <w:szCs w:val="21"/>
        </w:rPr>
      </w:pPr>
      <w:r>
        <w:rPr>
          <w:rFonts w:hint="eastAsia" w:ascii="宋体" w:hAnsi="宋体" w:cs="宋体"/>
          <w:b/>
          <w:color w:val="auto"/>
          <w:szCs w:val="21"/>
        </w:rPr>
        <w:t>查询渠道：“信用中国”网站(www.creditchina.gov.cn) 、中国政府采购网(www.ccgp.gov.cn)</w:t>
      </w:r>
    </w:p>
    <w:p w14:paraId="04182E2C">
      <w:pPr>
        <w:wordWrap w:val="0"/>
        <w:snapToGrid w:val="0"/>
        <w:spacing w:line="360" w:lineRule="auto"/>
        <w:ind w:firstLine="413" w:firstLineChars="196"/>
        <w:jc w:val="left"/>
        <w:rPr>
          <w:rFonts w:hint="eastAsia" w:ascii="宋体" w:hAnsi="宋体" w:cs="宋体"/>
          <w:b/>
          <w:color w:val="auto"/>
          <w:szCs w:val="21"/>
        </w:rPr>
      </w:pPr>
      <w:r>
        <w:rPr>
          <w:rFonts w:hint="eastAsia" w:ascii="宋体" w:hAnsi="宋体" w:cs="宋体"/>
          <w:b/>
          <w:color w:val="auto"/>
          <w:szCs w:val="21"/>
        </w:rPr>
        <w:t>查询截止时间：资格审查结束前。</w:t>
      </w:r>
    </w:p>
    <w:p w14:paraId="60D08F21">
      <w:pPr>
        <w:wordWrap w:val="0"/>
        <w:snapToGrid w:val="0"/>
        <w:spacing w:line="360" w:lineRule="auto"/>
        <w:ind w:firstLine="413" w:firstLineChars="196"/>
        <w:jc w:val="left"/>
        <w:rPr>
          <w:rFonts w:hint="eastAsia" w:ascii="宋体" w:hAnsi="宋体" w:cs="宋体"/>
          <w:b/>
          <w:color w:val="auto"/>
          <w:szCs w:val="21"/>
        </w:rPr>
      </w:pPr>
      <w:r>
        <w:rPr>
          <w:rFonts w:hint="eastAsia" w:ascii="宋体" w:hAnsi="宋体" w:cs="宋体"/>
          <w:b/>
          <w:color w:val="auto"/>
          <w:szCs w:val="21"/>
        </w:rPr>
        <w:t>查询记录和证据留存方式：在查询网站中直接打印查询记录，打印材料作为评审资料保存。</w:t>
      </w:r>
    </w:p>
    <w:p w14:paraId="14820596">
      <w:pPr>
        <w:wordWrap w:val="0"/>
        <w:snapToGrid w:val="0"/>
        <w:spacing w:line="360" w:lineRule="auto"/>
        <w:ind w:firstLine="413" w:firstLineChars="196"/>
        <w:jc w:val="left"/>
        <w:rPr>
          <w:rFonts w:hint="eastAsia" w:ascii="宋体" w:hAnsi="宋体" w:cs="宋体"/>
          <w:b/>
          <w:color w:val="auto"/>
          <w:szCs w:val="21"/>
        </w:rPr>
      </w:pPr>
      <w:r>
        <w:rPr>
          <w:rFonts w:hint="eastAsia" w:ascii="宋体" w:hAnsi="宋体" w:cs="宋体"/>
          <w:b/>
          <w:color w:val="auto"/>
          <w:szCs w:val="21"/>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将拒绝其参与政府采购活动。</w:t>
      </w:r>
    </w:p>
    <w:p w14:paraId="7F92F27D">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6.4.2价格文件</w:t>
      </w:r>
    </w:p>
    <w:p w14:paraId="10A6D98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1）磋商书及磋商声明书；</w:t>
      </w:r>
      <w:r>
        <w:rPr>
          <w:rFonts w:hint="eastAsia" w:ascii="宋体" w:hAnsi="宋体" w:cs="宋体"/>
          <w:b/>
          <w:color w:val="auto"/>
          <w:szCs w:val="21"/>
        </w:rPr>
        <w:t>[必须提供]</w:t>
      </w:r>
    </w:p>
    <w:p w14:paraId="164BE709">
      <w:pPr>
        <w:spacing w:line="360" w:lineRule="auto"/>
        <w:ind w:firstLine="420" w:firstLineChars="200"/>
        <w:rPr>
          <w:rFonts w:hint="eastAsia" w:ascii="宋体" w:hAnsi="宋体" w:cs="宋体"/>
          <w:b/>
          <w:color w:val="auto"/>
          <w:szCs w:val="21"/>
        </w:rPr>
      </w:pPr>
      <w:r>
        <w:rPr>
          <w:rFonts w:hint="eastAsia" w:ascii="宋体" w:hAnsi="宋体" w:cs="宋体"/>
          <w:bCs/>
          <w:color w:val="auto"/>
          <w:szCs w:val="21"/>
        </w:rPr>
        <w:t>2）</w:t>
      </w:r>
      <w:r>
        <w:rPr>
          <w:rFonts w:hint="eastAsia" w:ascii="宋体" w:hAnsi="宋体" w:cs="宋体"/>
          <w:color w:val="auto"/>
          <w:szCs w:val="21"/>
        </w:rPr>
        <w:t>报价表。</w:t>
      </w:r>
      <w:r>
        <w:rPr>
          <w:rFonts w:hint="eastAsia" w:ascii="宋体" w:hAnsi="宋体" w:cs="宋体"/>
          <w:b/>
          <w:color w:val="auto"/>
          <w:szCs w:val="21"/>
        </w:rPr>
        <w:t>[必须提供]</w:t>
      </w:r>
    </w:p>
    <w:p w14:paraId="75481A4C">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6.4.3商务技术文件</w:t>
      </w:r>
    </w:p>
    <w:p w14:paraId="41968694">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1）</w:t>
      </w:r>
      <w:r>
        <w:rPr>
          <w:rFonts w:hint="eastAsia" w:ascii="宋体" w:hAnsi="宋体" w:cs="宋体"/>
          <w:color w:val="auto"/>
          <w:szCs w:val="21"/>
        </w:rPr>
        <w:t>商务、技术（服务）响应、偏离情况说明表；</w:t>
      </w:r>
      <w:r>
        <w:rPr>
          <w:rFonts w:hint="eastAsia" w:ascii="宋体" w:hAnsi="宋体" w:cs="宋体"/>
          <w:b/>
          <w:color w:val="auto"/>
          <w:szCs w:val="21"/>
        </w:rPr>
        <w:t>[必须提供]</w:t>
      </w:r>
    </w:p>
    <w:p w14:paraId="7496BC57">
      <w:pPr>
        <w:spacing w:line="360" w:lineRule="auto"/>
        <w:rPr>
          <w:rFonts w:ascii="宋体" w:hAnsi="宋体" w:cs="宋体"/>
          <w:b/>
          <w:color w:val="auto"/>
          <w:szCs w:val="21"/>
        </w:rPr>
      </w:pPr>
      <w:r>
        <w:rPr>
          <w:rFonts w:hint="eastAsia" w:ascii="宋体" w:hAnsi="宋体" w:cs="宋体"/>
          <w:b/>
          <w:color w:val="auto"/>
          <w:szCs w:val="21"/>
        </w:rPr>
        <w:t xml:space="preserve">    2）技术内容（格式自拟）</w:t>
      </w:r>
    </w:p>
    <w:p w14:paraId="4EBDBDF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3）项目实施人员一览表；</w:t>
      </w:r>
    </w:p>
    <w:p w14:paraId="6EA10AFA">
      <w:pPr>
        <w:spacing w:line="360" w:lineRule="auto"/>
        <w:ind w:firstLine="420" w:firstLineChars="200"/>
        <w:rPr>
          <w:rFonts w:hint="eastAsia" w:ascii="宋体" w:hAnsi="宋体" w:cs="宋体"/>
          <w:b/>
          <w:color w:val="auto"/>
          <w:szCs w:val="21"/>
        </w:rPr>
      </w:pPr>
      <w:r>
        <w:rPr>
          <w:rFonts w:hint="eastAsia" w:ascii="宋体" w:hAnsi="宋体" w:cs="宋体"/>
          <w:color w:val="auto"/>
          <w:szCs w:val="21"/>
        </w:rPr>
        <w:t>4）业绩一览表；</w:t>
      </w:r>
    </w:p>
    <w:p w14:paraId="1B8AACA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5）供应商认为需要提供的其他有关资料。</w:t>
      </w:r>
    </w:p>
    <w:p w14:paraId="1644548C">
      <w:pPr>
        <w:spacing w:line="360" w:lineRule="auto"/>
        <w:ind w:firstLine="422" w:firstLineChars="200"/>
        <w:outlineLvl w:val="2"/>
        <w:rPr>
          <w:rFonts w:hint="eastAsia" w:ascii="宋体" w:hAnsi="宋体" w:cs="宋体"/>
          <w:b/>
          <w:color w:val="auto"/>
          <w:szCs w:val="21"/>
        </w:rPr>
      </w:pPr>
      <w:r>
        <w:rPr>
          <w:rFonts w:hint="eastAsia" w:ascii="宋体" w:hAnsi="宋体" w:cs="宋体"/>
          <w:b/>
          <w:color w:val="auto"/>
          <w:szCs w:val="21"/>
        </w:rPr>
        <w:t>三、报价要求</w:t>
      </w:r>
    </w:p>
    <w:p w14:paraId="6622667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7.1对于本文件中未列明，而磋商供应商认为必需的费用也需列入总报价。在合同实施时，采购人将不予支付成交供应商没有列入的项目费用，并认为此项目的费用已包括在总报价中。</w:t>
      </w:r>
    </w:p>
    <w:p w14:paraId="29D7463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7.2成交供应商负责本项目所需货物的提供、实施、售后服务等全部工作。</w:t>
      </w:r>
    </w:p>
    <w:p w14:paraId="60466344">
      <w:pPr>
        <w:pStyle w:val="22"/>
        <w:spacing w:line="360" w:lineRule="auto"/>
        <w:ind w:firstLine="420"/>
        <w:rPr>
          <w:rFonts w:hint="eastAsia" w:hAnsi="宋体" w:cs="宋体"/>
          <w:color w:val="auto"/>
        </w:rPr>
      </w:pPr>
      <w:r>
        <w:rPr>
          <w:rFonts w:hint="eastAsia" w:hAnsi="宋体" w:cs="宋体"/>
          <w:color w:val="auto"/>
        </w:rPr>
        <w:t>7.3磋商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磋商响应文件的解释发生异议的，以中文文本为准。除上述原因以外，如果因磋商供应商原因引起的报价失误，并在磋商时被接受，其后果由磋商供应商自负。</w:t>
      </w:r>
    </w:p>
    <w:p w14:paraId="697EF31B">
      <w:pPr>
        <w:spacing w:line="360" w:lineRule="auto"/>
        <w:ind w:firstLine="422" w:firstLineChars="200"/>
        <w:rPr>
          <w:rFonts w:hint="eastAsia" w:ascii="宋体" w:hAnsi="宋体" w:cs="宋体"/>
          <w:b/>
          <w:color w:val="auto"/>
        </w:rPr>
      </w:pPr>
      <w:r>
        <w:rPr>
          <w:rFonts w:hint="eastAsia" w:ascii="宋体" w:hAnsi="宋体" w:cs="宋体"/>
          <w:b/>
          <w:color w:val="auto"/>
          <w:szCs w:val="21"/>
        </w:rPr>
        <w:t>7.4</w:t>
      </w:r>
      <w:r>
        <w:rPr>
          <w:rFonts w:hint="eastAsia" w:ascii="宋体" w:hAnsi="宋体" w:cs="宋体"/>
          <w:b/>
          <w:color w:val="auto"/>
        </w:rPr>
        <w:t>磋商报价：供应商必须就所竞项目的全部内容作完整唯一报价，漏项报价的或有选择的或有条件的报价，其响应文件将视为无效。</w:t>
      </w:r>
    </w:p>
    <w:p w14:paraId="0B2D517D">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7.5磋商小组认为供应商的报价明显低于其他通过符合性审查供应商的报价，有可能影响货物质量或者不能诚信履约的，应当要求其在评审现场合理的时间内提供书面说明，必要时提交相关证明材料；供应商不能证明其报价合理性的，磋商小组将其作为无效竞标处理。</w:t>
      </w:r>
    </w:p>
    <w:p w14:paraId="3D603490">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四、</w:t>
      </w:r>
      <w:r>
        <w:rPr>
          <w:rFonts w:hint="eastAsia" w:ascii="宋体" w:hAnsi="宋体" w:cs="宋体"/>
          <w:b/>
          <w:bCs/>
          <w:color w:val="auto"/>
        </w:rPr>
        <w:t>竞争性磋商响应文件</w:t>
      </w:r>
      <w:r>
        <w:rPr>
          <w:rFonts w:hint="eastAsia" w:ascii="宋体" w:hAnsi="宋体" w:cs="宋体"/>
          <w:b/>
          <w:color w:val="auto"/>
          <w:szCs w:val="21"/>
        </w:rPr>
        <w:t>的份数、</w:t>
      </w:r>
      <w:r>
        <w:rPr>
          <w:rFonts w:hint="eastAsia" w:ascii="宋体" w:hAnsi="宋体" w:cs="宋体"/>
          <w:b/>
          <w:bCs/>
          <w:color w:val="auto"/>
        </w:rPr>
        <w:t>上传、提交、修改、撤回和解密</w:t>
      </w:r>
    </w:p>
    <w:p w14:paraId="656D5F9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8. 竞争性磋商响应文件的份数、上传、提交、解密</w:t>
      </w:r>
    </w:p>
    <w:p w14:paraId="73D5ED4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见须知前附表。</w:t>
      </w:r>
    </w:p>
    <w:p w14:paraId="6224E98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 磋商响应文件的修改和撤回：供应商应当在截止时间前完成响应文件的上传、提交，并可以补充、修改或者撤回响应文件。补充或者修改响应文件的，应当先行撤回原文件，补充、修改后重新上传、递交。截止时间前未完成上传、递交的，视为撤回响应文件。截止时间后递交的响应文件，“政府采购云平台”将予以拒收。截止时间后，供应商不得撤回、修改响应文件。</w:t>
      </w:r>
    </w:p>
    <w:p w14:paraId="1FEA3D41">
      <w:pPr>
        <w:spacing w:line="360" w:lineRule="auto"/>
        <w:ind w:firstLine="422" w:firstLineChars="200"/>
        <w:outlineLvl w:val="2"/>
        <w:rPr>
          <w:rFonts w:hint="eastAsia" w:ascii="宋体" w:hAnsi="宋体" w:cs="宋体"/>
          <w:b/>
          <w:color w:val="auto"/>
          <w:szCs w:val="21"/>
        </w:rPr>
      </w:pPr>
      <w:r>
        <w:rPr>
          <w:rFonts w:hint="eastAsia" w:ascii="宋体" w:hAnsi="宋体" w:cs="宋体"/>
          <w:b/>
          <w:color w:val="auto"/>
          <w:szCs w:val="21"/>
        </w:rPr>
        <w:t>五、磋商保证金</w:t>
      </w:r>
    </w:p>
    <w:p w14:paraId="1AC10E7B">
      <w:pPr>
        <w:spacing w:line="360" w:lineRule="auto"/>
        <w:ind w:firstLine="420" w:firstLineChars="200"/>
        <w:rPr>
          <w:rFonts w:hint="eastAsia" w:ascii="宋体" w:hAnsi="宋体" w:cs="宋体"/>
          <w:b/>
          <w:color w:val="auto"/>
          <w:szCs w:val="21"/>
        </w:rPr>
      </w:pPr>
      <w:r>
        <w:rPr>
          <w:rFonts w:hint="eastAsia" w:ascii="宋体" w:hAnsi="宋体" w:cs="宋体"/>
          <w:color w:val="auto"/>
          <w:szCs w:val="21"/>
        </w:rPr>
        <w:t>10.1</w:t>
      </w:r>
      <w:r>
        <w:rPr>
          <w:rFonts w:hint="eastAsia" w:ascii="宋体" w:hAnsi="宋体" w:cs="宋体"/>
          <w:color w:val="auto"/>
        </w:rPr>
        <w:t>保证金应用人民币，</w:t>
      </w:r>
      <w:r>
        <w:rPr>
          <w:rFonts w:hint="eastAsia" w:ascii="宋体" w:hAnsi="宋体" w:cs="宋体"/>
          <w:bCs/>
          <w:color w:val="auto"/>
          <w:szCs w:val="21"/>
        </w:rPr>
        <w:t>具体金额及缴纳方式详见竞争性磋商。</w:t>
      </w:r>
    </w:p>
    <w:p w14:paraId="5827E589">
      <w:pPr>
        <w:spacing w:line="360" w:lineRule="auto"/>
        <w:ind w:firstLine="420" w:firstLineChars="200"/>
        <w:rPr>
          <w:rFonts w:hint="eastAsia" w:ascii="宋体" w:hAnsi="宋体" w:cs="宋体"/>
          <w:color w:val="auto"/>
        </w:rPr>
      </w:pPr>
      <w:r>
        <w:rPr>
          <w:rFonts w:hint="eastAsia" w:ascii="宋体" w:hAnsi="宋体" w:cs="宋体"/>
          <w:color w:val="auto"/>
          <w:szCs w:val="21"/>
        </w:rPr>
        <w:t>10.2</w:t>
      </w:r>
      <w:r>
        <w:rPr>
          <w:rFonts w:hint="eastAsia" w:ascii="宋体" w:hAnsi="宋体" w:cs="宋体"/>
          <w:color w:val="auto"/>
        </w:rPr>
        <w:t>未成交磋商供应商的保证金，将在成交通知书发出后四个工作日内予以退还，不计利息。成交供应商</w:t>
      </w:r>
      <w:r>
        <w:rPr>
          <w:rFonts w:hint="eastAsia" w:ascii="宋体" w:hAnsi="宋体" w:cs="宋体"/>
          <w:color w:val="auto"/>
          <w:szCs w:val="21"/>
        </w:rPr>
        <w:t>的保证金在合同签订后四个工作日内退还（</w:t>
      </w:r>
      <w:r>
        <w:rPr>
          <w:rFonts w:hint="eastAsia" w:ascii="宋体" w:hAnsi="宋体" w:cs="宋体"/>
          <w:color w:val="auto"/>
        </w:rPr>
        <w:t>合同签订后送达至广西汉昌工程咨询有限公司</w:t>
      </w:r>
      <w:r>
        <w:rPr>
          <w:rFonts w:hint="eastAsia" w:ascii="宋体" w:hAnsi="宋体" w:cs="宋体"/>
          <w:color w:val="auto"/>
          <w:szCs w:val="21"/>
        </w:rPr>
        <w:t>），不计利息。</w:t>
      </w:r>
    </w:p>
    <w:p w14:paraId="58A2FC54">
      <w:pPr>
        <w:spacing w:line="360" w:lineRule="auto"/>
        <w:ind w:firstLine="420" w:firstLineChars="200"/>
        <w:rPr>
          <w:rFonts w:hint="eastAsia" w:ascii="宋体" w:hAnsi="宋体" w:cs="宋体"/>
          <w:color w:val="auto"/>
          <w:szCs w:val="21"/>
        </w:rPr>
      </w:pPr>
      <w:r>
        <w:rPr>
          <w:rFonts w:hint="eastAsia" w:ascii="宋体" w:hAnsi="宋体" w:cs="宋体"/>
          <w:bCs/>
          <w:color w:val="auto"/>
          <w:szCs w:val="21"/>
        </w:rPr>
        <w:t>10.3</w:t>
      </w:r>
      <w:r>
        <w:rPr>
          <w:rFonts w:hint="eastAsia" w:ascii="宋体" w:hAnsi="宋体" w:cs="宋体"/>
          <w:color w:val="auto"/>
          <w:kern w:val="0"/>
          <w:szCs w:val="21"/>
        </w:rPr>
        <w:t>供应商为联合体的，可以由联合体中的一方或者多方共同交纳保证金，其交纳的保证金对联合体各方均具有约束力。</w:t>
      </w:r>
    </w:p>
    <w:p w14:paraId="0634713E">
      <w:pPr>
        <w:tabs>
          <w:tab w:val="left" w:pos="975"/>
        </w:tabs>
        <w:snapToGrid w:val="0"/>
        <w:spacing w:line="360" w:lineRule="auto"/>
        <w:ind w:firstLine="413" w:firstLineChars="196"/>
        <w:jc w:val="left"/>
        <w:rPr>
          <w:rFonts w:hint="eastAsia" w:ascii="宋体" w:hAnsi="宋体" w:cs="宋体"/>
          <w:b/>
          <w:bCs/>
          <w:color w:val="auto"/>
          <w:szCs w:val="21"/>
        </w:rPr>
      </w:pPr>
      <w:r>
        <w:rPr>
          <w:rFonts w:hint="eastAsia" w:ascii="宋体" w:hAnsi="宋体" w:cs="宋体"/>
          <w:b/>
          <w:bCs/>
          <w:color w:val="auto"/>
          <w:szCs w:val="21"/>
        </w:rPr>
        <w:t>10.4磋商供应商有下列情形之一的，保证金将不予退还：</w:t>
      </w:r>
    </w:p>
    <w:p w14:paraId="0CC125F4">
      <w:pPr>
        <w:tabs>
          <w:tab w:val="left" w:pos="975"/>
        </w:tabs>
        <w:snapToGrid w:val="0"/>
        <w:spacing w:line="360" w:lineRule="auto"/>
        <w:ind w:firstLine="411" w:firstLineChars="196"/>
        <w:jc w:val="left"/>
        <w:rPr>
          <w:rFonts w:hint="eastAsia" w:ascii="宋体" w:hAnsi="宋体" w:cs="宋体"/>
          <w:color w:val="auto"/>
          <w:kern w:val="0"/>
          <w:szCs w:val="21"/>
        </w:rPr>
      </w:pPr>
      <w:r>
        <w:rPr>
          <w:rFonts w:hint="eastAsia" w:ascii="宋体" w:hAnsi="宋体" w:cs="宋体"/>
          <w:color w:val="auto"/>
          <w:kern w:val="0"/>
          <w:szCs w:val="21"/>
        </w:rPr>
        <w:t>1）磋商供应商在提交</w:t>
      </w:r>
      <w:r>
        <w:rPr>
          <w:rFonts w:hint="eastAsia" w:ascii="宋体" w:hAnsi="宋体" w:cs="宋体"/>
          <w:color w:val="auto"/>
          <w:szCs w:val="21"/>
        </w:rPr>
        <w:t>竞争性磋商</w:t>
      </w:r>
      <w:r>
        <w:rPr>
          <w:rFonts w:hint="eastAsia" w:ascii="宋体" w:hAnsi="宋体" w:cs="宋体"/>
          <w:color w:val="auto"/>
          <w:kern w:val="0"/>
          <w:szCs w:val="21"/>
        </w:rPr>
        <w:t>响应文件截止时间后撤回</w:t>
      </w:r>
      <w:r>
        <w:rPr>
          <w:rFonts w:hint="eastAsia" w:ascii="宋体" w:hAnsi="宋体" w:cs="宋体"/>
          <w:color w:val="auto"/>
          <w:szCs w:val="21"/>
        </w:rPr>
        <w:t>竞争性磋商</w:t>
      </w:r>
      <w:r>
        <w:rPr>
          <w:rFonts w:hint="eastAsia" w:ascii="宋体" w:hAnsi="宋体" w:cs="宋体"/>
          <w:color w:val="auto"/>
          <w:kern w:val="0"/>
          <w:szCs w:val="21"/>
        </w:rPr>
        <w:t>响应文件的；</w:t>
      </w:r>
    </w:p>
    <w:p w14:paraId="174B5AE5">
      <w:pPr>
        <w:tabs>
          <w:tab w:val="left" w:pos="975"/>
        </w:tabs>
        <w:snapToGrid w:val="0"/>
        <w:spacing w:line="360" w:lineRule="auto"/>
        <w:ind w:firstLine="411" w:firstLineChars="196"/>
        <w:jc w:val="left"/>
        <w:rPr>
          <w:rFonts w:hint="eastAsia" w:ascii="宋体" w:hAnsi="宋体" w:cs="宋体"/>
          <w:color w:val="auto"/>
          <w:kern w:val="0"/>
          <w:szCs w:val="21"/>
        </w:rPr>
      </w:pPr>
      <w:r>
        <w:rPr>
          <w:rFonts w:hint="eastAsia" w:ascii="宋体" w:hAnsi="宋体" w:cs="宋体"/>
          <w:color w:val="auto"/>
          <w:kern w:val="0"/>
          <w:szCs w:val="21"/>
        </w:rPr>
        <w:t>2）磋商供应商在</w:t>
      </w:r>
      <w:r>
        <w:rPr>
          <w:rFonts w:hint="eastAsia" w:ascii="宋体" w:hAnsi="宋体" w:cs="宋体"/>
          <w:color w:val="auto"/>
          <w:szCs w:val="21"/>
        </w:rPr>
        <w:t>竞争性磋商</w:t>
      </w:r>
      <w:r>
        <w:rPr>
          <w:rFonts w:hint="eastAsia" w:ascii="宋体" w:hAnsi="宋体" w:cs="宋体"/>
          <w:color w:val="auto"/>
          <w:kern w:val="0"/>
          <w:szCs w:val="21"/>
        </w:rPr>
        <w:t>响应文件中提供虚假材料的；</w:t>
      </w:r>
    </w:p>
    <w:p w14:paraId="234865F6">
      <w:pPr>
        <w:tabs>
          <w:tab w:val="left" w:pos="975"/>
        </w:tabs>
        <w:snapToGrid w:val="0"/>
        <w:spacing w:line="360" w:lineRule="auto"/>
        <w:ind w:firstLine="411" w:firstLineChars="196"/>
        <w:jc w:val="left"/>
        <w:rPr>
          <w:rFonts w:hint="eastAsia" w:ascii="宋体" w:hAnsi="宋体" w:cs="宋体"/>
          <w:color w:val="auto"/>
          <w:kern w:val="0"/>
          <w:szCs w:val="21"/>
        </w:rPr>
      </w:pPr>
      <w:r>
        <w:rPr>
          <w:rFonts w:hint="eastAsia" w:ascii="宋体" w:hAnsi="宋体" w:cs="宋体"/>
          <w:color w:val="auto"/>
          <w:kern w:val="0"/>
          <w:szCs w:val="21"/>
        </w:rPr>
        <w:t>3）除因不可抗力或</w:t>
      </w:r>
      <w:r>
        <w:rPr>
          <w:rFonts w:hint="eastAsia" w:ascii="宋体" w:hAnsi="宋体" w:cs="宋体"/>
          <w:color w:val="auto"/>
          <w:szCs w:val="21"/>
        </w:rPr>
        <w:t>竞争性</w:t>
      </w:r>
      <w:r>
        <w:rPr>
          <w:rFonts w:hint="eastAsia" w:ascii="宋体" w:hAnsi="宋体" w:cs="宋体"/>
          <w:color w:val="auto"/>
          <w:kern w:val="0"/>
          <w:szCs w:val="21"/>
        </w:rPr>
        <w:t>磋商文件认可的情形以外，成交供应商不与采购人签订合同的；</w:t>
      </w:r>
    </w:p>
    <w:p w14:paraId="6E1DC366">
      <w:pPr>
        <w:tabs>
          <w:tab w:val="left" w:pos="975"/>
        </w:tabs>
        <w:snapToGrid w:val="0"/>
        <w:spacing w:line="360" w:lineRule="auto"/>
        <w:ind w:firstLine="411" w:firstLineChars="196"/>
        <w:jc w:val="left"/>
        <w:rPr>
          <w:rFonts w:hint="eastAsia" w:ascii="宋体" w:hAnsi="宋体" w:cs="宋体"/>
          <w:color w:val="auto"/>
          <w:kern w:val="0"/>
          <w:szCs w:val="21"/>
        </w:rPr>
      </w:pPr>
      <w:r>
        <w:rPr>
          <w:rFonts w:hint="eastAsia" w:ascii="宋体" w:hAnsi="宋体" w:cs="宋体"/>
          <w:color w:val="auto"/>
          <w:kern w:val="0"/>
          <w:szCs w:val="21"/>
        </w:rPr>
        <w:t>4）磋商供应商与采购人、其他供应商或者采购代理机构恶意串通的。</w:t>
      </w:r>
    </w:p>
    <w:p w14:paraId="486B0BAD">
      <w:pPr>
        <w:tabs>
          <w:tab w:val="left" w:pos="975"/>
        </w:tabs>
        <w:snapToGrid w:val="0"/>
        <w:spacing w:line="360" w:lineRule="auto"/>
        <w:ind w:firstLine="411" w:firstLineChars="196"/>
        <w:jc w:val="left"/>
        <w:rPr>
          <w:rFonts w:hint="eastAsia" w:ascii="宋体" w:hAnsi="宋体" w:cs="宋体"/>
          <w:color w:val="auto"/>
          <w:kern w:val="0"/>
          <w:szCs w:val="21"/>
        </w:rPr>
      </w:pPr>
      <w:r>
        <w:rPr>
          <w:rFonts w:hint="eastAsia" w:ascii="宋体" w:hAnsi="宋体" w:cs="宋体"/>
          <w:color w:val="auto"/>
          <w:kern w:val="0"/>
          <w:szCs w:val="21"/>
        </w:rPr>
        <w:t>5）法律法规规定的其他情形。</w:t>
      </w:r>
    </w:p>
    <w:p w14:paraId="0DD22F9E">
      <w:pPr>
        <w:tabs>
          <w:tab w:val="left" w:pos="975"/>
        </w:tabs>
        <w:snapToGrid w:val="0"/>
        <w:spacing w:line="360" w:lineRule="auto"/>
        <w:ind w:firstLine="413" w:firstLineChars="196"/>
        <w:jc w:val="left"/>
        <w:rPr>
          <w:rFonts w:hint="eastAsia" w:ascii="宋体" w:hAnsi="宋体" w:cs="宋体"/>
          <w:b/>
          <w:color w:val="auto"/>
        </w:rPr>
      </w:pPr>
      <w:r>
        <w:rPr>
          <w:rFonts w:hint="eastAsia" w:ascii="宋体" w:hAnsi="宋体" w:cs="宋体"/>
          <w:b/>
          <w:bCs/>
          <w:color w:val="auto"/>
          <w:szCs w:val="21"/>
        </w:rPr>
        <w:t>注：</w:t>
      </w:r>
      <w:r>
        <w:rPr>
          <w:rFonts w:hint="eastAsia" w:ascii="宋体" w:hAnsi="宋体" w:cs="宋体"/>
          <w:b/>
          <w:color w:val="auto"/>
          <w:kern w:val="0"/>
          <w:szCs w:val="21"/>
        </w:rPr>
        <w:t>磋商供应商</w:t>
      </w:r>
      <w:r>
        <w:rPr>
          <w:rFonts w:hint="eastAsia" w:ascii="宋体" w:hAnsi="宋体" w:cs="宋体"/>
          <w:b/>
          <w:color w:val="auto"/>
        </w:rPr>
        <w:t>已经被推荐为第一成交候选供应商后撤回</w:t>
      </w:r>
      <w:r>
        <w:rPr>
          <w:rFonts w:hint="eastAsia" w:ascii="宋体" w:hAnsi="宋体" w:cs="宋体"/>
          <w:b/>
          <w:color w:val="auto"/>
          <w:szCs w:val="21"/>
        </w:rPr>
        <w:t>竞争性磋商</w:t>
      </w:r>
      <w:r>
        <w:rPr>
          <w:rFonts w:hint="eastAsia" w:ascii="宋体" w:hAnsi="宋体" w:cs="宋体"/>
          <w:b/>
          <w:color w:val="auto"/>
          <w:kern w:val="0"/>
          <w:szCs w:val="21"/>
        </w:rPr>
        <w:t>响应文件</w:t>
      </w:r>
      <w:r>
        <w:rPr>
          <w:rFonts w:hint="eastAsia" w:ascii="宋体" w:hAnsi="宋体" w:cs="宋体"/>
          <w:b/>
          <w:color w:val="auto"/>
        </w:rPr>
        <w:t>或</w:t>
      </w:r>
      <w:r>
        <w:rPr>
          <w:rFonts w:hint="eastAsia" w:ascii="宋体" w:hAnsi="宋体" w:cs="宋体"/>
          <w:b/>
          <w:color w:val="auto"/>
          <w:kern w:val="0"/>
          <w:szCs w:val="21"/>
        </w:rPr>
        <w:t>拒绝签订政府采购合同的</w:t>
      </w:r>
      <w:r>
        <w:rPr>
          <w:rFonts w:hint="eastAsia" w:ascii="宋体" w:hAnsi="宋体" w:cs="宋体"/>
          <w:b/>
          <w:color w:val="auto"/>
        </w:rPr>
        <w:t>，其保证金将不予退还，并上缴国库，给采购人造成损失的，还应当赔偿损失，并作为不良行为记录在案。</w:t>
      </w:r>
    </w:p>
    <w:p w14:paraId="34D0B978">
      <w:pPr>
        <w:spacing w:line="360" w:lineRule="auto"/>
        <w:ind w:firstLine="422" w:firstLineChars="200"/>
        <w:outlineLvl w:val="2"/>
        <w:rPr>
          <w:rFonts w:hint="eastAsia" w:ascii="宋体" w:hAnsi="宋体" w:cs="宋体"/>
          <w:b/>
          <w:color w:val="auto"/>
          <w:szCs w:val="21"/>
        </w:rPr>
      </w:pPr>
      <w:r>
        <w:rPr>
          <w:rFonts w:hint="eastAsia" w:ascii="宋体" w:hAnsi="宋体" w:cs="宋体"/>
          <w:b/>
          <w:color w:val="auto"/>
          <w:szCs w:val="21"/>
        </w:rPr>
        <w:t>六、磋商程序及评标方法</w:t>
      </w:r>
    </w:p>
    <w:p w14:paraId="6CC4B4F5">
      <w:pPr>
        <w:tabs>
          <w:tab w:val="left" w:pos="975"/>
        </w:tabs>
        <w:snapToGrid w:val="0"/>
        <w:spacing w:line="360" w:lineRule="auto"/>
        <w:ind w:firstLine="411" w:firstLineChars="196"/>
        <w:jc w:val="left"/>
        <w:rPr>
          <w:rFonts w:hint="eastAsia" w:ascii="宋体" w:hAnsi="宋体" w:cs="宋体"/>
          <w:bCs/>
          <w:color w:val="auto"/>
        </w:rPr>
      </w:pPr>
      <w:r>
        <w:rPr>
          <w:rFonts w:hint="eastAsia" w:ascii="宋体" w:hAnsi="宋体" w:cs="宋体"/>
          <w:bCs/>
          <w:color w:val="auto"/>
        </w:rPr>
        <w:t>（一）竞争性磋商响应文件无效的情形：</w:t>
      </w:r>
    </w:p>
    <w:p w14:paraId="037AABF4">
      <w:pPr>
        <w:tabs>
          <w:tab w:val="left" w:pos="975"/>
        </w:tabs>
        <w:snapToGrid w:val="0"/>
        <w:spacing w:line="360" w:lineRule="auto"/>
        <w:ind w:firstLine="411" w:firstLineChars="196"/>
        <w:jc w:val="left"/>
        <w:rPr>
          <w:rFonts w:hint="eastAsia" w:ascii="宋体" w:hAnsi="宋体" w:cs="宋体"/>
          <w:bCs/>
          <w:color w:val="auto"/>
        </w:rPr>
      </w:pPr>
      <w:r>
        <w:rPr>
          <w:rFonts w:hint="eastAsia" w:ascii="宋体" w:hAnsi="宋体" w:cs="宋体"/>
          <w:bCs/>
          <w:color w:val="auto"/>
        </w:rPr>
        <w:t>1.未实质性响应竞争性磋商文件的竞争性磋商响应文件按无效处理。</w:t>
      </w:r>
    </w:p>
    <w:p w14:paraId="7AC7FAAD">
      <w:pPr>
        <w:tabs>
          <w:tab w:val="left" w:pos="975"/>
        </w:tabs>
        <w:snapToGrid w:val="0"/>
        <w:spacing w:line="360" w:lineRule="auto"/>
        <w:ind w:firstLine="411" w:firstLineChars="196"/>
        <w:jc w:val="left"/>
        <w:rPr>
          <w:rFonts w:hint="eastAsia" w:ascii="宋体" w:hAnsi="宋体" w:cs="宋体"/>
          <w:bCs/>
          <w:color w:val="auto"/>
        </w:rPr>
      </w:pPr>
      <w:r>
        <w:rPr>
          <w:rFonts w:hint="eastAsia" w:ascii="宋体" w:hAnsi="宋体" w:cs="宋体"/>
          <w:bCs/>
          <w:color w:val="auto"/>
        </w:rPr>
        <w:t>2.有下列情形之一的视为供应商相互串通参与磋商活动，竞争性磋商响应文件将被视为无效：</w:t>
      </w:r>
    </w:p>
    <w:p w14:paraId="65C15BD8">
      <w:pPr>
        <w:tabs>
          <w:tab w:val="left" w:pos="975"/>
        </w:tabs>
        <w:snapToGrid w:val="0"/>
        <w:spacing w:line="360" w:lineRule="auto"/>
        <w:ind w:firstLine="411" w:firstLineChars="196"/>
        <w:jc w:val="left"/>
        <w:rPr>
          <w:rFonts w:hint="eastAsia" w:ascii="宋体" w:hAnsi="宋体" w:cs="宋体"/>
          <w:bCs/>
          <w:color w:val="auto"/>
        </w:rPr>
      </w:pPr>
      <w:r>
        <w:rPr>
          <w:rFonts w:hint="eastAsia" w:ascii="宋体" w:hAnsi="宋体" w:cs="宋体"/>
          <w:bCs/>
          <w:color w:val="auto"/>
        </w:rPr>
        <w:t>（1）不同供应商的竞争性磋商响应文件由同一单位或者个人编制；或不同供应商报名的IP地址一致的；</w:t>
      </w:r>
    </w:p>
    <w:p w14:paraId="1BB252EC">
      <w:pPr>
        <w:tabs>
          <w:tab w:val="left" w:pos="975"/>
        </w:tabs>
        <w:snapToGrid w:val="0"/>
        <w:spacing w:line="360" w:lineRule="auto"/>
        <w:ind w:firstLine="411" w:firstLineChars="196"/>
        <w:jc w:val="left"/>
        <w:rPr>
          <w:rFonts w:hint="eastAsia" w:ascii="宋体" w:hAnsi="宋体" w:cs="宋体"/>
          <w:bCs/>
          <w:color w:val="auto"/>
        </w:rPr>
      </w:pPr>
      <w:r>
        <w:rPr>
          <w:rFonts w:hint="eastAsia" w:ascii="宋体" w:hAnsi="宋体" w:cs="宋体"/>
          <w:bCs/>
          <w:color w:val="auto"/>
        </w:rPr>
        <w:t>（2）不同供应商委托同一单位或者个人办理磋商活动事宜；</w:t>
      </w:r>
    </w:p>
    <w:p w14:paraId="6A089992">
      <w:pPr>
        <w:tabs>
          <w:tab w:val="left" w:pos="975"/>
        </w:tabs>
        <w:snapToGrid w:val="0"/>
        <w:spacing w:line="360" w:lineRule="auto"/>
        <w:ind w:firstLine="411" w:firstLineChars="196"/>
        <w:jc w:val="left"/>
        <w:rPr>
          <w:rFonts w:hint="eastAsia" w:ascii="宋体" w:hAnsi="宋体" w:cs="宋体"/>
          <w:bCs/>
          <w:color w:val="auto"/>
        </w:rPr>
      </w:pPr>
      <w:r>
        <w:rPr>
          <w:rFonts w:hint="eastAsia" w:ascii="宋体" w:hAnsi="宋体" w:cs="宋体"/>
          <w:bCs/>
          <w:color w:val="auto"/>
        </w:rPr>
        <w:t>（3）不同的供应商的竞争性磋商响应文件载明的项目管理员或者联系人员为同一个人；</w:t>
      </w:r>
    </w:p>
    <w:p w14:paraId="13661E17">
      <w:pPr>
        <w:tabs>
          <w:tab w:val="left" w:pos="975"/>
        </w:tabs>
        <w:snapToGrid w:val="0"/>
        <w:spacing w:line="360" w:lineRule="auto"/>
        <w:ind w:firstLine="411" w:firstLineChars="196"/>
        <w:jc w:val="left"/>
        <w:rPr>
          <w:rFonts w:hint="eastAsia" w:ascii="宋体" w:hAnsi="宋体" w:cs="宋体"/>
          <w:bCs/>
          <w:color w:val="auto"/>
        </w:rPr>
      </w:pPr>
      <w:r>
        <w:rPr>
          <w:rFonts w:hint="eastAsia" w:ascii="宋体" w:hAnsi="宋体" w:cs="宋体"/>
          <w:bCs/>
          <w:color w:val="auto"/>
        </w:rPr>
        <w:t>（4）不同供应商的竞争性磋商响应文件异常一致或磋商报价呈规律性差异；</w:t>
      </w:r>
    </w:p>
    <w:p w14:paraId="6123A419">
      <w:pPr>
        <w:tabs>
          <w:tab w:val="left" w:pos="975"/>
        </w:tabs>
        <w:snapToGrid w:val="0"/>
        <w:spacing w:line="360" w:lineRule="auto"/>
        <w:ind w:firstLine="411" w:firstLineChars="196"/>
        <w:jc w:val="left"/>
        <w:rPr>
          <w:rFonts w:hint="eastAsia" w:ascii="宋体" w:hAnsi="宋体" w:cs="宋体"/>
          <w:bCs/>
          <w:color w:val="auto"/>
        </w:rPr>
      </w:pPr>
      <w:r>
        <w:rPr>
          <w:rFonts w:hint="eastAsia" w:ascii="宋体" w:hAnsi="宋体" w:cs="宋体"/>
          <w:bCs/>
          <w:color w:val="auto"/>
        </w:rPr>
        <w:t>（5）不同供应商的竞争性磋商响应文件相互混装；</w:t>
      </w:r>
    </w:p>
    <w:p w14:paraId="6B10847F">
      <w:pPr>
        <w:tabs>
          <w:tab w:val="left" w:pos="975"/>
        </w:tabs>
        <w:snapToGrid w:val="0"/>
        <w:spacing w:line="360" w:lineRule="auto"/>
        <w:ind w:firstLine="411" w:firstLineChars="196"/>
        <w:jc w:val="left"/>
        <w:rPr>
          <w:rFonts w:hint="eastAsia" w:ascii="宋体" w:hAnsi="宋体" w:cs="宋体"/>
          <w:bCs/>
          <w:color w:val="auto"/>
        </w:rPr>
      </w:pPr>
      <w:r>
        <w:rPr>
          <w:rFonts w:hint="eastAsia" w:ascii="宋体" w:hAnsi="宋体" w:cs="宋体"/>
          <w:bCs/>
          <w:color w:val="auto"/>
        </w:rPr>
        <w:t>（6）不同供应商的保证金从同一单位或者个人账户转出。</w:t>
      </w:r>
    </w:p>
    <w:p w14:paraId="53222512">
      <w:pPr>
        <w:tabs>
          <w:tab w:val="left" w:pos="975"/>
        </w:tabs>
        <w:snapToGrid w:val="0"/>
        <w:spacing w:line="360" w:lineRule="auto"/>
        <w:ind w:firstLine="411" w:firstLineChars="196"/>
        <w:jc w:val="left"/>
        <w:rPr>
          <w:rFonts w:hint="eastAsia" w:ascii="宋体" w:hAnsi="宋体" w:cs="宋体"/>
          <w:bCs/>
          <w:color w:val="auto"/>
        </w:rPr>
      </w:pPr>
      <w:r>
        <w:rPr>
          <w:rFonts w:hint="eastAsia" w:ascii="宋体" w:hAnsi="宋体" w:cs="宋体"/>
          <w:bCs/>
          <w:color w:val="auto"/>
        </w:rPr>
        <w:t>3.有下列情形之一的视为关联供应商参加同一合同项下政府采购活动，竞争性磋商响应文件将被视为无效：</w:t>
      </w:r>
    </w:p>
    <w:p w14:paraId="17855857">
      <w:pPr>
        <w:tabs>
          <w:tab w:val="left" w:pos="975"/>
        </w:tabs>
        <w:snapToGrid w:val="0"/>
        <w:spacing w:line="360" w:lineRule="auto"/>
        <w:ind w:firstLine="411" w:firstLineChars="196"/>
        <w:jc w:val="left"/>
        <w:rPr>
          <w:rFonts w:hint="eastAsia" w:ascii="宋体" w:hAnsi="宋体" w:cs="宋体"/>
          <w:bCs/>
          <w:color w:val="auto"/>
        </w:rPr>
      </w:pPr>
      <w:r>
        <w:rPr>
          <w:rFonts w:hint="eastAsia" w:ascii="宋体" w:hAnsi="宋体" w:cs="宋体"/>
          <w:bCs/>
          <w:color w:val="auto"/>
        </w:rPr>
        <w:t>（1）单位负责人为同一人或者存在直接控股、管理关系的不同供应商，参加同一合同项下政府采购活动；</w:t>
      </w:r>
    </w:p>
    <w:p w14:paraId="7FCDDE27">
      <w:pPr>
        <w:tabs>
          <w:tab w:val="left" w:pos="975"/>
        </w:tabs>
        <w:snapToGrid w:val="0"/>
        <w:spacing w:line="360" w:lineRule="auto"/>
        <w:ind w:firstLine="411" w:firstLineChars="196"/>
        <w:jc w:val="left"/>
        <w:rPr>
          <w:rFonts w:hint="eastAsia" w:ascii="宋体" w:hAnsi="宋体" w:cs="宋体"/>
          <w:bCs/>
          <w:color w:val="auto"/>
        </w:rPr>
      </w:pPr>
      <w:r>
        <w:rPr>
          <w:rFonts w:hint="eastAsia" w:ascii="宋体" w:hAnsi="宋体" w:cs="宋体"/>
          <w:bCs/>
          <w:color w:val="auto"/>
        </w:rPr>
        <w:t>（2）生产厂商授权给供应商后又参加同一合同项下的政府采购活动；生产厂商对同一品牌同一型号的货物委托多个代理商参加磋商活动。</w:t>
      </w:r>
    </w:p>
    <w:p w14:paraId="3E8C2474">
      <w:pPr>
        <w:tabs>
          <w:tab w:val="left" w:pos="975"/>
        </w:tabs>
        <w:snapToGrid w:val="0"/>
        <w:spacing w:line="360" w:lineRule="auto"/>
        <w:ind w:firstLine="411" w:firstLineChars="196"/>
        <w:jc w:val="left"/>
        <w:rPr>
          <w:rFonts w:hint="eastAsia" w:ascii="宋体" w:hAnsi="宋体" w:cs="宋体"/>
          <w:bCs/>
          <w:color w:val="auto"/>
        </w:rPr>
      </w:pPr>
      <w:r>
        <w:rPr>
          <w:rFonts w:hint="eastAsia" w:ascii="宋体" w:hAnsi="宋体" w:cs="宋体"/>
          <w:bCs/>
          <w:color w:val="auto"/>
        </w:rPr>
        <w:t>4. 其他竞标无效的情形：</w:t>
      </w:r>
    </w:p>
    <w:p w14:paraId="000C7388">
      <w:pPr>
        <w:tabs>
          <w:tab w:val="left" w:pos="975"/>
        </w:tabs>
        <w:snapToGrid w:val="0"/>
        <w:spacing w:line="360" w:lineRule="auto"/>
        <w:ind w:firstLine="411" w:firstLineChars="196"/>
        <w:jc w:val="left"/>
        <w:rPr>
          <w:rFonts w:hint="eastAsia" w:ascii="宋体" w:hAnsi="宋体" w:cs="宋体"/>
          <w:bCs/>
          <w:color w:val="auto"/>
        </w:rPr>
      </w:pPr>
      <w:r>
        <w:rPr>
          <w:rFonts w:hint="eastAsia" w:ascii="宋体" w:hAnsi="宋体" w:cs="宋体"/>
          <w:bCs/>
          <w:color w:val="auto"/>
        </w:rPr>
        <w:t>（1）竞争性磋商响应文件未按竞争性磋商文件要求签署或CA电子签章的；</w:t>
      </w:r>
    </w:p>
    <w:p w14:paraId="573FEF1A">
      <w:pPr>
        <w:tabs>
          <w:tab w:val="left" w:pos="975"/>
        </w:tabs>
        <w:snapToGrid w:val="0"/>
        <w:spacing w:line="360" w:lineRule="auto"/>
        <w:ind w:firstLine="411" w:firstLineChars="196"/>
        <w:jc w:val="left"/>
        <w:rPr>
          <w:rFonts w:hint="eastAsia" w:ascii="宋体" w:hAnsi="宋体" w:cs="宋体"/>
          <w:bCs/>
          <w:color w:val="auto"/>
        </w:rPr>
      </w:pPr>
      <w:r>
        <w:rPr>
          <w:rFonts w:hint="eastAsia" w:ascii="宋体" w:hAnsi="宋体" w:cs="宋体"/>
          <w:bCs/>
          <w:color w:val="auto"/>
        </w:rPr>
        <w:t>（2）供应商提交两份或两份以上内容不同的竞争性磋商响应文件；</w:t>
      </w:r>
    </w:p>
    <w:p w14:paraId="072B7B20">
      <w:pPr>
        <w:tabs>
          <w:tab w:val="left" w:pos="975"/>
        </w:tabs>
        <w:snapToGrid w:val="0"/>
        <w:spacing w:line="360" w:lineRule="auto"/>
        <w:ind w:firstLine="411" w:firstLineChars="196"/>
        <w:jc w:val="left"/>
        <w:rPr>
          <w:rFonts w:hint="eastAsia" w:ascii="宋体" w:hAnsi="宋体" w:cs="宋体"/>
          <w:bCs/>
          <w:color w:val="auto"/>
        </w:rPr>
      </w:pPr>
      <w:r>
        <w:rPr>
          <w:rFonts w:hint="eastAsia" w:ascii="宋体" w:hAnsi="宋体" w:cs="宋体"/>
          <w:bCs/>
          <w:color w:val="auto"/>
        </w:rPr>
        <w:t>（3）磋商供应商在线制作竞争性磋商响应文件时填写的报价金额与解密后“电子加密响应文件”中《报价文件》填写的金额不一致并拒绝按采购文件要求接受调整的；</w:t>
      </w:r>
    </w:p>
    <w:p w14:paraId="34AF6FC9">
      <w:pPr>
        <w:tabs>
          <w:tab w:val="left" w:pos="975"/>
        </w:tabs>
        <w:snapToGrid w:val="0"/>
        <w:spacing w:line="360" w:lineRule="auto"/>
        <w:ind w:firstLine="411" w:firstLineChars="196"/>
        <w:jc w:val="left"/>
        <w:rPr>
          <w:rFonts w:hint="eastAsia" w:ascii="宋体" w:hAnsi="宋体" w:cs="宋体"/>
          <w:bCs/>
          <w:color w:val="auto"/>
        </w:rPr>
      </w:pPr>
      <w:r>
        <w:rPr>
          <w:rFonts w:hint="eastAsia" w:ascii="宋体" w:hAnsi="宋体" w:cs="宋体"/>
          <w:bCs/>
          <w:color w:val="auto"/>
        </w:rPr>
        <w:t xml:space="preserve">（4）法律、法规和采购文件规定的其他无效情形（或出现重大偏差）。  </w:t>
      </w:r>
    </w:p>
    <w:p w14:paraId="5B83356F">
      <w:pPr>
        <w:tabs>
          <w:tab w:val="left" w:pos="975"/>
        </w:tabs>
        <w:snapToGrid w:val="0"/>
        <w:spacing w:line="360" w:lineRule="auto"/>
        <w:ind w:firstLine="411" w:firstLineChars="196"/>
        <w:jc w:val="left"/>
        <w:rPr>
          <w:rFonts w:hint="eastAsia" w:ascii="宋体" w:hAnsi="宋体" w:cs="宋体"/>
          <w:bCs/>
          <w:color w:val="auto"/>
        </w:rPr>
      </w:pPr>
      <w:r>
        <w:rPr>
          <w:rFonts w:hint="eastAsia" w:ascii="宋体" w:hAnsi="宋体" w:cs="宋体"/>
          <w:bCs/>
          <w:color w:val="auto"/>
          <w:kern w:val="0"/>
          <w:szCs w:val="21"/>
        </w:rPr>
        <w:t>5.</w:t>
      </w:r>
      <w:r>
        <w:rPr>
          <w:rFonts w:hint="eastAsia" w:ascii="宋体" w:hAnsi="宋体" w:cs="宋体"/>
          <w:bCs/>
          <w:color w:val="auto"/>
        </w:rPr>
        <w:t xml:space="preserve"> 被拒绝的响应文件为无效。</w:t>
      </w:r>
    </w:p>
    <w:p w14:paraId="37ED16C1">
      <w:pPr>
        <w:tabs>
          <w:tab w:val="left" w:pos="975"/>
        </w:tabs>
        <w:snapToGrid w:val="0"/>
        <w:spacing w:line="360" w:lineRule="auto"/>
        <w:ind w:firstLine="411" w:firstLineChars="196"/>
        <w:jc w:val="left"/>
        <w:rPr>
          <w:rFonts w:hint="eastAsia" w:ascii="宋体" w:hAnsi="宋体" w:cs="宋体"/>
          <w:bCs/>
          <w:color w:val="auto"/>
          <w:kern w:val="0"/>
          <w:szCs w:val="21"/>
        </w:rPr>
      </w:pPr>
      <w:r>
        <w:rPr>
          <w:rFonts w:hint="eastAsia" w:ascii="宋体" w:hAnsi="宋体" w:cs="宋体"/>
          <w:bCs/>
          <w:color w:val="auto"/>
          <w:kern w:val="0"/>
          <w:szCs w:val="21"/>
        </w:rPr>
        <w:t>磋商供应商竞争性磋商响应文件无效的，磋商小组应当告知有关供应商。</w:t>
      </w:r>
    </w:p>
    <w:p w14:paraId="67114A0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（二）磋商</w:t>
      </w:r>
    </w:p>
    <w:p w14:paraId="2935113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11.1第一轮磋商</w:t>
      </w:r>
    </w:p>
    <w:p w14:paraId="392ED9D0">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1.磋商会由本公司主持，主持人宣布磋商会议开始；</w:t>
      </w:r>
    </w:p>
    <w:p w14:paraId="2915FCAF">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 xml:space="preserve">2.主持人介绍参加磋商会的人员名单； </w:t>
      </w:r>
    </w:p>
    <w:p w14:paraId="5D8DE15C">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3.主持人宣布磋商会议纪律及评审期间的有关事项；告知应当回避的情形,提请有关人员回避；</w:t>
      </w:r>
    </w:p>
    <w:p w14:paraId="30E3BE88">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4.磋商及评审程序</w:t>
      </w:r>
    </w:p>
    <w:p w14:paraId="02C5B06B">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（1）在磋商开始时间截止后30分钟内由各供应商自行对磋商响应文件进行解密；</w:t>
      </w:r>
    </w:p>
    <w:p w14:paraId="6F0B4E90">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（2）由磋商小组进行资格审查和符合性审查，审查结束后，在线通知无效磋商供应商磋商响应文件无效理由，有效磋商供应商进入磋商程序。</w:t>
      </w:r>
    </w:p>
    <w:p w14:paraId="2F5B0A89">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（3）系统对各供应商的商务技术进行汇总；</w:t>
      </w:r>
    </w:p>
    <w:p w14:paraId="50592C15">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（4）磋商小组所有成员应当集中与单一供应商分别进行在线磋商，并给予所有参加磋商的供应商平等的磋商机会。</w:t>
      </w:r>
    </w:p>
    <w:p w14:paraId="1311FD21">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5）当磋商小组一致确定供应商的竞争性磋商响应文件能够详细列明采购标的的技术、服务要求且符合竞争性磋商文件要求，无需再磋商的，磋商小组按竞争性磋商文件设定的11.4、11.6程序和综合评分法确定成交候选供应商。第一轮磋商后竞争性磋商文件有实质性变动或仍需磋商的，磋商小组对竞争性磋商文件变动或提出磋商意见后进行第二轮磋商。</w:t>
      </w:r>
    </w:p>
    <w:p w14:paraId="3A750F27">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11.2竞争性磋商文件变动</w:t>
      </w:r>
    </w:p>
    <w:p w14:paraId="68E20BCF">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第一轮磋商结束后，由磋商小组组长主持，根据竞争性磋商文件和磋商情况结合第一轮磋商整体情况，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3F354474">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对竞争性磋商文件作出的实质性变动是竞争性磋商文件的有效组成部分，磋商小组应当在询标规定时间内及时通知所有参加磋商的供应商，并要求供应商做出响应（需盖CA电子签章）。</w:t>
      </w:r>
    </w:p>
    <w:p w14:paraId="643FF6D7">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kern w:val="0"/>
          <w:szCs w:val="21"/>
        </w:rPr>
        <w:t>11.3第二轮磋商</w:t>
      </w:r>
    </w:p>
    <w:p w14:paraId="7A1065B7">
      <w:pPr>
        <w:widowControl/>
        <w:tabs>
          <w:tab w:val="left" w:pos="540"/>
        </w:tabs>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磋商小组集中就重新递交的响应材料或磋商小组提出的磋商意见与单一响应供应商分别进行在线磋商。</w:t>
      </w:r>
    </w:p>
    <w:p w14:paraId="31994378">
      <w:pPr>
        <w:widowControl/>
        <w:tabs>
          <w:tab w:val="left" w:pos="540"/>
        </w:tabs>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磋商后，在询标规定时间内供应商根据磋商小组统一整理的磋商记录要求做出承诺（需盖CA电子签章）。</w:t>
      </w:r>
    </w:p>
    <w:p w14:paraId="47275432">
      <w:pPr>
        <w:widowControl/>
        <w:tabs>
          <w:tab w:val="left" w:pos="540"/>
        </w:tabs>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当磋商小组一致确定供应商的竞争性磋商响应文件能够详细列明采购标的的技术、服务要求且符合竞争性磋商文件要求，无需再磋商的，磋商小组按竞争性磋商文件设定的11.4、11.6程序和综合评分法确定成交候选供应商。第二轮磋商后竞争性磋商文件仍有实质性变动的或仍需磋商的，磋商小组对竞争性磋商文件变动或提出磋商意见后进行第三轮磋商。以此类推。</w:t>
      </w:r>
    </w:p>
    <w:p w14:paraId="238FE9CF">
      <w:pPr>
        <w:widowControl/>
        <w:tabs>
          <w:tab w:val="left" w:pos="540"/>
        </w:tabs>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特别说明：</w:t>
      </w:r>
    </w:p>
    <w:p w14:paraId="2D4ED7AF">
      <w:pPr>
        <w:widowControl/>
        <w:tabs>
          <w:tab w:val="left" w:pos="540"/>
        </w:tabs>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政采云公司如对电子化开标及评审程序有调整的，按调整后的程序操作。</w:t>
      </w:r>
    </w:p>
    <w:p w14:paraId="3890BE2D">
      <w:pPr>
        <w:widowControl/>
        <w:tabs>
          <w:tab w:val="left" w:pos="540"/>
        </w:tabs>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磋商评审在严格保密的情况下进行，磋商的任何一方不得透露与磋商有关的其他供应商的技术资料、价格和其他信息。</w:t>
      </w:r>
    </w:p>
    <w:p w14:paraId="20A6FE00">
      <w:pPr>
        <w:widowControl/>
        <w:tabs>
          <w:tab w:val="left" w:pos="540"/>
        </w:tabs>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电子磋商过程中需要供应商在线确认的所有内容，供应商不予确认的应说明理由，超过规定时间未确认的，将被视为放弃确认或者无异议。</w:t>
      </w:r>
    </w:p>
    <w:p w14:paraId="7B1F9B48">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kern w:val="0"/>
          <w:szCs w:val="21"/>
        </w:rPr>
        <w:t>澄清问题的形式：对响应文件中含义不明确、同类问题表述不一致或者有明显文字和计算错误的内容，磋商小组可要求供应商作出必要的澄清、说明或者纠正，供应商应在询标规定时间内进行澄清或说明（需盖CA电子签章），并不得超出采购文件的范围或者改变磋商响应文件的实质性内容。</w:t>
      </w:r>
    </w:p>
    <w:p w14:paraId="0214EA7B">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11.4最后报价及成交候选供应商推荐</w:t>
      </w:r>
    </w:p>
    <w:p w14:paraId="05DD1F64">
      <w:pPr>
        <w:widowControl/>
        <w:tabs>
          <w:tab w:val="left" w:pos="540"/>
        </w:tabs>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磋商结束后，磋商小组要求所有继续参加磋商的供应商在规定时间内在线提交最后报价。继续参加磋商的供应商作最后报价，由其法定代表人(负责人)或授权代表CA电子签章后提交。</w:t>
      </w:r>
    </w:p>
    <w:p w14:paraId="09A176A8">
      <w:pPr>
        <w:widowControl/>
        <w:tabs>
          <w:tab w:val="left" w:pos="540"/>
        </w:tabs>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磋商小组根据综合评分情况，按照评审得分由高到低顺序推荐3名以上成交候选供应商，并编写评审报告。市场竞争不充分的科研项目，以及需要扶持的科技成果转化项目，可以推荐2家成交候选供应商。评审得分相同的，按照最后报价由低到高的顺序推荐。评审得分且最后报价相同的，按照技术指标优劣顺序推荐。最后报价是供应商竞争性磋商响应文件的有效组成部分。</w:t>
      </w:r>
    </w:p>
    <w:p w14:paraId="60FE4D89">
      <w:pPr>
        <w:widowControl/>
        <w:tabs>
          <w:tab w:val="left" w:pos="540"/>
        </w:tabs>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磋商小组按照少数服从多数的原则推荐成交候选供应商，采购程序继续进行。对评审报告有异议的磋商小组成员，应当明确不同意见并说明理由。磋商小组成员拒绝提出理由的，视为同意评审结果。</w:t>
      </w:r>
    </w:p>
    <w:p w14:paraId="42324EF9">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11.5供应商的报价均超过了政府采购最高限价，采购人不能支付的，磋商活动终止。</w:t>
      </w:r>
    </w:p>
    <w:p w14:paraId="52EDA544">
      <w:pPr>
        <w:widowControl/>
        <w:tabs>
          <w:tab w:val="left" w:pos="540"/>
        </w:tabs>
        <w:spacing w:line="360" w:lineRule="auto"/>
        <w:ind w:firstLine="420" w:firstLineChars="200"/>
        <w:jc w:val="left"/>
        <w:rPr>
          <w:rFonts w:hint="eastAsia" w:ascii="宋体" w:hAnsi="宋体" w:cs="宋体"/>
          <w:color w:val="auto"/>
        </w:rPr>
      </w:pPr>
      <w:r>
        <w:rPr>
          <w:rFonts w:hint="eastAsia" w:ascii="宋体" w:hAnsi="宋体" w:cs="宋体"/>
          <w:color w:val="auto"/>
          <w:szCs w:val="21"/>
        </w:rPr>
        <w:t>11.6</w:t>
      </w:r>
      <w:r>
        <w:rPr>
          <w:rFonts w:hint="eastAsia" w:ascii="宋体" w:hAnsi="宋体" w:cs="宋体"/>
          <w:color w:val="auto"/>
        </w:rPr>
        <w:t>本采购项目的评审依据为竞争性磋商文件和竞争性磋商响应文件，采用的评标方法为</w:t>
      </w:r>
      <w:r>
        <w:rPr>
          <w:rFonts w:hint="eastAsia" w:ascii="宋体" w:hAnsi="宋体" w:cs="宋体"/>
          <w:b/>
          <w:color w:val="auto"/>
        </w:rPr>
        <w:t>综合评分法</w:t>
      </w:r>
      <w:r>
        <w:rPr>
          <w:rFonts w:hint="eastAsia" w:ascii="宋体" w:hAnsi="宋体" w:cs="宋体"/>
          <w:color w:val="auto"/>
        </w:rPr>
        <w:t>。</w:t>
      </w:r>
    </w:p>
    <w:p w14:paraId="052C1670">
      <w:pPr>
        <w:widowControl/>
        <w:tabs>
          <w:tab w:val="left" w:pos="540"/>
        </w:tabs>
        <w:spacing w:line="360" w:lineRule="auto"/>
        <w:ind w:firstLine="420" w:firstLineChars="200"/>
        <w:jc w:val="left"/>
        <w:rPr>
          <w:rFonts w:hint="eastAsia" w:ascii="宋体" w:hAnsi="宋体" w:cs="宋体"/>
          <w:color w:val="auto"/>
        </w:rPr>
      </w:pPr>
      <w:r>
        <w:rPr>
          <w:rFonts w:hint="eastAsia" w:ascii="宋体" w:hAnsi="宋体" w:cs="宋体"/>
          <w:color w:val="auto"/>
        </w:rPr>
        <w:t>11.7可中止电子交易活动的情形</w:t>
      </w:r>
    </w:p>
    <w:p w14:paraId="204A58F6">
      <w:pPr>
        <w:widowControl/>
        <w:tabs>
          <w:tab w:val="left" w:pos="540"/>
        </w:tabs>
        <w:spacing w:line="360" w:lineRule="auto"/>
        <w:ind w:firstLine="420" w:firstLineChars="200"/>
        <w:jc w:val="left"/>
        <w:rPr>
          <w:rFonts w:hint="eastAsia" w:ascii="宋体" w:hAnsi="宋体" w:cs="宋体"/>
          <w:color w:val="auto"/>
        </w:rPr>
      </w:pPr>
      <w:r>
        <w:rPr>
          <w:rFonts w:hint="eastAsia" w:ascii="宋体" w:hAnsi="宋体" w:cs="宋体"/>
          <w:color w:val="auto"/>
        </w:rPr>
        <w:t>采购过程中出现以下情形，导致电子交易平台无法正常运行，或者无法保证电子交易的公平、公正和安全时，本公司可中止电子交易活动：</w:t>
      </w:r>
    </w:p>
    <w:p w14:paraId="614DE924">
      <w:pPr>
        <w:widowControl/>
        <w:tabs>
          <w:tab w:val="left" w:pos="540"/>
        </w:tabs>
        <w:spacing w:line="360" w:lineRule="auto"/>
        <w:ind w:firstLine="420" w:firstLineChars="200"/>
        <w:jc w:val="left"/>
        <w:rPr>
          <w:rFonts w:hint="eastAsia" w:ascii="宋体" w:hAnsi="宋体" w:cs="宋体"/>
          <w:color w:val="auto"/>
        </w:rPr>
      </w:pPr>
      <w:r>
        <w:rPr>
          <w:rFonts w:hint="eastAsia" w:ascii="宋体" w:hAnsi="宋体" w:cs="宋体"/>
          <w:color w:val="auto"/>
        </w:rPr>
        <w:t>(1)电子交易平台发生故障而无法登录访问的；</w:t>
      </w:r>
    </w:p>
    <w:p w14:paraId="46D34547">
      <w:pPr>
        <w:widowControl/>
        <w:tabs>
          <w:tab w:val="left" w:pos="540"/>
        </w:tabs>
        <w:spacing w:line="360" w:lineRule="auto"/>
        <w:ind w:firstLine="420" w:firstLineChars="200"/>
        <w:jc w:val="left"/>
        <w:rPr>
          <w:rFonts w:hint="eastAsia" w:ascii="宋体" w:hAnsi="宋体" w:cs="宋体"/>
          <w:color w:val="auto"/>
        </w:rPr>
      </w:pPr>
      <w:r>
        <w:rPr>
          <w:rFonts w:hint="eastAsia" w:ascii="宋体" w:hAnsi="宋体" w:cs="宋体"/>
          <w:color w:val="auto"/>
        </w:rPr>
        <w:t>(2)电子交易平台应用或数据库出现错误，不能进行正常操作的；</w:t>
      </w:r>
    </w:p>
    <w:p w14:paraId="08F41359">
      <w:pPr>
        <w:widowControl/>
        <w:tabs>
          <w:tab w:val="left" w:pos="540"/>
        </w:tabs>
        <w:spacing w:line="360" w:lineRule="auto"/>
        <w:ind w:firstLine="420" w:firstLineChars="200"/>
        <w:jc w:val="left"/>
        <w:rPr>
          <w:rFonts w:hint="eastAsia" w:ascii="宋体" w:hAnsi="宋体" w:cs="宋体"/>
          <w:color w:val="auto"/>
        </w:rPr>
      </w:pPr>
      <w:r>
        <w:rPr>
          <w:rFonts w:hint="eastAsia" w:ascii="宋体" w:hAnsi="宋体" w:cs="宋体"/>
          <w:color w:val="auto"/>
        </w:rPr>
        <w:t>(3)电子交易平台发现严重安全漏洞，有潜在泄密危险的；</w:t>
      </w:r>
    </w:p>
    <w:p w14:paraId="69551FE8">
      <w:pPr>
        <w:widowControl/>
        <w:tabs>
          <w:tab w:val="left" w:pos="540"/>
        </w:tabs>
        <w:spacing w:line="360" w:lineRule="auto"/>
        <w:ind w:firstLine="420" w:firstLineChars="200"/>
        <w:jc w:val="left"/>
        <w:rPr>
          <w:rFonts w:hint="eastAsia" w:ascii="宋体" w:hAnsi="宋体" w:cs="宋体"/>
          <w:color w:val="auto"/>
        </w:rPr>
      </w:pPr>
      <w:r>
        <w:rPr>
          <w:rFonts w:hint="eastAsia" w:ascii="宋体" w:hAnsi="宋体" w:cs="宋体"/>
          <w:color w:val="auto"/>
        </w:rPr>
        <w:t>(4)病毒发作导致不能进行正常操作的；</w:t>
      </w:r>
    </w:p>
    <w:p w14:paraId="0F833C4C">
      <w:pPr>
        <w:widowControl/>
        <w:tabs>
          <w:tab w:val="left" w:pos="540"/>
        </w:tabs>
        <w:spacing w:line="360" w:lineRule="auto"/>
        <w:ind w:firstLine="420" w:firstLineChars="200"/>
        <w:jc w:val="left"/>
        <w:rPr>
          <w:rFonts w:hint="eastAsia" w:ascii="宋体" w:hAnsi="宋体" w:cs="宋体"/>
          <w:color w:val="auto"/>
        </w:rPr>
      </w:pPr>
      <w:r>
        <w:rPr>
          <w:rFonts w:hint="eastAsia" w:ascii="宋体" w:hAnsi="宋体" w:cs="宋体"/>
          <w:color w:val="auto"/>
        </w:rPr>
        <w:t>(5)其他无法保证电子交易的公平、公正和安全的情况。</w:t>
      </w:r>
    </w:p>
    <w:p w14:paraId="0750F514">
      <w:pPr>
        <w:widowControl/>
        <w:tabs>
          <w:tab w:val="left" w:pos="540"/>
        </w:tabs>
        <w:spacing w:line="360" w:lineRule="auto"/>
        <w:ind w:firstLine="420" w:firstLineChars="200"/>
        <w:jc w:val="left"/>
        <w:rPr>
          <w:rFonts w:hint="eastAsia" w:ascii="宋体" w:hAnsi="宋体" w:cs="宋体"/>
          <w:color w:val="auto"/>
        </w:rPr>
      </w:pPr>
      <w:r>
        <w:rPr>
          <w:rFonts w:hint="eastAsia" w:ascii="宋体" w:hAnsi="宋体" w:cs="宋体"/>
          <w:color w:val="auto"/>
        </w:rPr>
        <w:t>出现前款规定情形，不影响采购公平、公正性的，本公司待上述情形消除后继续组织电子交易活动；影响或可能影响采购公平、公正性的，重新组织采购活动。</w:t>
      </w:r>
    </w:p>
    <w:p w14:paraId="6E9B0866">
      <w:pPr>
        <w:widowControl/>
        <w:tabs>
          <w:tab w:val="left" w:pos="540"/>
        </w:tabs>
        <w:spacing w:line="360" w:lineRule="auto"/>
        <w:ind w:firstLine="420" w:firstLineChars="200"/>
        <w:jc w:val="left"/>
        <w:rPr>
          <w:rFonts w:hint="eastAsia" w:ascii="宋体" w:hAnsi="宋体" w:cs="宋体"/>
          <w:color w:val="auto"/>
        </w:rPr>
      </w:pPr>
      <w:r>
        <w:rPr>
          <w:rFonts w:hint="eastAsia" w:ascii="宋体" w:hAnsi="宋体" w:cs="宋体"/>
          <w:color w:val="auto"/>
        </w:rPr>
        <w:t>11.8.终止竞争性磋商采购活动</w:t>
      </w:r>
    </w:p>
    <w:p w14:paraId="4E63F5CC">
      <w:pPr>
        <w:widowControl/>
        <w:tabs>
          <w:tab w:val="left" w:pos="540"/>
        </w:tabs>
        <w:spacing w:line="360" w:lineRule="auto"/>
        <w:ind w:firstLine="420" w:firstLineChars="200"/>
        <w:jc w:val="left"/>
        <w:rPr>
          <w:rFonts w:hint="eastAsia" w:ascii="宋体" w:hAnsi="宋体" w:cs="宋体"/>
          <w:color w:val="auto"/>
        </w:rPr>
      </w:pPr>
      <w:r>
        <w:rPr>
          <w:rFonts w:hint="eastAsia" w:ascii="宋体" w:hAnsi="宋体" w:cs="宋体"/>
          <w:color w:val="auto"/>
        </w:rPr>
        <w:t>在竞争性磋商采购活动过程中，出现下列情形之一的，采购人或者本公司将终止竞争性磋商采购活动，发布项目终止公告并说明原因，重新开展采购活动：</w:t>
      </w:r>
    </w:p>
    <w:p w14:paraId="2E18240E">
      <w:pPr>
        <w:widowControl/>
        <w:tabs>
          <w:tab w:val="left" w:pos="540"/>
        </w:tabs>
        <w:spacing w:line="360" w:lineRule="auto"/>
        <w:ind w:firstLine="420" w:firstLineChars="200"/>
        <w:jc w:val="left"/>
        <w:rPr>
          <w:rFonts w:hint="eastAsia" w:ascii="宋体" w:hAnsi="宋体" w:cs="宋体"/>
          <w:color w:val="auto"/>
        </w:rPr>
      </w:pPr>
      <w:r>
        <w:rPr>
          <w:rFonts w:hint="eastAsia" w:ascii="宋体" w:hAnsi="宋体" w:cs="宋体"/>
          <w:color w:val="auto"/>
        </w:rPr>
        <w:t>(1)因情况变化，不再符合规定的竞争性磋商采购方式适用情形的；</w:t>
      </w:r>
    </w:p>
    <w:p w14:paraId="74C6469B">
      <w:pPr>
        <w:widowControl/>
        <w:tabs>
          <w:tab w:val="left" w:pos="540"/>
        </w:tabs>
        <w:spacing w:line="360" w:lineRule="auto"/>
        <w:ind w:firstLine="420" w:firstLineChars="200"/>
        <w:jc w:val="left"/>
        <w:rPr>
          <w:rFonts w:hint="eastAsia" w:ascii="宋体" w:hAnsi="宋体" w:cs="宋体"/>
          <w:color w:val="auto"/>
        </w:rPr>
      </w:pPr>
      <w:r>
        <w:rPr>
          <w:rFonts w:hint="eastAsia" w:ascii="宋体" w:hAnsi="宋体" w:cs="宋体"/>
          <w:color w:val="auto"/>
        </w:rPr>
        <w:t>(2)出现影响采购公正的违法、违规行为的；</w:t>
      </w:r>
    </w:p>
    <w:p w14:paraId="4E0C0FE1">
      <w:pPr>
        <w:widowControl/>
        <w:tabs>
          <w:tab w:val="left" w:pos="540"/>
        </w:tabs>
        <w:spacing w:line="360" w:lineRule="auto"/>
        <w:ind w:firstLine="420" w:firstLineChars="200"/>
        <w:jc w:val="left"/>
        <w:rPr>
          <w:rFonts w:hint="eastAsia" w:ascii="宋体" w:hAnsi="宋体" w:cs="宋体"/>
          <w:color w:val="auto"/>
        </w:rPr>
      </w:pPr>
      <w:r>
        <w:rPr>
          <w:rFonts w:hint="eastAsia" w:ascii="宋体" w:hAnsi="宋体" w:cs="宋体"/>
          <w:color w:val="auto"/>
        </w:rPr>
        <w:t>(3)在采购过程中符合要求的供应商不足3家的。（符合磋商文件规定的特殊情形除外；符合《政府采购竞争性磋商采购方式管理暂行办法》第三条第四项情形除外；符合财库〔2015〕124 号文件规定情形的除外。）</w:t>
      </w:r>
    </w:p>
    <w:p w14:paraId="5B7CB884">
      <w:pPr>
        <w:widowControl/>
        <w:tabs>
          <w:tab w:val="left" w:pos="540"/>
        </w:tabs>
        <w:spacing w:line="360" w:lineRule="auto"/>
        <w:ind w:firstLine="420" w:firstLineChars="200"/>
        <w:jc w:val="left"/>
        <w:rPr>
          <w:rFonts w:hint="eastAsia" w:ascii="宋体" w:hAnsi="宋体" w:cs="宋体"/>
          <w:color w:val="auto"/>
        </w:rPr>
      </w:pPr>
      <w:r>
        <w:rPr>
          <w:rFonts w:hint="eastAsia" w:ascii="宋体" w:hAnsi="宋体" w:cs="宋体"/>
          <w:color w:val="auto"/>
        </w:rPr>
        <w:t>在采购活动中因重大变故，采购任务取消的，采购人或者本公司将终止采购活动，通知所有参加采购活动的供应商，并将项目实施情况和采购任务取消原因报送本级财政部门。</w:t>
      </w:r>
    </w:p>
    <w:p w14:paraId="50816081">
      <w:pPr>
        <w:widowControl/>
        <w:tabs>
          <w:tab w:val="left" w:pos="540"/>
        </w:tabs>
        <w:spacing w:line="360" w:lineRule="auto"/>
        <w:ind w:firstLine="422" w:firstLineChars="200"/>
        <w:jc w:val="left"/>
        <w:outlineLvl w:val="2"/>
        <w:rPr>
          <w:rFonts w:hint="eastAsia" w:ascii="宋体" w:hAnsi="宋体" w:cs="宋体"/>
          <w:b/>
          <w:color w:val="auto"/>
          <w:szCs w:val="21"/>
        </w:rPr>
      </w:pPr>
      <w:r>
        <w:rPr>
          <w:rFonts w:hint="eastAsia" w:ascii="宋体" w:hAnsi="宋体" w:cs="宋体"/>
          <w:b/>
          <w:color w:val="auto"/>
          <w:szCs w:val="21"/>
        </w:rPr>
        <w:t>七、确定成交供应商办法</w:t>
      </w:r>
    </w:p>
    <w:p w14:paraId="2A59F566">
      <w:pPr>
        <w:widowControl/>
        <w:tabs>
          <w:tab w:val="left" w:pos="540"/>
        </w:tabs>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12.根据以下原则确定成交供应商：质量和服务均能满足</w:t>
      </w:r>
      <w:r>
        <w:rPr>
          <w:rFonts w:hint="eastAsia" w:ascii="宋体" w:hAnsi="宋体" w:cs="宋体"/>
          <w:color w:val="auto"/>
        </w:rPr>
        <w:t>竞争性磋商文件</w:t>
      </w:r>
      <w:r>
        <w:rPr>
          <w:rFonts w:hint="eastAsia" w:ascii="宋体" w:hAnsi="宋体" w:cs="宋体"/>
          <w:color w:val="auto"/>
          <w:kern w:val="0"/>
          <w:szCs w:val="21"/>
        </w:rPr>
        <w:t>实质性响应要求的供应商中按综合评分法的成交候选供应商推荐原则确定成交供应商。</w:t>
      </w:r>
    </w:p>
    <w:p w14:paraId="33A75E25">
      <w:pPr>
        <w:widowControl/>
        <w:tabs>
          <w:tab w:val="left" w:pos="540"/>
        </w:tabs>
        <w:spacing w:line="360" w:lineRule="auto"/>
        <w:ind w:firstLine="422" w:firstLineChars="200"/>
        <w:jc w:val="left"/>
        <w:outlineLvl w:val="2"/>
        <w:rPr>
          <w:rFonts w:hint="eastAsia" w:ascii="宋体" w:hAnsi="宋体" w:cs="宋体"/>
          <w:b/>
          <w:color w:val="auto"/>
        </w:rPr>
      </w:pPr>
      <w:r>
        <w:rPr>
          <w:rFonts w:hint="eastAsia" w:ascii="宋体" w:hAnsi="宋体" w:cs="宋体"/>
          <w:b/>
          <w:color w:val="auto"/>
        </w:rPr>
        <w:t>八、成交结果公告</w:t>
      </w:r>
    </w:p>
    <w:p w14:paraId="5EA1C36F">
      <w:pPr>
        <w:widowControl/>
        <w:tabs>
          <w:tab w:val="left" w:pos="540"/>
        </w:tabs>
        <w:wordWrap w:val="0"/>
        <w:spacing w:line="360" w:lineRule="auto"/>
        <w:ind w:firstLine="420" w:firstLineChars="200"/>
        <w:jc w:val="left"/>
        <w:rPr>
          <w:rFonts w:hint="eastAsia" w:ascii="宋体" w:hAnsi="宋体" w:cs="宋体"/>
          <w:color w:val="auto"/>
        </w:rPr>
      </w:pPr>
      <w:r>
        <w:rPr>
          <w:rFonts w:hint="eastAsia" w:ascii="宋体" w:hAnsi="宋体" w:cs="宋体"/>
          <w:color w:val="auto"/>
          <w:kern w:val="0"/>
          <w:szCs w:val="21"/>
        </w:rPr>
        <w:t>13.1</w:t>
      </w:r>
      <w:r>
        <w:rPr>
          <w:rFonts w:hint="eastAsia" w:ascii="宋体" w:hAnsi="宋体" w:cs="宋体"/>
          <w:color w:val="auto"/>
        </w:rPr>
        <w:t>采购代理机构在评审结束后2个工作日内将磋商评审报告送采购人确认，</w:t>
      </w:r>
      <w:r>
        <w:rPr>
          <w:rFonts w:hint="eastAsia" w:ascii="宋体" w:hAnsi="宋体" w:cs="宋体"/>
          <w:color w:val="auto"/>
          <w:kern w:val="0"/>
        </w:rPr>
        <w:t>采购人</w:t>
      </w:r>
      <w:r>
        <w:rPr>
          <w:rFonts w:hint="eastAsia" w:ascii="宋体" w:hAnsi="宋体" w:cs="宋体"/>
          <w:color w:val="auto"/>
        </w:rPr>
        <w:t>确认后，成交结果公告将在财政部门指定的政府采购信息发布媒体上发布，</w:t>
      </w:r>
      <w:r>
        <w:rPr>
          <w:rFonts w:hint="eastAsia" w:ascii="宋体" w:hAnsi="宋体" w:cs="宋体"/>
          <w:color w:val="auto"/>
          <w:kern w:val="0"/>
        </w:rPr>
        <w:t>同时向成交供应商发出成交通知书</w:t>
      </w:r>
      <w:r>
        <w:rPr>
          <w:rFonts w:hint="eastAsia" w:ascii="宋体" w:hAnsi="宋体" w:cs="宋体"/>
          <w:color w:val="auto"/>
        </w:rPr>
        <w:t>。</w:t>
      </w:r>
    </w:p>
    <w:p w14:paraId="3B6948AD">
      <w:pPr>
        <w:pStyle w:val="22"/>
        <w:spacing w:line="360" w:lineRule="auto"/>
        <w:ind w:left="105" w:firstLine="315"/>
        <w:rPr>
          <w:rFonts w:hint="eastAsia" w:hAnsi="宋体" w:cs="宋体"/>
          <w:bCs/>
          <w:color w:val="auto"/>
        </w:rPr>
      </w:pPr>
      <w:r>
        <w:rPr>
          <w:rFonts w:hint="eastAsia" w:hAnsi="宋体" w:cs="宋体"/>
          <w:color w:val="auto"/>
        </w:rPr>
        <w:t>13.2磋商供应商</w:t>
      </w:r>
      <w:r>
        <w:rPr>
          <w:rFonts w:hint="eastAsia" w:hAnsi="宋体" w:cs="宋体"/>
          <w:color w:val="auto"/>
          <w:kern w:val="0"/>
        </w:rPr>
        <w:t>认为采购过程、成交结果使自己的权益受到损害的</w:t>
      </w:r>
      <w:r>
        <w:rPr>
          <w:rFonts w:hint="eastAsia" w:hAnsi="宋体" w:cs="宋体"/>
          <w:color w:val="auto"/>
        </w:rPr>
        <w:t>，</w:t>
      </w:r>
      <w:r>
        <w:rPr>
          <w:rFonts w:hint="eastAsia" w:hAnsi="宋体" w:cs="宋体"/>
          <w:color w:val="auto"/>
          <w:kern w:val="0"/>
        </w:rPr>
        <w:t>可以在成交结果公告期限届满之日起</w:t>
      </w:r>
      <w:r>
        <w:rPr>
          <w:rFonts w:hint="eastAsia" w:hAnsi="宋体" w:cs="宋体"/>
          <w:bCs/>
          <w:color w:val="auto"/>
        </w:rPr>
        <w:t>七个工作日内以书面形式向采购代理机构提出质疑</w:t>
      </w:r>
      <w:r>
        <w:rPr>
          <w:rFonts w:hint="eastAsia" w:hAnsi="宋体" w:cs="宋体"/>
          <w:color w:val="auto"/>
        </w:rPr>
        <w:t>，供应商在法定质疑期内必须一次性提出针对同一采购程序环节的质疑</w:t>
      </w:r>
      <w:r>
        <w:rPr>
          <w:rFonts w:hint="eastAsia" w:hAnsi="宋体" w:cs="宋体"/>
          <w:bCs/>
          <w:color w:val="auto"/>
        </w:rPr>
        <w:t>。采购代理机构将在收到</w:t>
      </w:r>
      <w:r>
        <w:rPr>
          <w:rFonts w:hint="eastAsia" w:hAnsi="宋体" w:cs="宋体"/>
          <w:color w:val="auto"/>
        </w:rPr>
        <w:t>磋商供应商</w:t>
      </w:r>
      <w:r>
        <w:rPr>
          <w:rFonts w:hint="eastAsia" w:hAnsi="宋体" w:cs="宋体"/>
          <w:bCs/>
          <w:color w:val="auto"/>
        </w:rPr>
        <w:t>的书面质疑后七个工作日内做出答复，但答复的内容不得涉及商业秘密。</w:t>
      </w:r>
    </w:p>
    <w:p w14:paraId="42ED6047">
      <w:pPr>
        <w:pStyle w:val="22"/>
        <w:spacing w:line="360" w:lineRule="auto"/>
        <w:ind w:firstLine="420"/>
        <w:rPr>
          <w:rFonts w:hint="eastAsia" w:hAnsi="宋体" w:cs="宋体"/>
          <w:bCs/>
          <w:color w:val="auto"/>
        </w:rPr>
      </w:pPr>
      <w:r>
        <w:rPr>
          <w:rFonts w:hint="eastAsia" w:hAnsi="宋体" w:cs="宋体"/>
          <w:color w:val="auto"/>
        </w:rPr>
        <w:t>13.3</w:t>
      </w:r>
      <w:r>
        <w:rPr>
          <w:rFonts w:hint="eastAsia" w:hAnsi="宋体" w:cs="宋体"/>
          <w:bCs/>
          <w:color w:val="auto"/>
        </w:rPr>
        <w:t>质疑</w:t>
      </w:r>
      <w:r>
        <w:rPr>
          <w:rFonts w:hint="eastAsia" w:hAnsi="宋体" w:cs="宋体"/>
          <w:color w:val="auto"/>
        </w:rPr>
        <w:t>磋商供应商</w:t>
      </w:r>
      <w:r>
        <w:rPr>
          <w:rFonts w:hint="eastAsia" w:hAnsi="宋体" w:cs="宋体"/>
          <w:bCs/>
          <w:color w:val="auto"/>
        </w:rPr>
        <w:t>必须首先经过质疑程序，在对采购代理机构的答复不满意或者采购代理机构未在规定的时间内做出答复的，可以在答复期满后十五个工作日内书面向相关监督管理部门投诉。</w:t>
      </w:r>
    </w:p>
    <w:p w14:paraId="50CA4ABA">
      <w:pPr>
        <w:pStyle w:val="22"/>
        <w:spacing w:line="360" w:lineRule="auto"/>
        <w:ind w:firstLine="420"/>
        <w:rPr>
          <w:rFonts w:hint="eastAsia" w:hAnsi="宋体" w:cs="宋体"/>
          <w:color w:val="auto"/>
        </w:rPr>
      </w:pPr>
      <w:r>
        <w:rPr>
          <w:rFonts w:hint="eastAsia" w:hAnsi="宋体" w:cs="宋体"/>
          <w:color w:val="auto"/>
        </w:rPr>
        <w:t>质疑联系部门及电话为：广西汉昌工程咨询有限公司、 0771-3313954</w:t>
      </w:r>
    </w:p>
    <w:p w14:paraId="49E8C353">
      <w:pPr>
        <w:pStyle w:val="22"/>
        <w:spacing w:line="360" w:lineRule="auto"/>
        <w:ind w:firstLine="420"/>
        <w:rPr>
          <w:rFonts w:hint="eastAsia" w:hAnsi="宋体" w:cs="宋体"/>
          <w:color w:val="auto"/>
        </w:rPr>
      </w:pPr>
      <w:r>
        <w:rPr>
          <w:rFonts w:hint="eastAsia" w:hAnsi="宋体" w:cs="宋体"/>
          <w:color w:val="auto"/>
        </w:rPr>
        <w:t>通讯地址：南宁市青秀区仙葫大道西16号鼎丰国际美食广场A栋11楼HC区域</w:t>
      </w:r>
    </w:p>
    <w:p w14:paraId="112C6EAA">
      <w:pPr>
        <w:pStyle w:val="22"/>
        <w:spacing w:line="360" w:lineRule="auto"/>
        <w:ind w:firstLine="420"/>
        <w:outlineLvl w:val="2"/>
        <w:rPr>
          <w:rFonts w:hint="eastAsia" w:hAnsi="宋体" w:cs="宋体"/>
          <w:b/>
          <w:color w:val="auto"/>
        </w:rPr>
      </w:pPr>
      <w:r>
        <w:rPr>
          <w:rFonts w:hint="eastAsia" w:hAnsi="宋体" w:cs="宋体"/>
          <w:b/>
          <w:color w:val="auto"/>
        </w:rPr>
        <w:t>九、签订合同</w:t>
      </w:r>
    </w:p>
    <w:p w14:paraId="407826A4">
      <w:pPr>
        <w:pStyle w:val="22"/>
        <w:spacing w:line="360" w:lineRule="auto"/>
        <w:ind w:firstLine="420"/>
        <w:rPr>
          <w:rFonts w:hint="eastAsia" w:hAnsi="宋体" w:cs="宋体"/>
          <w:color w:val="auto"/>
        </w:rPr>
      </w:pPr>
      <w:r>
        <w:rPr>
          <w:rFonts w:hint="eastAsia" w:hAnsi="宋体" w:cs="宋体"/>
          <w:color w:val="auto"/>
        </w:rPr>
        <w:t>14.1成交供应商自成交通知书发出之日起</w:t>
      </w:r>
      <w:r>
        <w:rPr>
          <w:rFonts w:hint="eastAsia" w:hAnsi="宋体" w:cs="宋体"/>
          <w:b/>
          <w:color w:val="auto"/>
        </w:rPr>
        <w:t>25日</w:t>
      </w:r>
      <w:r>
        <w:rPr>
          <w:rFonts w:hint="eastAsia" w:hAnsi="宋体" w:cs="宋体"/>
          <w:color w:val="auto"/>
        </w:rPr>
        <w:t>内与采购人签订合同。</w:t>
      </w:r>
    </w:p>
    <w:p w14:paraId="36930136">
      <w:pPr>
        <w:pStyle w:val="22"/>
        <w:spacing w:line="360" w:lineRule="auto"/>
        <w:ind w:firstLine="420"/>
        <w:rPr>
          <w:rFonts w:hint="eastAsia" w:hAnsi="宋体" w:cs="宋体"/>
          <w:color w:val="auto"/>
          <w:kern w:val="0"/>
        </w:rPr>
      </w:pPr>
      <w:r>
        <w:rPr>
          <w:rFonts w:hint="eastAsia" w:hAnsi="宋体" w:cs="宋体"/>
          <w:color w:val="auto"/>
        </w:rPr>
        <w:t>14.2</w:t>
      </w:r>
      <w:r>
        <w:rPr>
          <w:rFonts w:hint="eastAsia" w:hAnsi="宋体" w:cs="宋体"/>
          <w:color w:val="auto"/>
          <w:kern w:val="0"/>
        </w:rPr>
        <w:t>成交供应商拒绝签订政府采购合同的</w:t>
      </w:r>
      <w:r>
        <w:rPr>
          <w:rFonts w:hint="eastAsia" w:hAnsi="宋体" w:cs="宋体"/>
          <w:color w:val="auto"/>
        </w:rPr>
        <w:t>，采购人可以根据磋商评审报告确定成交供应商之后排名第一的成交候选供应商</w:t>
      </w:r>
      <w:r>
        <w:rPr>
          <w:rFonts w:hint="eastAsia" w:hAnsi="宋体" w:cs="宋体"/>
          <w:color w:val="auto"/>
          <w:kern w:val="0"/>
        </w:rPr>
        <w:t>作为</w:t>
      </w:r>
      <w:r>
        <w:rPr>
          <w:rFonts w:hint="eastAsia" w:hAnsi="宋体" w:cs="宋体"/>
          <w:color w:val="auto"/>
        </w:rPr>
        <w:t>成交供应商</w:t>
      </w:r>
      <w:r>
        <w:rPr>
          <w:rFonts w:hint="eastAsia" w:hAnsi="宋体" w:cs="宋体"/>
          <w:color w:val="auto"/>
          <w:kern w:val="0"/>
        </w:rPr>
        <w:t>并签订政府采购合同，也可以重新开展采购活动。拒绝签订政府采购合同的成交供应商不得参加对该项目重新开展的采购活动。</w:t>
      </w:r>
    </w:p>
    <w:p w14:paraId="7A570880">
      <w:pPr>
        <w:pStyle w:val="22"/>
        <w:spacing w:line="360" w:lineRule="auto"/>
        <w:ind w:firstLine="420"/>
        <w:rPr>
          <w:rFonts w:hint="eastAsia" w:hAnsi="宋体" w:cs="宋体"/>
          <w:b/>
          <w:color w:val="auto"/>
        </w:rPr>
      </w:pPr>
      <w:r>
        <w:rPr>
          <w:rFonts w:hint="eastAsia" w:hAnsi="宋体" w:cs="宋体"/>
          <w:b/>
          <w:color w:val="auto"/>
        </w:rPr>
        <w:t>14.3</w:t>
      </w:r>
      <w:r>
        <w:rPr>
          <w:rFonts w:hint="eastAsia" w:hAnsi="宋体" w:cs="宋体"/>
          <w:b/>
          <w:color w:val="auto"/>
          <w:kern w:val="0"/>
        </w:rPr>
        <w:t>成交供应商拒绝签订政府采购合同的</w:t>
      </w:r>
      <w:r>
        <w:rPr>
          <w:rFonts w:hint="eastAsia" w:hAnsi="宋体" w:cs="宋体"/>
          <w:b/>
          <w:color w:val="auto"/>
        </w:rPr>
        <w:t>，其保证金将不予退还，并上缴国库，给采购人造成损失的，还应当赔偿损失，并作为不良行为记录在案。</w:t>
      </w:r>
    </w:p>
    <w:p w14:paraId="133D7AE5">
      <w:pPr>
        <w:pStyle w:val="22"/>
        <w:spacing w:line="360" w:lineRule="auto"/>
        <w:ind w:firstLine="420"/>
        <w:rPr>
          <w:rFonts w:hint="eastAsia" w:hAnsi="宋体" w:cs="宋体"/>
          <w:b/>
          <w:color w:val="auto"/>
        </w:rPr>
      </w:pPr>
      <w:r>
        <w:rPr>
          <w:rFonts w:hint="eastAsia" w:hAnsi="宋体" w:cs="宋体"/>
          <w:b/>
          <w:color w:val="auto"/>
        </w:rPr>
        <w:t>14.4履约保证金</w:t>
      </w:r>
    </w:p>
    <w:p w14:paraId="6E27F17A">
      <w:pPr>
        <w:pStyle w:val="22"/>
        <w:spacing w:line="360" w:lineRule="auto"/>
        <w:ind w:firstLine="420"/>
        <w:rPr>
          <w:rFonts w:hint="eastAsia" w:hAnsi="宋体" w:cs="宋体"/>
          <w:color w:val="auto"/>
        </w:rPr>
      </w:pPr>
      <w:r>
        <w:rPr>
          <w:rFonts w:hint="eastAsia" w:hAnsi="宋体" w:cs="宋体"/>
          <w:color w:val="auto"/>
        </w:rPr>
        <w:t>1.成交人须于签订合同前按本项目关于履约保证金的规定进行办理。否则，不予签订合同。</w:t>
      </w:r>
    </w:p>
    <w:p w14:paraId="3681FBEB">
      <w:pPr>
        <w:pStyle w:val="22"/>
        <w:spacing w:line="360" w:lineRule="auto"/>
        <w:ind w:firstLine="420"/>
        <w:rPr>
          <w:rFonts w:hint="eastAsia" w:hAnsi="宋体" w:cs="宋体"/>
          <w:color w:val="auto"/>
        </w:rPr>
      </w:pPr>
      <w:r>
        <w:rPr>
          <w:rFonts w:hint="eastAsia" w:hAnsi="宋体" w:cs="宋体"/>
          <w:color w:val="auto"/>
        </w:rPr>
        <w:t>2.签订合同后，如成交人不按双方签订的合同规定履约，则没收其全部履约保证金，履约保证金不足以赔偿损失的，按实际损失赔偿。</w:t>
      </w:r>
    </w:p>
    <w:p w14:paraId="7C096A40">
      <w:pPr>
        <w:pStyle w:val="22"/>
        <w:spacing w:line="360" w:lineRule="auto"/>
        <w:ind w:firstLine="420"/>
        <w:rPr>
          <w:rFonts w:hint="eastAsia" w:hAnsi="宋体" w:cs="宋体"/>
          <w:color w:val="auto"/>
        </w:rPr>
      </w:pPr>
      <w:r>
        <w:rPr>
          <w:rFonts w:hint="eastAsia" w:hAnsi="宋体" w:cs="宋体"/>
          <w:color w:val="auto"/>
        </w:rPr>
        <w:t>3.履约保证金在成交人按合同约定交货验收合格后，由成交人提供《政府采购项目履约保证金退付意见书》及《政府采购项目合同验收报告》（详见附件），履约保证金在收到合格材料后5个工作日内以银行转账方式如数退还（不计利息）。</w:t>
      </w:r>
    </w:p>
    <w:p w14:paraId="2A1EAF4A">
      <w:pPr>
        <w:pStyle w:val="22"/>
        <w:spacing w:line="360" w:lineRule="auto"/>
        <w:ind w:firstLine="420"/>
        <w:rPr>
          <w:rFonts w:hint="eastAsia" w:hAnsi="宋体" w:cs="宋体"/>
          <w:color w:val="auto"/>
        </w:rPr>
      </w:pPr>
      <w:r>
        <w:rPr>
          <w:rFonts w:hint="eastAsia" w:hAnsi="宋体" w:cs="宋体"/>
          <w:color w:val="auto"/>
        </w:rPr>
        <w:t>4.在履约保证金退还日期前，若成交人的开户名称、开户银行、账号有变动的，请以书面形式通知履约保证金收取机构，否则由此产生的后果由成交人自负。</w:t>
      </w:r>
    </w:p>
    <w:p w14:paraId="608CA929">
      <w:pPr>
        <w:pStyle w:val="22"/>
        <w:spacing w:line="360" w:lineRule="auto"/>
        <w:ind w:firstLine="420"/>
        <w:outlineLvl w:val="2"/>
        <w:rPr>
          <w:rFonts w:hint="eastAsia" w:hAnsi="宋体" w:cs="宋体"/>
          <w:b/>
          <w:color w:val="auto"/>
        </w:rPr>
      </w:pPr>
      <w:r>
        <w:rPr>
          <w:rFonts w:hint="eastAsia" w:hAnsi="宋体" w:cs="宋体"/>
          <w:b/>
          <w:color w:val="auto"/>
        </w:rPr>
        <w:t>十、适用法律</w:t>
      </w:r>
    </w:p>
    <w:p w14:paraId="5CE95539">
      <w:pPr>
        <w:pStyle w:val="22"/>
        <w:spacing w:line="360" w:lineRule="auto"/>
        <w:ind w:firstLine="420"/>
        <w:rPr>
          <w:rFonts w:hint="eastAsia" w:hAnsi="宋体" w:cs="宋体"/>
          <w:color w:val="auto"/>
        </w:rPr>
      </w:pPr>
      <w:r>
        <w:rPr>
          <w:rFonts w:hint="eastAsia" w:hAnsi="宋体" w:cs="宋体"/>
          <w:color w:val="auto"/>
        </w:rPr>
        <w:t>15.采购当事人的一切活动均适用于《中华人民共和国政府采购法》及相关规定。最终磋商结束后，</w:t>
      </w:r>
    </w:p>
    <w:p w14:paraId="1BBCE2F5">
      <w:pPr>
        <w:spacing w:line="360" w:lineRule="auto"/>
        <w:rPr>
          <w:rFonts w:hint="eastAsia" w:ascii="宋体" w:hAnsi="宋体" w:cs="宋体"/>
          <w:color w:val="auto"/>
          <w:szCs w:val="21"/>
        </w:rPr>
      </w:pPr>
      <w:r>
        <w:rPr>
          <w:rFonts w:hint="eastAsia" w:ascii="宋体" w:hAnsi="宋体" w:cs="宋体"/>
          <w:color w:val="auto"/>
          <w:szCs w:val="21"/>
        </w:rPr>
        <w:t>磋商小组不得再与磋商供应商进行任何形式的商谈。</w:t>
      </w:r>
    </w:p>
    <w:p w14:paraId="6123B3AE">
      <w:pPr>
        <w:spacing w:line="360" w:lineRule="auto"/>
        <w:ind w:firstLine="422" w:firstLineChars="200"/>
        <w:outlineLvl w:val="2"/>
        <w:rPr>
          <w:rFonts w:hint="eastAsia" w:ascii="宋体" w:hAnsi="宋体" w:cs="宋体"/>
          <w:b/>
          <w:color w:val="auto"/>
          <w:szCs w:val="21"/>
        </w:rPr>
      </w:pPr>
      <w:r>
        <w:rPr>
          <w:rFonts w:hint="eastAsia" w:ascii="宋体" w:hAnsi="宋体" w:cs="宋体"/>
          <w:b/>
          <w:color w:val="auto"/>
          <w:szCs w:val="21"/>
        </w:rPr>
        <w:t>十一、其他事项</w:t>
      </w:r>
    </w:p>
    <w:p w14:paraId="059B4326">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16.1成交服务费</w:t>
      </w:r>
    </w:p>
    <w:p w14:paraId="4274155E">
      <w:pPr>
        <w:pStyle w:val="22"/>
        <w:spacing w:line="360" w:lineRule="auto"/>
        <w:ind w:firstLine="420" w:firstLineChars="200"/>
        <w:rPr>
          <w:rFonts w:hint="eastAsia" w:hAnsi="宋体" w:cs="宋体"/>
          <w:color w:val="auto"/>
        </w:rPr>
      </w:pPr>
      <w:r>
        <w:rPr>
          <w:rFonts w:hint="eastAsia" w:hAnsi="宋体" w:cs="宋体"/>
          <w:color w:val="auto"/>
        </w:rPr>
        <w:t>（1）采购代理机构参照桂价费[2011]55号收费标准采用差额定率累进法计算，不足8000元按8000元/标项，向成交供应商收取。发布成交结果公告后，成交人须向广西汉昌工程咨询有限公司一次付清成交服务费。</w:t>
      </w:r>
    </w:p>
    <w:p w14:paraId="5783EDF3">
      <w:pPr>
        <w:pStyle w:val="22"/>
        <w:spacing w:line="360" w:lineRule="auto"/>
        <w:ind w:firstLine="435"/>
        <w:rPr>
          <w:rFonts w:hint="eastAsia" w:hAnsi="宋体" w:cs="宋体"/>
          <w:color w:val="auto"/>
        </w:rPr>
      </w:pPr>
      <w:r>
        <w:rPr>
          <w:rFonts w:hint="eastAsia" w:hAnsi="宋体" w:cs="宋体"/>
          <w:color w:val="auto"/>
        </w:rPr>
        <w:t>（2）代理服务收费标准：</w:t>
      </w:r>
    </w:p>
    <w:tbl>
      <w:tblPr>
        <w:tblStyle w:val="40"/>
        <w:tblpPr w:leftFromText="180" w:rightFromText="180" w:vertAnchor="text" w:horzAnchor="margin" w:tblpXSpec="center" w:tblpY="1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47C7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63D8702E">
            <w:pPr>
              <w:spacing w:line="360" w:lineRule="auto"/>
              <w:rPr>
                <w:rFonts w:hint="eastAsia" w:ascii="宋体" w:hAnsi="宋体" w:cs="宋体"/>
                <w:color w:val="auto"/>
                <w:szCs w:val="21"/>
              </w:rPr>
            </w:pPr>
            <w:r>
              <w:rPr>
                <w:rFonts w:hint="eastAsia" w:ascii="宋体" w:hAnsi="宋体" w:cs="宋体"/>
                <w:color w:val="auto"/>
                <w:szCs w:val="21"/>
              </w:rPr>
              <w:t xml:space="preserve">               费率</w:t>
            </w:r>
          </w:p>
          <w:p w14:paraId="46B8B177">
            <w:pPr>
              <w:spacing w:line="360" w:lineRule="auto"/>
              <w:rPr>
                <w:rFonts w:hint="eastAsia" w:ascii="宋体" w:hAnsi="宋体" w:cs="宋体"/>
                <w:color w:val="auto"/>
                <w:szCs w:val="21"/>
              </w:rPr>
            </w:pPr>
            <w:r>
              <w:rPr>
                <w:rFonts w:hint="eastAsia" w:ascii="宋体" w:hAnsi="宋体" w:cs="宋体"/>
                <w:color w:val="auto"/>
                <w:szCs w:val="21"/>
              </w:rPr>
              <w:t>中标金额</w:t>
            </w:r>
          </w:p>
        </w:tc>
        <w:tc>
          <w:tcPr>
            <w:tcW w:w="1659" w:type="dxa"/>
            <w:noWrap w:val="0"/>
            <w:vAlign w:val="center"/>
          </w:tcPr>
          <w:p w14:paraId="0A526023">
            <w:pPr>
              <w:spacing w:line="360" w:lineRule="auto"/>
              <w:ind w:firstLine="105" w:firstLineChars="50"/>
              <w:jc w:val="center"/>
              <w:rPr>
                <w:rFonts w:hint="eastAsia" w:ascii="宋体" w:hAnsi="宋体" w:cs="宋体"/>
                <w:color w:val="auto"/>
                <w:szCs w:val="21"/>
              </w:rPr>
            </w:pPr>
            <w:r>
              <w:rPr>
                <w:rFonts w:hint="eastAsia" w:ascii="宋体" w:hAnsi="宋体" w:cs="宋体"/>
                <w:color w:val="auto"/>
                <w:szCs w:val="21"/>
              </w:rPr>
              <w:t>货物招标</w:t>
            </w:r>
          </w:p>
        </w:tc>
        <w:tc>
          <w:tcPr>
            <w:tcW w:w="1687" w:type="dxa"/>
            <w:noWrap w:val="0"/>
            <w:vAlign w:val="center"/>
          </w:tcPr>
          <w:p w14:paraId="7E718776">
            <w:pPr>
              <w:spacing w:line="360" w:lineRule="auto"/>
              <w:jc w:val="center"/>
              <w:rPr>
                <w:rFonts w:hint="eastAsia" w:ascii="宋体" w:hAnsi="宋体" w:cs="宋体"/>
                <w:color w:val="auto"/>
                <w:szCs w:val="21"/>
              </w:rPr>
            </w:pPr>
            <w:r>
              <w:rPr>
                <w:rFonts w:hint="eastAsia" w:ascii="宋体" w:hAnsi="宋体" w:cs="宋体"/>
                <w:color w:val="auto"/>
                <w:szCs w:val="21"/>
              </w:rPr>
              <w:t>服务招标</w:t>
            </w:r>
          </w:p>
        </w:tc>
        <w:tc>
          <w:tcPr>
            <w:tcW w:w="1659" w:type="dxa"/>
            <w:noWrap w:val="0"/>
            <w:vAlign w:val="center"/>
          </w:tcPr>
          <w:p w14:paraId="35A8802C">
            <w:pPr>
              <w:spacing w:line="360" w:lineRule="auto"/>
              <w:jc w:val="center"/>
              <w:rPr>
                <w:rFonts w:hint="eastAsia" w:ascii="宋体" w:hAnsi="宋体" w:cs="宋体"/>
                <w:color w:val="auto"/>
                <w:szCs w:val="21"/>
              </w:rPr>
            </w:pPr>
            <w:r>
              <w:rPr>
                <w:rFonts w:hint="eastAsia" w:ascii="宋体" w:hAnsi="宋体" w:cs="宋体"/>
                <w:color w:val="auto"/>
                <w:szCs w:val="21"/>
              </w:rPr>
              <w:t>工程招标</w:t>
            </w:r>
          </w:p>
        </w:tc>
      </w:tr>
      <w:tr w14:paraId="66053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C3FFD2A">
            <w:pPr>
              <w:spacing w:line="360" w:lineRule="auto"/>
              <w:rPr>
                <w:rFonts w:hint="eastAsia" w:ascii="宋体" w:hAnsi="宋体" w:cs="宋体"/>
                <w:color w:val="auto"/>
                <w:szCs w:val="21"/>
              </w:rPr>
            </w:pPr>
            <w:r>
              <w:rPr>
                <w:rFonts w:hint="eastAsia" w:ascii="宋体" w:hAnsi="宋体" w:cs="宋体"/>
                <w:color w:val="auto"/>
                <w:szCs w:val="21"/>
              </w:rPr>
              <w:t>100万元以下</w:t>
            </w:r>
          </w:p>
        </w:tc>
        <w:tc>
          <w:tcPr>
            <w:tcW w:w="1659" w:type="dxa"/>
            <w:noWrap w:val="0"/>
            <w:vAlign w:val="top"/>
          </w:tcPr>
          <w:p w14:paraId="14684B7B">
            <w:pPr>
              <w:spacing w:line="360" w:lineRule="auto"/>
              <w:rPr>
                <w:rFonts w:hint="eastAsia" w:ascii="宋体" w:hAnsi="宋体" w:cs="宋体"/>
                <w:color w:val="auto"/>
                <w:szCs w:val="21"/>
              </w:rPr>
            </w:pPr>
            <w:r>
              <w:rPr>
                <w:rFonts w:hint="eastAsia" w:ascii="宋体" w:hAnsi="宋体" w:cs="宋体"/>
                <w:color w:val="auto"/>
                <w:kern w:val="0"/>
                <w:szCs w:val="21"/>
              </w:rPr>
              <w:t xml:space="preserve">  1.5%                </w:t>
            </w:r>
          </w:p>
        </w:tc>
        <w:tc>
          <w:tcPr>
            <w:tcW w:w="1687" w:type="dxa"/>
            <w:noWrap w:val="0"/>
            <w:vAlign w:val="top"/>
          </w:tcPr>
          <w:p w14:paraId="3BBF3B41">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1.5%</w:t>
            </w:r>
          </w:p>
        </w:tc>
        <w:tc>
          <w:tcPr>
            <w:tcW w:w="1659" w:type="dxa"/>
            <w:noWrap w:val="0"/>
            <w:vAlign w:val="top"/>
          </w:tcPr>
          <w:p w14:paraId="2CA5EA42">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1.0% </w:t>
            </w:r>
          </w:p>
        </w:tc>
      </w:tr>
      <w:tr w14:paraId="6EA21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B0DA6B6">
            <w:pPr>
              <w:spacing w:line="360" w:lineRule="auto"/>
              <w:rPr>
                <w:rFonts w:hint="eastAsia" w:ascii="宋体" w:hAnsi="宋体" w:cs="宋体"/>
                <w:color w:val="auto"/>
                <w:szCs w:val="21"/>
              </w:rPr>
            </w:pPr>
            <w:r>
              <w:rPr>
                <w:rFonts w:hint="eastAsia" w:ascii="宋体" w:hAnsi="宋体" w:cs="宋体"/>
                <w:color w:val="auto"/>
                <w:szCs w:val="21"/>
              </w:rPr>
              <w:t>100～500万元</w:t>
            </w:r>
          </w:p>
        </w:tc>
        <w:tc>
          <w:tcPr>
            <w:tcW w:w="1659" w:type="dxa"/>
            <w:noWrap w:val="0"/>
            <w:vAlign w:val="top"/>
          </w:tcPr>
          <w:p w14:paraId="2429ACD9">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1.1%                 </w:t>
            </w:r>
          </w:p>
        </w:tc>
        <w:tc>
          <w:tcPr>
            <w:tcW w:w="1687" w:type="dxa"/>
            <w:noWrap w:val="0"/>
            <w:vAlign w:val="top"/>
          </w:tcPr>
          <w:p w14:paraId="1A4438FB">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0.8%</w:t>
            </w:r>
          </w:p>
        </w:tc>
        <w:tc>
          <w:tcPr>
            <w:tcW w:w="1659" w:type="dxa"/>
            <w:noWrap w:val="0"/>
            <w:vAlign w:val="top"/>
          </w:tcPr>
          <w:p w14:paraId="2B836CEF">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0.7% </w:t>
            </w:r>
          </w:p>
        </w:tc>
      </w:tr>
      <w:tr w14:paraId="4CE0D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ECD4DC6">
            <w:pPr>
              <w:spacing w:line="360" w:lineRule="auto"/>
              <w:rPr>
                <w:rFonts w:hint="eastAsia" w:ascii="宋体" w:hAnsi="宋体" w:cs="宋体"/>
                <w:color w:val="auto"/>
                <w:szCs w:val="21"/>
              </w:rPr>
            </w:pPr>
            <w:r>
              <w:rPr>
                <w:rFonts w:hint="eastAsia" w:ascii="宋体" w:hAnsi="宋体" w:cs="宋体"/>
                <w:color w:val="auto"/>
                <w:szCs w:val="21"/>
              </w:rPr>
              <w:t>500～1000万元</w:t>
            </w:r>
          </w:p>
        </w:tc>
        <w:tc>
          <w:tcPr>
            <w:tcW w:w="1659" w:type="dxa"/>
            <w:noWrap w:val="0"/>
            <w:vAlign w:val="top"/>
          </w:tcPr>
          <w:p w14:paraId="14657AFC">
            <w:pPr>
              <w:spacing w:line="360" w:lineRule="auto"/>
              <w:rPr>
                <w:rFonts w:hint="eastAsia" w:ascii="宋体" w:hAnsi="宋体" w:cs="宋体"/>
                <w:color w:val="auto"/>
                <w:szCs w:val="21"/>
              </w:rPr>
            </w:pPr>
            <w:r>
              <w:rPr>
                <w:rFonts w:hint="eastAsia" w:ascii="宋体" w:hAnsi="宋体" w:cs="宋体"/>
                <w:color w:val="auto"/>
                <w:kern w:val="0"/>
                <w:szCs w:val="21"/>
              </w:rPr>
              <w:t xml:space="preserve">  0.8%                </w:t>
            </w:r>
          </w:p>
        </w:tc>
        <w:tc>
          <w:tcPr>
            <w:tcW w:w="1687" w:type="dxa"/>
            <w:noWrap w:val="0"/>
            <w:vAlign w:val="top"/>
          </w:tcPr>
          <w:p w14:paraId="1FDEE799">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0.45%</w:t>
            </w:r>
          </w:p>
        </w:tc>
        <w:tc>
          <w:tcPr>
            <w:tcW w:w="1659" w:type="dxa"/>
            <w:noWrap w:val="0"/>
            <w:vAlign w:val="top"/>
          </w:tcPr>
          <w:p w14:paraId="320CFE61">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0.55%</w:t>
            </w:r>
          </w:p>
        </w:tc>
      </w:tr>
      <w:tr w14:paraId="7B9B6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07B5443">
            <w:pPr>
              <w:spacing w:line="360" w:lineRule="auto"/>
              <w:rPr>
                <w:rFonts w:hint="eastAsia" w:ascii="宋体" w:hAnsi="宋体" w:cs="宋体"/>
                <w:color w:val="auto"/>
                <w:szCs w:val="21"/>
              </w:rPr>
            </w:pPr>
            <w:r>
              <w:rPr>
                <w:rFonts w:hint="eastAsia" w:ascii="宋体" w:hAnsi="宋体" w:cs="宋体"/>
                <w:color w:val="auto"/>
                <w:szCs w:val="21"/>
              </w:rPr>
              <w:t>1000～5000万元</w:t>
            </w:r>
          </w:p>
        </w:tc>
        <w:tc>
          <w:tcPr>
            <w:tcW w:w="1659" w:type="dxa"/>
            <w:noWrap w:val="0"/>
            <w:vAlign w:val="top"/>
          </w:tcPr>
          <w:p w14:paraId="7B7B6C76">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0.5%                </w:t>
            </w:r>
          </w:p>
        </w:tc>
        <w:tc>
          <w:tcPr>
            <w:tcW w:w="1687" w:type="dxa"/>
            <w:noWrap w:val="0"/>
            <w:vAlign w:val="top"/>
          </w:tcPr>
          <w:p w14:paraId="6B8BCDDC">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0.25%</w:t>
            </w:r>
          </w:p>
        </w:tc>
        <w:tc>
          <w:tcPr>
            <w:tcW w:w="1659" w:type="dxa"/>
            <w:noWrap w:val="0"/>
            <w:vAlign w:val="top"/>
          </w:tcPr>
          <w:p w14:paraId="20811963">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0.35% </w:t>
            </w:r>
          </w:p>
        </w:tc>
      </w:tr>
      <w:tr w14:paraId="179D2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B4C67EA">
            <w:pPr>
              <w:spacing w:line="360" w:lineRule="auto"/>
              <w:rPr>
                <w:rFonts w:hint="eastAsia" w:ascii="宋体" w:hAnsi="宋体" w:cs="宋体"/>
                <w:color w:val="auto"/>
                <w:szCs w:val="21"/>
              </w:rPr>
            </w:pPr>
            <w:r>
              <w:rPr>
                <w:rFonts w:hint="eastAsia" w:ascii="宋体" w:hAnsi="宋体" w:cs="宋体"/>
                <w:color w:val="auto"/>
                <w:szCs w:val="21"/>
              </w:rPr>
              <w:t>5000万元～1亿元</w:t>
            </w:r>
          </w:p>
        </w:tc>
        <w:tc>
          <w:tcPr>
            <w:tcW w:w="1659" w:type="dxa"/>
            <w:noWrap w:val="0"/>
            <w:vAlign w:val="top"/>
          </w:tcPr>
          <w:p w14:paraId="148F3FC1">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0.25%                 </w:t>
            </w:r>
          </w:p>
        </w:tc>
        <w:tc>
          <w:tcPr>
            <w:tcW w:w="1687" w:type="dxa"/>
            <w:noWrap w:val="0"/>
            <w:vAlign w:val="top"/>
          </w:tcPr>
          <w:p w14:paraId="7071EB51">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0.1%</w:t>
            </w:r>
          </w:p>
        </w:tc>
        <w:tc>
          <w:tcPr>
            <w:tcW w:w="1659" w:type="dxa"/>
            <w:noWrap w:val="0"/>
            <w:vAlign w:val="top"/>
          </w:tcPr>
          <w:p w14:paraId="50BFD08A">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0.2%</w:t>
            </w:r>
          </w:p>
        </w:tc>
      </w:tr>
      <w:tr w14:paraId="7118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34ED5B3">
            <w:pPr>
              <w:spacing w:line="360" w:lineRule="auto"/>
              <w:rPr>
                <w:rFonts w:hint="eastAsia" w:ascii="宋体" w:hAnsi="宋体" w:cs="宋体"/>
                <w:color w:val="auto"/>
                <w:szCs w:val="21"/>
              </w:rPr>
            </w:pPr>
            <w:r>
              <w:rPr>
                <w:rFonts w:hint="eastAsia" w:ascii="宋体" w:hAnsi="宋体" w:cs="宋体"/>
                <w:color w:val="auto"/>
                <w:szCs w:val="21"/>
              </w:rPr>
              <w:t>1～5亿元</w:t>
            </w:r>
          </w:p>
        </w:tc>
        <w:tc>
          <w:tcPr>
            <w:tcW w:w="1659" w:type="dxa"/>
            <w:noWrap w:val="0"/>
            <w:vAlign w:val="top"/>
          </w:tcPr>
          <w:p w14:paraId="4C1F8CC0">
            <w:pPr>
              <w:spacing w:line="360" w:lineRule="auto"/>
              <w:ind w:firstLine="210" w:firstLineChars="100"/>
              <w:rPr>
                <w:rFonts w:hint="eastAsia" w:ascii="宋体" w:hAnsi="宋体" w:cs="宋体"/>
                <w:color w:val="auto"/>
                <w:szCs w:val="21"/>
              </w:rPr>
            </w:pPr>
            <w:r>
              <w:rPr>
                <w:rFonts w:hint="eastAsia" w:ascii="宋体" w:hAnsi="宋体" w:cs="宋体"/>
                <w:color w:val="auto"/>
                <w:szCs w:val="21"/>
              </w:rPr>
              <w:t>0.05%</w:t>
            </w:r>
          </w:p>
        </w:tc>
        <w:tc>
          <w:tcPr>
            <w:tcW w:w="1687" w:type="dxa"/>
            <w:noWrap w:val="0"/>
            <w:vAlign w:val="top"/>
          </w:tcPr>
          <w:p w14:paraId="5D8D3B8D">
            <w:pPr>
              <w:spacing w:line="360" w:lineRule="auto"/>
              <w:rPr>
                <w:rFonts w:hint="eastAsia" w:ascii="宋体" w:hAnsi="宋体" w:cs="宋体"/>
                <w:color w:val="auto"/>
                <w:szCs w:val="21"/>
              </w:rPr>
            </w:pPr>
            <w:r>
              <w:rPr>
                <w:rFonts w:hint="eastAsia" w:ascii="宋体" w:hAnsi="宋体" w:cs="宋体"/>
                <w:color w:val="auto"/>
                <w:szCs w:val="21"/>
              </w:rPr>
              <w:t xml:space="preserve">  0.05%</w:t>
            </w:r>
          </w:p>
        </w:tc>
        <w:tc>
          <w:tcPr>
            <w:tcW w:w="1659" w:type="dxa"/>
            <w:noWrap w:val="0"/>
            <w:vAlign w:val="top"/>
          </w:tcPr>
          <w:p w14:paraId="01A69E84">
            <w:pPr>
              <w:spacing w:line="360" w:lineRule="auto"/>
              <w:rPr>
                <w:rFonts w:hint="eastAsia" w:ascii="宋体" w:hAnsi="宋体" w:cs="宋体"/>
                <w:color w:val="auto"/>
                <w:szCs w:val="21"/>
              </w:rPr>
            </w:pPr>
            <w:r>
              <w:rPr>
                <w:rFonts w:hint="eastAsia" w:ascii="宋体" w:hAnsi="宋体" w:cs="宋体"/>
                <w:color w:val="auto"/>
                <w:szCs w:val="21"/>
              </w:rPr>
              <w:t xml:space="preserve">  0.05%</w:t>
            </w:r>
          </w:p>
        </w:tc>
      </w:tr>
      <w:tr w14:paraId="66D47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9AE7C1D">
            <w:pPr>
              <w:spacing w:line="360" w:lineRule="auto"/>
              <w:rPr>
                <w:rFonts w:hint="eastAsia" w:ascii="宋体" w:hAnsi="宋体" w:cs="宋体"/>
                <w:color w:val="auto"/>
                <w:szCs w:val="21"/>
              </w:rPr>
            </w:pPr>
            <w:r>
              <w:rPr>
                <w:rFonts w:hint="eastAsia" w:ascii="宋体" w:hAnsi="宋体" w:cs="宋体"/>
                <w:color w:val="auto"/>
                <w:szCs w:val="21"/>
              </w:rPr>
              <w:t>5～10亿元</w:t>
            </w:r>
          </w:p>
        </w:tc>
        <w:tc>
          <w:tcPr>
            <w:tcW w:w="1659" w:type="dxa"/>
            <w:noWrap w:val="0"/>
            <w:vAlign w:val="top"/>
          </w:tcPr>
          <w:p w14:paraId="19158537">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0.035%</w:t>
            </w:r>
          </w:p>
        </w:tc>
        <w:tc>
          <w:tcPr>
            <w:tcW w:w="1687" w:type="dxa"/>
            <w:noWrap w:val="0"/>
            <w:vAlign w:val="top"/>
          </w:tcPr>
          <w:p w14:paraId="1B6092C4">
            <w:pPr>
              <w:spacing w:line="360" w:lineRule="auto"/>
              <w:rPr>
                <w:rFonts w:hint="eastAsia" w:ascii="宋体" w:hAnsi="宋体" w:cs="宋体"/>
                <w:color w:val="auto"/>
                <w:szCs w:val="21"/>
              </w:rPr>
            </w:pPr>
            <w:r>
              <w:rPr>
                <w:rFonts w:hint="eastAsia" w:ascii="宋体" w:hAnsi="宋体" w:cs="宋体"/>
                <w:color w:val="auto"/>
                <w:szCs w:val="21"/>
              </w:rPr>
              <w:t xml:space="preserve">  0.035%</w:t>
            </w:r>
          </w:p>
        </w:tc>
        <w:tc>
          <w:tcPr>
            <w:tcW w:w="1659" w:type="dxa"/>
            <w:noWrap w:val="0"/>
            <w:vAlign w:val="top"/>
          </w:tcPr>
          <w:p w14:paraId="0E1F880F">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0.035%</w:t>
            </w:r>
          </w:p>
        </w:tc>
      </w:tr>
      <w:tr w14:paraId="0356D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7D7592B">
            <w:pPr>
              <w:spacing w:line="360" w:lineRule="auto"/>
              <w:rPr>
                <w:rFonts w:hint="eastAsia" w:ascii="宋体" w:hAnsi="宋体" w:cs="宋体"/>
                <w:color w:val="auto"/>
                <w:szCs w:val="21"/>
              </w:rPr>
            </w:pPr>
            <w:r>
              <w:rPr>
                <w:rFonts w:hint="eastAsia" w:ascii="宋体" w:hAnsi="宋体" w:cs="宋体"/>
                <w:color w:val="auto"/>
                <w:szCs w:val="21"/>
              </w:rPr>
              <w:t>10～50亿元</w:t>
            </w:r>
          </w:p>
        </w:tc>
        <w:tc>
          <w:tcPr>
            <w:tcW w:w="1659" w:type="dxa"/>
            <w:noWrap w:val="0"/>
            <w:vAlign w:val="top"/>
          </w:tcPr>
          <w:p w14:paraId="64A31CE1">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0.008%</w:t>
            </w:r>
          </w:p>
        </w:tc>
        <w:tc>
          <w:tcPr>
            <w:tcW w:w="1687" w:type="dxa"/>
            <w:noWrap w:val="0"/>
            <w:vAlign w:val="top"/>
          </w:tcPr>
          <w:p w14:paraId="5C6CB2F0">
            <w:pPr>
              <w:spacing w:line="360" w:lineRule="auto"/>
              <w:ind w:firstLine="210" w:firstLineChars="100"/>
              <w:rPr>
                <w:rFonts w:hint="eastAsia" w:ascii="宋体" w:hAnsi="宋体" w:cs="宋体"/>
                <w:color w:val="auto"/>
                <w:szCs w:val="21"/>
              </w:rPr>
            </w:pPr>
            <w:r>
              <w:rPr>
                <w:rFonts w:hint="eastAsia" w:ascii="宋体" w:hAnsi="宋体" w:cs="宋体"/>
                <w:color w:val="auto"/>
                <w:szCs w:val="21"/>
              </w:rPr>
              <w:t>0.008%</w:t>
            </w:r>
          </w:p>
        </w:tc>
        <w:tc>
          <w:tcPr>
            <w:tcW w:w="1659" w:type="dxa"/>
            <w:noWrap w:val="0"/>
            <w:vAlign w:val="top"/>
          </w:tcPr>
          <w:p w14:paraId="0667FAD7">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0.008%</w:t>
            </w:r>
          </w:p>
        </w:tc>
      </w:tr>
      <w:tr w14:paraId="0ABB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7FFBBE4">
            <w:pPr>
              <w:spacing w:line="360" w:lineRule="auto"/>
              <w:rPr>
                <w:rFonts w:hint="eastAsia" w:ascii="宋体" w:hAnsi="宋体" w:cs="宋体"/>
                <w:color w:val="auto"/>
                <w:szCs w:val="21"/>
              </w:rPr>
            </w:pPr>
            <w:r>
              <w:rPr>
                <w:rFonts w:hint="eastAsia" w:ascii="宋体" w:hAnsi="宋体" w:cs="宋体"/>
                <w:color w:val="auto"/>
                <w:szCs w:val="21"/>
              </w:rPr>
              <w:t>50～100亿元</w:t>
            </w:r>
          </w:p>
        </w:tc>
        <w:tc>
          <w:tcPr>
            <w:tcW w:w="1659" w:type="dxa"/>
            <w:noWrap w:val="0"/>
            <w:vAlign w:val="top"/>
          </w:tcPr>
          <w:p w14:paraId="68930FA5">
            <w:pPr>
              <w:spacing w:line="360" w:lineRule="auto"/>
              <w:rPr>
                <w:rFonts w:hint="eastAsia" w:ascii="宋体" w:hAnsi="宋体" w:cs="宋体"/>
                <w:color w:val="auto"/>
                <w:szCs w:val="21"/>
              </w:rPr>
            </w:pPr>
            <w:r>
              <w:rPr>
                <w:rFonts w:hint="eastAsia" w:ascii="宋体" w:hAnsi="宋体" w:cs="宋体"/>
                <w:color w:val="auto"/>
                <w:szCs w:val="21"/>
              </w:rPr>
              <w:t xml:space="preserve"> 0.006%</w:t>
            </w:r>
          </w:p>
        </w:tc>
        <w:tc>
          <w:tcPr>
            <w:tcW w:w="1687" w:type="dxa"/>
            <w:noWrap w:val="0"/>
            <w:vAlign w:val="top"/>
          </w:tcPr>
          <w:p w14:paraId="5678C961">
            <w:pPr>
              <w:spacing w:line="360" w:lineRule="auto"/>
              <w:ind w:firstLine="210" w:firstLineChars="100"/>
              <w:rPr>
                <w:rFonts w:hint="eastAsia" w:ascii="宋体" w:hAnsi="宋体" w:cs="宋体"/>
                <w:color w:val="auto"/>
                <w:szCs w:val="21"/>
              </w:rPr>
            </w:pPr>
            <w:r>
              <w:rPr>
                <w:rFonts w:hint="eastAsia" w:ascii="宋体" w:hAnsi="宋体" w:cs="宋体"/>
                <w:color w:val="auto"/>
                <w:szCs w:val="21"/>
              </w:rPr>
              <w:t>0.006%</w:t>
            </w:r>
          </w:p>
        </w:tc>
        <w:tc>
          <w:tcPr>
            <w:tcW w:w="1659" w:type="dxa"/>
            <w:noWrap w:val="0"/>
            <w:vAlign w:val="top"/>
          </w:tcPr>
          <w:p w14:paraId="5C0B9B00">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0.006%</w:t>
            </w:r>
          </w:p>
        </w:tc>
      </w:tr>
      <w:tr w14:paraId="5FD8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700B5EE">
            <w:pPr>
              <w:spacing w:line="360" w:lineRule="auto"/>
              <w:rPr>
                <w:rFonts w:hint="eastAsia" w:ascii="宋体" w:hAnsi="宋体" w:cs="宋体"/>
                <w:color w:val="auto"/>
                <w:szCs w:val="21"/>
              </w:rPr>
            </w:pPr>
            <w:r>
              <w:rPr>
                <w:rFonts w:hint="eastAsia" w:ascii="宋体" w:hAnsi="宋体" w:cs="宋体"/>
                <w:color w:val="auto"/>
                <w:szCs w:val="21"/>
              </w:rPr>
              <w:t>100亿以上</w:t>
            </w:r>
          </w:p>
        </w:tc>
        <w:tc>
          <w:tcPr>
            <w:tcW w:w="1659" w:type="dxa"/>
            <w:noWrap w:val="0"/>
            <w:vAlign w:val="top"/>
          </w:tcPr>
          <w:p w14:paraId="40EEAC16">
            <w:pPr>
              <w:spacing w:line="360" w:lineRule="auto"/>
              <w:rPr>
                <w:rFonts w:hint="eastAsia" w:ascii="宋体" w:hAnsi="宋体" w:cs="宋体"/>
                <w:color w:val="auto"/>
                <w:szCs w:val="21"/>
              </w:rPr>
            </w:pPr>
            <w:r>
              <w:rPr>
                <w:rFonts w:hint="eastAsia" w:ascii="宋体" w:hAnsi="宋体" w:cs="宋体"/>
                <w:color w:val="auto"/>
                <w:szCs w:val="21"/>
              </w:rPr>
              <w:t xml:space="preserve"> 0.004%</w:t>
            </w:r>
          </w:p>
        </w:tc>
        <w:tc>
          <w:tcPr>
            <w:tcW w:w="1687" w:type="dxa"/>
            <w:noWrap w:val="0"/>
            <w:vAlign w:val="top"/>
          </w:tcPr>
          <w:p w14:paraId="17235808">
            <w:pPr>
              <w:spacing w:line="360" w:lineRule="auto"/>
              <w:ind w:firstLine="210" w:firstLineChars="100"/>
              <w:rPr>
                <w:rFonts w:hint="eastAsia" w:ascii="宋体" w:hAnsi="宋体" w:cs="宋体"/>
                <w:color w:val="auto"/>
                <w:szCs w:val="21"/>
              </w:rPr>
            </w:pPr>
            <w:r>
              <w:rPr>
                <w:rFonts w:hint="eastAsia" w:ascii="宋体" w:hAnsi="宋体" w:cs="宋体"/>
                <w:color w:val="auto"/>
                <w:szCs w:val="21"/>
              </w:rPr>
              <w:t>0.004%</w:t>
            </w:r>
          </w:p>
        </w:tc>
        <w:tc>
          <w:tcPr>
            <w:tcW w:w="1659" w:type="dxa"/>
            <w:noWrap w:val="0"/>
            <w:vAlign w:val="top"/>
          </w:tcPr>
          <w:p w14:paraId="505CA5EF">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0.004%</w:t>
            </w:r>
          </w:p>
        </w:tc>
      </w:tr>
    </w:tbl>
    <w:p w14:paraId="58E6C854">
      <w:pPr>
        <w:pStyle w:val="22"/>
        <w:spacing w:line="360" w:lineRule="auto"/>
        <w:ind w:firstLine="435"/>
        <w:rPr>
          <w:rFonts w:hint="eastAsia" w:hAnsi="宋体" w:cs="宋体"/>
          <w:color w:val="auto"/>
        </w:rPr>
      </w:pPr>
    </w:p>
    <w:p w14:paraId="2A9278E6">
      <w:pPr>
        <w:pStyle w:val="22"/>
        <w:spacing w:line="360" w:lineRule="auto"/>
        <w:ind w:firstLine="435"/>
        <w:rPr>
          <w:rFonts w:hint="eastAsia" w:hAnsi="宋体" w:cs="宋体"/>
          <w:color w:val="auto"/>
        </w:rPr>
      </w:pPr>
    </w:p>
    <w:p w14:paraId="78C9668E">
      <w:pPr>
        <w:pStyle w:val="22"/>
        <w:spacing w:line="360" w:lineRule="auto"/>
        <w:ind w:firstLine="435"/>
        <w:rPr>
          <w:rFonts w:hint="eastAsia" w:hAnsi="宋体" w:cs="宋体"/>
          <w:color w:val="auto"/>
        </w:rPr>
      </w:pPr>
      <w:r>
        <w:rPr>
          <w:rFonts w:hint="eastAsia" w:hAnsi="宋体" w:cs="宋体"/>
          <w:color w:val="auto"/>
        </w:rPr>
        <w:t>注:招标代理服务收费按差额定率累进法计算。</w:t>
      </w:r>
    </w:p>
    <w:p w14:paraId="3EF0AAFD">
      <w:pPr>
        <w:pStyle w:val="22"/>
        <w:spacing w:line="360" w:lineRule="auto"/>
        <w:ind w:firstLine="435"/>
        <w:rPr>
          <w:rFonts w:hint="eastAsia" w:hAnsi="宋体" w:cs="宋体"/>
          <w:color w:val="auto"/>
        </w:rPr>
      </w:pPr>
      <w:r>
        <w:rPr>
          <w:rFonts w:hint="eastAsia" w:hAnsi="宋体" w:cs="宋体"/>
          <w:color w:val="auto"/>
        </w:rPr>
        <w:t>（3）服务费指定银行账户：</w:t>
      </w:r>
    </w:p>
    <w:p w14:paraId="3BEB861E">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开户名称：广西汉昌工程咨询有限公司第七分公司；</w:t>
      </w:r>
    </w:p>
    <w:p w14:paraId="76B7F32B">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开户银行：中国工商银行股份有限公司南宁市五象支行；</w:t>
      </w:r>
    </w:p>
    <w:p w14:paraId="5E45ADB9">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 xml:space="preserve">银行账号：2102116009300145703 </w:t>
      </w:r>
    </w:p>
    <w:p w14:paraId="081B0FBF">
      <w:pPr>
        <w:spacing w:line="360" w:lineRule="auto"/>
        <w:ind w:firstLine="422" w:firstLineChars="200"/>
        <w:rPr>
          <w:rFonts w:hint="eastAsia" w:ascii="宋体" w:hAnsi="宋体" w:cs="宋体"/>
          <w:b/>
          <w:color w:val="auto"/>
        </w:rPr>
      </w:pPr>
      <w:r>
        <w:rPr>
          <w:rFonts w:hint="eastAsia" w:ascii="宋体" w:hAnsi="宋体" w:cs="宋体"/>
          <w:b/>
          <w:color w:val="auto"/>
          <w:szCs w:val="21"/>
        </w:rPr>
        <w:t>16.2</w:t>
      </w:r>
      <w:r>
        <w:rPr>
          <w:rFonts w:hint="eastAsia" w:ascii="宋体" w:hAnsi="宋体" w:cs="宋体"/>
          <w:b/>
          <w:color w:val="auto"/>
        </w:rPr>
        <w:t>解释权</w:t>
      </w:r>
    </w:p>
    <w:p w14:paraId="7B6E6C1E">
      <w:pPr>
        <w:spacing w:line="360" w:lineRule="auto"/>
        <w:ind w:firstLine="404" w:firstLineChars="200"/>
        <w:rPr>
          <w:rFonts w:hint="eastAsia" w:ascii="宋体" w:hAnsi="宋体" w:cs="宋体"/>
          <w:color w:val="auto"/>
          <w:spacing w:val="-4"/>
        </w:rPr>
      </w:pPr>
      <w:r>
        <w:rPr>
          <w:rFonts w:hint="eastAsia" w:ascii="宋体" w:hAnsi="宋体" w:cs="宋体"/>
          <w:color w:val="auto"/>
          <w:spacing w:val="-4"/>
        </w:rPr>
        <w:t>本竞争性磋商文件是根据国家有关法律、法规以及政府采购管理的有关规定和参照国际惯例编制，解释权属本采购代理机构。</w:t>
      </w:r>
    </w:p>
    <w:p w14:paraId="588510C6">
      <w:pPr>
        <w:spacing w:line="360" w:lineRule="auto"/>
        <w:ind w:firstLine="422" w:firstLineChars="200"/>
        <w:rPr>
          <w:rFonts w:hint="eastAsia" w:ascii="宋体" w:hAnsi="宋体" w:cs="宋体"/>
          <w:b/>
          <w:color w:val="auto"/>
        </w:rPr>
      </w:pPr>
      <w:r>
        <w:rPr>
          <w:rFonts w:hint="eastAsia" w:ascii="宋体" w:hAnsi="宋体" w:cs="宋体"/>
          <w:b/>
          <w:color w:val="auto"/>
          <w:szCs w:val="21"/>
        </w:rPr>
        <w:t>16.3</w:t>
      </w:r>
      <w:r>
        <w:rPr>
          <w:rFonts w:hint="eastAsia" w:ascii="宋体" w:hAnsi="宋体" w:cs="宋体"/>
          <w:b/>
          <w:color w:val="auto"/>
        </w:rPr>
        <w:t>有关事宜</w:t>
      </w:r>
    </w:p>
    <w:p w14:paraId="4FBE958A">
      <w:pPr>
        <w:spacing w:line="360" w:lineRule="auto"/>
        <w:ind w:firstLine="420" w:firstLineChars="200"/>
        <w:rPr>
          <w:rFonts w:hint="eastAsia" w:ascii="宋体" w:hAnsi="宋体" w:cs="宋体"/>
          <w:color w:val="auto"/>
        </w:rPr>
      </w:pPr>
      <w:r>
        <w:rPr>
          <w:rFonts w:hint="eastAsia" w:ascii="宋体" w:hAnsi="宋体" w:cs="宋体"/>
          <w:color w:val="auto"/>
        </w:rPr>
        <w:t>所有与本竞争性磋商文件有关的函电请按下列通讯地址联系：</w:t>
      </w:r>
    </w:p>
    <w:p w14:paraId="36333BEF">
      <w:pPr>
        <w:pStyle w:val="22"/>
        <w:spacing w:line="360" w:lineRule="auto"/>
        <w:ind w:firstLine="420" w:firstLineChars="200"/>
        <w:rPr>
          <w:rFonts w:hint="eastAsia" w:hAnsi="宋体" w:cs="宋体"/>
          <w:color w:val="auto"/>
        </w:rPr>
      </w:pPr>
      <w:r>
        <w:rPr>
          <w:rFonts w:hint="eastAsia" w:hAnsi="宋体" w:cs="宋体"/>
          <w:color w:val="auto"/>
        </w:rPr>
        <w:t>广西汉昌工程咨询有限公司</w:t>
      </w:r>
    </w:p>
    <w:p w14:paraId="2581AFDC">
      <w:pPr>
        <w:pStyle w:val="22"/>
        <w:tabs>
          <w:tab w:val="left" w:pos="1990"/>
        </w:tabs>
        <w:spacing w:line="360" w:lineRule="auto"/>
        <w:ind w:firstLine="420" w:firstLineChars="200"/>
        <w:rPr>
          <w:rFonts w:hint="eastAsia" w:hAnsi="宋体" w:cs="宋体"/>
          <w:color w:val="auto"/>
          <w:u w:val="single"/>
        </w:rPr>
      </w:pPr>
      <w:r>
        <w:rPr>
          <w:rFonts w:hint="eastAsia" w:hAnsi="宋体" w:cs="宋体"/>
          <w:color w:val="auto"/>
        </w:rPr>
        <w:t>邮政编码：530000</w:t>
      </w:r>
    </w:p>
    <w:p w14:paraId="7B297D71">
      <w:pPr>
        <w:pStyle w:val="22"/>
        <w:tabs>
          <w:tab w:val="left" w:pos="1990"/>
        </w:tabs>
        <w:spacing w:line="360" w:lineRule="auto"/>
        <w:ind w:firstLine="420" w:firstLineChars="200"/>
        <w:rPr>
          <w:rFonts w:hint="eastAsia" w:hAnsi="宋体" w:cs="宋体"/>
          <w:color w:val="auto"/>
          <w:spacing w:val="-4"/>
        </w:rPr>
      </w:pPr>
      <w:r>
        <w:rPr>
          <w:rFonts w:hint="eastAsia" w:hAnsi="宋体" w:cs="宋体"/>
          <w:color w:val="auto"/>
        </w:rPr>
        <w:t>通讯地址：南宁市青秀区仙葫大道西16号鼎丰国际美食广场A栋11楼HC区域</w:t>
      </w:r>
    </w:p>
    <w:p w14:paraId="1DEDB937">
      <w:pPr>
        <w:spacing w:line="360" w:lineRule="auto"/>
        <w:ind w:firstLine="420" w:firstLineChars="200"/>
        <w:rPr>
          <w:rFonts w:hint="eastAsia" w:ascii="宋体" w:hAnsi="宋体" w:cs="宋体"/>
          <w:b/>
          <w:color w:val="auto"/>
          <w:sz w:val="32"/>
          <w:szCs w:val="32"/>
        </w:rPr>
      </w:pPr>
      <w:r>
        <w:rPr>
          <w:rFonts w:hint="eastAsia" w:ascii="宋体" w:hAnsi="宋体" w:cs="宋体"/>
          <w:color w:val="auto"/>
        </w:rPr>
        <w:t>电    话：0771-3313954</w:t>
      </w:r>
      <w:r>
        <w:rPr>
          <w:rFonts w:hint="eastAsia" w:ascii="宋体" w:hAnsi="宋体" w:cs="宋体"/>
          <w:b/>
          <w:color w:val="auto"/>
          <w:sz w:val="32"/>
          <w:szCs w:val="32"/>
        </w:rPr>
        <w:br w:type="page"/>
      </w:r>
    </w:p>
    <w:p w14:paraId="790771E8">
      <w:pPr>
        <w:spacing w:line="360" w:lineRule="auto"/>
        <w:jc w:val="center"/>
        <w:rPr>
          <w:rFonts w:hint="eastAsia" w:ascii="宋体" w:hAnsi="宋体" w:cs="宋体"/>
          <w:b/>
          <w:color w:val="auto"/>
          <w:sz w:val="32"/>
          <w:szCs w:val="32"/>
        </w:rPr>
      </w:pPr>
    </w:p>
    <w:p w14:paraId="4752B3BD">
      <w:pPr>
        <w:spacing w:line="360" w:lineRule="auto"/>
        <w:jc w:val="center"/>
        <w:rPr>
          <w:rFonts w:hint="eastAsia" w:ascii="宋体" w:hAnsi="宋体" w:cs="宋体"/>
          <w:b/>
          <w:color w:val="auto"/>
          <w:sz w:val="32"/>
          <w:szCs w:val="32"/>
        </w:rPr>
      </w:pPr>
    </w:p>
    <w:p w14:paraId="7618D262">
      <w:pPr>
        <w:spacing w:line="360" w:lineRule="auto"/>
        <w:jc w:val="center"/>
        <w:rPr>
          <w:rFonts w:hint="eastAsia" w:ascii="宋体" w:hAnsi="宋体" w:cs="宋体"/>
          <w:b/>
          <w:color w:val="auto"/>
          <w:sz w:val="32"/>
          <w:szCs w:val="32"/>
        </w:rPr>
      </w:pPr>
    </w:p>
    <w:p w14:paraId="28B50637">
      <w:pPr>
        <w:spacing w:line="360" w:lineRule="auto"/>
        <w:jc w:val="center"/>
        <w:rPr>
          <w:rFonts w:hint="eastAsia" w:ascii="宋体" w:hAnsi="宋体" w:cs="宋体"/>
          <w:b/>
          <w:color w:val="auto"/>
          <w:sz w:val="32"/>
          <w:szCs w:val="32"/>
        </w:rPr>
      </w:pPr>
    </w:p>
    <w:p w14:paraId="1086F091">
      <w:pPr>
        <w:pStyle w:val="56"/>
        <w:ind w:firstLine="643"/>
        <w:rPr>
          <w:rFonts w:hint="eastAsia" w:ascii="宋体" w:hAnsi="宋体" w:cs="宋体"/>
          <w:b/>
          <w:color w:val="auto"/>
          <w:sz w:val="32"/>
          <w:szCs w:val="32"/>
        </w:rPr>
      </w:pPr>
    </w:p>
    <w:p w14:paraId="38E20494">
      <w:pPr>
        <w:pStyle w:val="56"/>
        <w:ind w:firstLine="643"/>
        <w:rPr>
          <w:rFonts w:hint="eastAsia" w:ascii="宋体" w:hAnsi="宋体" w:cs="宋体"/>
          <w:b/>
          <w:color w:val="auto"/>
          <w:sz w:val="32"/>
          <w:szCs w:val="32"/>
        </w:rPr>
      </w:pPr>
    </w:p>
    <w:p w14:paraId="435300AA">
      <w:pPr>
        <w:pStyle w:val="56"/>
        <w:ind w:firstLine="643"/>
        <w:rPr>
          <w:rFonts w:hint="eastAsia" w:ascii="宋体" w:hAnsi="宋体" w:cs="宋体"/>
          <w:b/>
          <w:color w:val="auto"/>
          <w:sz w:val="32"/>
          <w:szCs w:val="32"/>
        </w:rPr>
      </w:pPr>
    </w:p>
    <w:p w14:paraId="5225D705">
      <w:pPr>
        <w:spacing w:line="360" w:lineRule="auto"/>
        <w:rPr>
          <w:rFonts w:hint="eastAsia" w:ascii="宋体" w:hAnsi="宋体" w:cs="宋体"/>
          <w:b/>
          <w:color w:val="auto"/>
          <w:sz w:val="32"/>
          <w:szCs w:val="32"/>
        </w:rPr>
      </w:pPr>
    </w:p>
    <w:p w14:paraId="42B895B5">
      <w:pPr>
        <w:pStyle w:val="36"/>
        <w:spacing w:line="360" w:lineRule="auto"/>
        <w:rPr>
          <w:rFonts w:hint="eastAsia" w:ascii="宋体" w:hAnsi="宋体" w:cs="宋体"/>
          <w:color w:val="auto"/>
          <w:sz w:val="44"/>
          <w:szCs w:val="44"/>
        </w:rPr>
      </w:pPr>
      <w:bookmarkStart w:id="34" w:name="_Toc13378"/>
      <w:bookmarkStart w:id="35" w:name="_Toc476258664"/>
      <w:r>
        <w:rPr>
          <w:rFonts w:hint="eastAsia" w:ascii="宋体" w:hAnsi="宋体" w:cs="宋体"/>
          <w:color w:val="auto"/>
          <w:sz w:val="44"/>
          <w:szCs w:val="44"/>
        </w:rPr>
        <w:t>第三章  采购需求</w:t>
      </w:r>
      <w:bookmarkEnd w:id="34"/>
      <w:bookmarkEnd w:id="35"/>
    </w:p>
    <w:p w14:paraId="051ADF61">
      <w:pPr>
        <w:spacing w:line="360" w:lineRule="auto"/>
        <w:jc w:val="center"/>
        <w:rPr>
          <w:rFonts w:hint="eastAsia" w:ascii="宋体" w:hAnsi="宋体" w:cs="宋体"/>
          <w:b/>
          <w:color w:val="auto"/>
          <w:sz w:val="32"/>
          <w:szCs w:val="32"/>
        </w:rPr>
      </w:pPr>
      <w:r>
        <w:rPr>
          <w:rFonts w:hint="eastAsia" w:ascii="宋体" w:hAnsi="宋体" w:cs="宋体"/>
          <w:b/>
          <w:color w:val="auto"/>
          <w:sz w:val="32"/>
          <w:szCs w:val="32"/>
        </w:rPr>
        <w:br w:type="page"/>
      </w:r>
      <w:r>
        <w:rPr>
          <w:rFonts w:hint="eastAsia" w:ascii="宋体" w:hAnsi="宋体" w:cs="宋体"/>
          <w:b/>
          <w:color w:val="auto"/>
          <w:sz w:val="32"/>
          <w:szCs w:val="32"/>
        </w:rPr>
        <w:t>采购项目技术规格、参数及要求</w:t>
      </w:r>
    </w:p>
    <w:p w14:paraId="2179FC47">
      <w:pPr>
        <w:tabs>
          <w:tab w:val="left" w:pos="180"/>
          <w:tab w:val="left" w:pos="1620"/>
        </w:tabs>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一、采购项目类别：</w:t>
      </w:r>
      <w:r>
        <w:rPr>
          <w:rFonts w:hint="eastAsia" w:ascii="宋体" w:hAnsi="宋体" w:cs="宋体"/>
          <w:color w:val="auto"/>
          <w:szCs w:val="21"/>
          <w:u w:val="single"/>
        </w:rPr>
        <w:t xml:space="preserve">  服务类  </w:t>
      </w:r>
    </w:p>
    <w:p w14:paraId="70E9A830">
      <w:pPr>
        <w:tabs>
          <w:tab w:val="left" w:pos="180"/>
          <w:tab w:val="left" w:pos="162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二、采购需求一览表</w:t>
      </w:r>
    </w:p>
    <w:p w14:paraId="5CDF76DA">
      <w:pPr>
        <w:tabs>
          <w:tab w:val="left" w:pos="180"/>
          <w:tab w:val="left" w:pos="162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说明：</w:t>
      </w:r>
    </w:p>
    <w:p w14:paraId="5339723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1、本项目需求表中的品牌型号仅起参考作用，竞标人可选用其他品牌型号替代，但这些替代的品牌型号要实质上相当于或优于参考品牌型号及其技术参数性能（配置）要求。</w:t>
      </w:r>
    </w:p>
    <w:p w14:paraId="538280D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2、本项目需求表中带有“▲”的服务参数或要求为实质性要求，必须满足，竞标响应不得低于该技术指标或要求。未标注“▲”的参数或条款发生负偏离或不响应达 0 项（含）以上的，响应无效，标注“●”的技术条款为重要技术条款。</w:t>
      </w:r>
    </w:p>
    <w:p w14:paraId="72B56A5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3、供应商所竞标货物或服务如国家有强制性要求的按国家规定执行，若执行标准有修改或更新按最新版本执行。</w:t>
      </w:r>
    </w:p>
    <w:p w14:paraId="6EA0FFF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4、采购标的对应的中小企业划分标准所属行业：根据《关于印发中小企业划型标准规定的通知》（工信部联企业〔2011〕300号），本次采购标的属于：其他未列明行业。</w:t>
      </w:r>
    </w:p>
    <w:p w14:paraId="60F883E6">
      <w:pPr>
        <w:spacing w:line="360" w:lineRule="auto"/>
        <w:ind w:firstLine="422" w:firstLineChars="200"/>
        <w:rPr>
          <w:rFonts w:hint="eastAsia" w:ascii="宋体" w:hAnsi="宋体" w:cs="宋体"/>
          <w:b/>
          <w:color w:val="auto"/>
        </w:rPr>
      </w:pPr>
      <w:r>
        <w:rPr>
          <w:rFonts w:hint="eastAsia" w:ascii="宋体" w:hAnsi="宋体" w:cs="宋体"/>
          <w:b/>
          <w:color w:val="auto"/>
          <w:szCs w:val="21"/>
        </w:rPr>
        <w:t>本项目采购预算:</w:t>
      </w:r>
      <w:r>
        <w:rPr>
          <w:rFonts w:hint="eastAsia" w:ascii="宋体" w:hAnsi="宋体" w:cs="宋体"/>
          <w:b/>
          <w:color w:val="auto"/>
        </w:rPr>
        <w:t>1311259.12元</w:t>
      </w:r>
    </w:p>
    <w:tbl>
      <w:tblPr>
        <w:tblStyle w:val="40"/>
        <w:tblW w:w="0" w:type="auto"/>
        <w:tblInd w:w="96" w:type="dxa"/>
        <w:tblLayout w:type="fixed"/>
        <w:tblCellMar>
          <w:top w:w="0" w:type="dxa"/>
          <w:left w:w="108" w:type="dxa"/>
          <w:bottom w:w="0" w:type="dxa"/>
          <w:right w:w="108" w:type="dxa"/>
        </w:tblCellMar>
      </w:tblPr>
      <w:tblGrid>
        <w:gridCol w:w="638"/>
        <w:gridCol w:w="690"/>
        <w:gridCol w:w="1010"/>
        <w:gridCol w:w="6090"/>
        <w:gridCol w:w="735"/>
        <w:gridCol w:w="599"/>
      </w:tblGrid>
      <w:tr w14:paraId="2B2ACF2C">
        <w:tblPrEx>
          <w:tblCellMar>
            <w:top w:w="0" w:type="dxa"/>
            <w:left w:w="108" w:type="dxa"/>
            <w:bottom w:w="0" w:type="dxa"/>
            <w:right w:w="108" w:type="dxa"/>
          </w:tblCellMar>
        </w:tblPrEx>
        <w:trPr>
          <w:trHeight w:val="64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F7DABD3">
            <w:pPr>
              <w:widowControl/>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序号</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14:paraId="39582298">
            <w:pPr>
              <w:widowControl/>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采购内容</w:t>
            </w:r>
          </w:p>
        </w:tc>
        <w:tc>
          <w:tcPr>
            <w:tcW w:w="6090" w:type="dxa"/>
            <w:tcBorders>
              <w:top w:val="single" w:color="000000" w:sz="4" w:space="0"/>
              <w:left w:val="single" w:color="000000" w:sz="4" w:space="0"/>
              <w:bottom w:val="single" w:color="000000" w:sz="4" w:space="0"/>
              <w:right w:val="single" w:color="000000" w:sz="4" w:space="0"/>
            </w:tcBorders>
            <w:noWrap w:val="0"/>
            <w:vAlign w:val="center"/>
          </w:tcPr>
          <w:p w14:paraId="13E23D8B">
            <w:pPr>
              <w:widowControl/>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服务参数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5771A50">
            <w:pPr>
              <w:widowControl/>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计量单位</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14:paraId="3F108D0B">
            <w:pPr>
              <w:widowControl/>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数量</w:t>
            </w:r>
          </w:p>
        </w:tc>
      </w:tr>
      <w:tr w14:paraId="4EDCF737">
        <w:tblPrEx>
          <w:tblCellMar>
            <w:top w:w="0" w:type="dxa"/>
            <w:left w:w="108" w:type="dxa"/>
            <w:bottom w:w="0" w:type="dxa"/>
            <w:right w:w="108" w:type="dxa"/>
          </w:tblCellMar>
        </w:tblPrEx>
        <w:trPr>
          <w:trHeight w:val="1645"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14:paraId="6199B0E7">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14:paraId="21D9D52A">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24口千兆交换机</w:t>
            </w:r>
          </w:p>
        </w:tc>
        <w:tc>
          <w:tcPr>
            <w:tcW w:w="6090" w:type="dxa"/>
            <w:tcBorders>
              <w:top w:val="single" w:color="000000" w:sz="4" w:space="0"/>
              <w:left w:val="single" w:color="000000" w:sz="4" w:space="0"/>
              <w:bottom w:val="single" w:color="000000" w:sz="4" w:space="0"/>
              <w:right w:val="single" w:color="000000" w:sz="4" w:space="0"/>
            </w:tcBorders>
            <w:noWrap w:val="0"/>
            <w:vAlign w:val="center"/>
          </w:tcPr>
          <w:p w14:paraId="7C96D33F">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1、交换容量≥672Gbps,包转发速率≥126Mpps；</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2、提供≥24个千兆电口，≥4个千兆光口</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3、采用内置端口防雷技术，业务端口防雷能力≥10KV；</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4、支持OpenFlow 1.3标准、支持IPv6；</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5、设备内置智能网络管理模块；</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1BCB808">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台</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14:paraId="74297D2F">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r>
      <w:tr w14:paraId="0157D63A">
        <w:tblPrEx>
          <w:tblCellMar>
            <w:top w:w="0" w:type="dxa"/>
            <w:left w:w="108" w:type="dxa"/>
            <w:bottom w:w="0" w:type="dxa"/>
            <w:right w:w="108" w:type="dxa"/>
          </w:tblCellMar>
        </w:tblPrEx>
        <w:trPr>
          <w:trHeight w:val="64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14:paraId="1E3DA9BC">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14:paraId="41D9005D">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19寸电容触摸屏式多任务发号主机</w:t>
            </w:r>
          </w:p>
        </w:tc>
        <w:tc>
          <w:tcPr>
            <w:tcW w:w="6090" w:type="dxa"/>
            <w:tcBorders>
              <w:top w:val="single" w:color="000000" w:sz="4" w:space="0"/>
              <w:left w:val="single" w:color="000000" w:sz="4" w:space="0"/>
              <w:bottom w:val="single" w:color="000000" w:sz="4" w:space="0"/>
              <w:right w:val="single" w:color="000000" w:sz="4" w:space="0"/>
            </w:tcBorders>
            <w:noWrap w:val="0"/>
            <w:vAlign w:val="center"/>
          </w:tcPr>
          <w:p w14:paraId="645913C6">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1、物理尺寸：450×430×1550mm（宽×深×高）</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 xml:space="preserve">2、机柜材质：全钢板，金属烤漆 </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3、无线收发：双频跳频  433MHZ</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4、主控; 参照或相当于18026多功能工控主板；</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5、主频：≥2.41G双核</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6、内存：DDR3，1333MHz高速4G金士顿；</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7、硬盘：≥64G固态硬盘</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8、网    卡：10/100M自适应网卡</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 xml:space="preserve">9、操作系统：参照或相当于 WIN7                           </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10、显 示 器： 19寸高清液晶显示器</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11、触 摸 屏： 19寸电容触摸屏</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12、无线收发距离：≥150米</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13、内置功放：10W*2 适用面积400㎡以内</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14、打 印 机： 80热敏高速打印机</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 xml:space="preserve">15、打印速度： ≥200mm/sec </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 xml:space="preserve">16、打印纸宽： 80mm </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17、切刀寿命： ≥100万次</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18、电    源： AC220V 50HZ</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A9D4CE5">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台</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14:paraId="3BFE5CA8">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r>
      <w:tr w14:paraId="3CDC81DF">
        <w:tblPrEx>
          <w:tblCellMar>
            <w:top w:w="0" w:type="dxa"/>
            <w:left w:w="108" w:type="dxa"/>
            <w:bottom w:w="0" w:type="dxa"/>
            <w:right w:w="108" w:type="dxa"/>
          </w:tblCellMar>
        </w:tblPrEx>
        <w:trPr>
          <w:trHeight w:val="64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14:paraId="5E90C366">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3</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14:paraId="6E51159D">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呼叫器</w:t>
            </w:r>
          </w:p>
        </w:tc>
        <w:tc>
          <w:tcPr>
            <w:tcW w:w="6090" w:type="dxa"/>
            <w:tcBorders>
              <w:top w:val="single" w:color="000000" w:sz="4" w:space="0"/>
              <w:left w:val="single" w:color="000000" w:sz="4" w:space="0"/>
              <w:bottom w:val="single" w:color="000000" w:sz="4" w:space="0"/>
              <w:right w:val="single" w:color="000000" w:sz="4" w:space="0"/>
            </w:tcBorders>
            <w:noWrap w:val="0"/>
            <w:vAlign w:val="center"/>
          </w:tcPr>
          <w:p w14:paraId="1D6DBB3E">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1.供电方式：9V 独立适配器供电.</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2.通信方式：全无线传输，内置天线， 天线不外露，</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3.显示：可显 4 行每行可显示 至少8 个汉字，LCD 液晶屏，带背光，支持全中文汉字菜单。</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4.设置选项：呼叫器上可以设置可办业务、窗口号码、无线频道、业务优先级，控制评价器，打印报表，修改登录密码，设置日期及时间。5.电源指示灯：至少两个频道的信号灯，可随环境自动切换。</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6.按键：共计至少16个按键，具有：欢迎、提示、评价、转移、插前、延后、指呼、特呼、逆呼、传呼、查询、暂停、取消、弃号、返回、设置、重呼、退格、确认、下一位等功能按键</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7.电 源：220V  50HZ</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8.功 率：5W</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9.支持全中文汉字菜单，可显示5位呼叫号码及3位窗口号</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10.叫号器具有暂停发号功能，可无线切换主机发号和暂停发号状态；叫号器的“暂停”键，可控制窗口屏显示“暂停服务”或由用户自定义的其他信息</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 xml:space="preserve"> 11.无触发任务时进入窗口监控状 态，起到监控作用。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3F169DC">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个</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14:paraId="45816F1F">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5</w:t>
            </w:r>
          </w:p>
        </w:tc>
      </w:tr>
      <w:tr w14:paraId="41D4B2F3">
        <w:tblPrEx>
          <w:tblCellMar>
            <w:top w:w="0" w:type="dxa"/>
            <w:left w:w="108" w:type="dxa"/>
            <w:bottom w:w="0" w:type="dxa"/>
            <w:right w:w="108" w:type="dxa"/>
          </w:tblCellMar>
        </w:tblPrEx>
        <w:trPr>
          <w:trHeight w:val="188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14:paraId="087356FC">
            <w:pPr>
              <w:widowControl/>
              <w:jc w:val="center"/>
              <w:textAlignment w:val="center"/>
              <w:rPr>
                <w:rFonts w:hint="eastAsia" w:ascii="宋体" w:hAnsi="宋体" w:cs="宋体"/>
                <w:color w:val="auto"/>
                <w:szCs w:val="21"/>
              </w:rPr>
            </w:pPr>
            <w:bookmarkStart w:id="36" w:name="_Hlk183080698"/>
            <w:r>
              <w:rPr>
                <w:rFonts w:hint="eastAsia" w:ascii="宋体" w:hAnsi="宋体" w:cs="宋体"/>
                <w:color w:val="auto"/>
                <w:kern w:val="0"/>
                <w:szCs w:val="21"/>
                <w:lang w:bidi="ar"/>
              </w:rPr>
              <w:t>4</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14:paraId="303E849F">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自助服务软件</w:t>
            </w:r>
          </w:p>
        </w:tc>
        <w:tc>
          <w:tcPr>
            <w:tcW w:w="6090" w:type="dxa"/>
            <w:tcBorders>
              <w:top w:val="single" w:color="000000" w:sz="4" w:space="0"/>
              <w:left w:val="single" w:color="000000" w:sz="4" w:space="0"/>
              <w:bottom w:val="single" w:color="000000" w:sz="4" w:space="0"/>
              <w:right w:val="single" w:color="000000" w:sz="4" w:space="0"/>
            </w:tcBorders>
            <w:noWrap w:val="0"/>
            <w:vAlign w:val="center"/>
          </w:tcPr>
          <w:p w14:paraId="6A01D708">
            <w:pPr>
              <w:jc w:val="left"/>
              <w:rPr>
                <w:rFonts w:hint="eastAsia" w:ascii="宋体" w:hAnsi="宋体" w:cs="宋体"/>
                <w:color w:val="auto"/>
                <w:szCs w:val="21"/>
              </w:rPr>
            </w:pPr>
            <w:r>
              <w:rPr>
                <w:rFonts w:hint="eastAsia" w:ascii="宋体" w:hAnsi="宋体" w:cs="宋体"/>
                <w:color w:val="auto"/>
                <w:szCs w:val="21"/>
              </w:rPr>
              <w:t>一、服务要求</w:t>
            </w:r>
          </w:p>
          <w:p w14:paraId="2C814B4E">
            <w:pPr>
              <w:jc w:val="left"/>
              <w:rPr>
                <w:rFonts w:hint="eastAsia" w:ascii="宋体" w:hAnsi="宋体" w:cs="宋体"/>
                <w:color w:val="auto"/>
                <w:szCs w:val="21"/>
              </w:rPr>
            </w:pPr>
            <w:r>
              <w:rPr>
                <w:rFonts w:hint="eastAsia" w:ascii="宋体" w:hAnsi="宋体" w:cs="宋体"/>
                <w:color w:val="auto"/>
                <w:szCs w:val="21"/>
              </w:rPr>
              <w:t>服务内容包括1）自助打印服务软件部署、调试、应用、技术支持服务等，2）自助打印终端安装、设备间的调试、培训、应用、技术支持服务等。</w:t>
            </w:r>
          </w:p>
          <w:p w14:paraId="4D440027">
            <w:pPr>
              <w:jc w:val="left"/>
              <w:rPr>
                <w:rFonts w:hint="eastAsia" w:ascii="宋体" w:hAnsi="宋体" w:cs="宋体"/>
                <w:color w:val="auto"/>
                <w:szCs w:val="21"/>
              </w:rPr>
            </w:pPr>
            <w:r>
              <w:rPr>
                <w:rFonts w:hint="eastAsia" w:ascii="宋体" w:hAnsi="宋体" w:cs="宋体"/>
                <w:color w:val="auto"/>
                <w:szCs w:val="21"/>
              </w:rPr>
              <w:t>二、设计原则</w:t>
            </w:r>
          </w:p>
          <w:p w14:paraId="2DECBB5E">
            <w:pPr>
              <w:jc w:val="left"/>
              <w:rPr>
                <w:rFonts w:hint="eastAsia" w:ascii="宋体" w:hAnsi="宋体" w:cs="宋体"/>
                <w:color w:val="auto"/>
                <w:szCs w:val="21"/>
              </w:rPr>
            </w:pPr>
            <w:r>
              <w:rPr>
                <w:rFonts w:hint="eastAsia" w:ascii="宋体" w:hAnsi="宋体" w:cs="宋体"/>
                <w:color w:val="auto"/>
                <w:szCs w:val="21"/>
              </w:rPr>
              <w:t>（一）技术路线</w:t>
            </w:r>
          </w:p>
          <w:p w14:paraId="10679D98">
            <w:pPr>
              <w:jc w:val="left"/>
              <w:rPr>
                <w:rFonts w:hint="eastAsia" w:ascii="宋体" w:hAnsi="宋体" w:cs="宋体"/>
                <w:color w:val="auto"/>
                <w:szCs w:val="21"/>
              </w:rPr>
            </w:pPr>
            <w:r>
              <w:rPr>
                <w:rFonts w:hint="eastAsia" w:ascii="宋体" w:hAnsi="宋体" w:cs="宋体"/>
                <w:color w:val="auto"/>
                <w:szCs w:val="21"/>
              </w:rPr>
              <w:t>1、技术架构使用J2EE技术架构，采用SSH开发框架，使用BS模式，采用分层、模块化设计思路，系统能够方便拓展，有效地提升系统数据和业务扩展能力；要求系统使用 MVC 三层网络架构。</w:t>
            </w:r>
          </w:p>
          <w:p w14:paraId="3771D4F3">
            <w:pPr>
              <w:jc w:val="left"/>
              <w:rPr>
                <w:rFonts w:hint="eastAsia" w:ascii="宋体" w:hAnsi="宋体" w:cs="宋体"/>
                <w:color w:val="auto"/>
                <w:szCs w:val="21"/>
              </w:rPr>
            </w:pPr>
            <w:r>
              <w:rPr>
                <w:rFonts w:hint="eastAsia" w:ascii="宋体" w:hAnsi="宋体" w:cs="宋体"/>
                <w:color w:val="auto"/>
                <w:szCs w:val="21"/>
              </w:rPr>
              <w:t>2、系统采用松耦合架构，可实现部门，应用和硬件设备的灵活配置。系统的可扩展性要求，遵循 RESTful规范，输出自助服务系统各类开发能力，使得第三方应用服务利用设备能力完成自助服务的开发，系统应支持二次开发和功能扩展。</w:t>
            </w:r>
          </w:p>
          <w:p w14:paraId="6AA4ED94">
            <w:pPr>
              <w:jc w:val="left"/>
              <w:rPr>
                <w:rFonts w:hint="eastAsia" w:ascii="宋体" w:hAnsi="宋体" w:cs="宋体"/>
                <w:color w:val="auto"/>
                <w:szCs w:val="21"/>
              </w:rPr>
            </w:pPr>
            <w:r>
              <w:rPr>
                <w:rFonts w:hint="eastAsia" w:ascii="宋体" w:hAnsi="宋体" w:cs="宋体"/>
                <w:color w:val="auto"/>
                <w:szCs w:val="21"/>
              </w:rPr>
              <w:t>3、具体要求如下：</w:t>
            </w:r>
          </w:p>
          <w:p w14:paraId="0E73804A">
            <w:pPr>
              <w:jc w:val="left"/>
              <w:rPr>
                <w:rFonts w:hint="eastAsia" w:ascii="宋体" w:hAnsi="宋体" w:cs="宋体"/>
                <w:color w:val="auto"/>
                <w:szCs w:val="21"/>
              </w:rPr>
            </w:pPr>
            <w:r>
              <w:rPr>
                <w:rFonts w:hint="eastAsia" w:ascii="宋体" w:hAnsi="宋体" w:cs="宋体"/>
                <w:color w:val="auto"/>
                <w:szCs w:val="21"/>
              </w:rPr>
              <w:t>（1）要求具备在移动端查看，预览证明文件并预约打印、终端支持二维码扫描打印能力。</w:t>
            </w:r>
          </w:p>
          <w:p w14:paraId="4EF63C6D">
            <w:pPr>
              <w:jc w:val="left"/>
              <w:rPr>
                <w:rFonts w:hint="eastAsia" w:ascii="宋体" w:hAnsi="宋体" w:cs="宋体"/>
                <w:color w:val="auto"/>
                <w:szCs w:val="21"/>
              </w:rPr>
            </w:pPr>
            <w:r>
              <w:rPr>
                <w:rFonts w:hint="eastAsia" w:ascii="宋体" w:hAnsi="宋体" w:cs="宋体"/>
                <w:color w:val="auto"/>
                <w:szCs w:val="21"/>
              </w:rPr>
              <w:t>（2）要求对学校自助终端进行统一管理，对学校自助服务应用进行统一管理和授权，支持个性化设置应用场景。</w:t>
            </w:r>
          </w:p>
          <w:p w14:paraId="0BE0B8DC">
            <w:pPr>
              <w:jc w:val="left"/>
              <w:rPr>
                <w:rFonts w:hint="eastAsia" w:ascii="宋体" w:hAnsi="宋体" w:cs="宋体"/>
                <w:color w:val="auto"/>
                <w:szCs w:val="21"/>
              </w:rPr>
            </w:pPr>
            <w:r>
              <w:rPr>
                <w:rFonts w:hint="eastAsia" w:ascii="宋体" w:hAnsi="宋体" w:cs="宋体"/>
                <w:color w:val="auto"/>
                <w:szCs w:val="21"/>
              </w:rPr>
              <w:t>（3）要求自助服务实现统一设计，对系统结构设计进行深入优化，提供软件接口，允许各类自助服务注册，终端设备授权后可接入。</w:t>
            </w:r>
          </w:p>
          <w:p w14:paraId="054F03CE">
            <w:pPr>
              <w:jc w:val="left"/>
              <w:rPr>
                <w:rFonts w:hint="eastAsia" w:ascii="宋体" w:hAnsi="宋体" w:cs="宋体"/>
                <w:color w:val="auto"/>
                <w:szCs w:val="21"/>
              </w:rPr>
            </w:pPr>
            <w:r>
              <w:rPr>
                <w:rFonts w:hint="eastAsia" w:ascii="宋体" w:hAnsi="宋体" w:cs="宋体"/>
                <w:color w:val="auto"/>
                <w:szCs w:val="21"/>
              </w:rPr>
              <w:t>（4）要求可对自助服务终端智能管理，可对异常状态事先预警，出现异常及时报障，软件问题可自检测自恢复，无需人工值守。</w:t>
            </w:r>
          </w:p>
          <w:p w14:paraId="19602D88">
            <w:pPr>
              <w:jc w:val="left"/>
              <w:rPr>
                <w:rFonts w:hint="eastAsia" w:ascii="宋体" w:hAnsi="宋体" w:cs="宋体"/>
                <w:color w:val="auto"/>
                <w:szCs w:val="21"/>
              </w:rPr>
            </w:pPr>
            <w:r>
              <w:rPr>
                <w:rFonts w:hint="eastAsia" w:ascii="宋体" w:hAnsi="宋体" w:cs="宋体"/>
                <w:color w:val="auto"/>
                <w:szCs w:val="21"/>
              </w:rPr>
              <w:t>（5）要求系统故障导致业务办理失败，系统自动保存（日志、截图）一键报障，并且支持问题处理后可通知到报障人，完成问题闭环。</w:t>
            </w:r>
          </w:p>
          <w:p w14:paraId="5BE497EB">
            <w:pPr>
              <w:jc w:val="left"/>
              <w:rPr>
                <w:rFonts w:hint="eastAsia" w:ascii="宋体" w:hAnsi="宋体" w:cs="宋体"/>
                <w:color w:val="auto"/>
                <w:szCs w:val="21"/>
              </w:rPr>
            </w:pPr>
            <w:r>
              <w:rPr>
                <w:rFonts w:hint="eastAsia" w:ascii="宋体" w:hAnsi="宋体" w:cs="宋体"/>
                <w:color w:val="auto"/>
                <w:szCs w:val="21"/>
              </w:rPr>
              <w:t>（6）要求终端支持短信验证码方式、开设备锁，方便日常维护。</w:t>
            </w:r>
          </w:p>
          <w:p w14:paraId="62AF7A7C">
            <w:pPr>
              <w:jc w:val="left"/>
              <w:rPr>
                <w:rFonts w:hint="eastAsia" w:ascii="宋体" w:hAnsi="宋体" w:cs="宋体"/>
                <w:color w:val="auto"/>
                <w:szCs w:val="21"/>
              </w:rPr>
            </w:pPr>
            <w:r>
              <w:rPr>
                <w:rFonts w:hint="eastAsia" w:ascii="宋体" w:hAnsi="宋体" w:cs="宋体"/>
                <w:color w:val="auto"/>
                <w:szCs w:val="21"/>
              </w:rPr>
              <w:t>（7）要求终端程序页面显示支持语言切换能力。</w:t>
            </w:r>
          </w:p>
          <w:p w14:paraId="684D9397">
            <w:pPr>
              <w:jc w:val="left"/>
              <w:rPr>
                <w:rFonts w:hint="eastAsia" w:ascii="宋体" w:hAnsi="宋体" w:cs="宋体"/>
                <w:color w:val="auto"/>
                <w:szCs w:val="21"/>
              </w:rPr>
            </w:pPr>
            <w:r>
              <w:rPr>
                <w:rFonts w:hint="eastAsia" w:ascii="宋体" w:hAnsi="宋体" w:cs="宋体"/>
                <w:color w:val="auto"/>
                <w:szCs w:val="21"/>
              </w:rPr>
              <w:t>（二）安全要求</w:t>
            </w:r>
          </w:p>
          <w:p w14:paraId="3C875AE3">
            <w:pPr>
              <w:jc w:val="left"/>
              <w:rPr>
                <w:rFonts w:hint="eastAsia" w:ascii="宋体" w:hAnsi="宋体" w:cs="宋体"/>
                <w:color w:val="auto"/>
                <w:szCs w:val="21"/>
              </w:rPr>
            </w:pPr>
            <w:r>
              <w:rPr>
                <w:rFonts w:hint="eastAsia" w:ascii="宋体" w:hAnsi="宋体" w:cs="宋体"/>
                <w:color w:val="auto"/>
                <w:szCs w:val="21"/>
              </w:rPr>
              <w:t>1、认证授权：防止内部敏感信息泄漏和服务所提供的信息资源被非法访问。</w:t>
            </w:r>
          </w:p>
          <w:p w14:paraId="341E48EA">
            <w:pPr>
              <w:jc w:val="left"/>
              <w:rPr>
                <w:rFonts w:hint="eastAsia" w:ascii="宋体" w:hAnsi="宋体" w:cs="宋体"/>
                <w:color w:val="auto"/>
                <w:szCs w:val="21"/>
              </w:rPr>
            </w:pPr>
            <w:r>
              <w:rPr>
                <w:rFonts w:hint="eastAsia" w:ascii="宋体" w:hAnsi="宋体" w:cs="宋体"/>
                <w:color w:val="auto"/>
                <w:szCs w:val="21"/>
              </w:rPr>
              <w:t>2、信息保密：支持数据加密技术，对数据进行信息保密操作。防止信息的非授权泄漏，确保涉密信息在产生、存储、传递和处理过程中的保密。</w:t>
            </w:r>
          </w:p>
          <w:p w14:paraId="24955F18">
            <w:pPr>
              <w:jc w:val="left"/>
              <w:rPr>
                <w:rFonts w:hint="eastAsia" w:ascii="宋体" w:hAnsi="宋体" w:cs="宋体"/>
                <w:color w:val="auto"/>
                <w:szCs w:val="21"/>
              </w:rPr>
            </w:pPr>
            <w:r>
              <w:rPr>
                <w:rFonts w:hint="eastAsia" w:ascii="宋体" w:hAnsi="宋体" w:cs="宋体"/>
                <w:color w:val="auto"/>
                <w:szCs w:val="21"/>
              </w:rPr>
              <w:t>3、审计：记录操作日志，对事件进行分析，并能提供预警信息。</w:t>
            </w:r>
          </w:p>
          <w:p w14:paraId="71532A7D">
            <w:pPr>
              <w:jc w:val="left"/>
              <w:rPr>
                <w:rFonts w:hint="eastAsia" w:ascii="宋体" w:hAnsi="宋体" w:cs="宋体"/>
                <w:color w:val="auto"/>
                <w:szCs w:val="21"/>
              </w:rPr>
            </w:pPr>
            <w:r>
              <w:rPr>
                <w:rFonts w:hint="eastAsia" w:ascii="宋体" w:hAnsi="宋体" w:cs="宋体"/>
                <w:color w:val="auto"/>
                <w:szCs w:val="21"/>
              </w:rPr>
              <w:t>权限管理：提供多种、多级权限管理，包括区分设置查看权限和配置权限。并确保系统管理员、业务管理人员在系统中只具备相应的功能查看和配置授权</w:t>
            </w:r>
          </w:p>
          <w:p w14:paraId="4BA7D212">
            <w:pPr>
              <w:jc w:val="left"/>
              <w:rPr>
                <w:rFonts w:hint="eastAsia" w:ascii="宋体" w:hAnsi="宋体" w:cs="宋体"/>
                <w:color w:val="auto"/>
                <w:szCs w:val="21"/>
              </w:rPr>
            </w:pPr>
            <w:r>
              <w:rPr>
                <w:rFonts w:hint="eastAsia" w:ascii="宋体" w:hAnsi="宋体" w:cs="宋体"/>
                <w:color w:val="auto"/>
                <w:szCs w:val="21"/>
              </w:rPr>
              <w:t>三、整体技术要求</w:t>
            </w:r>
          </w:p>
          <w:p w14:paraId="52854A87">
            <w:pPr>
              <w:jc w:val="left"/>
              <w:rPr>
                <w:rFonts w:hint="eastAsia" w:ascii="宋体" w:hAnsi="宋体" w:cs="宋体"/>
                <w:color w:val="auto"/>
                <w:szCs w:val="21"/>
              </w:rPr>
            </w:pPr>
            <w:r>
              <w:rPr>
                <w:rFonts w:hint="eastAsia" w:ascii="宋体" w:hAnsi="宋体" w:cs="宋体"/>
                <w:color w:val="auto"/>
                <w:szCs w:val="21"/>
              </w:rPr>
              <w:t>（一）预约打印服务（pc端、移动端）</w:t>
            </w:r>
          </w:p>
          <w:p w14:paraId="2D78543F">
            <w:pPr>
              <w:jc w:val="left"/>
              <w:rPr>
                <w:rFonts w:hint="eastAsia" w:ascii="宋体" w:hAnsi="宋体" w:cs="宋体"/>
                <w:color w:val="auto"/>
                <w:szCs w:val="21"/>
              </w:rPr>
            </w:pPr>
            <w:r>
              <w:rPr>
                <w:rFonts w:hint="eastAsia" w:ascii="宋体" w:hAnsi="宋体" w:cs="宋体"/>
                <w:color w:val="auto"/>
                <w:szCs w:val="21"/>
              </w:rPr>
              <w:t>1、支持在微信公众号、企业号或校内统一APP嵌入自助打印服务入口，支持统一认证、账号/密码等多种登录方式；</w:t>
            </w:r>
          </w:p>
          <w:p w14:paraId="0AF79C0A">
            <w:pPr>
              <w:jc w:val="left"/>
              <w:rPr>
                <w:rFonts w:hint="eastAsia" w:ascii="宋体" w:hAnsi="宋体" w:cs="宋体"/>
                <w:color w:val="auto"/>
                <w:szCs w:val="21"/>
              </w:rPr>
            </w:pPr>
            <w:r>
              <w:rPr>
                <w:rFonts w:hint="eastAsia" w:ascii="宋体" w:hAnsi="宋体" w:cs="宋体"/>
                <w:color w:val="auto"/>
                <w:szCs w:val="21"/>
              </w:rPr>
              <w:t>2、支持全览、分业务部门查看、模糊查询证明文件，预览证明文件内容可放大查看，显示内容带有防截屏显示。</w:t>
            </w:r>
          </w:p>
          <w:p w14:paraId="0C1CA094">
            <w:pPr>
              <w:jc w:val="left"/>
              <w:rPr>
                <w:rFonts w:hint="eastAsia" w:ascii="宋体" w:hAnsi="宋体" w:cs="宋体"/>
                <w:color w:val="auto"/>
                <w:szCs w:val="21"/>
              </w:rPr>
            </w:pPr>
            <w:r>
              <w:rPr>
                <w:rFonts w:hint="eastAsia" w:ascii="宋体" w:hAnsi="宋体" w:cs="宋体"/>
                <w:color w:val="auto"/>
                <w:szCs w:val="21"/>
              </w:rPr>
              <w:t>3、支持移动端预览页面选择证明文件取件方式（终端取件、电子件下载）。</w:t>
            </w:r>
          </w:p>
          <w:p w14:paraId="65841FB9">
            <w:pPr>
              <w:jc w:val="left"/>
              <w:rPr>
                <w:rFonts w:hint="eastAsia" w:ascii="宋体" w:hAnsi="宋体" w:cs="宋体"/>
                <w:color w:val="auto"/>
                <w:szCs w:val="21"/>
              </w:rPr>
            </w:pPr>
            <w:r>
              <w:rPr>
                <w:rFonts w:hint="eastAsia" w:ascii="宋体" w:hAnsi="宋体" w:cs="宋体"/>
                <w:color w:val="auto"/>
                <w:szCs w:val="21"/>
              </w:rPr>
              <w:t>4、支持移动端能够区分收费类证明文件和不收费证明文件，对于免费类证明文件显示证明文件名称，剩余免费份数、备注信息；对于收费证明文件显示证明文件名称，收费说明（包含收费单价、需支付费用总计及支付提示信息），收费或不收费均可选择所需份数。</w:t>
            </w:r>
          </w:p>
          <w:p w14:paraId="7BDD121F">
            <w:pPr>
              <w:jc w:val="left"/>
              <w:rPr>
                <w:rFonts w:hint="eastAsia" w:ascii="宋体" w:hAnsi="宋体" w:cs="宋体"/>
                <w:color w:val="auto"/>
                <w:szCs w:val="21"/>
              </w:rPr>
            </w:pPr>
            <w:r>
              <w:rPr>
                <w:rFonts w:hint="eastAsia" w:ascii="宋体" w:hAnsi="宋体" w:cs="宋体"/>
                <w:color w:val="auto"/>
                <w:szCs w:val="21"/>
              </w:rPr>
              <w:t>5、支持移动端提交打印申请后查看可打印自助服务终端并显示自助终端运行状态，方便师生实时了解可用自助终端。</w:t>
            </w:r>
          </w:p>
          <w:p w14:paraId="12E8EE27">
            <w:pPr>
              <w:jc w:val="left"/>
              <w:rPr>
                <w:rFonts w:hint="eastAsia" w:ascii="宋体" w:hAnsi="宋体" w:cs="宋体"/>
                <w:color w:val="auto"/>
                <w:szCs w:val="21"/>
              </w:rPr>
            </w:pPr>
            <w:r>
              <w:rPr>
                <w:rFonts w:hint="eastAsia" w:ascii="宋体" w:hAnsi="宋体" w:cs="宋体"/>
                <w:color w:val="auto"/>
                <w:szCs w:val="21"/>
              </w:rPr>
              <w:t>6、支持业务系统审批通过后的证明文件PDF推送到自助打印系统，在自助终端上扫码或输入取件码完成打印。</w:t>
            </w:r>
          </w:p>
          <w:p w14:paraId="1733EC4F">
            <w:pPr>
              <w:jc w:val="left"/>
              <w:rPr>
                <w:rFonts w:hint="eastAsia" w:ascii="宋体" w:hAnsi="宋体" w:cs="宋体"/>
                <w:color w:val="auto"/>
                <w:szCs w:val="21"/>
              </w:rPr>
            </w:pPr>
            <w:r>
              <w:rPr>
                <w:rFonts w:hint="eastAsia" w:ascii="宋体" w:hAnsi="宋体" w:cs="宋体"/>
                <w:color w:val="auto"/>
                <w:szCs w:val="21"/>
              </w:rPr>
              <w:t>7、支持移动端申请的证明文件有申请过期时间提示。</w:t>
            </w:r>
          </w:p>
          <w:p w14:paraId="6C4815B2">
            <w:pPr>
              <w:jc w:val="left"/>
              <w:rPr>
                <w:rFonts w:hint="eastAsia" w:ascii="宋体" w:hAnsi="宋体" w:cs="宋体"/>
                <w:color w:val="auto"/>
                <w:szCs w:val="21"/>
              </w:rPr>
            </w:pPr>
            <w:r>
              <w:rPr>
                <w:rFonts w:hint="eastAsia" w:ascii="宋体" w:hAnsi="宋体" w:cs="宋体"/>
                <w:color w:val="auto"/>
                <w:szCs w:val="21"/>
              </w:rPr>
              <w:t>8、支持自助终端扫描取件二维码或输入取件码完成打印取件。</w:t>
            </w:r>
          </w:p>
          <w:p w14:paraId="1DAAF9F6">
            <w:pPr>
              <w:jc w:val="left"/>
              <w:rPr>
                <w:rFonts w:hint="eastAsia" w:ascii="宋体" w:hAnsi="宋体" w:cs="宋体"/>
                <w:color w:val="auto"/>
                <w:szCs w:val="21"/>
              </w:rPr>
            </w:pPr>
            <w:r>
              <w:rPr>
                <w:rFonts w:hint="eastAsia" w:ascii="宋体" w:hAnsi="宋体" w:cs="宋体"/>
                <w:color w:val="auto"/>
                <w:szCs w:val="21"/>
              </w:rPr>
              <w:t>（二）终端打印取件服务</w:t>
            </w:r>
          </w:p>
          <w:p w14:paraId="08A655E1">
            <w:pPr>
              <w:jc w:val="left"/>
              <w:rPr>
                <w:rFonts w:hint="eastAsia" w:ascii="宋体" w:hAnsi="宋体" w:cs="宋体"/>
                <w:color w:val="auto"/>
                <w:szCs w:val="21"/>
              </w:rPr>
            </w:pPr>
            <w:r>
              <w:rPr>
                <w:rFonts w:hint="eastAsia" w:ascii="宋体" w:hAnsi="宋体" w:cs="宋体"/>
                <w:color w:val="auto"/>
                <w:szCs w:val="21"/>
              </w:rPr>
              <w:t>1、支持在自助终端通过统一认证、DB、身份证、一卡通、人脸识别多种方式登录，查询、预览个人证明类文件;</w:t>
            </w:r>
          </w:p>
          <w:p w14:paraId="07B37BF9">
            <w:pPr>
              <w:jc w:val="left"/>
              <w:rPr>
                <w:rFonts w:hint="eastAsia" w:ascii="宋体" w:hAnsi="宋体" w:cs="宋体"/>
                <w:color w:val="auto"/>
                <w:szCs w:val="21"/>
              </w:rPr>
            </w:pPr>
            <w:r>
              <w:rPr>
                <w:rFonts w:hint="eastAsia" w:ascii="宋体" w:hAnsi="宋体" w:cs="宋体"/>
                <w:color w:val="auto"/>
                <w:szCs w:val="21"/>
              </w:rPr>
              <w:t>2、支持证明类文件打印自动算费、自助缴费，最终完成证明文件打印。</w:t>
            </w:r>
          </w:p>
          <w:p w14:paraId="048D6768">
            <w:pPr>
              <w:jc w:val="left"/>
              <w:rPr>
                <w:rFonts w:hint="eastAsia" w:ascii="宋体" w:hAnsi="宋体" w:cs="宋体"/>
                <w:color w:val="auto"/>
                <w:szCs w:val="21"/>
              </w:rPr>
            </w:pPr>
            <w:r>
              <w:rPr>
                <w:rFonts w:hint="eastAsia" w:ascii="宋体" w:hAnsi="宋体" w:cs="宋体"/>
                <w:color w:val="auto"/>
                <w:szCs w:val="21"/>
              </w:rPr>
              <w:t>3、为保护信息安全，打印完成设有倒计时，10秒后不操作系统自动注销登录。</w:t>
            </w:r>
          </w:p>
          <w:p w14:paraId="7E517A12">
            <w:pPr>
              <w:jc w:val="left"/>
              <w:rPr>
                <w:rFonts w:hint="eastAsia" w:ascii="宋体" w:hAnsi="宋体" w:cs="宋体"/>
                <w:color w:val="auto"/>
                <w:szCs w:val="21"/>
              </w:rPr>
            </w:pPr>
            <w:r>
              <w:rPr>
                <w:rFonts w:hint="eastAsia" w:ascii="宋体" w:hAnsi="宋体" w:cs="宋体"/>
                <w:color w:val="auto"/>
                <w:szCs w:val="21"/>
              </w:rPr>
              <w:t>（三）自助共享打印</w:t>
            </w:r>
          </w:p>
          <w:p w14:paraId="3717A768">
            <w:pPr>
              <w:jc w:val="left"/>
              <w:rPr>
                <w:rFonts w:hint="eastAsia" w:ascii="宋体" w:hAnsi="宋体" w:cs="宋体"/>
                <w:color w:val="auto"/>
                <w:szCs w:val="21"/>
              </w:rPr>
            </w:pPr>
            <w:r>
              <w:rPr>
                <w:rFonts w:hint="eastAsia" w:ascii="宋体" w:hAnsi="宋体" w:cs="宋体"/>
                <w:color w:val="auto"/>
                <w:szCs w:val="21"/>
              </w:rPr>
              <w:t>1、支持扫描PC端或扫描自助终端显示的二维码，完成个人文件上传。</w:t>
            </w:r>
          </w:p>
          <w:p w14:paraId="15BC9CDB">
            <w:pPr>
              <w:jc w:val="left"/>
              <w:rPr>
                <w:rFonts w:hint="eastAsia" w:ascii="宋体" w:hAnsi="宋体" w:cs="宋体"/>
                <w:color w:val="auto"/>
                <w:szCs w:val="21"/>
              </w:rPr>
            </w:pPr>
            <w:r>
              <w:rPr>
                <w:rFonts w:hint="eastAsia" w:ascii="宋体" w:hAnsi="宋体" w:cs="宋体"/>
                <w:color w:val="auto"/>
                <w:szCs w:val="21"/>
              </w:rPr>
              <w:t>2、支持终端实时显示上传文件信息，可预览上传文件。</w:t>
            </w:r>
          </w:p>
          <w:p w14:paraId="4743B64E">
            <w:pPr>
              <w:jc w:val="left"/>
              <w:rPr>
                <w:rFonts w:hint="eastAsia" w:ascii="宋体" w:hAnsi="宋体" w:cs="宋体"/>
                <w:color w:val="auto"/>
                <w:szCs w:val="21"/>
              </w:rPr>
            </w:pPr>
            <w:r>
              <w:rPr>
                <w:rFonts w:hint="eastAsia" w:ascii="宋体" w:hAnsi="宋体" w:cs="宋体"/>
                <w:color w:val="auto"/>
                <w:szCs w:val="21"/>
              </w:rPr>
              <w:t>3、支持设置打印份数，单双面，横纵向；</w:t>
            </w:r>
          </w:p>
          <w:p w14:paraId="6C477B70">
            <w:pPr>
              <w:jc w:val="left"/>
              <w:rPr>
                <w:rFonts w:hint="eastAsia" w:ascii="宋体" w:hAnsi="宋体" w:cs="宋体"/>
                <w:color w:val="auto"/>
                <w:szCs w:val="21"/>
              </w:rPr>
            </w:pPr>
            <w:r>
              <w:rPr>
                <w:rFonts w:hint="eastAsia" w:ascii="宋体" w:hAnsi="宋体" w:cs="宋体"/>
                <w:color w:val="auto"/>
                <w:szCs w:val="21"/>
              </w:rPr>
              <w:t>▲4、支持微信或支付宝、校园卡支付，支付成功完成打印。</w:t>
            </w:r>
          </w:p>
          <w:p w14:paraId="72708DAF">
            <w:pPr>
              <w:jc w:val="left"/>
              <w:rPr>
                <w:rFonts w:hint="eastAsia" w:ascii="宋体" w:hAnsi="宋体" w:cs="宋体"/>
                <w:color w:val="auto"/>
                <w:szCs w:val="21"/>
              </w:rPr>
            </w:pPr>
            <w:r>
              <w:rPr>
                <w:rFonts w:hint="eastAsia" w:ascii="宋体" w:hAnsi="宋体" w:cs="宋体"/>
                <w:color w:val="auto"/>
                <w:szCs w:val="21"/>
              </w:rPr>
              <w:t>（四）自助缴费</w:t>
            </w:r>
          </w:p>
          <w:p w14:paraId="71C79FD1">
            <w:pPr>
              <w:jc w:val="left"/>
              <w:rPr>
                <w:rFonts w:hint="eastAsia" w:ascii="宋体" w:hAnsi="宋体" w:cs="宋体"/>
                <w:color w:val="auto"/>
                <w:szCs w:val="21"/>
              </w:rPr>
            </w:pPr>
            <w:r>
              <w:rPr>
                <w:rFonts w:hint="eastAsia" w:ascii="宋体" w:hAnsi="宋体" w:cs="宋体"/>
                <w:color w:val="auto"/>
                <w:szCs w:val="21"/>
              </w:rPr>
              <w:t>1、支持证明文件打印收费，且支持在自助终端上发布一些缴费项目，系统须支持各种证明材料免费份数、收费标准的设置工作，系统可按打印份数及收费标准自动进行费用计算。</w:t>
            </w:r>
          </w:p>
          <w:p w14:paraId="69E7FF3E">
            <w:pPr>
              <w:jc w:val="left"/>
              <w:rPr>
                <w:rFonts w:hint="eastAsia" w:ascii="宋体" w:hAnsi="宋体" w:cs="宋体"/>
                <w:color w:val="auto"/>
                <w:szCs w:val="21"/>
              </w:rPr>
            </w:pPr>
            <w:r>
              <w:rPr>
                <w:rFonts w:hint="eastAsia" w:ascii="宋体" w:hAnsi="宋体" w:cs="宋体"/>
                <w:color w:val="auto"/>
                <w:szCs w:val="21"/>
              </w:rPr>
              <w:t>2、支持校园卡、学校网络支付平台或微信、支付宝等自助缴费方式，学校师生可在自助终端上自助完成缴费操作（具体是缴费根据学校实际要求为准）。</w:t>
            </w:r>
          </w:p>
          <w:p w14:paraId="3640111B">
            <w:pPr>
              <w:jc w:val="left"/>
              <w:rPr>
                <w:rFonts w:hint="eastAsia" w:ascii="宋体" w:hAnsi="宋体" w:cs="宋体"/>
                <w:color w:val="auto"/>
                <w:szCs w:val="21"/>
              </w:rPr>
            </w:pPr>
            <w:r>
              <w:rPr>
                <w:rFonts w:hint="eastAsia" w:ascii="宋体" w:hAnsi="宋体" w:cs="宋体"/>
                <w:color w:val="auto"/>
                <w:szCs w:val="21"/>
              </w:rPr>
              <w:t>（五）宣传展示</w:t>
            </w:r>
          </w:p>
          <w:p w14:paraId="0312C1B8">
            <w:pPr>
              <w:jc w:val="left"/>
              <w:rPr>
                <w:rFonts w:hint="eastAsia" w:ascii="宋体" w:hAnsi="宋体" w:cs="宋体"/>
                <w:color w:val="auto"/>
                <w:szCs w:val="21"/>
              </w:rPr>
            </w:pPr>
            <w:r>
              <w:rPr>
                <w:rFonts w:hint="eastAsia" w:ascii="宋体" w:hAnsi="宋体" w:cs="宋体"/>
                <w:color w:val="auto"/>
                <w:szCs w:val="21"/>
              </w:rPr>
              <w:t>1、自助打印终端集成宣传广告屏，支持文字、图片、视频、网页等资源的自动播放，支持轮询进行播放，方便学校发布重要通知公告、学校简介、操作指南、教学宣传信息、办事流程、校园导航等公共信息的推送。</w:t>
            </w:r>
          </w:p>
          <w:p w14:paraId="7F89D66B">
            <w:pPr>
              <w:jc w:val="left"/>
              <w:rPr>
                <w:rFonts w:hint="eastAsia" w:ascii="宋体" w:hAnsi="宋体" w:cs="宋体"/>
                <w:color w:val="auto"/>
                <w:szCs w:val="21"/>
              </w:rPr>
            </w:pPr>
            <w:r>
              <w:rPr>
                <w:rFonts w:hint="eastAsia" w:ascii="宋体" w:hAnsi="宋体" w:cs="宋体"/>
                <w:color w:val="auto"/>
                <w:szCs w:val="21"/>
              </w:rPr>
              <w:t>2、支持播放内容后台管理系统统一管理，终端显示内容支持个性化配置。</w:t>
            </w:r>
          </w:p>
          <w:p w14:paraId="53BEC652">
            <w:pPr>
              <w:jc w:val="left"/>
              <w:rPr>
                <w:rFonts w:hint="eastAsia" w:ascii="宋体" w:hAnsi="宋体" w:cs="宋体"/>
                <w:color w:val="auto"/>
                <w:szCs w:val="21"/>
              </w:rPr>
            </w:pPr>
            <w:r>
              <w:rPr>
                <w:rFonts w:hint="eastAsia" w:ascii="宋体" w:hAnsi="宋体" w:cs="宋体"/>
                <w:color w:val="auto"/>
                <w:szCs w:val="21"/>
              </w:rPr>
              <w:t>（六）自助服务终端操作界面中英文切换</w:t>
            </w:r>
          </w:p>
          <w:p w14:paraId="5E684EE8">
            <w:pPr>
              <w:jc w:val="left"/>
              <w:rPr>
                <w:rFonts w:hint="eastAsia" w:ascii="宋体" w:hAnsi="宋体" w:cs="宋体"/>
                <w:color w:val="auto"/>
                <w:szCs w:val="21"/>
              </w:rPr>
            </w:pPr>
            <w:r>
              <w:rPr>
                <w:rFonts w:hint="eastAsia" w:ascii="宋体" w:hAnsi="宋体" w:cs="宋体"/>
                <w:color w:val="auto"/>
                <w:szCs w:val="21"/>
              </w:rPr>
              <w:t>1、自助终端操作页面显示内容支持语言切换，方便在校留学生使用</w:t>
            </w:r>
          </w:p>
          <w:p w14:paraId="220282FE">
            <w:pPr>
              <w:jc w:val="left"/>
              <w:rPr>
                <w:rFonts w:hint="eastAsia" w:ascii="宋体" w:hAnsi="宋体" w:cs="宋体"/>
                <w:color w:val="auto"/>
                <w:szCs w:val="21"/>
              </w:rPr>
            </w:pPr>
            <w:r>
              <w:rPr>
                <w:rFonts w:hint="eastAsia" w:ascii="宋体" w:hAnsi="宋体" w:cs="宋体"/>
                <w:color w:val="auto"/>
                <w:szCs w:val="21"/>
              </w:rPr>
              <w:t>2、支持自定义语言类型、显示内容可配置。</w:t>
            </w:r>
          </w:p>
          <w:p w14:paraId="2854EE11">
            <w:pPr>
              <w:jc w:val="left"/>
              <w:rPr>
                <w:rFonts w:hint="eastAsia" w:ascii="宋体" w:hAnsi="宋体" w:cs="宋体"/>
                <w:color w:val="auto"/>
                <w:szCs w:val="21"/>
              </w:rPr>
            </w:pPr>
            <w:r>
              <w:rPr>
                <w:rFonts w:hint="eastAsia" w:ascii="宋体" w:hAnsi="宋体" w:cs="宋体"/>
                <w:color w:val="auto"/>
                <w:szCs w:val="21"/>
              </w:rPr>
              <w:t>（七）自助终端操作步骤语音辅助</w:t>
            </w:r>
          </w:p>
          <w:p w14:paraId="592D24CA">
            <w:pPr>
              <w:jc w:val="left"/>
              <w:rPr>
                <w:rFonts w:hint="eastAsia" w:ascii="宋体" w:hAnsi="宋体" w:cs="宋体"/>
                <w:color w:val="auto"/>
                <w:szCs w:val="21"/>
              </w:rPr>
            </w:pPr>
            <w:r>
              <w:rPr>
                <w:rFonts w:hint="eastAsia" w:ascii="宋体" w:hAnsi="宋体" w:cs="宋体"/>
                <w:color w:val="auto"/>
                <w:szCs w:val="21"/>
              </w:rPr>
              <w:t>师生在操作系统过程中，支持自动通过语音方式提醒用户操作每一个步骤，完成操作后，可通过语音方式提醒师生注销退出系统、取卡和取走文件等事项。</w:t>
            </w:r>
          </w:p>
          <w:p w14:paraId="62B4E58B">
            <w:pPr>
              <w:jc w:val="left"/>
              <w:rPr>
                <w:rFonts w:hint="eastAsia" w:ascii="宋体" w:hAnsi="宋体" w:cs="宋体"/>
                <w:color w:val="auto"/>
                <w:szCs w:val="21"/>
              </w:rPr>
            </w:pPr>
            <w:r>
              <w:rPr>
                <w:rFonts w:hint="eastAsia" w:ascii="宋体" w:hAnsi="宋体" w:cs="宋体"/>
                <w:color w:val="auto"/>
                <w:szCs w:val="21"/>
              </w:rPr>
              <w:t>（八）自助终端智能监控</w:t>
            </w:r>
          </w:p>
          <w:p w14:paraId="6A99EF91">
            <w:pPr>
              <w:jc w:val="left"/>
              <w:rPr>
                <w:rFonts w:hint="eastAsia" w:ascii="宋体" w:hAnsi="宋体" w:cs="宋体"/>
                <w:color w:val="auto"/>
                <w:szCs w:val="21"/>
              </w:rPr>
            </w:pPr>
            <w:r>
              <w:rPr>
                <w:rFonts w:hint="eastAsia" w:ascii="宋体" w:hAnsi="宋体" w:cs="宋体"/>
                <w:color w:val="auto"/>
                <w:szCs w:val="21"/>
              </w:rPr>
              <w:t>1、自助报障：</w:t>
            </w:r>
          </w:p>
          <w:p w14:paraId="0A91E0D1">
            <w:pPr>
              <w:jc w:val="left"/>
              <w:rPr>
                <w:rFonts w:hint="eastAsia" w:ascii="宋体" w:hAnsi="宋体" w:cs="宋体"/>
                <w:color w:val="auto"/>
                <w:szCs w:val="21"/>
              </w:rPr>
            </w:pPr>
            <w:r>
              <w:rPr>
                <w:rFonts w:hint="eastAsia" w:ascii="宋体" w:hAnsi="宋体" w:cs="宋体"/>
                <w:color w:val="auto"/>
                <w:szCs w:val="21"/>
              </w:rPr>
              <w:t>（1）支持在自助终端打印操作过程中，遇到系统故障、支付故障、打印故障，自助终端自动保存异常日志并同步在操作页面显示异常提示信息，一键点击完成故障上报。</w:t>
            </w:r>
          </w:p>
          <w:p w14:paraId="75599E6C">
            <w:pPr>
              <w:jc w:val="left"/>
              <w:rPr>
                <w:rFonts w:hint="eastAsia" w:ascii="宋体" w:hAnsi="宋体" w:cs="宋体"/>
                <w:color w:val="auto"/>
                <w:szCs w:val="21"/>
              </w:rPr>
            </w:pPr>
            <w:r>
              <w:rPr>
                <w:rFonts w:hint="eastAsia" w:ascii="宋体" w:hAnsi="宋体" w:cs="宋体"/>
                <w:color w:val="auto"/>
                <w:szCs w:val="21"/>
              </w:rPr>
              <w:t>（2）支持后台管理端查看报障内容。</w:t>
            </w:r>
          </w:p>
          <w:p w14:paraId="0EE4385A">
            <w:pPr>
              <w:jc w:val="left"/>
              <w:rPr>
                <w:rFonts w:hint="eastAsia" w:ascii="宋体" w:hAnsi="宋体" w:cs="宋体"/>
                <w:color w:val="auto"/>
                <w:szCs w:val="21"/>
              </w:rPr>
            </w:pPr>
            <w:r>
              <w:rPr>
                <w:rFonts w:hint="eastAsia" w:ascii="宋体" w:hAnsi="宋体" w:cs="宋体"/>
                <w:color w:val="auto"/>
                <w:szCs w:val="21"/>
              </w:rPr>
              <w:t>（3）支持问题处理完成后可选择短信或邮件的方式通知报障人，系统自动触发提醒报障用户。（支持对接学校消息中心或短信平台）。</w:t>
            </w:r>
          </w:p>
          <w:p w14:paraId="55E1529C">
            <w:pPr>
              <w:jc w:val="left"/>
              <w:rPr>
                <w:rFonts w:hint="eastAsia" w:ascii="宋体" w:hAnsi="宋体" w:cs="宋体"/>
                <w:color w:val="auto"/>
                <w:szCs w:val="21"/>
              </w:rPr>
            </w:pPr>
            <w:r>
              <w:rPr>
                <w:rFonts w:hint="eastAsia" w:ascii="宋体" w:hAnsi="宋体" w:cs="宋体"/>
                <w:color w:val="auto"/>
                <w:szCs w:val="21"/>
              </w:rPr>
              <w:t xml:space="preserve">2、自助销假 </w:t>
            </w:r>
          </w:p>
          <w:p w14:paraId="0D84CD55">
            <w:pPr>
              <w:jc w:val="left"/>
              <w:rPr>
                <w:rFonts w:hint="eastAsia" w:ascii="宋体" w:hAnsi="宋体" w:cs="宋体"/>
                <w:color w:val="auto"/>
                <w:szCs w:val="21"/>
              </w:rPr>
            </w:pPr>
            <w:r>
              <w:rPr>
                <w:rFonts w:hint="eastAsia" w:ascii="宋体" w:hAnsi="宋体" w:cs="宋体"/>
                <w:color w:val="auto"/>
                <w:szCs w:val="21"/>
              </w:rPr>
              <w:t>▲可支持与学工系统对接，借助自助终端摆放在学校固定位置的物理特性，通过人脸识别方式完成人员身份认证，将数据同步至学工系统，完成自动销假。（为保障学生信息安全，所投产品需与采购人原有的学工系统实现对接（品牌金智，型号V4.0）。与学工系统对接集成所需费用均包含在报价中）</w:t>
            </w:r>
          </w:p>
          <w:p w14:paraId="0FDCF4A0">
            <w:pPr>
              <w:jc w:val="left"/>
              <w:rPr>
                <w:rFonts w:hint="eastAsia" w:ascii="宋体" w:hAnsi="宋体" w:cs="宋体"/>
                <w:color w:val="auto"/>
                <w:szCs w:val="21"/>
              </w:rPr>
            </w:pPr>
            <w:r>
              <w:rPr>
                <w:rFonts w:hint="eastAsia" w:ascii="宋体" w:hAnsi="宋体" w:cs="宋体"/>
                <w:color w:val="auto"/>
                <w:szCs w:val="21"/>
              </w:rPr>
              <w:t>3、自助终端监控预警：</w:t>
            </w:r>
          </w:p>
          <w:p w14:paraId="4F26378E">
            <w:pPr>
              <w:jc w:val="left"/>
              <w:rPr>
                <w:rFonts w:hint="eastAsia" w:ascii="宋体" w:hAnsi="宋体" w:cs="宋体"/>
                <w:color w:val="auto"/>
                <w:szCs w:val="21"/>
              </w:rPr>
            </w:pPr>
            <w:r>
              <w:rPr>
                <w:rFonts w:hint="eastAsia" w:ascii="宋体" w:hAnsi="宋体" w:cs="宋体"/>
                <w:color w:val="auto"/>
                <w:szCs w:val="21"/>
              </w:rPr>
              <w:t>（1）支持后台管理系统对自助终端运行情况7*24小时动态监控。</w:t>
            </w:r>
          </w:p>
          <w:p w14:paraId="27140079">
            <w:pPr>
              <w:jc w:val="left"/>
              <w:rPr>
                <w:rFonts w:hint="eastAsia" w:ascii="宋体" w:hAnsi="宋体" w:cs="宋体"/>
                <w:color w:val="auto"/>
                <w:szCs w:val="21"/>
              </w:rPr>
            </w:pPr>
            <w:r>
              <w:rPr>
                <w:rFonts w:hint="eastAsia" w:ascii="宋体" w:hAnsi="宋体" w:cs="宋体"/>
                <w:color w:val="auto"/>
                <w:szCs w:val="21"/>
              </w:rPr>
              <w:t>（2）支持对于主机故障，读卡器故障，打印机缺纸、缺墨、暂停、卡纸等异常情况，系统支持邮件或短信方式及时告知管理员；</w:t>
            </w:r>
          </w:p>
          <w:p w14:paraId="3EAFFE70">
            <w:pPr>
              <w:jc w:val="left"/>
              <w:rPr>
                <w:rFonts w:hint="eastAsia" w:ascii="宋体" w:hAnsi="宋体" w:cs="宋体"/>
                <w:color w:val="auto"/>
                <w:szCs w:val="21"/>
              </w:rPr>
            </w:pPr>
            <w:r>
              <w:rPr>
                <w:rFonts w:hint="eastAsia" w:ascii="宋体" w:hAnsi="宋体" w:cs="宋体"/>
                <w:color w:val="auto"/>
                <w:szCs w:val="21"/>
              </w:rPr>
              <w:t>（3）支持管理员在后台管理系统及移动端可实时查看到自助终端主机状态、读卡器状态、打印机状态。</w:t>
            </w:r>
          </w:p>
          <w:p w14:paraId="6D22CDC6">
            <w:pPr>
              <w:jc w:val="left"/>
              <w:rPr>
                <w:rFonts w:hint="eastAsia" w:ascii="宋体" w:hAnsi="宋体" w:cs="宋体"/>
                <w:color w:val="auto"/>
                <w:szCs w:val="21"/>
              </w:rPr>
            </w:pPr>
            <w:r>
              <w:rPr>
                <w:rFonts w:hint="eastAsia" w:ascii="宋体" w:hAnsi="宋体" w:cs="宋体"/>
                <w:color w:val="auto"/>
                <w:szCs w:val="21"/>
              </w:rPr>
              <w:t>（4）支持管理员在移动端即可完成终端程序的重启操作。</w:t>
            </w:r>
          </w:p>
          <w:p w14:paraId="54EA112F">
            <w:pPr>
              <w:jc w:val="left"/>
              <w:rPr>
                <w:rFonts w:hint="eastAsia" w:ascii="宋体" w:hAnsi="宋体" w:cs="宋体"/>
                <w:color w:val="auto"/>
                <w:szCs w:val="21"/>
              </w:rPr>
            </w:pPr>
            <w:r>
              <w:rPr>
                <w:rFonts w:hint="eastAsia" w:ascii="宋体" w:hAnsi="宋体" w:cs="宋体"/>
                <w:color w:val="auto"/>
                <w:szCs w:val="21"/>
              </w:rPr>
              <w:t>（5）支持终端程序自动录屏功能（录屏保存时间可自定义），记录具体终端操作情况。</w:t>
            </w:r>
          </w:p>
          <w:p w14:paraId="590E0007">
            <w:pPr>
              <w:jc w:val="left"/>
              <w:rPr>
                <w:rFonts w:hint="eastAsia" w:ascii="宋体" w:hAnsi="宋体" w:cs="宋体"/>
                <w:color w:val="auto"/>
                <w:szCs w:val="21"/>
              </w:rPr>
            </w:pPr>
            <w:r>
              <w:rPr>
                <w:rFonts w:hint="eastAsia" w:ascii="宋体" w:hAnsi="宋体" w:cs="宋体"/>
                <w:color w:val="auto"/>
                <w:szCs w:val="21"/>
              </w:rPr>
              <w:t>（6）支持当出现故障，可在后台管理端查看出现问题时的操作动作，方便问题回溯</w:t>
            </w:r>
          </w:p>
          <w:p w14:paraId="69A0F389">
            <w:pPr>
              <w:jc w:val="left"/>
              <w:rPr>
                <w:rFonts w:hint="eastAsia" w:ascii="宋体" w:hAnsi="宋体" w:cs="宋体"/>
                <w:color w:val="auto"/>
                <w:szCs w:val="21"/>
              </w:rPr>
            </w:pPr>
            <w:r>
              <w:rPr>
                <w:rFonts w:hint="eastAsia" w:ascii="宋体" w:hAnsi="宋体" w:cs="宋体"/>
                <w:color w:val="auto"/>
                <w:szCs w:val="21"/>
              </w:rPr>
              <w:t>（九）自助终端免钥匙维护：</w:t>
            </w:r>
          </w:p>
          <w:p w14:paraId="69B376FB">
            <w:pPr>
              <w:jc w:val="left"/>
              <w:rPr>
                <w:rFonts w:hint="eastAsia" w:ascii="宋体" w:hAnsi="宋体" w:cs="宋体"/>
                <w:color w:val="auto"/>
                <w:szCs w:val="21"/>
              </w:rPr>
            </w:pPr>
            <w:r>
              <w:rPr>
                <w:rFonts w:hint="eastAsia" w:ascii="宋体" w:hAnsi="宋体" w:cs="宋体"/>
                <w:color w:val="auto"/>
                <w:szCs w:val="21"/>
              </w:rPr>
              <w:t>1、支持日常自助终端添纸换墨，巡检等场景时，管理员不需要携带钥匙，通过提前在后台管理系统注册好的手机号码+验证码方式开锁。</w:t>
            </w:r>
          </w:p>
          <w:p w14:paraId="64E1A997">
            <w:pPr>
              <w:jc w:val="left"/>
              <w:rPr>
                <w:rFonts w:hint="eastAsia" w:ascii="宋体" w:hAnsi="宋体" w:cs="宋体"/>
                <w:color w:val="auto"/>
                <w:szCs w:val="21"/>
              </w:rPr>
            </w:pPr>
            <w:r>
              <w:rPr>
                <w:rFonts w:hint="eastAsia" w:ascii="宋体" w:hAnsi="宋体" w:cs="宋体"/>
                <w:color w:val="auto"/>
                <w:szCs w:val="21"/>
              </w:rPr>
              <w:t>2、支持在纸张维护后，后台自动更新纸张数量。</w:t>
            </w:r>
          </w:p>
          <w:p w14:paraId="52314B78">
            <w:pPr>
              <w:jc w:val="left"/>
              <w:rPr>
                <w:rFonts w:hint="eastAsia" w:ascii="宋体" w:hAnsi="宋体" w:cs="宋体"/>
                <w:color w:val="auto"/>
                <w:szCs w:val="21"/>
              </w:rPr>
            </w:pPr>
            <w:r>
              <w:rPr>
                <w:rFonts w:hint="eastAsia" w:ascii="宋体" w:hAnsi="宋体" w:cs="宋体"/>
                <w:color w:val="auto"/>
                <w:szCs w:val="21"/>
              </w:rPr>
              <w:t>3、支持后台管理系统或移动端，远程重启或关闭自助终端。</w:t>
            </w:r>
          </w:p>
          <w:p w14:paraId="77EB2929">
            <w:pPr>
              <w:jc w:val="left"/>
              <w:rPr>
                <w:rFonts w:hint="eastAsia" w:ascii="宋体" w:hAnsi="宋体" w:cs="宋体"/>
                <w:color w:val="auto"/>
                <w:szCs w:val="21"/>
              </w:rPr>
            </w:pPr>
            <w:r>
              <w:rPr>
                <w:rFonts w:hint="eastAsia" w:ascii="宋体" w:hAnsi="宋体" w:cs="宋体"/>
                <w:color w:val="auto"/>
                <w:szCs w:val="21"/>
              </w:rPr>
              <w:t>（十）自助终端节能控制</w:t>
            </w:r>
          </w:p>
          <w:p w14:paraId="3C28FA24">
            <w:pPr>
              <w:jc w:val="left"/>
              <w:rPr>
                <w:rFonts w:hint="eastAsia" w:ascii="宋体" w:hAnsi="宋体" w:cs="宋体"/>
                <w:color w:val="auto"/>
                <w:szCs w:val="21"/>
              </w:rPr>
            </w:pPr>
            <w:r>
              <w:rPr>
                <w:rFonts w:hint="eastAsia" w:ascii="宋体" w:hAnsi="宋体" w:cs="宋体"/>
                <w:color w:val="auto"/>
                <w:szCs w:val="21"/>
              </w:rPr>
              <w:t>自助终端配备红外感应器，当设备处于空闲时，自动关闭顶灯。当感应到进入操作范围时，开灯并播放操作引导语音。</w:t>
            </w:r>
          </w:p>
          <w:p w14:paraId="616FD9A2">
            <w:pPr>
              <w:jc w:val="left"/>
              <w:rPr>
                <w:rFonts w:hint="eastAsia" w:ascii="宋体" w:hAnsi="宋体" w:cs="宋体"/>
                <w:color w:val="auto"/>
                <w:szCs w:val="21"/>
              </w:rPr>
            </w:pPr>
            <w:r>
              <w:rPr>
                <w:rFonts w:hint="eastAsia" w:ascii="宋体" w:hAnsi="宋体" w:cs="宋体"/>
                <w:color w:val="auto"/>
                <w:szCs w:val="21"/>
              </w:rPr>
              <w:t>（十一）电子签章license</w:t>
            </w:r>
          </w:p>
          <w:p w14:paraId="7D9D1D9A">
            <w:pPr>
              <w:jc w:val="left"/>
              <w:rPr>
                <w:rFonts w:hint="eastAsia" w:ascii="宋体" w:hAnsi="宋体" w:cs="宋体"/>
                <w:color w:val="auto"/>
                <w:szCs w:val="21"/>
              </w:rPr>
            </w:pPr>
            <w:r>
              <w:rPr>
                <w:rFonts w:hint="eastAsia" w:ascii="宋体" w:hAnsi="宋体" w:cs="宋体"/>
                <w:color w:val="auto"/>
                <w:szCs w:val="21"/>
              </w:rPr>
              <w:t>1、提供电子签章制作、授权服务。</w:t>
            </w:r>
          </w:p>
          <w:p w14:paraId="5C10897D">
            <w:pPr>
              <w:jc w:val="left"/>
              <w:rPr>
                <w:rFonts w:hint="eastAsia" w:ascii="宋体" w:hAnsi="宋体" w:cs="宋体"/>
                <w:color w:val="auto"/>
                <w:szCs w:val="21"/>
              </w:rPr>
            </w:pPr>
            <w:r>
              <w:rPr>
                <w:rFonts w:hint="eastAsia" w:ascii="宋体" w:hAnsi="宋体" w:cs="宋体"/>
                <w:color w:val="auto"/>
                <w:szCs w:val="21"/>
              </w:rPr>
              <w:t>2、支持打印报表签章名称、位置设置管理服务</w:t>
            </w:r>
          </w:p>
          <w:p w14:paraId="6CE7DE63">
            <w:pPr>
              <w:jc w:val="left"/>
              <w:rPr>
                <w:rFonts w:hint="eastAsia" w:ascii="宋体" w:hAnsi="宋体" w:cs="宋体"/>
                <w:color w:val="auto"/>
                <w:szCs w:val="21"/>
              </w:rPr>
            </w:pPr>
            <w:r>
              <w:rPr>
                <w:rFonts w:hint="eastAsia" w:ascii="宋体" w:hAnsi="宋体" w:cs="宋体"/>
                <w:color w:val="auto"/>
                <w:szCs w:val="21"/>
              </w:rPr>
              <w:t>3、支持每张报表自定义使用电子签章，一张证明文件支持多个电子签章；</w:t>
            </w:r>
          </w:p>
          <w:p w14:paraId="6D8F6382">
            <w:pPr>
              <w:jc w:val="left"/>
              <w:rPr>
                <w:rFonts w:hint="eastAsia" w:ascii="宋体" w:hAnsi="宋体" w:cs="宋体"/>
                <w:color w:val="auto"/>
                <w:szCs w:val="21"/>
              </w:rPr>
            </w:pPr>
            <w:r>
              <w:rPr>
                <w:rFonts w:hint="eastAsia" w:ascii="宋体" w:hAnsi="宋体" w:cs="宋体"/>
                <w:color w:val="auto"/>
                <w:szCs w:val="21"/>
              </w:rPr>
              <w:t>4、可以设置签章位置，支持预览操作；</w:t>
            </w:r>
          </w:p>
          <w:p w14:paraId="34B5A83E">
            <w:pPr>
              <w:jc w:val="left"/>
              <w:rPr>
                <w:rFonts w:hint="eastAsia" w:ascii="宋体" w:hAnsi="宋体" w:cs="宋体"/>
                <w:color w:val="auto"/>
                <w:szCs w:val="21"/>
              </w:rPr>
            </w:pPr>
            <w:r>
              <w:rPr>
                <w:rFonts w:hint="eastAsia" w:ascii="宋体" w:hAnsi="宋体" w:cs="宋体"/>
                <w:color w:val="auto"/>
                <w:szCs w:val="21"/>
              </w:rPr>
              <w:t>5、支持在后台管理端设置证明文件与电子签章绑定后，用户可以在自助打印终端直接完成报表的打印工作，系统可根据设置边距和电子签章文件名称，打印出报表和电子签章。</w:t>
            </w:r>
          </w:p>
          <w:p w14:paraId="5396992E">
            <w:pPr>
              <w:jc w:val="left"/>
              <w:rPr>
                <w:rFonts w:hint="eastAsia" w:ascii="宋体" w:hAnsi="宋体" w:cs="宋体"/>
                <w:color w:val="auto"/>
                <w:szCs w:val="21"/>
              </w:rPr>
            </w:pPr>
            <w:r>
              <w:rPr>
                <w:rFonts w:hint="eastAsia" w:ascii="宋体" w:hAnsi="宋体" w:cs="宋体"/>
                <w:color w:val="auto"/>
                <w:szCs w:val="21"/>
              </w:rPr>
              <w:t>（十二）证明文件数据集成</w:t>
            </w:r>
          </w:p>
          <w:p w14:paraId="068BD71B">
            <w:pPr>
              <w:jc w:val="left"/>
              <w:rPr>
                <w:rFonts w:hint="eastAsia" w:ascii="宋体" w:hAnsi="宋体" w:cs="宋体"/>
                <w:color w:val="auto"/>
                <w:szCs w:val="21"/>
              </w:rPr>
            </w:pPr>
            <w:r>
              <w:rPr>
                <w:rFonts w:hint="eastAsia" w:ascii="宋体" w:hAnsi="宋体" w:cs="宋体"/>
                <w:color w:val="auto"/>
                <w:szCs w:val="21"/>
              </w:rPr>
              <w:t>1、界面化数据集成配置</w:t>
            </w:r>
          </w:p>
          <w:p w14:paraId="0E08FF86">
            <w:pPr>
              <w:jc w:val="left"/>
              <w:rPr>
                <w:rFonts w:hint="eastAsia" w:ascii="宋体" w:hAnsi="宋体" w:cs="宋体"/>
                <w:color w:val="auto"/>
                <w:szCs w:val="21"/>
              </w:rPr>
            </w:pPr>
            <w:r>
              <w:rPr>
                <w:rFonts w:hint="eastAsia" w:ascii="宋体" w:hAnsi="宋体" w:cs="宋体"/>
                <w:color w:val="auto"/>
                <w:szCs w:val="21"/>
              </w:rPr>
              <w:t>利用开源数据集成工具kettle进行数据集成工作，能够完成点对点的数据同步关系，实现从源数据到自助服务系统数据同步关系，主要达到以下功能：</w:t>
            </w:r>
          </w:p>
          <w:p w14:paraId="410A4554">
            <w:pPr>
              <w:jc w:val="left"/>
              <w:rPr>
                <w:rFonts w:hint="eastAsia" w:ascii="宋体" w:hAnsi="宋体" w:cs="宋体"/>
                <w:color w:val="auto"/>
                <w:szCs w:val="21"/>
              </w:rPr>
            </w:pPr>
            <w:r>
              <w:rPr>
                <w:rFonts w:hint="eastAsia" w:ascii="宋体" w:hAnsi="宋体" w:cs="宋体"/>
                <w:color w:val="auto"/>
                <w:szCs w:val="21"/>
              </w:rPr>
              <w:t>（1）主要面向实施人员，能够方便配置数据对应关系；</w:t>
            </w:r>
          </w:p>
          <w:p w14:paraId="3783BBF1">
            <w:pPr>
              <w:jc w:val="left"/>
              <w:rPr>
                <w:rFonts w:hint="eastAsia" w:ascii="宋体" w:hAnsi="宋体" w:cs="宋体"/>
                <w:color w:val="auto"/>
                <w:szCs w:val="21"/>
              </w:rPr>
            </w:pPr>
            <w:r>
              <w:rPr>
                <w:rFonts w:hint="eastAsia" w:ascii="宋体" w:hAnsi="宋体" w:cs="宋体"/>
                <w:color w:val="auto"/>
                <w:szCs w:val="21"/>
              </w:rPr>
              <w:t>（2）需要支持多业务库数源；</w:t>
            </w:r>
          </w:p>
          <w:p w14:paraId="2A123506">
            <w:pPr>
              <w:jc w:val="left"/>
              <w:rPr>
                <w:rFonts w:hint="eastAsia" w:ascii="宋体" w:hAnsi="宋体" w:cs="宋体"/>
                <w:color w:val="auto"/>
                <w:szCs w:val="21"/>
              </w:rPr>
            </w:pPr>
            <w:r>
              <w:rPr>
                <w:rFonts w:hint="eastAsia" w:ascii="宋体" w:hAnsi="宋体" w:cs="宋体"/>
                <w:color w:val="auto"/>
                <w:szCs w:val="21"/>
              </w:rPr>
              <w:t>（3）实现数据同步策略配置；</w:t>
            </w:r>
          </w:p>
          <w:p w14:paraId="1D6F885A">
            <w:pPr>
              <w:jc w:val="left"/>
              <w:rPr>
                <w:rFonts w:hint="eastAsia" w:ascii="宋体" w:hAnsi="宋体" w:cs="宋体"/>
                <w:color w:val="auto"/>
                <w:szCs w:val="21"/>
              </w:rPr>
            </w:pPr>
            <w:r>
              <w:rPr>
                <w:rFonts w:hint="eastAsia" w:ascii="宋体" w:hAnsi="宋体" w:cs="宋体"/>
                <w:color w:val="auto"/>
                <w:szCs w:val="21"/>
              </w:rPr>
              <w:t>（4）能够提供接口，可实时按用户和对象进行数据调度</w:t>
            </w:r>
          </w:p>
          <w:p w14:paraId="62DD6C25">
            <w:pPr>
              <w:jc w:val="left"/>
              <w:rPr>
                <w:rFonts w:hint="eastAsia" w:ascii="宋体" w:hAnsi="宋体" w:cs="宋体"/>
                <w:color w:val="auto"/>
                <w:szCs w:val="21"/>
              </w:rPr>
            </w:pPr>
            <w:r>
              <w:rPr>
                <w:rFonts w:hint="eastAsia" w:ascii="宋体" w:hAnsi="宋体" w:cs="宋体"/>
                <w:color w:val="auto"/>
                <w:szCs w:val="21"/>
              </w:rPr>
              <w:t>▲（5）集成方案管理，能够根据打印项目需要自定义数据同步策略。</w:t>
            </w:r>
          </w:p>
          <w:p w14:paraId="052C8BDD">
            <w:pPr>
              <w:jc w:val="left"/>
              <w:rPr>
                <w:rFonts w:hint="eastAsia" w:ascii="宋体" w:hAnsi="宋体" w:cs="宋体"/>
                <w:color w:val="auto"/>
                <w:szCs w:val="21"/>
              </w:rPr>
            </w:pPr>
            <w:r>
              <w:rPr>
                <w:rFonts w:hint="eastAsia" w:ascii="宋体" w:hAnsi="宋体" w:cs="宋体"/>
                <w:color w:val="auto"/>
                <w:szCs w:val="21"/>
              </w:rPr>
              <w:t>2、前置表单</w:t>
            </w:r>
          </w:p>
          <w:p w14:paraId="75873BD1">
            <w:pPr>
              <w:jc w:val="left"/>
              <w:rPr>
                <w:rFonts w:hint="eastAsia" w:ascii="宋体" w:hAnsi="宋体" w:cs="宋体"/>
                <w:color w:val="auto"/>
                <w:szCs w:val="21"/>
              </w:rPr>
            </w:pPr>
            <w:r>
              <w:rPr>
                <w:rFonts w:hint="eastAsia" w:ascii="宋体" w:hAnsi="宋体" w:cs="宋体"/>
                <w:color w:val="auto"/>
                <w:szCs w:val="21"/>
              </w:rPr>
              <w:t>（1）支持文件pdf上传、数据报表、第三方报表</w:t>
            </w:r>
          </w:p>
          <w:p w14:paraId="4706E748">
            <w:pPr>
              <w:jc w:val="left"/>
              <w:rPr>
                <w:rFonts w:hint="eastAsia" w:ascii="宋体" w:hAnsi="宋体" w:cs="宋体"/>
                <w:color w:val="auto"/>
                <w:szCs w:val="21"/>
              </w:rPr>
            </w:pPr>
            <w:r>
              <w:rPr>
                <w:rFonts w:hint="eastAsia" w:ascii="宋体" w:hAnsi="宋体" w:cs="宋体"/>
                <w:color w:val="auto"/>
                <w:szCs w:val="21"/>
              </w:rPr>
              <w:t>（2）在报表生成之前，设置查询或者输入条件，动态生成报表。前置条件支持日期、单选、多选，例如求职时，成绩单打印之前支持选择必修/选修，是否补考等完成报表数据动态生成；</w:t>
            </w:r>
          </w:p>
          <w:p w14:paraId="109C22A5">
            <w:pPr>
              <w:jc w:val="left"/>
              <w:rPr>
                <w:rFonts w:hint="eastAsia" w:ascii="宋体" w:hAnsi="宋体" w:cs="宋体"/>
                <w:color w:val="auto"/>
                <w:szCs w:val="21"/>
              </w:rPr>
            </w:pPr>
            <w:r>
              <w:rPr>
                <w:rFonts w:hint="eastAsia" w:ascii="宋体" w:hAnsi="宋体" w:cs="宋体"/>
                <w:color w:val="auto"/>
                <w:szCs w:val="21"/>
              </w:rPr>
              <w:t>（3）打印收费规则自定义：支持页面化配置收费时间区间，例如每自然年、每学年、每学期、每月等等。</w:t>
            </w:r>
          </w:p>
          <w:p w14:paraId="5DB29B58">
            <w:pPr>
              <w:jc w:val="left"/>
              <w:rPr>
                <w:rFonts w:hint="eastAsia" w:ascii="宋体" w:hAnsi="宋体" w:cs="宋体"/>
                <w:color w:val="auto"/>
                <w:szCs w:val="21"/>
              </w:rPr>
            </w:pPr>
            <w:r>
              <w:rPr>
                <w:rFonts w:hint="eastAsia" w:ascii="宋体" w:hAnsi="宋体" w:cs="宋体"/>
                <w:color w:val="auto"/>
                <w:szCs w:val="21"/>
              </w:rPr>
              <w:t>（4）支持打印完成后第三系统通知。对于一些敏感数据，例如财务类数据，在打印完成后，通知到第三方系统</w:t>
            </w:r>
          </w:p>
          <w:p w14:paraId="21E733CB">
            <w:pPr>
              <w:jc w:val="left"/>
              <w:rPr>
                <w:rFonts w:hint="eastAsia" w:ascii="宋体" w:hAnsi="宋体" w:cs="宋体"/>
                <w:color w:val="auto"/>
                <w:szCs w:val="21"/>
              </w:rPr>
            </w:pPr>
            <w:r>
              <w:rPr>
                <w:rFonts w:hint="eastAsia" w:ascii="宋体" w:hAnsi="宋体" w:cs="宋体"/>
                <w:color w:val="auto"/>
                <w:szCs w:val="21"/>
              </w:rPr>
              <w:t>（十四）开放接口能力</w:t>
            </w:r>
          </w:p>
          <w:p w14:paraId="69CC758C">
            <w:pPr>
              <w:jc w:val="left"/>
              <w:rPr>
                <w:rFonts w:hint="eastAsia" w:ascii="宋体" w:hAnsi="宋体" w:cs="宋体"/>
                <w:color w:val="auto"/>
                <w:szCs w:val="21"/>
              </w:rPr>
            </w:pPr>
            <w:r>
              <w:rPr>
                <w:rFonts w:hint="eastAsia" w:ascii="宋体" w:hAnsi="宋体" w:cs="宋体"/>
                <w:color w:val="auto"/>
                <w:szCs w:val="21"/>
              </w:rPr>
              <w:t>系统本身完成各个部件接口集成同时支持学校利用设备能力完成更多自助服务的开发，并利用系统集成能力在终端机器上运行；所有接口需实现遵循RESTful规范，方便与第三方系统对接。主要接口能力应包含：证明性材料、打印接口、支付类接口、身份证读卡接口、人脸识别接口等。</w:t>
            </w:r>
          </w:p>
          <w:p w14:paraId="36B23528">
            <w:pPr>
              <w:jc w:val="left"/>
              <w:rPr>
                <w:rFonts w:hint="eastAsia" w:ascii="宋体" w:hAnsi="宋体" w:cs="宋体"/>
                <w:color w:val="auto"/>
                <w:szCs w:val="21"/>
              </w:rPr>
            </w:pPr>
            <w:r>
              <w:rPr>
                <w:rFonts w:hint="eastAsia" w:ascii="宋体" w:hAnsi="宋体" w:cs="宋体"/>
                <w:color w:val="auto"/>
                <w:szCs w:val="21"/>
              </w:rPr>
              <w:t>1、证明性材料第三方集成服务</w:t>
            </w:r>
          </w:p>
          <w:p w14:paraId="63BCAE0E">
            <w:pPr>
              <w:jc w:val="left"/>
              <w:rPr>
                <w:rFonts w:hint="eastAsia" w:ascii="宋体" w:hAnsi="宋体" w:cs="宋体"/>
                <w:color w:val="auto"/>
                <w:szCs w:val="21"/>
              </w:rPr>
            </w:pPr>
            <w:r>
              <w:rPr>
                <w:rFonts w:hint="eastAsia" w:ascii="宋体" w:hAnsi="宋体" w:cs="宋体"/>
                <w:color w:val="auto"/>
                <w:szCs w:val="21"/>
              </w:rPr>
              <w:t>提供第三方厂商报表集成调用接口，例如PDF技术要求、加解密算法规则、示例代码等材料，支持第三方厂商快速完成在自助系统打印项目集成。</w:t>
            </w:r>
          </w:p>
          <w:p w14:paraId="446CE2BF">
            <w:pPr>
              <w:jc w:val="left"/>
              <w:rPr>
                <w:rFonts w:hint="eastAsia" w:ascii="宋体" w:hAnsi="宋体" w:cs="宋体"/>
                <w:color w:val="auto"/>
                <w:szCs w:val="21"/>
              </w:rPr>
            </w:pPr>
            <w:r>
              <w:rPr>
                <w:rFonts w:hint="eastAsia" w:ascii="宋体" w:hAnsi="宋体" w:cs="宋体"/>
                <w:color w:val="auto"/>
                <w:szCs w:val="21"/>
              </w:rPr>
              <w:t>根据学校实际证明的使用场景需要，协助证明文件输出单位，提供证明文件需求调研，包括提供通用证明文件模板库，个性化证明样式设计；提供证明文件内容生成个性化集成定制，包括系统内嵌kettle数据抽取工具或根据学校数据存储规则定制数据集成方案；提供证明文件上线使用必要的部署、授权、防伪设置，集成调测服务。</w:t>
            </w:r>
          </w:p>
          <w:p w14:paraId="3471A735">
            <w:pPr>
              <w:jc w:val="left"/>
              <w:rPr>
                <w:rFonts w:hint="eastAsia" w:ascii="宋体" w:hAnsi="宋体" w:cs="宋体"/>
                <w:color w:val="auto"/>
                <w:szCs w:val="21"/>
              </w:rPr>
            </w:pPr>
            <w:r>
              <w:rPr>
                <w:rFonts w:hint="eastAsia" w:ascii="宋体" w:hAnsi="宋体" w:cs="宋体"/>
                <w:color w:val="auto"/>
                <w:szCs w:val="21"/>
              </w:rPr>
              <w:t>2、打印接口</w:t>
            </w:r>
          </w:p>
          <w:p w14:paraId="5F9B2C7A">
            <w:pPr>
              <w:jc w:val="left"/>
              <w:rPr>
                <w:rFonts w:hint="eastAsia" w:ascii="宋体" w:hAnsi="宋体" w:cs="宋体"/>
                <w:color w:val="auto"/>
                <w:szCs w:val="21"/>
              </w:rPr>
            </w:pPr>
            <w:r>
              <w:rPr>
                <w:rFonts w:hint="eastAsia" w:ascii="宋体" w:hAnsi="宋体" w:cs="宋体"/>
                <w:color w:val="auto"/>
                <w:szCs w:val="21"/>
              </w:rPr>
              <w:t>系统支持与业务系统集成，可将业务系统已有报表通过接口推送到自助服务，由自助服务完成提醒及后续打印操作。亦可数据集成（视图，ODI等）方式同步读取系统中的学生成绩、学籍等信息，根据学校要求，定制开发报表格式；</w:t>
            </w:r>
          </w:p>
          <w:p w14:paraId="19E4F4AD">
            <w:pPr>
              <w:jc w:val="left"/>
              <w:rPr>
                <w:rFonts w:hint="eastAsia" w:ascii="宋体" w:hAnsi="宋体" w:cs="宋体"/>
                <w:color w:val="auto"/>
                <w:szCs w:val="21"/>
              </w:rPr>
            </w:pPr>
            <w:r>
              <w:rPr>
                <w:rFonts w:hint="eastAsia" w:ascii="宋体" w:hAnsi="宋体" w:cs="宋体"/>
                <w:color w:val="auto"/>
                <w:szCs w:val="21"/>
              </w:rPr>
              <w:t>3、身份证读卡接口</w:t>
            </w:r>
          </w:p>
          <w:p w14:paraId="2BAEDD3D">
            <w:pPr>
              <w:jc w:val="left"/>
              <w:rPr>
                <w:rFonts w:hint="eastAsia" w:ascii="宋体" w:hAnsi="宋体" w:cs="宋体"/>
                <w:color w:val="auto"/>
                <w:szCs w:val="21"/>
              </w:rPr>
            </w:pPr>
            <w:r>
              <w:rPr>
                <w:rFonts w:hint="eastAsia" w:ascii="宋体" w:hAnsi="宋体" w:cs="宋体"/>
                <w:color w:val="auto"/>
                <w:szCs w:val="21"/>
              </w:rPr>
              <w:t>提供身份证读卡接口，读取身份证信息，包括姓名、身份证号、家庭住址、国籍、民族等信息供第三方系统调用</w:t>
            </w:r>
          </w:p>
          <w:p w14:paraId="6C5339E8">
            <w:pPr>
              <w:jc w:val="left"/>
              <w:rPr>
                <w:rFonts w:hint="eastAsia" w:ascii="宋体" w:hAnsi="宋体" w:cs="宋体"/>
                <w:color w:val="auto"/>
                <w:szCs w:val="21"/>
              </w:rPr>
            </w:pPr>
            <w:r>
              <w:rPr>
                <w:rFonts w:hint="eastAsia" w:ascii="宋体" w:hAnsi="宋体" w:cs="宋体"/>
                <w:color w:val="auto"/>
                <w:szCs w:val="21"/>
              </w:rPr>
              <w:t>4、人脸识别接口（需人脸识别license）</w:t>
            </w:r>
          </w:p>
          <w:p w14:paraId="25C9469F">
            <w:pPr>
              <w:jc w:val="left"/>
              <w:rPr>
                <w:rFonts w:hint="eastAsia" w:ascii="宋体" w:hAnsi="宋体" w:cs="宋体"/>
                <w:color w:val="auto"/>
                <w:szCs w:val="21"/>
              </w:rPr>
            </w:pPr>
            <w:r>
              <w:rPr>
                <w:rFonts w:hint="eastAsia" w:ascii="宋体" w:hAnsi="宋体" w:cs="宋体"/>
                <w:color w:val="auto"/>
                <w:szCs w:val="21"/>
              </w:rPr>
              <w:t>提供人脸识别接口，支持：</w:t>
            </w:r>
          </w:p>
          <w:p w14:paraId="4FE5125A">
            <w:pPr>
              <w:jc w:val="left"/>
              <w:rPr>
                <w:rFonts w:hint="eastAsia" w:ascii="宋体" w:hAnsi="宋体" w:cs="宋体"/>
                <w:color w:val="auto"/>
                <w:szCs w:val="21"/>
              </w:rPr>
            </w:pPr>
            <w:r>
              <w:rPr>
                <w:rFonts w:hint="eastAsia" w:ascii="宋体" w:hAnsi="宋体" w:cs="宋体"/>
                <w:color w:val="auto"/>
                <w:szCs w:val="21"/>
              </w:rPr>
              <w:t>（1）完成验证镜头前的人和身份证上是否同一个人</w:t>
            </w:r>
          </w:p>
          <w:p w14:paraId="1C6C2C28">
            <w:pPr>
              <w:jc w:val="left"/>
              <w:rPr>
                <w:rFonts w:hint="eastAsia" w:ascii="宋体" w:hAnsi="宋体" w:cs="宋体"/>
                <w:color w:val="auto"/>
                <w:szCs w:val="21"/>
              </w:rPr>
            </w:pPr>
            <w:r>
              <w:rPr>
                <w:rFonts w:hint="eastAsia" w:ascii="宋体" w:hAnsi="宋体" w:cs="宋体"/>
                <w:color w:val="auto"/>
                <w:szCs w:val="21"/>
              </w:rPr>
              <w:t>（2）验证镜头前的人和源图片是否同一个人</w:t>
            </w:r>
          </w:p>
          <w:p w14:paraId="76BFBEF6">
            <w:pPr>
              <w:jc w:val="left"/>
              <w:rPr>
                <w:rFonts w:hint="eastAsia" w:ascii="宋体" w:hAnsi="宋体" w:cs="宋体"/>
                <w:color w:val="auto"/>
                <w:szCs w:val="21"/>
              </w:rPr>
            </w:pPr>
            <w:r>
              <w:rPr>
                <w:rFonts w:hint="eastAsia" w:ascii="宋体" w:hAnsi="宋体" w:cs="宋体"/>
                <w:color w:val="auto"/>
                <w:szCs w:val="21"/>
              </w:rPr>
              <w:t xml:space="preserve">比对两张给定的图片是否属于同一个人 </w:t>
            </w:r>
          </w:p>
          <w:p w14:paraId="03837546">
            <w:pPr>
              <w:jc w:val="left"/>
              <w:rPr>
                <w:rFonts w:hint="eastAsia" w:ascii="宋体" w:hAnsi="宋体" w:cs="宋体"/>
                <w:color w:val="auto"/>
                <w:szCs w:val="21"/>
              </w:rPr>
            </w:pPr>
            <w:r>
              <w:rPr>
                <w:rFonts w:hint="eastAsia" w:ascii="宋体" w:hAnsi="宋体" w:cs="宋体"/>
                <w:color w:val="auto"/>
                <w:szCs w:val="21"/>
              </w:rPr>
              <w:t>（十五）自助服务终端集成开发要求</w:t>
            </w:r>
          </w:p>
          <w:p w14:paraId="797BE0AB">
            <w:pPr>
              <w:jc w:val="left"/>
              <w:rPr>
                <w:rFonts w:hint="eastAsia" w:ascii="宋体" w:hAnsi="宋体" w:cs="宋体"/>
                <w:color w:val="auto"/>
                <w:szCs w:val="21"/>
              </w:rPr>
            </w:pPr>
            <w:r>
              <w:rPr>
                <w:rFonts w:hint="eastAsia" w:ascii="宋体" w:hAnsi="宋体" w:cs="宋体"/>
                <w:color w:val="auto"/>
                <w:szCs w:val="21"/>
              </w:rPr>
              <w:t>1、为确保自助终端在迭代升级中能够自动化，需随设备交付自动化部署工具，支持通过自动化工具连接服务端查询已绑定自助终端，自动下载并初始化终端程序。</w:t>
            </w:r>
          </w:p>
          <w:p w14:paraId="00049F64">
            <w:pPr>
              <w:jc w:val="left"/>
              <w:rPr>
                <w:rFonts w:hint="eastAsia" w:ascii="宋体" w:hAnsi="宋体" w:cs="宋体"/>
                <w:color w:val="auto"/>
                <w:szCs w:val="21"/>
              </w:rPr>
            </w:pPr>
            <w:r>
              <w:rPr>
                <w:rFonts w:hint="eastAsia" w:ascii="宋体" w:hAnsi="宋体" w:cs="宋体"/>
                <w:color w:val="auto"/>
                <w:szCs w:val="21"/>
              </w:rPr>
              <w:t>2、要求当终端出现硬件故障恢复正常后，能够通过设备编号完成自动化部署。</w:t>
            </w:r>
          </w:p>
          <w:p w14:paraId="68AB48A4">
            <w:pPr>
              <w:jc w:val="left"/>
              <w:rPr>
                <w:rFonts w:hint="eastAsia" w:ascii="宋体" w:hAnsi="宋体" w:cs="宋体"/>
                <w:color w:val="auto"/>
                <w:szCs w:val="21"/>
              </w:rPr>
            </w:pPr>
            <w:r>
              <w:rPr>
                <w:rFonts w:hint="eastAsia" w:ascii="宋体" w:hAnsi="宋体" w:cs="宋体"/>
                <w:color w:val="auto"/>
                <w:szCs w:val="21"/>
              </w:rPr>
              <w:t>3、要求自动化工具支持自动删除或安装打印机驱动。</w:t>
            </w:r>
          </w:p>
          <w:p w14:paraId="7E617C6A">
            <w:pPr>
              <w:jc w:val="left"/>
              <w:rPr>
                <w:rFonts w:hint="eastAsia" w:ascii="宋体" w:hAnsi="宋体" w:cs="宋体"/>
                <w:color w:val="auto"/>
                <w:szCs w:val="21"/>
              </w:rPr>
            </w:pPr>
            <w:r>
              <w:rPr>
                <w:rFonts w:hint="eastAsia" w:ascii="宋体" w:hAnsi="宋体" w:cs="宋体"/>
                <w:color w:val="auto"/>
                <w:szCs w:val="21"/>
              </w:rPr>
              <w:t>4、要求自动化工具自带终端程序运行资源包。</w:t>
            </w:r>
          </w:p>
          <w:p w14:paraId="01259E22">
            <w:pPr>
              <w:jc w:val="left"/>
              <w:rPr>
                <w:rFonts w:hint="eastAsia" w:ascii="宋体" w:hAnsi="宋体" w:cs="宋体"/>
                <w:color w:val="auto"/>
                <w:szCs w:val="21"/>
              </w:rPr>
            </w:pPr>
            <w:r>
              <w:rPr>
                <w:rFonts w:hint="eastAsia" w:ascii="宋体" w:hAnsi="宋体" w:cs="宋体"/>
                <w:color w:val="auto"/>
                <w:szCs w:val="21"/>
              </w:rPr>
              <w:t>5、要求通过只升级后台服务端程序即可实现自动化完成自助终端程序升级，自助终端程序升级可指定时间。</w:t>
            </w:r>
          </w:p>
          <w:p w14:paraId="40EF3116">
            <w:pPr>
              <w:jc w:val="left"/>
              <w:rPr>
                <w:rFonts w:hint="eastAsia" w:ascii="宋体" w:hAnsi="宋体" w:cs="宋体"/>
                <w:color w:val="auto"/>
                <w:szCs w:val="21"/>
              </w:rPr>
            </w:pPr>
            <w:r>
              <w:rPr>
                <w:rFonts w:hint="eastAsia" w:ascii="宋体" w:hAnsi="宋体" w:cs="宋体"/>
                <w:color w:val="auto"/>
                <w:szCs w:val="21"/>
              </w:rPr>
              <w:t>6、为保障机柜美观、安全同时也为后续维护方便，整体机柜只需后门为钥匙开启，前门为内置电磁门锁，电磁门锁开启方式为远程、手机号+验证，程序控制。</w:t>
            </w:r>
          </w:p>
          <w:p w14:paraId="61FCAB4D">
            <w:pPr>
              <w:jc w:val="left"/>
              <w:rPr>
                <w:rFonts w:hint="eastAsia" w:ascii="宋体" w:hAnsi="宋体" w:cs="宋体"/>
                <w:color w:val="auto"/>
                <w:szCs w:val="21"/>
              </w:rPr>
            </w:pPr>
            <w:r>
              <w:rPr>
                <w:rFonts w:hint="eastAsia" w:ascii="宋体" w:hAnsi="宋体" w:cs="宋体"/>
                <w:color w:val="auto"/>
                <w:szCs w:val="21"/>
              </w:rPr>
              <w:t>7、为保障设备长期使用稳定，易维护，供应商应标设备不得带有任何形式的电动出纸机构。</w:t>
            </w:r>
          </w:p>
          <w:p w14:paraId="64B0BF4C">
            <w:pPr>
              <w:jc w:val="left"/>
              <w:rPr>
                <w:rFonts w:hint="eastAsia" w:ascii="宋体" w:hAnsi="宋体" w:cs="宋体"/>
                <w:color w:val="auto"/>
                <w:szCs w:val="21"/>
              </w:rPr>
            </w:pPr>
            <w:r>
              <w:rPr>
                <w:rFonts w:hint="eastAsia" w:ascii="宋体" w:hAnsi="宋体" w:cs="宋体"/>
                <w:color w:val="auto"/>
                <w:szCs w:val="21"/>
              </w:rPr>
              <w:t>▲（十六）业务系统集成要求</w:t>
            </w:r>
          </w:p>
          <w:p w14:paraId="721E112E">
            <w:pPr>
              <w:jc w:val="left"/>
              <w:rPr>
                <w:rFonts w:hint="eastAsia" w:ascii="宋体" w:hAnsi="宋体" w:cs="宋体"/>
                <w:color w:val="auto"/>
                <w:szCs w:val="21"/>
              </w:rPr>
            </w:pPr>
            <w:r>
              <w:rPr>
                <w:rFonts w:hint="eastAsia" w:ascii="宋体" w:hAnsi="宋体" w:cs="宋体"/>
                <w:color w:val="auto"/>
                <w:szCs w:val="21"/>
              </w:rPr>
              <w:t>与学校学工系统、线上一站式平台、教务系统打通，通过与业务系统打通，完成数据或文件同步，实现证明文件（带章）自助打印。具体集成说明如下：</w:t>
            </w:r>
          </w:p>
          <w:p w14:paraId="4B79E099">
            <w:pPr>
              <w:jc w:val="left"/>
              <w:rPr>
                <w:rFonts w:hint="eastAsia" w:ascii="宋体" w:hAnsi="宋体" w:cs="宋体"/>
                <w:color w:val="auto"/>
                <w:szCs w:val="21"/>
              </w:rPr>
            </w:pPr>
            <w:r>
              <w:rPr>
                <w:rFonts w:hint="eastAsia" w:ascii="宋体" w:hAnsi="宋体" w:cs="宋体"/>
                <w:color w:val="auto"/>
                <w:szCs w:val="21"/>
              </w:rPr>
              <w:t>显示：公众号、企业号、第三方APP、PC端，自助终端</w:t>
            </w:r>
          </w:p>
          <w:p w14:paraId="71B11F17">
            <w:pPr>
              <w:jc w:val="left"/>
              <w:rPr>
                <w:rFonts w:hint="eastAsia" w:ascii="宋体" w:hAnsi="宋体" w:cs="宋体"/>
                <w:color w:val="auto"/>
                <w:szCs w:val="21"/>
              </w:rPr>
            </w:pPr>
            <w:r>
              <w:rPr>
                <w:rFonts w:hint="eastAsia" w:ascii="宋体" w:hAnsi="宋体" w:cs="宋体"/>
                <w:color w:val="auto"/>
                <w:szCs w:val="21"/>
              </w:rPr>
              <w:t>认证：统一认证</w:t>
            </w:r>
          </w:p>
          <w:p w14:paraId="0561D7D5">
            <w:pPr>
              <w:jc w:val="left"/>
              <w:rPr>
                <w:rFonts w:hint="eastAsia" w:ascii="宋体" w:hAnsi="宋体" w:cs="宋体"/>
                <w:color w:val="auto"/>
                <w:szCs w:val="21"/>
              </w:rPr>
            </w:pPr>
            <w:r>
              <w:rPr>
                <w:rFonts w:hint="eastAsia" w:ascii="宋体" w:hAnsi="宋体" w:cs="宋体"/>
                <w:color w:val="auto"/>
                <w:szCs w:val="21"/>
              </w:rPr>
              <w:t>证明文件：数据集成方式、接口调用方式</w:t>
            </w:r>
          </w:p>
          <w:p w14:paraId="328F52C1">
            <w:pPr>
              <w:jc w:val="left"/>
              <w:rPr>
                <w:rFonts w:hint="eastAsia" w:ascii="宋体" w:hAnsi="宋体" w:cs="宋体"/>
                <w:color w:val="auto"/>
                <w:szCs w:val="21"/>
              </w:rPr>
            </w:pPr>
            <w:r>
              <w:rPr>
                <w:rFonts w:hint="eastAsia" w:ascii="宋体" w:hAnsi="宋体" w:cs="宋体"/>
                <w:color w:val="auto"/>
                <w:szCs w:val="21"/>
              </w:rPr>
              <w:t>可实现打印内容包括但不仅限于：</w:t>
            </w:r>
          </w:p>
          <w:p w14:paraId="1F394236">
            <w:pPr>
              <w:jc w:val="left"/>
              <w:rPr>
                <w:rFonts w:hint="eastAsia" w:ascii="宋体" w:hAnsi="宋体" w:cs="宋体"/>
                <w:color w:val="auto"/>
                <w:szCs w:val="21"/>
              </w:rPr>
            </w:pPr>
            <w:r>
              <w:rPr>
                <w:rFonts w:hint="eastAsia" w:ascii="宋体" w:hAnsi="宋体" w:cs="宋体"/>
                <w:color w:val="auto"/>
                <w:szCs w:val="21"/>
              </w:rPr>
              <w:t>教务系统对接：学籍卡打印、成绩证明打印、四六级英语成绩单打印等；</w:t>
            </w:r>
          </w:p>
          <w:p w14:paraId="2C333EDF">
            <w:pPr>
              <w:jc w:val="left"/>
              <w:rPr>
                <w:rFonts w:hint="eastAsia" w:ascii="宋体" w:hAnsi="宋体" w:cs="宋体"/>
                <w:color w:val="auto"/>
                <w:szCs w:val="21"/>
              </w:rPr>
            </w:pPr>
            <w:r>
              <w:rPr>
                <w:rFonts w:hint="eastAsia" w:ascii="宋体" w:hAnsi="宋体" w:cs="宋体"/>
                <w:color w:val="auto"/>
                <w:szCs w:val="21"/>
              </w:rPr>
              <w:t>学工系统对接：学生在校证明打印、困难生证明打印、奖学金获奖证明打印、综合测评表现证明打印等；</w:t>
            </w:r>
          </w:p>
          <w:p w14:paraId="38487B91">
            <w:pPr>
              <w:jc w:val="left"/>
              <w:rPr>
                <w:rFonts w:hint="eastAsia" w:ascii="宋体" w:hAnsi="宋体" w:cs="宋体"/>
                <w:color w:val="auto"/>
                <w:szCs w:val="21"/>
              </w:rPr>
            </w:pPr>
            <w:r>
              <w:rPr>
                <w:rFonts w:hint="eastAsia" w:ascii="宋体" w:hAnsi="宋体" w:cs="宋体"/>
                <w:color w:val="auto"/>
                <w:szCs w:val="21"/>
              </w:rPr>
              <w:t>系统需与</w:t>
            </w:r>
            <w:bookmarkStart w:id="37" w:name="OLE_LINK28"/>
            <w:r>
              <w:rPr>
                <w:rFonts w:hint="eastAsia" w:ascii="宋体" w:hAnsi="宋体" w:cs="宋体"/>
                <w:color w:val="auto"/>
                <w:szCs w:val="21"/>
              </w:rPr>
              <w:t>学工系统（例如：金智V4.0）、教务系统（例如：金智V4.0）</w:t>
            </w:r>
            <w:bookmarkEnd w:id="37"/>
            <w:r>
              <w:rPr>
                <w:rFonts w:hint="eastAsia" w:ascii="宋体" w:hAnsi="宋体" w:cs="宋体"/>
                <w:color w:val="auto"/>
                <w:szCs w:val="21"/>
              </w:rPr>
              <w:t>实现对接，供应商承诺承担以上厂家系统对接的所有费用，响应文件中须提供承诺函并加盖供应商公章。</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0CBFACE">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14:paraId="73F3C12E">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r>
      <w:bookmarkEnd w:id="36"/>
      <w:tr w14:paraId="0BACC443">
        <w:tblPrEx>
          <w:tblCellMar>
            <w:top w:w="0" w:type="dxa"/>
            <w:left w:w="108" w:type="dxa"/>
            <w:bottom w:w="0" w:type="dxa"/>
            <w:right w:w="108" w:type="dxa"/>
          </w:tblCellMar>
        </w:tblPrEx>
        <w:trPr>
          <w:trHeight w:val="98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14:paraId="043DC068">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5</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14:paraId="18ECC8AC">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支付集成</w:t>
            </w:r>
          </w:p>
        </w:tc>
        <w:tc>
          <w:tcPr>
            <w:tcW w:w="6090" w:type="dxa"/>
            <w:tcBorders>
              <w:top w:val="single" w:color="000000" w:sz="4" w:space="0"/>
              <w:left w:val="single" w:color="000000" w:sz="4" w:space="0"/>
              <w:bottom w:val="single" w:color="000000" w:sz="4" w:space="0"/>
              <w:right w:val="single" w:color="000000" w:sz="4" w:space="0"/>
            </w:tcBorders>
            <w:noWrap w:val="0"/>
            <w:vAlign w:val="center"/>
          </w:tcPr>
          <w:p w14:paraId="658B0543">
            <w:pPr>
              <w:jc w:val="left"/>
              <w:rPr>
                <w:rFonts w:hint="eastAsia" w:ascii="宋体" w:hAnsi="宋体" w:cs="宋体"/>
                <w:color w:val="auto"/>
                <w:szCs w:val="21"/>
              </w:rPr>
            </w:pPr>
            <w:r>
              <w:rPr>
                <w:rFonts w:hint="eastAsia" w:ascii="宋体" w:hAnsi="宋体" w:cs="宋体"/>
                <w:color w:val="auto"/>
                <w:szCs w:val="21"/>
              </w:rPr>
              <w:t>提供一卡通、支付宝、微信接口调用功能，为一些小额支付功能提供服务，如四、六级报名缴费，网费缴纳等；</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D6596C6">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14:paraId="385F3742">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r>
      <w:tr w14:paraId="4A5E2F3B">
        <w:tblPrEx>
          <w:tblCellMar>
            <w:top w:w="0" w:type="dxa"/>
            <w:left w:w="108" w:type="dxa"/>
            <w:bottom w:w="0" w:type="dxa"/>
            <w:right w:w="108" w:type="dxa"/>
          </w:tblCellMar>
        </w:tblPrEx>
        <w:trPr>
          <w:trHeight w:val="136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14:paraId="3E531228">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6</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14:paraId="028A26FA">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学生服务终端</w:t>
            </w:r>
          </w:p>
        </w:tc>
        <w:tc>
          <w:tcPr>
            <w:tcW w:w="6090" w:type="dxa"/>
            <w:tcBorders>
              <w:top w:val="single" w:color="000000" w:sz="4" w:space="0"/>
              <w:left w:val="single" w:color="000000" w:sz="4" w:space="0"/>
              <w:bottom w:val="single" w:color="000000" w:sz="4" w:space="0"/>
              <w:right w:val="single" w:color="000000" w:sz="4" w:space="0"/>
            </w:tcBorders>
            <w:noWrap w:val="0"/>
            <w:vAlign w:val="center"/>
          </w:tcPr>
          <w:p w14:paraId="47F00ED6">
            <w:pPr>
              <w:jc w:val="left"/>
              <w:rPr>
                <w:rFonts w:hint="eastAsia" w:ascii="宋体" w:hAnsi="宋体" w:cs="宋体"/>
                <w:color w:val="auto"/>
                <w:szCs w:val="21"/>
              </w:rPr>
            </w:pPr>
            <w:bookmarkStart w:id="38" w:name="OLE_LINK23"/>
            <w:r>
              <w:rPr>
                <w:rFonts w:hint="eastAsia" w:ascii="宋体" w:hAnsi="宋体" w:cs="宋体"/>
                <w:color w:val="auto"/>
                <w:szCs w:val="21"/>
              </w:rPr>
              <w:t>一、工控模块：</w:t>
            </w:r>
          </w:p>
          <w:p w14:paraId="6A943FB1">
            <w:pPr>
              <w:jc w:val="left"/>
              <w:rPr>
                <w:rFonts w:hint="eastAsia" w:ascii="宋体" w:hAnsi="宋体" w:cs="宋体"/>
                <w:color w:val="auto"/>
                <w:szCs w:val="21"/>
              </w:rPr>
            </w:pPr>
            <w:r>
              <w:rPr>
                <w:rFonts w:hint="eastAsia" w:ascii="宋体" w:hAnsi="宋体" w:cs="宋体"/>
                <w:color w:val="auto"/>
                <w:szCs w:val="21"/>
              </w:rPr>
              <w:t>1、CPU≥处理器双核3.6GHz</w:t>
            </w:r>
          </w:p>
          <w:p w14:paraId="6BFB6407">
            <w:pPr>
              <w:jc w:val="left"/>
              <w:rPr>
                <w:rFonts w:hint="eastAsia" w:ascii="宋体" w:hAnsi="宋体" w:cs="宋体"/>
                <w:color w:val="auto"/>
                <w:szCs w:val="21"/>
              </w:rPr>
            </w:pPr>
            <w:r>
              <w:rPr>
                <w:rFonts w:hint="eastAsia" w:ascii="宋体" w:hAnsi="宋体" w:cs="宋体"/>
                <w:color w:val="auto"/>
                <w:szCs w:val="21"/>
              </w:rPr>
              <w:t xml:space="preserve">2、内存≥8G DDR3 </w:t>
            </w:r>
          </w:p>
          <w:p w14:paraId="0096CA5C">
            <w:pPr>
              <w:jc w:val="left"/>
              <w:rPr>
                <w:rFonts w:hint="eastAsia" w:ascii="宋体" w:hAnsi="宋体" w:cs="宋体"/>
                <w:color w:val="auto"/>
                <w:szCs w:val="21"/>
              </w:rPr>
            </w:pPr>
            <w:r>
              <w:rPr>
                <w:rFonts w:hint="eastAsia" w:ascii="宋体" w:hAnsi="宋体" w:cs="宋体"/>
                <w:color w:val="auto"/>
                <w:szCs w:val="21"/>
              </w:rPr>
              <w:t>3、硬盘≥固态硬盘256G以上</w:t>
            </w:r>
          </w:p>
          <w:p w14:paraId="02CDA10D">
            <w:pPr>
              <w:jc w:val="left"/>
              <w:rPr>
                <w:rFonts w:hint="eastAsia" w:ascii="宋体" w:hAnsi="宋体" w:cs="宋体"/>
                <w:color w:val="auto"/>
                <w:szCs w:val="21"/>
              </w:rPr>
            </w:pPr>
            <w:r>
              <w:rPr>
                <w:rFonts w:hint="eastAsia" w:ascii="宋体" w:hAnsi="宋体" w:cs="宋体"/>
                <w:color w:val="auto"/>
                <w:szCs w:val="21"/>
              </w:rPr>
              <w:t>4、并口≥1个</w:t>
            </w:r>
          </w:p>
          <w:p w14:paraId="69F0D756">
            <w:pPr>
              <w:jc w:val="left"/>
              <w:rPr>
                <w:rFonts w:hint="eastAsia" w:ascii="宋体" w:hAnsi="宋体" w:cs="宋体"/>
                <w:color w:val="auto"/>
                <w:szCs w:val="21"/>
              </w:rPr>
            </w:pPr>
            <w:r>
              <w:rPr>
                <w:rFonts w:hint="eastAsia" w:ascii="宋体" w:hAnsi="宋体" w:cs="宋体"/>
                <w:color w:val="auto"/>
                <w:szCs w:val="21"/>
              </w:rPr>
              <w:t>5、串口≥12个，满足所有内接模块</w:t>
            </w:r>
          </w:p>
          <w:p w14:paraId="58A1776E">
            <w:pPr>
              <w:jc w:val="left"/>
              <w:rPr>
                <w:rFonts w:hint="eastAsia" w:ascii="宋体" w:hAnsi="宋体" w:cs="宋体"/>
                <w:color w:val="auto"/>
                <w:szCs w:val="21"/>
              </w:rPr>
            </w:pPr>
            <w:r>
              <w:rPr>
                <w:rFonts w:hint="eastAsia" w:ascii="宋体" w:hAnsi="宋体" w:cs="宋体"/>
                <w:color w:val="auto"/>
                <w:szCs w:val="21"/>
              </w:rPr>
              <w:t>6、USB接口≥14个，满足所有内接模块，可扩展</w:t>
            </w:r>
          </w:p>
          <w:p w14:paraId="682C9272">
            <w:pPr>
              <w:jc w:val="left"/>
              <w:rPr>
                <w:rFonts w:hint="eastAsia" w:ascii="宋体" w:hAnsi="宋体" w:cs="宋体"/>
                <w:color w:val="auto"/>
                <w:szCs w:val="21"/>
              </w:rPr>
            </w:pPr>
            <w:r>
              <w:rPr>
                <w:rFonts w:hint="eastAsia" w:ascii="宋体" w:hAnsi="宋体" w:cs="宋体"/>
                <w:color w:val="auto"/>
                <w:szCs w:val="21"/>
              </w:rPr>
              <w:t>7、显示接口≥VGA显示接口</w:t>
            </w:r>
          </w:p>
          <w:p w14:paraId="35724A36">
            <w:pPr>
              <w:jc w:val="left"/>
              <w:rPr>
                <w:rFonts w:hint="eastAsia" w:ascii="宋体" w:hAnsi="宋体" w:cs="宋体"/>
                <w:color w:val="auto"/>
                <w:szCs w:val="21"/>
              </w:rPr>
            </w:pPr>
            <w:r>
              <w:rPr>
                <w:rFonts w:hint="eastAsia" w:ascii="宋体" w:hAnsi="宋体" w:cs="宋体"/>
                <w:color w:val="auto"/>
                <w:szCs w:val="21"/>
              </w:rPr>
              <w:t>8、双网卡：（10/100/1000M自适应）满足外接要求，支持WiFi；</w:t>
            </w:r>
          </w:p>
          <w:p w14:paraId="59F6C381">
            <w:pPr>
              <w:jc w:val="left"/>
              <w:rPr>
                <w:rFonts w:hint="eastAsia" w:ascii="宋体" w:hAnsi="宋体" w:cs="宋体"/>
                <w:color w:val="auto"/>
                <w:szCs w:val="21"/>
              </w:rPr>
            </w:pPr>
            <w:r>
              <w:rPr>
                <w:rFonts w:hint="eastAsia" w:ascii="宋体" w:hAnsi="宋体" w:cs="宋体"/>
                <w:color w:val="auto"/>
                <w:szCs w:val="21"/>
              </w:rPr>
              <w:t>9、多媒体：包含声卡、扬声器等接口。</w:t>
            </w:r>
          </w:p>
          <w:p w14:paraId="26D95F94">
            <w:pPr>
              <w:jc w:val="left"/>
              <w:rPr>
                <w:rFonts w:hint="eastAsia" w:ascii="宋体" w:hAnsi="宋体" w:cs="宋体"/>
                <w:color w:val="auto"/>
                <w:szCs w:val="21"/>
              </w:rPr>
            </w:pPr>
            <w:r>
              <w:rPr>
                <w:rFonts w:hint="eastAsia" w:ascii="宋体" w:hAnsi="宋体" w:cs="宋体"/>
                <w:color w:val="auto"/>
                <w:szCs w:val="21"/>
              </w:rPr>
              <w:t>二、电源模块：</w:t>
            </w:r>
          </w:p>
          <w:p w14:paraId="7CF75203">
            <w:pPr>
              <w:jc w:val="left"/>
              <w:rPr>
                <w:rFonts w:hint="eastAsia" w:ascii="宋体" w:hAnsi="宋体" w:cs="宋体"/>
                <w:color w:val="auto"/>
                <w:szCs w:val="21"/>
              </w:rPr>
            </w:pPr>
            <w:r>
              <w:rPr>
                <w:rFonts w:hint="eastAsia" w:ascii="宋体" w:hAnsi="宋体" w:cs="宋体"/>
                <w:color w:val="auto"/>
                <w:szCs w:val="21"/>
              </w:rPr>
              <w:t>1、输入电压：AC220V±10%，50±1Hz</w:t>
            </w:r>
          </w:p>
          <w:p w14:paraId="130FCB28">
            <w:pPr>
              <w:jc w:val="left"/>
              <w:rPr>
                <w:rFonts w:hint="eastAsia" w:ascii="宋体" w:hAnsi="宋体" w:cs="宋体"/>
                <w:color w:val="auto"/>
                <w:szCs w:val="21"/>
              </w:rPr>
            </w:pPr>
            <w:r>
              <w:rPr>
                <w:rFonts w:hint="eastAsia" w:ascii="宋体" w:hAnsi="宋体" w:cs="宋体"/>
                <w:color w:val="auto"/>
                <w:szCs w:val="21"/>
              </w:rPr>
              <w:t>2、电源接口：国标</w:t>
            </w:r>
          </w:p>
          <w:p w14:paraId="06BFD2F3">
            <w:pPr>
              <w:jc w:val="left"/>
              <w:rPr>
                <w:rFonts w:hint="eastAsia" w:ascii="宋体" w:hAnsi="宋体" w:cs="宋体"/>
                <w:color w:val="auto"/>
                <w:szCs w:val="21"/>
              </w:rPr>
            </w:pPr>
            <w:r>
              <w:rPr>
                <w:rFonts w:hint="eastAsia" w:ascii="宋体" w:hAnsi="宋体" w:cs="宋体"/>
                <w:color w:val="auto"/>
                <w:szCs w:val="21"/>
              </w:rPr>
              <w:t>3、工作温度≥0-60℃；湿度范围≥5%-95%；整机噪音：≤50dB；MTTR:≤30min；MTBF:≥20000Hour</w:t>
            </w:r>
          </w:p>
          <w:p w14:paraId="6DF27AD6">
            <w:pPr>
              <w:jc w:val="left"/>
              <w:rPr>
                <w:rFonts w:hint="eastAsia" w:ascii="宋体" w:hAnsi="宋体" w:cs="宋体"/>
                <w:color w:val="auto"/>
                <w:szCs w:val="21"/>
              </w:rPr>
            </w:pPr>
            <w:r>
              <w:rPr>
                <w:rFonts w:hint="eastAsia" w:ascii="宋体" w:hAnsi="宋体" w:cs="宋体"/>
                <w:color w:val="auto"/>
                <w:szCs w:val="21"/>
              </w:rPr>
              <w:t>4、震动适应性：符合GB/T 2423.58-2008相关标准</w:t>
            </w:r>
          </w:p>
          <w:p w14:paraId="47DDEEB3">
            <w:pPr>
              <w:jc w:val="left"/>
              <w:rPr>
                <w:rFonts w:hint="eastAsia" w:ascii="宋体" w:hAnsi="宋体" w:cs="宋体"/>
                <w:color w:val="auto"/>
                <w:szCs w:val="21"/>
              </w:rPr>
            </w:pPr>
            <w:r>
              <w:rPr>
                <w:rFonts w:hint="eastAsia" w:ascii="宋体" w:hAnsi="宋体" w:cs="宋体"/>
                <w:color w:val="auto"/>
                <w:szCs w:val="21"/>
              </w:rPr>
              <w:t>5、防护等级：≥IP54</w:t>
            </w:r>
          </w:p>
          <w:bookmarkEnd w:id="38"/>
          <w:p w14:paraId="6166FAB4">
            <w:pPr>
              <w:jc w:val="left"/>
              <w:rPr>
                <w:rFonts w:hint="eastAsia" w:ascii="宋体" w:hAnsi="宋体" w:cs="宋体"/>
                <w:color w:val="auto"/>
                <w:szCs w:val="21"/>
              </w:rPr>
            </w:pPr>
            <w:r>
              <w:rPr>
                <w:rFonts w:hint="eastAsia" w:ascii="宋体" w:hAnsi="宋体" w:cs="宋体"/>
                <w:color w:val="auto"/>
                <w:szCs w:val="21"/>
              </w:rPr>
              <w:t>三、触显一体屏：</w:t>
            </w:r>
          </w:p>
          <w:p w14:paraId="1224320A">
            <w:pPr>
              <w:jc w:val="left"/>
              <w:rPr>
                <w:rFonts w:hint="eastAsia" w:ascii="宋体" w:hAnsi="宋体" w:cs="宋体"/>
                <w:color w:val="auto"/>
                <w:szCs w:val="21"/>
              </w:rPr>
            </w:pPr>
            <w:r>
              <w:rPr>
                <w:rFonts w:hint="eastAsia" w:ascii="宋体" w:hAnsi="宋体" w:cs="宋体"/>
                <w:color w:val="auto"/>
                <w:szCs w:val="21"/>
              </w:rPr>
              <w:t>1、尺寸：≥19寸电容触显一体屏</w:t>
            </w:r>
          </w:p>
          <w:p w14:paraId="409B9510">
            <w:pPr>
              <w:jc w:val="left"/>
              <w:rPr>
                <w:rFonts w:hint="eastAsia" w:ascii="宋体" w:hAnsi="宋体" w:cs="宋体"/>
                <w:color w:val="auto"/>
                <w:szCs w:val="21"/>
              </w:rPr>
            </w:pPr>
            <w:r>
              <w:rPr>
                <w:rFonts w:hint="eastAsia" w:ascii="宋体" w:hAnsi="宋体" w:cs="宋体"/>
                <w:color w:val="auto"/>
                <w:szCs w:val="21"/>
              </w:rPr>
              <w:t>2、支持多点触控</w:t>
            </w:r>
          </w:p>
          <w:p w14:paraId="3833F45B">
            <w:pPr>
              <w:jc w:val="left"/>
              <w:rPr>
                <w:rFonts w:hint="eastAsia" w:ascii="宋体" w:hAnsi="宋体" w:cs="宋体"/>
                <w:color w:val="auto"/>
                <w:szCs w:val="21"/>
              </w:rPr>
            </w:pPr>
            <w:r>
              <w:rPr>
                <w:rFonts w:hint="eastAsia" w:ascii="宋体" w:hAnsi="宋体" w:cs="宋体"/>
                <w:color w:val="auto"/>
                <w:szCs w:val="21"/>
              </w:rPr>
              <w:t>3、分辨率≥1280*1024@60Hz</w:t>
            </w:r>
          </w:p>
          <w:p w14:paraId="730B4057">
            <w:pPr>
              <w:jc w:val="left"/>
              <w:rPr>
                <w:rFonts w:hint="eastAsia" w:ascii="宋体" w:hAnsi="宋体" w:cs="宋体"/>
                <w:color w:val="auto"/>
                <w:szCs w:val="21"/>
              </w:rPr>
            </w:pPr>
            <w:r>
              <w:rPr>
                <w:rFonts w:hint="eastAsia" w:ascii="宋体" w:hAnsi="宋体" w:cs="宋体"/>
                <w:color w:val="auto"/>
                <w:szCs w:val="21"/>
              </w:rPr>
              <w:t>4、屏幕比例：5:4</w:t>
            </w:r>
          </w:p>
          <w:p w14:paraId="38C99B29">
            <w:pPr>
              <w:jc w:val="left"/>
              <w:rPr>
                <w:rFonts w:hint="eastAsia" w:ascii="宋体" w:hAnsi="宋体" w:cs="宋体"/>
                <w:color w:val="auto"/>
                <w:szCs w:val="21"/>
              </w:rPr>
            </w:pPr>
            <w:r>
              <w:rPr>
                <w:rFonts w:hint="eastAsia" w:ascii="宋体" w:hAnsi="宋体" w:cs="宋体"/>
                <w:color w:val="auto"/>
                <w:szCs w:val="21"/>
              </w:rPr>
              <w:t>5、背光类型：LED</w:t>
            </w:r>
          </w:p>
          <w:p w14:paraId="575ED779">
            <w:pPr>
              <w:jc w:val="left"/>
              <w:rPr>
                <w:rFonts w:hint="eastAsia" w:ascii="宋体" w:hAnsi="宋体" w:cs="宋体"/>
                <w:color w:val="auto"/>
                <w:szCs w:val="21"/>
              </w:rPr>
            </w:pPr>
            <w:r>
              <w:rPr>
                <w:rFonts w:hint="eastAsia" w:ascii="宋体" w:hAnsi="宋体" w:cs="宋体"/>
                <w:color w:val="auto"/>
                <w:szCs w:val="21"/>
              </w:rPr>
              <w:t>6、响应时间：Tr+Tf=5ms（Typ.）</w:t>
            </w:r>
          </w:p>
          <w:p w14:paraId="581EB638">
            <w:pPr>
              <w:jc w:val="left"/>
              <w:rPr>
                <w:rFonts w:hint="eastAsia" w:ascii="宋体" w:hAnsi="宋体" w:cs="宋体"/>
                <w:color w:val="auto"/>
                <w:szCs w:val="21"/>
              </w:rPr>
            </w:pPr>
            <w:r>
              <w:rPr>
                <w:rFonts w:hint="eastAsia" w:ascii="宋体" w:hAnsi="宋体" w:cs="宋体"/>
                <w:color w:val="auto"/>
                <w:szCs w:val="21"/>
              </w:rPr>
              <w:t>7、电源：12V直流电，最大功率≤24W</w:t>
            </w:r>
          </w:p>
          <w:p w14:paraId="03CD7130">
            <w:pPr>
              <w:jc w:val="left"/>
              <w:rPr>
                <w:rFonts w:hint="eastAsia" w:ascii="宋体" w:hAnsi="宋体" w:cs="宋体"/>
                <w:color w:val="auto"/>
                <w:szCs w:val="21"/>
              </w:rPr>
            </w:pPr>
            <w:r>
              <w:rPr>
                <w:rFonts w:hint="eastAsia" w:ascii="宋体" w:hAnsi="宋体" w:cs="宋体"/>
                <w:color w:val="auto"/>
                <w:szCs w:val="21"/>
              </w:rPr>
              <w:t>8、工作温度：0℃~50℃</w:t>
            </w:r>
          </w:p>
          <w:p w14:paraId="22BD8B8D">
            <w:pPr>
              <w:jc w:val="left"/>
              <w:rPr>
                <w:rFonts w:hint="eastAsia" w:ascii="宋体" w:hAnsi="宋体" w:cs="宋体"/>
                <w:color w:val="auto"/>
                <w:szCs w:val="21"/>
              </w:rPr>
            </w:pPr>
            <w:r>
              <w:rPr>
                <w:rFonts w:hint="eastAsia" w:ascii="宋体" w:hAnsi="宋体" w:cs="宋体"/>
                <w:color w:val="auto"/>
                <w:szCs w:val="21"/>
              </w:rPr>
              <w:t>四、扩展显示屏：</w:t>
            </w:r>
          </w:p>
          <w:p w14:paraId="18D16501">
            <w:pPr>
              <w:jc w:val="left"/>
              <w:rPr>
                <w:rFonts w:hint="eastAsia" w:ascii="宋体" w:hAnsi="宋体" w:cs="宋体"/>
                <w:color w:val="auto"/>
                <w:szCs w:val="21"/>
              </w:rPr>
            </w:pPr>
            <w:r>
              <w:rPr>
                <w:rFonts w:hint="eastAsia" w:ascii="宋体" w:hAnsi="宋体" w:cs="宋体"/>
                <w:color w:val="auto"/>
                <w:szCs w:val="21"/>
              </w:rPr>
              <w:t>1、液晶屏尺寸：≥21.5英寸</w:t>
            </w:r>
          </w:p>
          <w:p w14:paraId="67FDE2F1">
            <w:pPr>
              <w:jc w:val="left"/>
              <w:rPr>
                <w:rFonts w:hint="eastAsia" w:ascii="宋体" w:hAnsi="宋体" w:cs="宋体"/>
                <w:color w:val="auto"/>
                <w:szCs w:val="21"/>
              </w:rPr>
            </w:pPr>
            <w:r>
              <w:rPr>
                <w:rFonts w:hint="eastAsia" w:ascii="宋体" w:hAnsi="宋体" w:cs="宋体"/>
                <w:color w:val="auto"/>
                <w:szCs w:val="21"/>
              </w:rPr>
              <w:t>2、屏幕比例：16：9</w:t>
            </w:r>
          </w:p>
          <w:p w14:paraId="72D1998D">
            <w:pPr>
              <w:jc w:val="left"/>
              <w:rPr>
                <w:rFonts w:hint="eastAsia" w:ascii="宋体" w:hAnsi="宋体" w:cs="宋体"/>
                <w:color w:val="auto"/>
                <w:szCs w:val="21"/>
              </w:rPr>
            </w:pPr>
            <w:r>
              <w:rPr>
                <w:rFonts w:hint="eastAsia" w:ascii="宋体" w:hAnsi="宋体" w:cs="宋体"/>
                <w:color w:val="auto"/>
                <w:szCs w:val="21"/>
              </w:rPr>
              <w:t>3、响应时间≤35ms(Typ.)</w:t>
            </w:r>
          </w:p>
          <w:p w14:paraId="23D78FB7">
            <w:pPr>
              <w:jc w:val="left"/>
              <w:rPr>
                <w:rFonts w:hint="eastAsia" w:ascii="宋体" w:hAnsi="宋体" w:cs="宋体"/>
                <w:color w:val="auto"/>
                <w:szCs w:val="21"/>
              </w:rPr>
            </w:pPr>
            <w:r>
              <w:rPr>
                <w:rFonts w:hint="eastAsia" w:ascii="宋体" w:hAnsi="宋体" w:cs="宋体"/>
                <w:color w:val="auto"/>
                <w:szCs w:val="21"/>
              </w:rPr>
              <w:t xml:space="preserve">4、分辨率≥1920×1080@60Hz（Typ.） </w:t>
            </w:r>
          </w:p>
          <w:p w14:paraId="1A33BB23">
            <w:pPr>
              <w:jc w:val="left"/>
              <w:rPr>
                <w:rFonts w:hint="eastAsia" w:ascii="宋体" w:hAnsi="宋体" w:cs="宋体"/>
                <w:color w:val="auto"/>
                <w:szCs w:val="21"/>
              </w:rPr>
            </w:pPr>
            <w:r>
              <w:rPr>
                <w:rFonts w:hint="eastAsia" w:ascii="宋体" w:hAnsi="宋体" w:cs="宋体"/>
                <w:color w:val="auto"/>
                <w:szCs w:val="21"/>
              </w:rPr>
              <w:t>5、使用寿命：≥62000h</w:t>
            </w:r>
          </w:p>
          <w:p w14:paraId="27CD9ADE">
            <w:pPr>
              <w:jc w:val="left"/>
              <w:rPr>
                <w:rFonts w:hint="eastAsia" w:ascii="宋体" w:hAnsi="宋体" w:cs="宋体"/>
                <w:color w:val="auto"/>
                <w:szCs w:val="21"/>
              </w:rPr>
            </w:pPr>
            <w:r>
              <w:rPr>
                <w:rFonts w:hint="eastAsia" w:ascii="宋体" w:hAnsi="宋体" w:cs="宋体"/>
                <w:color w:val="auto"/>
                <w:szCs w:val="21"/>
              </w:rPr>
              <w:t>6、背光类型:LED</w:t>
            </w:r>
          </w:p>
          <w:p w14:paraId="38956730">
            <w:pPr>
              <w:jc w:val="left"/>
              <w:rPr>
                <w:rFonts w:hint="eastAsia" w:ascii="宋体" w:hAnsi="宋体" w:cs="宋体"/>
                <w:color w:val="auto"/>
                <w:szCs w:val="21"/>
              </w:rPr>
            </w:pPr>
            <w:r>
              <w:rPr>
                <w:rFonts w:hint="eastAsia" w:ascii="宋体" w:hAnsi="宋体" w:cs="宋体"/>
                <w:color w:val="auto"/>
                <w:szCs w:val="21"/>
              </w:rPr>
              <w:t>五、人脸摄像头：</w:t>
            </w:r>
          </w:p>
          <w:p w14:paraId="13422814">
            <w:pPr>
              <w:jc w:val="left"/>
              <w:rPr>
                <w:rFonts w:hint="eastAsia" w:ascii="宋体" w:hAnsi="宋体" w:cs="宋体"/>
                <w:color w:val="auto"/>
                <w:szCs w:val="21"/>
              </w:rPr>
            </w:pPr>
            <w:r>
              <w:rPr>
                <w:rFonts w:hint="eastAsia" w:ascii="宋体" w:hAnsi="宋体" w:cs="宋体"/>
                <w:color w:val="auto"/>
                <w:szCs w:val="21"/>
              </w:rPr>
              <w:t>1、产品类型：双目摄像头</w:t>
            </w:r>
          </w:p>
          <w:p w14:paraId="35BED262">
            <w:pPr>
              <w:jc w:val="left"/>
              <w:rPr>
                <w:rFonts w:hint="eastAsia" w:ascii="宋体" w:hAnsi="宋体" w:cs="宋体"/>
                <w:color w:val="auto"/>
                <w:szCs w:val="21"/>
              </w:rPr>
            </w:pPr>
            <w:r>
              <w:rPr>
                <w:rFonts w:hint="eastAsia" w:ascii="宋体" w:hAnsi="宋体" w:cs="宋体"/>
                <w:color w:val="auto"/>
                <w:szCs w:val="21"/>
              </w:rPr>
              <w:t>2、传感器：CMOS</w:t>
            </w:r>
          </w:p>
          <w:p w14:paraId="0932CD95">
            <w:pPr>
              <w:jc w:val="left"/>
              <w:rPr>
                <w:rFonts w:hint="eastAsia" w:ascii="宋体" w:hAnsi="宋体" w:cs="宋体"/>
                <w:color w:val="auto"/>
                <w:szCs w:val="21"/>
              </w:rPr>
            </w:pPr>
            <w:r>
              <w:rPr>
                <w:rFonts w:hint="eastAsia" w:ascii="宋体" w:hAnsi="宋体" w:cs="宋体"/>
                <w:color w:val="auto"/>
                <w:szCs w:val="21"/>
              </w:rPr>
              <w:t>3、最高像素≥300 万</w:t>
            </w:r>
          </w:p>
          <w:p w14:paraId="565FF8CE">
            <w:pPr>
              <w:jc w:val="left"/>
              <w:rPr>
                <w:rFonts w:hint="eastAsia" w:ascii="宋体" w:hAnsi="宋体" w:cs="宋体"/>
                <w:color w:val="auto"/>
                <w:szCs w:val="21"/>
              </w:rPr>
            </w:pPr>
            <w:r>
              <w:rPr>
                <w:rFonts w:hint="eastAsia" w:ascii="宋体" w:hAnsi="宋体" w:cs="宋体"/>
                <w:color w:val="auto"/>
                <w:szCs w:val="21"/>
              </w:rPr>
              <w:t>4、有效像素≥1920*1080以上</w:t>
            </w:r>
          </w:p>
          <w:p w14:paraId="3F12DBD0">
            <w:pPr>
              <w:jc w:val="left"/>
              <w:rPr>
                <w:rFonts w:hint="eastAsia" w:ascii="宋体" w:hAnsi="宋体" w:cs="宋体"/>
                <w:color w:val="auto"/>
                <w:szCs w:val="21"/>
              </w:rPr>
            </w:pPr>
            <w:r>
              <w:rPr>
                <w:rFonts w:hint="eastAsia" w:ascii="宋体" w:hAnsi="宋体" w:cs="宋体"/>
                <w:color w:val="auto"/>
                <w:szCs w:val="21"/>
              </w:rPr>
              <w:t>5、体检测距离：30cm-120cm</w:t>
            </w:r>
          </w:p>
          <w:p w14:paraId="509A10C5">
            <w:pPr>
              <w:jc w:val="left"/>
              <w:rPr>
                <w:rFonts w:hint="eastAsia" w:ascii="宋体" w:hAnsi="宋体" w:cs="宋体"/>
                <w:color w:val="auto"/>
                <w:szCs w:val="21"/>
              </w:rPr>
            </w:pPr>
            <w:r>
              <w:rPr>
                <w:rFonts w:hint="eastAsia" w:ascii="宋体" w:hAnsi="宋体" w:cs="宋体"/>
                <w:color w:val="auto"/>
                <w:szCs w:val="21"/>
              </w:rPr>
              <w:t>6、活体检测时间：不大于0.5秒</w:t>
            </w:r>
          </w:p>
          <w:p w14:paraId="5893817E">
            <w:pPr>
              <w:jc w:val="left"/>
              <w:rPr>
                <w:rFonts w:hint="eastAsia" w:ascii="宋体" w:hAnsi="宋体" w:cs="宋体"/>
                <w:color w:val="auto"/>
                <w:szCs w:val="21"/>
              </w:rPr>
            </w:pPr>
            <w:r>
              <w:rPr>
                <w:rFonts w:hint="eastAsia" w:ascii="宋体" w:hAnsi="宋体" w:cs="宋体"/>
                <w:color w:val="auto"/>
                <w:szCs w:val="21"/>
              </w:rPr>
              <w:t>7、稳定工作温度：-30℃~70℃</w:t>
            </w:r>
          </w:p>
          <w:p w14:paraId="61DFE65A">
            <w:pPr>
              <w:jc w:val="left"/>
              <w:rPr>
                <w:rFonts w:hint="eastAsia" w:ascii="宋体" w:hAnsi="宋体" w:cs="宋体"/>
                <w:color w:val="auto"/>
                <w:szCs w:val="21"/>
              </w:rPr>
            </w:pPr>
            <w:r>
              <w:rPr>
                <w:rFonts w:hint="eastAsia" w:ascii="宋体" w:hAnsi="宋体" w:cs="宋体"/>
                <w:color w:val="auto"/>
                <w:szCs w:val="21"/>
              </w:rPr>
              <w:t>8、外观：支持角度可调</w:t>
            </w:r>
          </w:p>
          <w:p w14:paraId="55EB0326">
            <w:pPr>
              <w:jc w:val="left"/>
              <w:rPr>
                <w:rFonts w:hint="eastAsia" w:ascii="宋体" w:hAnsi="宋体" w:cs="宋体"/>
                <w:color w:val="auto"/>
                <w:szCs w:val="21"/>
              </w:rPr>
            </w:pPr>
            <w:r>
              <w:rPr>
                <w:rFonts w:hint="eastAsia" w:ascii="宋体" w:hAnsi="宋体" w:cs="宋体"/>
                <w:color w:val="auto"/>
                <w:szCs w:val="21"/>
              </w:rPr>
              <w:t>六、条码扫描：</w:t>
            </w:r>
          </w:p>
          <w:p w14:paraId="4C6ACAD0">
            <w:pPr>
              <w:jc w:val="left"/>
              <w:rPr>
                <w:rFonts w:hint="eastAsia" w:ascii="宋体" w:hAnsi="宋体" w:cs="宋体"/>
                <w:color w:val="auto"/>
                <w:szCs w:val="21"/>
              </w:rPr>
            </w:pPr>
            <w:r>
              <w:rPr>
                <w:rFonts w:hint="eastAsia" w:ascii="宋体" w:hAnsi="宋体" w:cs="宋体"/>
                <w:color w:val="auto"/>
                <w:szCs w:val="21"/>
              </w:rPr>
              <w:t>1、图像传感器：752×480 CMOS传感器</w:t>
            </w:r>
          </w:p>
          <w:p w14:paraId="082861B8">
            <w:pPr>
              <w:jc w:val="left"/>
              <w:rPr>
                <w:rFonts w:hint="eastAsia" w:ascii="宋体" w:hAnsi="宋体" w:cs="宋体"/>
                <w:color w:val="auto"/>
                <w:szCs w:val="21"/>
              </w:rPr>
            </w:pPr>
            <w:r>
              <w:rPr>
                <w:rFonts w:hint="eastAsia" w:ascii="宋体" w:hAnsi="宋体" w:cs="宋体"/>
                <w:color w:val="auto"/>
                <w:szCs w:val="21"/>
              </w:rPr>
              <w:t>2、照明：白色LED</w:t>
            </w:r>
          </w:p>
          <w:p w14:paraId="3674B6B2">
            <w:pPr>
              <w:jc w:val="left"/>
              <w:rPr>
                <w:rFonts w:hint="eastAsia" w:ascii="宋体" w:hAnsi="宋体" w:cs="宋体"/>
                <w:color w:val="auto"/>
                <w:szCs w:val="21"/>
              </w:rPr>
            </w:pPr>
            <w:r>
              <w:rPr>
                <w:rFonts w:hint="eastAsia" w:ascii="宋体" w:hAnsi="宋体" w:cs="宋体"/>
                <w:color w:val="auto"/>
                <w:szCs w:val="21"/>
              </w:rPr>
              <w:t>3、视场角度：水平80°，垂直56°</w:t>
            </w:r>
          </w:p>
          <w:p w14:paraId="78359314">
            <w:pPr>
              <w:jc w:val="left"/>
              <w:rPr>
                <w:rFonts w:hint="eastAsia" w:ascii="宋体" w:hAnsi="宋体" w:cs="宋体"/>
                <w:color w:val="auto"/>
                <w:szCs w:val="21"/>
              </w:rPr>
            </w:pPr>
            <w:r>
              <w:rPr>
                <w:rFonts w:hint="eastAsia" w:ascii="宋体" w:hAnsi="宋体" w:cs="宋体"/>
                <w:color w:val="auto"/>
                <w:szCs w:val="21"/>
              </w:rPr>
              <w:t>七、打印机：</w:t>
            </w:r>
          </w:p>
          <w:p w14:paraId="7022FCB4">
            <w:pPr>
              <w:jc w:val="left"/>
              <w:rPr>
                <w:rFonts w:hint="eastAsia" w:ascii="宋体" w:hAnsi="宋体" w:cs="宋体"/>
                <w:color w:val="auto"/>
                <w:szCs w:val="21"/>
              </w:rPr>
            </w:pPr>
            <w:r>
              <w:rPr>
                <w:rFonts w:hint="eastAsia" w:ascii="宋体" w:hAnsi="宋体" w:cs="宋体"/>
                <w:color w:val="auto"/>
                <w:szCs w:val="21"/>
              </w:rPr>
              <w:t>1、最大打印幅面：A4</w:t>
            </w:r>
          </w:p>
          <w:p w14:paraId="29AF418D">
            <w:pPr>
              <w:jc w:val="left"/>
              <w:rPr>
                <w:rFonts w:hint="eastAsia" w:ascii="宋体" w:hAnsi="宋体" w:cs="宋体"/>
                <w:color w:val="auto"/>
                <w:szCs w:val="21"/>
              </w:rPr>
            </w:pPr>
            <w:r>
              <w:rPr>
                <w:rFonts w:hint="eastAsia" w:ascii="宋体" w:hAnsi="宋体" w:cs="宋体"/>
                <w:color w:val="auto"/>
                <w:szCs w:val="21"/>
              </w:rPr>
              <w:t>2、最高分辨率≥1200×1200dpi</w:t>
            </w:r>
          </w:p>
          <w:p w14:paraId="7366F599">
            <w:pPr>
              <w:jc w:val="left"/>
              <w:rPr>
                <w:rFonts w:hint="eastAsia" w:ascii="宋体" w:hAnsi="宋体" w:cs="宋体"/>
                <w:color w:val="auto"/>
                <w:szCs w:val="21"/>
              </w:rPr>
            </w:pPr>
            <w:r>
              <w:rPr>
                <w:rFonts w:hint="eastAsia" w:ascii="宋体" w:hAnsi="宋体" w:cs="宋体"/>
                <w:color w:val="auto"/>
                <w:szCs w:val="21"/>
              </w:rPr>
              <w:t>3、打印速度（黑白/彩色）：首页打印时间≤6.5秒，打印速度≥35ppm，自动双面打印≤18ppm</w:t>
            </w:r>
          </w:p>
          <w:p w14:paraId="4C91BE44">
            <w:pPr>
              <w:jc w:val="left"/>
              <w:rPr>
                <w:rFonts w:hint="eastAsia" w:ascii="宋体" w:hAnsi="宋体" w:cs="宋体"/>
                <w:color w:val="auto"/>
                <w:szCs w:val="21"/>
              </w:rPr>
            </w:pPr>
            <w:r>
              <w:rPr>
                <w:rFonts w:hint="eastAsia" w:ascii="宋体" w:hAnsi="宋体" w:cs="宋体"/>
                <w:color w:val="auto"/>
                <w:szCs w:val="21"/>
              </w:rPr>
              <w:t>4、内存标配≥1GB</w:t>
            </w:r>
          </w:p>
          <w:p w14:paraId="6E9F9B94">
            <w:pPr>
              <w:jc w:val="left"/>
              <w:rPr>
                <w:rFonts w:hint="eastAsia" w:ascii="宋体" w:hAnsi="宋体" w:cs="宋体"/>
                <w:color w:val="auto"/>
                <w:szCs w:val="21"/>
              </w:rPr>
            </w:pPr>
            <w:r>
              <w:rPr>
                <w:rFonts w:hint="eastAsia" w:ascii="宋体" w:hAnsi="宋体" w:cs="宋体"/>
                <w:color w:val="auto"/>
                <w:szCs w:val="21"/>
              </w:rPr>
              <w:t>5、纸盒个数≥3，纸盒容量≥1000页</w:t>
            </w:r>
          </w:p>
          <w:p w14:paraId="60698B09">
            <w:pPr>
              <w:jc w:val="left"/>
              <w:rPr>
                <w:rFonts w:hint="eastAsia" w:ascii="宋体" w:hAnsi="宋体" w:cs="宋体"/>
                <w:color w:val="auto"/>
                <w:szCs w:val="21"/>
              </w:rPr>
            </w:pPr>
            <w:r>
              <w:rPr>
                <w:rFonts w:hint="eastAsia" w:ascii="宋体" w:hAnsi="宋体" w:cs="宋体"/>
                <w:color w:val="auto"/>
                <w:szCs w:val="21"/>
              </w:rPr>
              <w:t>6、双面打印：自动</w:t>
            </w:r>
          </w:p>
          <w:p w14:paraId="388CEB3F">
            <w:pPr>
              <w:jc w:val="left"/>
              <w:rPr>
                <w:rFonts w:hint="eastAsia" w:ascii="宋体" w:hAnsi="宋体" w:cs="宋体"/>
                <w:color w:val="auto"/>
                <w:szCs w:val="21"/>
              </w:rPr>
            </w:pPr>
            <w:r>
              <w:rPr>
                <w:rFonts w:hint="eastAsia" w:ascii="宋体" w:hAnsi="宋体" w:cs="宋体"/>
                <w:color w:val="auto"/>
                <w:szCs w:val="21"/>
              </w:rPr>
              <w:t>7、耗材类型：鼓粉分离，硒鼓寿命≥50000页</w:t>
            </w:r>
          </w:p>
          <w:p w14:paraId="694CBE03">
            <w:pPr>
              <w:jc w:val="left"/>
              <w:rPr>
                <w:rFonts w:hint="eastAsia" w:ascii="宋体" w:hAnsi="宋体" w:cs="宋体"/>
                <w:color w:val="auto"/>
                <w:szCs w:val="21"/>
              </w:rPr>
            </w:pPr>
            <w:r>
              <w:rPr>
                <w:rFonts w:hint="eastAsia" w:ascii="宋体" w:hAnsi="宋体" w:cs="宋体"/>
                <w:color w:val="auto"/>
                <w:szCs w:val="21"/>
              </w:rPr>
              <w:t>8、介质类型：普通纸，薄纸，再生纸（60-105g/㎡）及铜版纸</w:t>
            </w:r>
          </w:p>
          <w:p w14:paraId="6221F8F6">
            <w:pPr>
              <w:jc w:val="left"/>
              <w:rPr>
                <w:rFonts w:hint="eastAsia" w:ascii="宋体" w:hAnsi="宋体" w:cs="宋体"/>
                <w:color w:val="auto"/>
                <w:szCs w:val="21"/>
              </w:rPr>
            </w:pPr>
            <w:r>
              <w:rPr>
                <w:rFonts w:hint="eastAsia" w:ascii="宋体" w:hAnsi="宋体" w:cs="宋体"/>
                <w:color w:val="auto"/>
                <w:szCs w:val="21"/>
              </w:rPr>
              <w:t>9、介质尺寸：支持A4，Letter，B5(JIS)，A5，A6，Executive，Legal，Folio，Mexico Legal，16K（195×270mm）</w:t>
            </w:r>
          </w:p>
          <w:p w14:paraId="6D8331C7">
            <w:pPr>
              <w:jc w:val="left"/>
              <w:rPr>
                <w:rFonts w:hint="eastAsia" w:ascii="宋体" w:hAnsi="宋体" w:cs="宋体"/>
                <w:color w:val="auto"/>
                <w:szCs w:val="21"/>
              </w:rPr>
            </w:pPr>
            <w:r>
              <w:rPr>
                <w:rFonts w:hint="eastAsia" w:ascii="宋体" w:hAnsi="宋体" w:cs="宋体"/>
                <w:color w:val="auto"/>
                <w:szCs w:val="21"/>
              </w:rPr>
              <w:t>10、支持缺纸、缺墨、卡纸等预警，来电能够自启动</w:t>
            </w:r>
          </w:p>
          <w:p w14:paraId="4A0C6E52">
            <w:pPr>
              <w:jc w:val="left"/>
              <w:rPr>
                <w:rFonts w:hint="eastAsia" w:ascii="宋体" w:hAnsi="宋体" w:cs="宋体"/>
                <w:color w:val="auto"/>
                <w:szCs w:val="21"/>
              </w:rPr>
            </w:pPr>
            <w:r>
              <w:rPr>
                <w:rFonts w:hint="eastAsia" w:ascii="宋体" w:hAnsi="宋体" w:cs="宋体"/>
                <w:color w:val="auto"/>
                <w:szCs w:val="21"/>
              </w:rPr>
              <w:t>八、校园一卡通：</w:t>
            </w:r>
          </w:p>
          <w:p w14:paraId="5FA74AFE">
            <w:pPr>
              <w:jc w:val="left"/>
              <w:rPr>
                <w:rFonts w:hint="eastAsia" w:ascii="宋体" w:hAnsi="宋体" w:cs="宋体"/>
                <w:color w:val="auto"/>
                <w:szCs w:val="21"/>
              </w:rPr>
            </w:pPr>
            <w:r>
              <w:rPr>
                <w:rFonts w:hint="eastAsia" w:ascii="宋体" w:hAnsi="宋体" w:cs="宋体"/>
                <w:color w:val="auto"/>
                <w:szCs w:val="21"/>
              </w:rPr>
              <w:t>预置校园一卡通读卡器的位置，可用于校园卡刷卡识别。</w:t>
            </w:r>
          </w:p>
          <w:p w14:paraId="5F175119">
            <w:pPr>
              <w:jc w:val="left"/>
              <w:rPr>
                <w:rFonts w:hint="eastAsia" w:ascii="宋体" w:hAnsi="宋体" w:cs="宋体"/>
                <w:color w:val="auto"/>
                <w:szCs w:val="21"/>
              </w:rPr>
            </w:pPr>
            <w:r>
              <w:rPr>
                <w:rFonts w:hint="eastAsia" w:ascii="宋体" w:hAnsi="宋体" w:cs="宋体"/>
                <w:color w:val="auto"/>
                <w:szCs w:val="21"/>
              </w:rPr>
              <w:t>九、二代身份证读卡器：</w:t>
            </w:r>
          </w:p>
          <w:p w14:paraId="7F19914E">
            <w:pPr>
              <w:jc w:val="left"/>
              <w:rPr>
                <w:rFonts w:hint="eastAsia" w:ascii="宋体" w:hAnsi="宋体" w:cs="宋体"/>
                <w:color w:val="auto"/>
                <w:szCs w:val="21"/>
              </w:rPr>
            </w:pPr>
            <w:r>
              <w:rPr>
                <w:rFonts w:hint="eastAsia" w:ascii="宋体" w:hAnsi="宋体" w:cs="宋体"/>
                <w:color w:val="auto"/>
                <w:szCs w:val="21"/>
              </w:rPr>
              <w:t>1、支持阅读二代身份证/校园卡</w:t>
            </w:r>
          </w:p>
          <w:p w14:paraId="12580393">
            <w:pPr>
              <w:jc w:val="left"/>
              <w:rPr>
                <w:rFonts w:hint="eastAsia" w:ascii="宋体" w:hAnsi="宋体" w:cs="宋体"/>
                <w:color w:val="auto"/>
                <w:szCs w:val="21"/>
              </w:rPr>
            </w:pPr>
            <w:r>
              <w:rPr>
                <w:rFonts w:hint="eastAsia" w:ascii="宋体" w:hAnsi="宋体" w:cs="宋体"/>
                <w:color w:val="auto"/>
                <w:szCs w:val="21"/>
              </w:rPr>
              <w:t>2、支持ISO 14443 Type A/B 标准感应IC 卡</w:t>
            </w:r>
          </w:p>
          <w:p w14:paraId="7AB16517">
            <w:pPr>
              <w:jc w:val="left"/>
              <w:rPr>
                <w:rFonts w:hint="eastAsia" w:ascii="宋体" w:hAnsi="宋体" w:cs="宋体"/>
                <w:color w:val="auto"/>
                <w:szCs w:val="21"/>
              </w:rPr>
            </w:pPr>
            <w:r>
              <w:rPr>
                <w:rFonts w:hint="eastAsia" w:ascii="宋体" w:hAnsi="宋体" w:cs="宋体"/>
                <w:color w:val="auto"/>
                <w:szCs w:val="21"/>
              </w:rPr>
              <w:t>3、读卡距离：0-50mm</w:t>
            </w:r>
          </w:p>
          <w:p w14:paraId="0FE8AF08">
            <w:pPr>
              <w:jc w:val="left"/>
              <w:rPr>
                <w:rFonts w:hint="eastAsia" w:ascii="宋体" w:hAnsi="宋体" w:cs="宋体"/>
                <w:color w:val="auto"/>
                <w:szCs w:val="21"/>
              </w:rPr>
            </w:pPr>
            <w:r>
              <w:rPr>
                <w:rFonts w:hint="eastAsia" w:ascii="宋体" w:hAnsi="宋体" w:cs="宋体"/>
                <w:color w:val="auto"/>
                <w:szCs w:val="21"/>
              </w:rPr>
              <w:t>九、人体接近传感器</w:t>
            </w:r>
          </w:p>
          <w:p w14:paraId="7ED0AC2F">
            <w:pPr>
              <w:jc w:val="left"/>
              <w:rPr>
                <w:rFonts w:hint="eastAsia" w:ascii="宋体" w:hAnsi="宋体" w:cs="宋体"/>
                <w:color w:val="auto"/>
                <w:szCs w:val="21"/>
              </w:rPr>
            </w:pPr>
            <w:r>
              <w:rPr>
                <w:rFonts w:hint="eastAsia" w:ascii="宋体" w:hAnsi="宋体" w:cs="宋体"/>
                <w:color w:val="auto"/>
                <w:szCs w:val="21"/>
              </w:rPr>
              <w:t xml:space="preserve">1、采用高性能的光学镜头，实现长距离检测 </w:t>
            </w:r>
          </w:p>
          <w:p w14:paraId="1D4A503E">
            <w:pPr>
              <w:jc w:val="left"/>
              <w:rPr>
                <w:rFonts w:hint="eastAsia" w:ascii="宋体" w:hAnsi="宋体" w:cs="宋体"/>
                <w:color w:val="auto"/>
                <w:szCs w:val="21"/>
              </w:rPr>
            </w:pPr>
            <w:r>
              <w:rPr>
                <w:rFonts w:hint="eastAsia" w:ascii="宋体" w:hAnsi="宋体" w:cs="宋体"/>
                <w:color w:val="auto"/>
                <w:szCs w:val="21"/>
              </w:rPr>
              <w:t xml:space="preserve">2、防护等级达到IP67（IEC规格） </w:t>
            </w:r>
          </w:p>
          <w:p w14:paraId="26A72889">
            <w:pPr>
              <w:jc w:val="left"/>
              <w:rPr>
                <w:rFonts w:hint="eastAsia" w:ascii="宋体" w:hAnsi="宋体" w:cs="宋体"/>
                <w:color w:val="auto"/>
                <w:szCs w:val="21"/>
              </w:rPr>
            </w:pPr>
            <w:r>
              <w:rPr>
                <w:rFonts w:hint="eastAsia" w:ascii="宋体" w:hAnsi="宋体" w:cs="宋体"/>
                <w:color w:val="auto"/>
                <w:szCs w:val="21"/>
              </w:rPr>
              <w:t xml:space="preserve">3、长距离检测：漫反射型检测距离能达到1m </w:t>
            </w:r>
          </w:p>
          <w:p w14:paraId="587921C9">
            <w:pPr>
              <w:jc w:val="left"/>
              <w:rPr>
                <w:rFonts w:hint="eastAsia" w:ascii="宋体" w:hAnsi="宋体" w:cs="宋体"/>
                <w:color w:val="auto"/>
                <w:szCs w:val="21"/>
              </w:rPr>
            </w:pPr>
            <w:r>
              <w:rPr>
                <w:rFonts w:hint="eastAsia" w:ascii="宋体" w:hAnsi="宋体" w:cs="宋体"/>
                <w:color w:val="auto"/>
                <w:szCs w:val="21"/>
              </w:rPr>
              <w:t>4、响应时间：Max.1ms</w:t>
            </w:r>
          </w:p>
          <w:p w14:paraId="21011FA7">
            <w:pPr>
              <w:jc w:val="left"/>
              <w:rPr>
                <w:rFonts w:hint="eastAsia" w:ascii="宋体" w:hAnsi="宋体" w:cs="宋体"/>
                <w:color w:val="auto"/>
                <w:szCs w:val="21"/>
              </w:rPr>
            </w:pPr>
            <w:r>
              <w:rPr>
                <w:rFonts w:hint="eastAsia" w:ascii="宋体" w:hAnsi="宋体" w:cs="宋体"/>
                <w:color w:val="auto"/>
                <w:szCs w:val="21"/>
              </w:rPr>
              <w:t>5、光源：红外光（850nm）</w:t>
            </w:r>
          </w:p>
          <w:p w14:paraId="3BAE7889">
            <w:pPr>
              <w:jc w:val="left"/>
              <w:rPr>
                <w:rFonts w:hint="eastAsia" w:ascii="宋体" w:hAnsi="宋体" w:cs="宋体"/>
                <w:color w:val="auto"/>
                <w:szCs w:val="21"/>
              </w:rPr>
            </w:pPr>
            <w:r>
              <w:rPr>
                <w:rFonts w:hint="eastAsia" w:ascii="宋体" w:hAnsi="宋体" w:cs="宋体"/>
                <w:color w:val="auto"/>
                <w:szCs w:val="21"/>
              </w:rPr>
              <w:t>6、指示灯:动作时：红色，稳定时：绿色（对射型 电源指示灯：红色）</w:t>
            </w:r>
          </w:p>
          <w:p w14:paraId="57701A11">
            <w:pPr>
              <w:jc w:val="left"/>
              <w:rPr>
                <w:rFonts w:hint="eastAsia" w:ascii="宋体" w:hAnsi="宋体" w:cs="宋体"/>
                <w:color w:val="auto"/>
                <w:szCs w:val="21"/>
              </w:rPr>
            </w:pPr>
            <w:r>
              <w:rPr>
                <w:rFonts w:hint="eastAsia" w:ascii="宋体" w:hAnsi="宋体" w:cs="宋体"/>
                <w:color w:val="auto"/>
                <w:szCs w:val="21"/>
              </w:rPr>
              <w:t>十、音频：</w:t>
            </w:r>
          </w:p>
          <w:p w14:paraId="23BE172C">
            <w:pPr>
              <w:jc w:val="left"/>
              <w:rPr>
                <w:rFonts w:hint="eastAsia" w:ascii="宋体" w:hAnsi="宋体" w:cs="宋体"/>
                <w:color w:val="auto"/>
                <w:szCs w:val="21"/>
              </w:rPr>
            </w:pPr>
            <w:r>
              <w:rPr>
                <w:rFonts w:hint="eastAsia" w:ascii="宋体" w:hAnsi="宋体" w:cs="宋体"/>
                <w:color w:val="auto"/>
                <w:szCs w:val="21"/>
              </w:rPr>
              <w:t>具备功放喇叭，4Ω2W-LCM10</w:t>
            </w:r>
          </w:p>
          <w:p w14:paraId="56B0A5E9">
            <w:pPr>
              <w:jc w:val="left"/>
              <w:rPr>
                <w:rFonts w:hint="eastAsia" w:ascii="宋体" w:hAnsi="宋体" w:cs="宋体"/>
                <w:color w:val="auto"/>
                <w:szCs w:val="21"/>
              </w:rPr>
            </w:pPr>
            <w:r>
              <w:rPr>
                <w:rFonts w:hint="eastAsia" w:ascii="宋体" w:hAnsi="宋体" w:cs="宋体"/>
                <w:color w:val="auto"/>
                <w:szCs w:val="21"/>
              </w:rPr>
              <w:t>十一、机柜</w:t>
            </w:r>
          </w:p>
          <w:p w14:paraId="602E5E9F">
            <w:pPr>
              <w:jc w:val="left"/>
              <w:rPr>
                <w:rFonts w:hint="eastAsia" w:ascii="宋体" w:hAnsi="宋体" w:cs="宋体"/>
                <w:color w:val="auto"/>
                <w:szCs w:val="21"/>
              </w:rPr>
            </w:pPr>
            <w:r>
              <w:rPr>
                <w:rFonts w:hint="eastAsia" w:ascii="宋体" w:hAnsi="宋体" w:cs="宋体"/>
                <w:color w:val="auto"/>
                <w:szCs w:val="21"/>
              </w:rPr>
              <w:t>1、整机高度≤1800mm，整机尺寸≤600*600mm;</w:t>
            </w:r>
          </w:p>
          <w:p w14:paraId="245FF5A0">
            <w:pPr>
              <w:jc w:val="left"/>
              <w:rPr>
                <w:rFonts w:hint="eastAsia" w:ascii="宋体" w:hAnsi="宋体" w:cs="宋体"/>
                <w:color w:val="auto"/>
                <w:szCs w:val="21"/>
              </w:rPr>
            </w:pPr>
            <w:r>
              <w:rPr>
                <w:rFonts w:hint="eastAsia" w:ascii="宋体" w:hAnsi="宋体" w:cs="宋体"/>
                <w:color w:val="auto"/>
                <w:szCs w:val="21"/>
              </w:rPr>
              <w:t>2、布局合理，操作界面具备1米外防窥设计，配备重型支撑活动滚轮，方便设备移动，工艺精细，推拉式轨道维护；</w:t>
            </w:r>
          </w:p>
          <w:p w14:paraId="17943A62">
            <w:pPr>
              <w:jc w:val="left"/>
              <w:rPr>
                <w:rFonts w:hint="eastAsia" w:ascii="宋体" w:hAnsi="宋体" w:cs="宋体"/>
                <w:color w:val="auto"/>
                <w:szCs w:val="21"/>
              </w:rPr>
            </w:pPr>
            <w:r>
              <w:rPr>
                <w:rFonts w:hint="eastAsia" w:ascii="宋体" w:hAnsi="宋体" w:cs="宋体"/>
                <w:color w:val="auto"/>
                <w:szCs w:val="21"/>
              </w:rPr>
              <w:t>3、防水、防尘、防锈、防腐、耐磨，设备进出口处均有操作指示灯</w:t>
            </w:r>
          </w:p>
          <w:p w14:paraId="75B0BA77">
            <w:pPr>
              <w:jc w:val="left"/>
              <w:rPr>
                <w:rFonts w:hint="eastAsia" w:ascii="宋体" w:hAnsi="宋体" w:cs="宋体"/>
                <w:color w:val="auto"/>
                <w:szCs w:val="21"/>
              </w:rPr>
            </w:pPr>
            <w:r>
              <w:rPr>
                <w:rFonts w:hint="eastAsia" w:ascii="宋体" w:hAnsi="宋体" w:cs="宋体"/>
                <w:color w:val="auto"/>
                <w:szCs w:val="21"/>
              </w:rPr>
              <w:t>十二、设备安装维护</w:t>
            </w:r>
          </w:p>
          <w:p w14:paraId="43B3F76D">
            <w:pPr>
              <w:jc w:val="left"/>
              <w:rPr>
                <w:rFonts w:hint="eastAsia" w:ascii="宋体" w:hAnsi="宋体" w:cs="宋体"/>
                <w:color w:val="auto"/>
                <w:szCs w:val="21"/>
              </w:rPr>
            </w:pPr>
            <w:r>
              <w:rPr>
                <w:rFonts w:hint="eastAsia" w:ascii="宋体" w:hAnsi="宋体" w:cs="宋体"/>
                <w:color w:val="auto"/>
                <w:szCs w:val="21"/>
              </w:rPr>
              <w:t>对安装、使用环境要求如下：</w:t>
            </w:r>
          </w:p>
          <w:p w14:paraId="0F4E239B">
            <w:pPr>
              <w:jc w:val="left"/>
              <w:rPr>
                <w:rFonts w:hint="eastAsia" w:ascii="宋体" w:hAnsi="宋体" w:cs="宋体"/>
                <w:color w:val="auto"/>
                <w:szCs w:val="21"/>
              </w:rPr>
            </w:pPr>
            <w:r>
              <w:rPr>
                <w:rFonts w:hint="eastAsia" w:ascii="宋体" w:hAnsi="宋体" w:cs="宋体"/>
                <w:color w:val="auto"/>
                <w:szCs w:val="21"/>
              </w:rPr>
              <w:t xml:space="preserve">1、地面：坚硬平稳的水平地面 </w:t>
            </w:r>
          </w:p>
          <w:p w14:paraId="719C344F">
            <w:pPr>
              <w:jc w:val="left"/>
              <w:rPr>
                <w:rFonts w:hint="eastAsia" w:ascii="宋体" w:hAnsi="宋体" w:cs="宋体"/>
                <w:color w:val="auto"/>
                <w:szCs w:val="21"/>
              </w:rPr>
            </w:pPr>
            <w:r>
              <w:rPr>
                <w:rFonts w:hint="eastAsia" w:ascii="宋体" w:hAnsi="宋体" w:cs="宋体"/>
                <w:color w:val="auto"/>
                <w:szCs w:val="21"/>
              </w:rPr>
              <w:t xml:space="preserve">2、预留输入电缆：标准三芯电源线一根（设备自带），标准网线一根。 </w:t>
            </w:r>
          </w:p>
          <w:p w14:paraId="7D8418CE">
            <w:pPr>
              <w:jc w:val="left"/>
              <w:rPr>
                <w:rFonts w:hint="eastAsia" w:ascii="宋体" w:hAnsi="宋体" w:cs="宋体"/>
                <w:color w:val="auto"/>
                <w:szCs w:val="21"/>
              </w:rPr>
            </w:pPr>
            <w:r>
              <w:rPr>
                <w:rFonts w:hint="eastAsia" w:ascii="宋体" w:hAnsi="宋体" w:cs="宋体"/>
                <w:color w:val="auto"/>
                <w:szCs w:val="21"/>
              </w:rPr>
              <w:t xml:space="preserve">3、预留接口距离：市电国标三相电源插座，距离设备直线距离≤2.5M。 </w:t>
            </w:r>
          </w:p>
          <w:p w14:paraId="4ACB68D0">
            <w:pPr>
              <w:jc w:val="left"/>
              <w:rPr>
                <w:rFonts w:hint="eastAsia" w:ascii="宋体" w:hAnsi="宋体" w:cs="宋体"/>
                <w:color w:val="auto"/>
                <w:szCs w:val="21"/>
              </w:rPr>
            </w:pPr>
            <w:r>
              <w:rPr>
                <w:rFonts w:hint="eastAsia" w:ascii="宋体" w:hAnsi="宋体" w:cs="宋体"/>
                <w:color w:val="auto"/>
                <w:szCs w:val="21"/>
              </w:rPr>
              <w:t xml:space="preserve">4、电源：输入电源规格为AC220V，此电源不能与产生噪音的电气设备共享，比如空调、吸尘器、马达等； 每台设备必须配置相应的固定插座，且有接地线和漏电保护装置，其测量值如下： </w:t>
            </w:r>
          </w:p>
          <w:p w14:paraId="77FCF220">
            <w:pPr>
              <w:jc w:val="left"/>
              <w:rPr>
                <w:rFonts w:hint="eastAsia" w:ascii="宋体" w:hAnsi="宋体" w:cs="宋体"/>
                <w:color w:val="auto"/>
                <w:szCs w:val="21"/>
              </w:rPr>
            </w:pPr>
            <w:r>
              <w:rPr>
                <w:rFonts w:hint="eastAsia" w:ascii="宋体" w:hAnsi="宋体" w:cs="宋体"/>
                <w:color w:val="auto"/>
                <w:szCs w:val="21"/>
              </w:rPr>
              <w:t xml:space="preserve">零线——火线电压 220V±10% </w:t>
            </w:r>
          </w:p>
          <w:p w14:paraId="70B5E8F9">
            <w:pPr>
              <w:jc w:val="left"/>
              <w:rPr>
                <w:rFonts w:hint="eastAsia" w:ascii="宋体" w:hAnsi="宋体" w:cs="宋体"/>
                <w:color w:val="auto"/>
                <w:szCs w:val="21"/>
              </w:rPr>
            </w:pPr>
            <w:r>
              <w:rPr>
                <w:rFonts w:hint="eastAsia" w:ascii="宋体" w:hAnsi="宋体" w:cs="宋体"/>
                <w:color w:val="auto"/>
                <w:szCs w:val="21"/>
              </w:rPr>
              <w:t xml:space="preserve">火线——地线电压 220V±10% </w:t>
            </w:r>
          </w:p>
          <w:p w14:paraId="73873BFD">
            <w:pPr>
              <w:jc w:val="left"/>
              <w:rPr>
                <w:rFonts w:hint="eastAsia" w:ascii="宋体" w:hAnsi="宋体" w:cs="宋体"/>
                <w:color w:val="auto"/>
                <w:szCs w:val="21"/>
              </w:rPr>
            </w:pPr>
            <w:r>
              <w:rPr>
                <w:rFonts w:hint="eastAsia" w:ascii="宋体" w:hAnsi="宋体" w:cs="宋体"/>
                <w:color w:val="auto"/>
                <w:szCs w:val="21"/>
              </w:rPr>
              <w:t xml:space="preserve">连接设备的电源插座应选用三相插座。 </w:t>
            </w:r>
          </w:p>
          <w:p w14:paraId="69F043C4">
            <w:pPr>
              <w:jc w:val="left"/>
              <w:rPr>
                <w:rFonts w:hint="eastAsia" w:ascii="宋体" w:hAnsi="宋体" w:cs="宋体"/>
                <w:color w:val="auto"/>
                <w:szCs w:val="21"/>
              </w:rPr>
            </w:pPr>
            <w:r>
              <w:rPr>
                <w:rFonts w:hint="eastAsia" w:ascii="宋体" w:hAnsi="宋体" w:cs="宋体"/>
                <w:color w:val="auto"/>
                <w:szCs w:val="21"/>
              </w:rPr>
              <w:t xml:space="preserve">严禁将零线和地线短接或用零线代替地线。 </w:t>
            </w:r>
          </w:p>
          <w:p w14:paraId="6102C3B5">
            <w:pPr>
              <w:jc w:val="left"/>
              <w:rPr>
                <w:rFonts w:hint="eastAsia" w:ascii="宋体" w:hAnsi="宋体" w:cs="宋体"/>
                <w:color w:val="auto"/>
                <w:szCs w:val="21"/>
              </w:rPr>
            </w:pPr>
            <w:r>
              <w:rPr>
                <w:rFonts w:hint="eastAsia" w:ascii="宋体" w:hAnsi="宋体" w:cs="宋体"/>
                <w:color w:val="auto"/>
                <w:szCs w:val="21"/>
              </w:rPr>
              <w:t>5、放置要求：</w:t>
            </w:r>
          </w:p>
          <w:p w14:paraId="685A4871">
            <w:pPr>
              <w:jc w:val="left"/>
              <w:rPr>
                <w:rFonts w:hint="eastAsia" w:ascii="宋体" w:hAnsi="宋体" w:cs="宋体"/>
                <w:color w:val="auto"/>
                <w:szCs w:val="21"/>
              </w:rPr>
            </w:pPr>
            <w:r>
              <w:rPr>
                <w:rFonts w:hint="eastAsia" w:ascii="宋体" w:hAnsi="宋体" w:cs="宋体"/>
                <w:color w:val="auto"/>
                <w:szCs w:val="21"/>
              </w:rPr>
              <w:t xml:space="preserve">设备后面距离墙壁的距离预留100mm以上的空间距离。 </w:t>
            </w:r>
          </w:p>
          <w:p w14:paraId="585A2403">
            <w:pPr>
              <w:jc w:val="left"/>
              <w:rPr>
                <w:rFonts w:hint="eastAsia" w:ascii="宋体" w:hAnsi="宋体" w:cs="宋体"/>
                <w:color w:val="auto"/>
                <w:szCs w:val="21"/>
              </w:rPr>
            </w:pPr>
            <w:r>
              <w:rPr>
                <w:rFonts w:hint="eastAsia" w:ascii="宋体" w:hAnsi="宋体" w:cs="宋体"/>
                <w:color w:val="auto"/>
                <w:szCs w:val="21"/>
              </w:rPr>
              <w:t xml:space="preserve">当多台设备并排放置时，两台设备的中间维护距离应≥300mm。 </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B0D4727">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台</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14:paraId="22166D7B">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3</w:t>
            </w:r>
          </w:p>
        </w:tc>
      </w:tr>
      <w:tr w14:paraId="451C7CBD">
        <w:tblPrEx>
          <w:tblCellMar>
            <w:top w:w="0" w:type="dxa"/>
            <w:left w:w="108" w:type="dxa"/>
            <w:bottom w:w="0" w:type="dxa"/>
            <w:right w:w="108" w:type="dxa"/>
          </w:tblCellMar>
        </w:tblPrEx>
        <w:trPr>
          <w:trHeight w:val="156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14:paraId="6077EC9B">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7</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14:paraId="46EBE412">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墙面设计制作（一站式服务大厅)</w:t>
            </w:r>
          </w:p>
        </w:tc>
        <w:tc>
          <w:tcPr>
            <w:tcW w:w="6090" w:type="dxa"/>
            <w:tcBorders>
              <w:top w:val="single" w:color="000000" w:sz="4" w:space="0"/>
              <w:left w:val="single" w:color="000000" w:sz="4" w:space="0"/>
              <w:bottom w:val="single" w:color="000000" w:sz="4" w:space="0"/>
              <w:right w:val="single" w:color="000000" w:sz="4" w:space="0"/>
            </w:tcBorders>
            <w:noWrap w:val="0"/>
            <w:vAlign w:val="center"/>
          </w:tcPr>
          <w:p w14:paraId="23381B60">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一、形象墙标题字，迷你发光字：定做迷你发光字，18毫米迷你版雕刻藏LED节能灯带发光，雕刻等比例字模开孔接电安装固定；单字尺寸：25x25cm，共20个字。</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二、底部结构设计，形象墙制作内部焊接角铁，对于角焊缝，焊缝的两侧15~20mm内要清理干净。</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采用砂轮修磨或化学处理的方式去除板材表面的氧化膜、铁锈以及油和水等。干挂大理石纹理碳晶板定制碳晶板：7.5厘厚碳晶板，尺寸：宽1220*长2440mm，竹炭实芯材质2、表层膜：可水性PVC膜、十字布基膜、真丝布pet；中夹层：竹炭发泡层3、产品性能：EO级环保，B级防火4、安装方式：将防水防霉结构胶均匀涂在做好基底的墙面上，再将碳晶板按照顺序放置在粘合面上，并用专用工具压平、挤压，以确保板材和基材之间的粘合牢固，约为72平方</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三、标题字：</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1、局部应用1.5mm厚不锈钢烤漆，按图形切割平面，侧面宽锌铁皮烤漆围边，LOGO底部造型；</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2、logo造型用1.5厚度304不锈钢板激光切割，内部焊接支撑框架，</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3、围边厚度50mm，定制围边成立体效果工艺打磨抛光，，</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4、双面烤漆至少3遍，打磨补灰，</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5、焊接方式：氩弧焊，</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6、内容部分立体字，金属不锈钢发光字，</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四、部分内容定制：18厘结皮PVC板雕刻造型；正面展示内容上UV及喷印效果，固定上墙；数量：1套,定制花池一套。</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五、图文展板设计图</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1、文化墙二次设计，全部墙面内容排版设计：墙面内容结合采购人收集提供的图文内容进行画面内容的排版设计，人工安装等；</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B9D6186">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项</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14:paraId="261E79D5">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r>
      <w:tr w14:paraId="29F3B9C2">
        <w:tblPrEx>
          <w:tblCellMar>
            <w:top w:w="0" w:type="dxa"/>
            <w:left w:w="108" w:type="dxa"/>
            <w:bottom w:w="0" w:type="dxa"/>
            <w:right w:w="108" w:type="dxa"/>
          </w:tblCellMar>
        </w:tblPrEx>
        <w:trPr>
          <w:trHeight w:val="158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14:paraId="102899AA">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8</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14:paraId="2CAAA625">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系统集成</w:t>
            </w:r>
          </w:p>
        </w:tc>
        <w:tc>
          <w:tcPr>
            <w:tcW w:w="6090" w:type="dxa"/>
            <w:tcBorders>
              <w:top w:val="single" w:color="000000" w:sz="4" w:space="0"/>
              <w:left w:val="single" w:color="000000" w:sz="4" w:space="0"/>
              <w:bottom w:val="single" w:color="000000" w:sz="4" w:space="0"/>
              <w:right w:val="single" w:color="000000" w:sz="4" w:space="0"/>
            </w:tcBorders>
            <w:noWrap w:val="0"/>
            <w:vAlign w:val="center"/>
          </w:tcPr>
          <w:p w14:paraId="37B288F0">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设备的安装所需要的线材，增加的铜管大于等于3米以及人工费用。</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含网线、音视频线、线盒、钉子、胶布等满足本项目需求的线材及辅材。1.货物到项目学校的运输、安装、调试及培训服务；</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2.系统集成所需材料要求符合；</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3.要求所有布线均入线盒，不能裸露在外；</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4.布线规范，横平竖直。</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37E9A6C">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14:paraId="63F9A3A3">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r>
      <w:tr w14:paraId="085A8E62">
        <w:tblPrEx>
          <w:tblCellMar>
            <w:top w:w="0" w:type="dxa"/>
            <w:left w:w="108" w:type="dxa"/>
            <w:bottom w:w="0" w:type="dxa"/>
            <w:right w:w="108" w:type="dxa"/>
          </w:tblCellMar>
        </w:tblPrEx>
        <w:trPr>
          <w:trHeight w:val="64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14:paraId="3C18B305">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9</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14:paraId="402090A2">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办公室区域文化墙</w:t>
            </w:r>
          </w:p>
        </w:tc>
        <w:tc>
          <w:tcPr>
            <w:tcW w:w="6090" w:type="dxa"/>
            <w:tcBorders>
              <w:top w:val="single" w:color="000000" w:sz="4" w:space="0"/>
              <w:left w:val="single" w:color="000000" w:sz="4" w:space="0"/>
              <w:bottom w:val="single" w:color="000000" w:sz="4" w:space="0"/>
              <w:right w:val="single" w:color="000000" w:sz="4" w:space="0"/>
            </w:tcBorders>
            <w:noWrap w:val="0"/>
            <w:vAlign w:val="center"/>
          </w:tcPr>
          <w:p w14:paraId="254EA263">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尺寸：第一面尺寸10000*1600mm；</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18厘PVC雕刻，网版印刷加工色彩，面贴亚克力uv背喷</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1、材料：一级18毫米厚的PVC板，确保其表面平整和光滑，适合进行雕刻和印刷。</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2、设计和雕刻造型，根据设计要求，将图案转化为激光雕刻的矢量文件格式。</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AB57EE5">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平米</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14:paraId="218E5EF9">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16</w:t>
            </w:r>
          </w:p>
        </w:tc>
      </w:tr>
      <w:tr w14:paraId="699AAC3E">
        <w:tblPrEx>
          <w:tblCellMar>
            <w:top w:w="0" w:type="dxa"/>
            <w:left w:w="108" w:type="dxa"/>
            <w:bottom w:w="0" w:type="dxa"/>
            <w:right w:w="108" w:type="dxa"/>
          </w:tblCellMar>
        </w:tblPrEx>
        <w:trPr>
          <w:trHeight w:val="96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14:paraId="52EF0156">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10</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14:paraId="3BD73CF9">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移动推车</w:t>
            </w:r>
          </w:p>
        </w:tc>
        <w:tc>
          <w:tcPr>
            <w:tcW w:w="6090" w:type="dxa"/>
            <w:tcBorders>
              <w:top w:val="single" w:color="000000" w:sz="4" w:space="0"/>
              <w:left w:val="single" w:color="000000" w:sz="4" w:space="0"/>
              <w:bottom w:val="single" w:color="000000" w:sz="4" w:space="0"/>
              <w:right w:val="single" w:color="000000" w:sz="4" w:space="0"/>
            </w:tcBorders>
            <w:noWrap w:val="0"/>
            <w:vAlign w:val="center"/>
          </w:tcPr>
          <w:p w14:paraId="7737D201">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移动轮，可支持85英寸-100英寸</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E6F8B0F">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个</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14:paraId="01155A1D">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r>
      <w:tr w14:paraId="03FB5B15">
        <w:tblPrEx>
          <w:tblCellMar>
            <w:top w:w="0" w:type="dxa"/>
            <w:left w:w="108" w:type="dxa"/>
            <w:bottom w:w="0" w:type="dxa"/>
            <w:right w:w="108" w:type="dxa"/>
          </w:tblCellMar>
        </w:tblPrEx>
        <w:trPr>
          <w:trHeight w:val="96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14:paraId="4D43A816">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11</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14:paraId="4296B011">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移动投屏器</w:t>
            </w:r>
          </w:p>
        </w:tc>
        <w:tc>
          <w:tcPr>
            <w:tcW w:w="6090" w:type="dxa"/>
            <w:tcBorders>
              <w:top w:val="single" w:color="000000" w:sz="4" w:space="0"/>
              <w:left w:val="single" w:color="000000" w:sz="4" w:space="0"/>
              <w:bottom w:val="single" w:color="000000" w:sz="4" w:space="0"/>
              <w:right w:val="single" w:color="000000" w:sz="4" w:space="0"/>
            </w:tcBorders>
            <w:noWrap w:val="0"/>
            <w:vAlign w:val="center"/>
          </w:tcPr>
          <w:p w14:paraId="5722ABD1">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≥50米传输，5G通信，≥1080P高清画质。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0A086EE">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14:paraId="70EF9F7E">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r>
      <w:tr w14:paraId="10B7E4B8">
        <w:tblPrEx>
          <w:tblCellMar>
            <w:top w:w="0" w:type="dxa"/>
            <w:left w:w="108" w:type="dxa"/>
            <w:bottom w:w="0" w:type="dxa"/>
            <w:right w:w="108" w:type="dxa"/>
          </w:tblCellMar>
        </w:tblPrEx>
        <w:trPr>
          <w:trHeight w:val="168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14:paraId="67E5C8C5">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12</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14:paraId="0FA85714">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墙面设计制作（征兵室)</w:t>
            </w:r>
          </w:p>
        </w:tc>
        <w:tc>
          <w:tcPr>
            <w:tcW w:w="6090" w:type="dxa"/>
            <w:tcBorders>
              <w:top w:val="single" w:color="000000" w:sz="4" w:space="0"/>
              <w:left w:val="single" w:color="000000" w:sz="4" w:space="0"/>
              <w:bottom w:val="single" w:color="000000" w:sz="4" w:space="0"/>
              <w:right w:val="single" w:color="000000" w:sz="4" w:space="0"/>
            </w:tcBorders>
            <w:noWrap w:val="0"/>
            <w:vAlign w:val="center"/>
          </w:tcPr>
          <w:p w14:paraId="4B3A4579">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尺寸：15000*1600mm文化版面制作，例如标题字以及PVC材料等。</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内容18毫米PVC雕刻，网版印刷加工色彩。局部面贴亚克力uv背喷，墙面美化，底部用9毫米板打底，面贴9毫米碳晶板，阻燃等级E1级别。底部踢脚线，铝合金踢脚线，高度60mm。</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607F0D6">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平米</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14:paraId="00886447">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24</w:t>
            </w:r>
          </w:p>
        </w:tc>
      </w:tr>
      <w:tr w14:paraId="3C4E7B56">
        <w:tblPrEx>
          <w:tblCellMar>
            <w:top w:w="0" w:type="dxa"/>
            <w:left w:w="108" w:type="dxa"/>
            <w:bottom w:w="0" w:type="dxa"/>
            <w:right w:w="108" w:type="dxa"/>
          </w:tblCellMar>
        </w:tblPrEx>
        <w:trPr>
          <w:trHeight w:val="64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14:paraId="4F3DA875">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13</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14:paraId="2C7D96A5">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视频处理器</w:t>
            </w:r>
          </w:p>
        </w:tc>
        <w:tc>
          <w:tcPr>
            <w:tcW w:w="6090" w:type="dxa"/>
            <w:tcBorders>
              <w:top w:val="single" w:color="000000" w:sz="4" w:space="0"/>
              <w:left w:val="single" w:color="000000" w:sz="4" w:space="0"/>
              <w:bottom w:val="single" w:color="000000" w:sz="4" w:space="0"/>
              <w:right w:val="single" w:color="000000" w:sz="4" w:space="0"/>
            </w:tcBorders>
            <w:noWrap w:val="0"/>
            <w:vAlign w:val="center"/>
          </w:tcPr>
          <w:p w14:paraId="5238C38A">
            <w:pPr>
              <w:widowControl/>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1、单设备最大带载 ≥390 万像素点，最大宽度可达 ≥10240 像素，最高≥ 8192 像素。</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2、可接收多类视频信号，支持输出画面缩放、OSD、低延迟、逐点亮色度校正等功能。</w:t>
            </w:r>
          </w:p>
          <w:p w14:paraId="4C01134C">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3、拥有完备的视频输入接口，支持</w:t>
            </w:r>
            <w:r>
              <w:rPr>
                <w:rFonts w:hint="eastAsia" w:ascii="宋体" w:hAnsi="宋体" w:cs="宋体"/>
                <w:color w:val="auto"/>
                <w:szCs w:val="21"/>
              </w:rPr>
              <w:t>≥</w:t>
            </w:r>
            <w:r>
              <w:rPr>
                <w:rFonts w:hint="eastAsia" w:ascii="宋体" w:hAnsi="宋体" w:cs="宋体"/>
                <w:color w:val="auto"/>
                <w:kern w:val="0"/>
                <w:szCs w:val="21"/>
                <w:lang w:bidi="ar"/>
              </w:rPr>
              <w:t>2 路 HDMI 接口，1路DVI接口，6路千兆网口输出，支持 3.5mm 独立音频输入输出。</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4、支持创建 10 个用户场景作为模板保存,方便快速调用。</w:t>
            </w:r>
            <w:r>
              <w:rPr>
                <w:rFonts w:hint="eastAsia" w:ascii="宋体" w:hAnsi="宋体" w:cs="宋体"/>
                <w:color w:val="auto"/>
                <w:kern w:val="0"/>
                <w:szCs w:val="21"/>
                <w:lang w:bidi="ar"/>
              </w:rPr>
              <w:br w:type="textWrapping"/>
            </w:r>
            <w:bookmarkStart w:id="39" w:name="OLE_LINK3"/>
            <w:r>
              <w:rPr>
                <w:rFonts w:hint="eastAsia" w:ascii="宋体" w:hAnsi="宋体" w:cs="宋体"/>
                <w:color w:val="auto"/>
                <w:szCs w:val="21"/>
              </w:rPr>
              <w:t>●</w:t>
            </w:r>
            <w:bookmarkEnd w:id="39"/>
            <w:r>
              <w:rPr>
                <w:rFonts w:hint="eastAsia" w:ascii="宋体" w:hAnsi="宋体" w:cs="宋体"/>
                <w:color w:val="auto"/>
                <w:kern w:val="0"/>
                <w:szCs w:val="21"/>
                <w:lang w:bidi="ar"/>
              </w:rPr>
              <w:t>5、液晶面板可实时显示，型号，ip地址，窗口及信号源的分辨率以及状态信息，输出6路网口的状态屏幕大小及帧频信息，设备同步模式展示或网线连接状态，屏体亮度。</w:t>
            </w:r>
            <w:r>
              <w:rPr>
                <w:rFonts w:hint="eastAsia" w:ascii="宋体" w:hAnsi="宋体" w:cs="宋体"/>
                <w:color w:val="auto"/>
                <w:kern w:val="0"/>
                <w:szCs w:val="21"/>
                <w:lang w:bidi="ar"/>
              </w:rPr>
              <w:br w:type="textWrapping"/>
            </w:r>
            <w:r>
              <w:rPr>
                <w:rFonts w:hint="eastAsia" w:ascii="宋体" w:hAnsi="宋体" w:cs="宋体"/>
                <w:color w:val="auto"/>
                <w:szCs w:val="21"/>
              </w:rPr>
              <w:t>●</w:t>
            </w:r>
            <w:r>
              <w:rPr>
                <w:rFonts w:hint="eastAsia" w:ascii="宋体" w:hAnsi="宋体" w:cs="宋体"/>
                <w:color w:val="auto"/>
                <w:kern w:val="0"/>
                <w:szCs w:val="21"/>
                <w:lang w:bidi="ar"/>
              </w:rPr>
              <w:t>6、支持选择 HDMI 输入源或 DVI 输入源作为同步信号，达到输出的场级同步。</w:t>
            </w:r>
            <w:r>
              <w:rPr>
                <w:rFonts w:hint="eastAsia" w:ascii="宋体" w:hAnsi="宋体" w:cs="宋体"/>
                <w:color w:val="auto"/>
                <w:kern w:val="0"/>
                <w:szCs w:val="21"/>
                <w:lang w:bidi="ar"/>
              </w:rPr>
              <w:br w:type="textWrapping"/>
            </w:r>
            <w:r>
              <w:rPr>
                <w:rFonts w:hint="eastAsia" w:ascii="宋体" w:hAnsi="宋体" w:cs="宋体"/>
                <w:color w:val="auto"/>
                <w:szCs w:val="21"/>
              </w:rPr>
              <w:t>●</w:t>
            </w:r>
            <w:r>
              <w:rPr>
                <w:rFonts w:hint="eastAsia" w:ascii="宋体" w:hAnsi="宋体" w:cs="宋体"/>
                <w:color w:val="auto"/>
                <w:kern w:val="0"/>
                <w:szCs w:val="21"/>
                <w:lang w:bidi="ar"/>
              </w:rPr>
              <w:t>7、支持逐点亮度校正，可以对每个灯点的亮度和色度进行校正，有效消除色差，使整屏的亮度和色度达到高度均匀一致，提高显示屏的画质。</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8、发送卡和视频处理器二合一，连线更加少，稳定性兼容性大大提升</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10EAF46">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台</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14:paraId="6E00651E">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r>
      <w:tr w14:paraId="06D18848">
        <w:tblPrEx>
          <w:tblCellMar>
            <w:top w:w="0" w:type="dxa"/>
            <w:left w:w="108" w:type="dxa"/>
            <w:bottom w:w="0" w:type="dxa"/>
            <w:right w:w="108" w:type="dxa"/>
          </w:tblCellMar>
        </w:tblPrEx>
        <w:trPr>
          <w:trHeight w:val="64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14:paraId="6DAB302D">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14</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14:paraId="78497FBF">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专业音箱</w:t>
            </w:r>
          </w:p>
        </w:tc>
        <w:tc>
          <w:tcPr>
            <w:tcW w:w="6090" w:type="dxa"/>
            <w:tcBorders>
              <w:top w:val="single" w:color="000000" w:sz="4" w:space="0"/>
              <w:left w:val="single" w:color="000000" w:sz="4" w:space="0"/>
              <w:bottom w:val="single" w:color="000000" w:sz="4" w:space="0"/>
              <w:right w:val="single" w:color="000000" w:sz="4" w:space="0"/>
            </w:tcBorders>
            <w:noWrap w:val="0"/>
            <w:vAlign w:val="center"/>
          </w:tcPr>
          <w:p w14:paraId="74E44294">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1.阻抗≤8Ω</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2.频响等同或优于70Hz-20KHz</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3.额定功率≥150W</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4.灵敏度≥96dB/W/M</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5.水平覆盖角≥100°，垂直覆盖角≥80°</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6.高音≥3"锥形高音单元×2</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7.低音≥8"低音×1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A336001">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只</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14:paraId="7E09F12F">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4</w:t>
            </w:r>
          </w:p>
        </w:tc>
      </w:tr>
      <w:tr w14:paraId="5C303226">
        <w:tblPrEx>
          <w:tblCellMar>
            <w:top w:w="0" w:type="dxa"/>
            <w:left w:w="108" w:type="dxa"/>
            <w:bottom w:w="0" w:type="dxa"/>
            <w:right w:w="108" w:type="dxa"/>
          </w:tblCellMar>
        </w:tblPrEx>
        <w:trPr>
          <w:trHeight w:val="64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14:paraId="713BD46B">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15</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14:paraId="3A36C9CC">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支架</w:t>
            </w:r>
          </w:p>
        </w:tc>
        <w:tc>
          <w:tcPr>
            <w:tcW w:w="6090" w:type="dxa"/>
            <w:tcBorders>
              <w:top w:val="single" w:color="000000" w:sz="4" w:space="0"/>
              <w:left w:val="single" w:color="000000" w:sz="4" w:space="0"/>
              <w:bottom w:val="single" w:color="000000" w:sz="4" w:space="0"/>
              <w:right w:val="single" w:color="000000" w:sz="4" w:space="0"/>
            </w:tcBorders>
            <w:noWrap w:val="0"/>
            <w:vAlign w:val="center"/>
          </w:tcPr>
          <w:p w14:paraId="60E6D634">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固定面板固定孔尺寸（长*宽）：34mm*34mm</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箱体固定面板固定孔尺寸：110mm</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重量：≤0.5Kg</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D6E75D3">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个</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14:paraId="5CB0AF3D">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4</w:t>
            </w:r>
          </w:p>
        </w:tc>
      </w:tr>
      <w:tr w14:paraId="7EF1CBF2">
        <w:tblPrEx>
          <w:tblCellMar>
            <w:top w:w="0" w:type="dxa"/>
            <w:left w:w="108" w:type="dxa"/>
            <w:bottom w:w="0" w:type="dxa"/>
            <w:right w:w="108" w:type="dxa"/>
          </w:tblCellMar>
        </w:tblPrEx>
        <w:trPr>
          <w:trHeight w:val="64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14:paraId="2CD88738">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16</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14:paraId="504DB0A6">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专业功放</w:t>
            </w:r>
          </w:p>
        </w:tc>
        <w:tc>
          <w:tcPr>
            <w:tcW w:w="6090" w:type="dxa"/>
            <w:tcBorders>
              <w:top w:val="single" w:color="000000" w:sz="4" w:space="0"/>
              <w:left w:val="single" w:color="000000" w:sz="4" w:space="0"/>
              <w:bottom w:val="single" w:color="000000" w:sz="4" w:space="0"/>
              <w:right w:val="single" w:color="000000" w:sz="4" w:space="0"/>
            </w:tcBorders>
            <w:noWrap w:val="0"/>
            <w:vAlign w:val="center"/>
          </w:tcPr>
          <w:p w14:paraId="27FCC4B1">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1.标准≤1U机箱设计，采用D类数字功放设计方案。</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2.标准XLR输入接口，和LINK输出口。</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3.电源采用开关电源技术，效率高，有效的抑制电源谐波。</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 xml:space="preserve">4.内置智能削峰限幅器，支持开机软启动，防止开机时向电网吸收大电流，干扰其它用电设备。 </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5.具有：过压保护，欠压保护，过流保护，直流保护，输出短路保护，温控风扇等功能。</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6.输出功率：立体声@8Ω：≥200W×2；立体声@4Ω：≥400W×2。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D448630">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台</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14:paraId="73818020">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w:t>
            </w:r>
          </w:p>
        </w:tc>
      </w:tr>
      <w:tr w14:paraId="3D6B3CF0">
        <w:tblPrEx>
          <w:tblCellMar>
            <w:top w:w="0" w:type="dxa"/>
            <w:left w:w="108" w:type="dxa"/>
            <w:bottom w:w="0" w:type="dxa"/>
            <w:right w:w="108" w:type="dxa"/>
          </w:tblCellMar>
        </w:tblPrEx>
        <w:trPr>
          <w:trHeight w:val="64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14:paraId="564D92CC">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17</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14:paraId="2F3D3B0E">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调音台</w:t>
            </w:r>
          </w:p>
        </w:tc>
        <w:tc>
          <w:tcPr>
            <w:tcW w:w="6090" w:type="dxa"/>
            <w:tcBorders>
              <w:top w:val="single" w:color="000000" w:sz="4" w:space="0"/>
              <w:left w:val="single" w:color="000000" w:sz="4" w:space="0"/>
              <w:bottom w:val="single" w:color="000000" w:sz="4" w:space="0"/>
              <w:right w:val="single" w:color="000000" w:sz="4" w:space="0"/>
            </w:tcBorders>
            <w:noWrap w:val="0"/>
            <w:vAlign w:val="center"/>
          </w:tcPr>
          <w:p w14:paraId="07AFEC94">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1.支持≥10路MIC输入兼容8路线路输入接口，支持≥2组立体声输入接口，≥4路RCA输入，话筒接口幻象电源：+48V。</w:t>
            </w:r>
            <w:r>
              <w:rPr>
                <w:rFonts w:hint="eastAsia" w:ascii="宋体" w:hAnsi="宋体" w:cs="宋体"/>
                <w:color w:val="auto"/>
                <w:kern w:val="0"/>
                <w:szCs w:val="21"/>
                <w:lang w:bidi="ar"/>
              </w:rPr>
              <w:br w:type="textWrapping"/>
            </w:r>
            <w:r>
              <w:rPr>
                <w:rFonts w:hint="eastAsia" w:ascii="宋体" w:hAnsi="宋体" w:cs="宋体"/>
                <w:color w:val="auto"/>
                <w:szCs w:val="21"/>
              </w:rPr>
              <w:t>●</w:t>
            </w:r>
            <w:r>
              <w:rPr>
                <w:rFonts w:hint="eastAsia" w:ascii="宋体" w:hAnsi="宋体" w:cs="宋体"/>
                <w:color w:val="auto"/>
                <w:kern w:val="0"/>
                <w:szCs w:val="21"/>
                <w:lang w:bidi="ar"/>
              </w:rPr>
              <w:t>2.具有≥2组立体主输出、≥4路编组输出、≥4路辅助输出、≥1组立体声监听输出、≥1个耳机监听输出、≥1个效果输出、≥1组主混音断点插入、≥8个断点插入。</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3.内置≥24位DSP效果器，提供≥100种预设效果。</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4.具备≥15个60mm行程的高精密碳膜推子。</w:t>
            </w:r>
            <w:r>
              <w:rPr>
                <w:rFonts w:hint="eastAsia" w:ascii="宋体" w:hAnsi="宋体" w:cs="宋体"/>
                <w:color w:val="auto"/>
                <w:kern w:val="0"/>
                <w:szCs w:val="21"/>
                <w:lang w:bidi="ar"/>
              </w:rPr>
              <w:br w:type="textWrapping"/>
            </w:r>
            <w:r>
              <w:rPr>
                <w:rFonts w:hint="eastAsia" w:ascii="宋体" w:hAnsi="宋体" w:cs="宋体"/>
                <w:color w:val="auto"/>
                <w:szCs w:val="21"/>
              </w:rPr>
              <w:t>●</w:t>
            </w:r>
            <w:r>
              <w:rPr>
                <w:rFonts w:hint="eastAsia" w:ascii="宋体" w:hAnsi="宋体" w:cs="宋体"/>
                <w:color w:val="auto"/>
                <w:kern w:val="0"/>
                <w:szCs w:val="21"/>
                <w:lang w:bidi="ar"/>
              </w:rPr>
              <w:t>5.内置USB声卡模块，支持连接电脑进行音乐播放和声音录音；内置MP3播放器，支持≥1个USB接口接U盘播放音乐。</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9654F30">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台</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14:paraId="13693541">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r>
      <w:tr w14:paraId="49D9E705">
        <w:tblPrEx>
          <w:tblCellMar>
            <w:top w:w="0" w:type="dxa"/>
            <w:left w:w="108" w:type="dxa"/>
            <w:bottom w:w="0" w:type="dxa"/>
            <w:right w:w="108" w:type="dxa"/>
          </w:tblCellMar>
        </w:tblPrEx>
        <w:trPr>
          <w:trHeight w:val="64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14:paraId="18890D42">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18</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14:paraId="05A83D0C">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音频处理器</w:t>
            </w:r>
          </w:p>
        </w:tc>
        <w:tc>
          <w:tcPr>
            <w:tcW w:w="6090" w:type="dxa"/>
            <w:tcBorders>
              <w:top w:val="single" w:color="000000" w:sz="4" w:space="0"/>
              <w:left w:val="single" w:color="000000" w:sz="4" w:space="0"/>
              <w:bottom w:val="single" w:color="000000" w:sz="4" w:space="0"/>
              <w:right w:val="single" w:color="000000" w:sz="4" w:space="0"/>
            </w:tcBorders>
            <w:noWrap w:val="0"/>
            <w:vAlign w:val="center"/>
          </w:tcPr>
          <w:p w14:paraId="2B6D1BF2">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1.后面板具有≥4路线路音频凤凰端子平衡输入接口（具有48V幻象供电）、≥4路线路音频凤凰端子平衡输出接口、≥1个拨码开关、≥1个RJ45接口、≥1个RS232接口、≥1个RS485接口、≥8个可编程GPIO控制接口、≥1个接地柱；前面板具有≥2.0英寸 IPS 真彩显示屏、≥1个编码旋钮、≥1个USB存储设备接口。</w:t>
            </w:r>
            <w:r>
              <w:rPr>
                <w:rFonts w:hint="eastAsia" w:ascii="宋体" w:hAnsi="宋体" w:cs="宋体"/>
                <w:color w:val="auto"/>
                <w:kern w:val="0"/>
                <w:szCs w:val="21"/>
                <w:lang w:bidi="ar"/>
              </w:rPr>
              <w:br w:type="textWrapping"/>
            </w:r>
            <w:r>
              <w:rPr>
                <w:rFonts w:hint="eastAsia" w:ascii="宋体" w:hAnsi="宋体" w:cs="宋体"/>
                <w:color w:val="auto"/>
                <w:szCs w:val="21"/>
              </w:rPr>
              <w:t>●</w:t>
            </w:r>
            <w:r>
              <w:rPr>
                <w:rFonts w:hint="eastAsia" w:ascii="宋体" w:hAnsi="宋体" w:cs="宋体"/>
                <w:color w:val="auto"/>
                <w:kern w:val="0"/>
                <w:szCs w:val="21"/>
                <w:lang w:bidi="ar"/>
              </w:rPr>
              <w:t>2.输入通道支持前级放大、信号发生器、扩展器、压缩器、均衡器（≥12段参量均衡、可选10/15/31段图示均衡器可调，图示均衡器可用于单独调节带宽）、闪避器、AGC自动增益、AM自动混音功能（门限式、增益共享式）、AFC自适应反馈消除、AEC回声消除、ANC噪声消除、音频矩阵；输出通道支持均衡器（≥12段参量均衡、可选10/15/31段图示均衡器可调，图示均衡器可用于单独调节带宽）、延时器、分频器、高低通滤波器、限幅器；基于啸叫检测门限更新法，具有移频+陷波组合反馈抑制，可以使用≥24个可编程陷波点，可自由分配动态/静态点，自动/手动切换。</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3.具有矩阵增益调节功能，每个输入通道参与混音的增益可调，增益调节范围等同或优于-72db到12db。</w:t>
            </w:r>
            <w:r>
              <w:rPr>
                <w:rFonts w:hint="eastAsia" w:ascii="宋体" w:hAnsi="宋体" w:cs="宋体"/>
                <w:color w:val="auto"/>
                <w:kern w:val="0"/>
                <w:szCs w:val="21"/>
                <w:lang w:bidi="ar"/>
              </w:rPr>
              <w:br w:type="textWrapping"/>
            </w:r>
            <w:r>
              <w:rPr>
                <w:rFonts w:hint="eastAsia" w:ascii="宋体" w:hAnsi="宋体" w:cs="宋体"/>
                <w:color w:val="auto"/>
                <w:szCs w:val="21"/>
              </w:rPr>
              <w:t>●</w:t>
            </w:r>
            <w:r>
              <w:rPr>
                <w:rFonts w:hint="eastAsia" w:ascii="宋体" w:hAnsi="宋体" w:cs="宋体"/>
                <w:color w:val="auto"/>
                <w:kern w:val="0"/>
                <w:szCs w:val="21"/>
                <w:lang w:bidi="ar"/>
              </w:rPr>
              <w:t>4.音频处理器具有跨平台软件，可运行的操作系统≥8种，包括Windows7/10/11、银河麒麟桌面操作系统（例如：兆芯版）、银河麒麟桌面操作系统（例如：飞腾版）、macOS系统、统信UOS、Ubuntu桌面版操作系统。</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5.产品具有PC客户端、手机移动端、安卓平板端不同控制方式，可以通同时登入APP软件、PC客户端同时连接设备，并实现多端数据的同步。</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6.设备具有编码旋钮和IPS屏幕，可用于控制和配置设备静音，增益，场景；IPS屏幕能够显示IP地址，输入和输出通道的实时电平。</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7.具有设备定位功能，客户端一键定位局域网内同类设备，被定位的设备会显示定位信息。</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8.设备具有统一集中控制功能，支持≥65535台设备通过软件集中控制。</w:t>
            </w:r>
            <w:r>
              <w:rPr>
                <w:rFonts w:hint="eastAsia" w:ascii="宋体" w:hAnsi="宋体" w:cs="宋体"/>
                <w:color w:val="auto"/>
                <w:kern w:val="0"/>
                <w:szCs w:val="21"/>
                <w:lang w:bidi="ar"/>
              </w:rPr>
              <w:br w:type="textWrapping"/>
            </w:r>
            <w:r>
              <w:rPr>
                <w:rFonts w:hint="eastAsia" w:ascii="宋体" w:hAnsi="宋体" w:cs="宋体"/>
                <w:color w:val="auto"/>
                <w:szCs w:val="21"/>
              </w:rPr>
              <w:t>●</w:t>
            </w:r>
            <w:r>
              <w:rPr>
                <w:rFonts w:hint="eastAsia" w:ascii="宋体" w:hAnsi="宋体" w:cs="宋体"/>
                <w:color w:val="auto"/>
                <w:kern w:val="0"/>
                <w:szCs w:val="21"/>
                <w:lang w:bidi="ar"/>
              </w:rPr>
              <w:t>9.音频处理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20F503D">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台</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14:paraId="6480061A">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r>
      <w:tr w14:paraId="7D4A10FF">
        <w:tblPrEx>
          <w:tblCellMar>
            <w:top w:w="0" w:type="dxa"/>
            <w:left w:w="108" w:type="dxa"/>
            <w:bottom w:w="0" w:type="dxa"/>
            <w:right w:w="108" w:type="dxa"/>
          </w:tblCellMar>
        </w:tblPrEx>
        <w:trPr>
          <w:trHeight w:val="64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14:paraId="1776EB5B">
            <w:pPr>
              <w:widowControl/>
              <w:jc w:val="center"/>
              <w:textAlignment w:val="center"/>
              <w:rPr>
                <w:rFonts w:ascii="宋体" w:hAnsi="宋体" w:cs="宋体"/>
                <w:color w:val="auto"/>
                <w:szCs w:val="21"/>
              </w:rPr>
            </w:pPr>
            <w:r>
              <w:rPr>
                <w:rFonts w:hint="eastAsia" w:ascii="宋体" w:hAnsi="宋体" w:cs="宋体"/>
                <w:color w:val="auto"/>
                <w:kern w:val="0"/>
                <w:szCs w:val="21"/>
                <w:lang w:bidi="ar"/>
              </w:rPr>
              <w:t>19</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14:paraId="571A7ACD">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无线话筒</w:t>
            </w:r>
          </w:p>
        </w:tc>
        <w:tc>
          <w:tcPr>
            <w:tcW w:w="6090" w:type="dxa"/>
            <w:tcBorders>
              <w:top w:val="single" w:color="000000" w:sz="4" w:space="0"/>
              <w:left w:val="single" w:color="000000" w:sz="4" w:space="0"/>
              <w:bottom w:val="single" w:color="000000" w:sz="4" w:space="0"/>
              <w:right w:val="single" w:color="000000" w:sz="4" w:space="0"/>
            </w:tcBorders>
            <w:noWrap w:val="0"/>
            <w:vAlign w:val="center"/>
          </w:tcPr>
          <w:p w14:paraId="0B1E13EA">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1.基于数字U段的传输技术，pi/4-DQPSK调制方式，采用国产主控芯片，传输距离≥80米，接收机具有≥2路平衡输出、≥1路非平衡混音输出；具有混响、均衡、智能静音、音频加密、功率调节功能。</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2.具有≥1台接收主机、≥2只手持发射机；频率范围等同或优于470MHz-510MHz、540MHz-590MHz、640MHz-690MHz、807MHz-830MHz四个频段使用。</w:t>
            </w:r>
            <w:r>
              <w:rPr>
                <w:rFonts w:hint="eastAsia" w:ascii="宋体" w:hAnsi="宋体" w:cs="宋体"/>
                <w:color w:val="auto"/>
                <w:kern w:val="0"/>
                <w:szCs w:val="21"/>
                <w:lang w:bidi="ar"/>
              </w:rPr>
              <w:br w:type="textWrapping"/>
            </w:r>
            <w:r>
              <w:rPr>
                <w:rFonts w:hint="eastAsia" w:ascii="宋体" w:hAnsi="宋体" w:cs="宋体"/>
                <w:color w:val="auto"/>
                <w:szCs w:val="21"/>
              </w:rPr>
              <w:t>●</w:t>
            </w:r>
            <w:r>
              <w:rPr>
                <w:rFonts w:hint="eastAsia" w:ascii="宋体" w:hAnsi="宋体" w:cs="宋体"/>
                <w:color w:val="auto"/>
                <w:kern w:val="0"/>
                <w:szCs w:val="21"/>
                <w:lang w:bidi="ar"/>
              </w:rPr>
              <w:t>3.接收机前面板具有≥2个显示屏、≥2个编码旋钮、≥2个频率扫描实体按键、≥2个红外对频实体按键、≥1个电源开关按键、≥1个二合一指示灯（红外发射管+对频指示灯）；后面板具有≥1个LINE-OUT接口、≥2个XLR-OUT接口、≥2个BNC接口、≥1个DC接口。发射机具有≥1个OLED 显示屏、≥1个开关机/静音按键、≥2个工作状态指示灯</w:t>
            </w:r>
            <w:r>
              <w:rPr>
                <w:rFonts w:hint="eastAsia" w:ascii="宋体" w:hAnsi="宋体" w:cs="宋体"/>
                <w:color w:val="auto"/>
                <w:kern w:val="0"/>
                <w:szCs w:val="21"/>
                <w:lang w:bidi="ar"/>
              </w:rPr>
              <w:br w:type="textWrapping"/>
            </w:r>
            <w:r>
              <w:rPr>
                <w:rFonts w:hint="eastAsia" w:ascii="宋体" w:hAnsi="宋体" w:cs="宋体"/>
                <w:color w:val="auto"/>
                <w:szCs w:val="21"/>
              </w:rPr>
              <w:t>●</w:t>
            </w:r>
            <w:r>
              <w:rPr>
                <w:rFonts w:hint="eastAsia" w:ascii="宋体" w:hAnsi="宋体" w:cs="宋体"/>
                <w:color w:val="auto"/>
                <w:kern w:val="0"/>
                <w:szCs w:val="21"/>
                <w:lang w:bidi="ar"/>
              </w:rPr>
              <w:t>4.具有自动静音功能，麦克风跌落、抛掷时，毫秒级自动静音，避免冲击声；实时监测设备姿态，静置≥5秒静音，≥8分钟关机，无需手动干预。</w:t>
            </w:r>
            <w:r>
              <w:rPr>
                <w:rFonts w:hint="eastAsia" w:ascii="宋体" w:hAnsi="宋体" w:cs="宋体"/>
                <w:color w:val="auto"/>
                <w:kern w:val="0"/>
                <w:szCs w:val="21"/>
                <w:lang w:bidi="ar"/>
              </w:rPr>
              <w:br w:type="textWrapping"/>
            </w:r>
            <w:r>
              <w:rPr>
                <w:rFonts w:hint="eastAsia" w:ascii="宋体" w:hAnsi="宋体" w:cs="宋体"/>
                <w:color w:val="auto"/>
                <w:szCs w:val="21"/>
              </w:rPr>
              <w:t>●</w:t>
            </w:r>
            <w:r>
              <w:rPr>
                <w:rFonts w:hint="eastAsia" w:ascii="宋体" w:hAnsi="宋体" w:cs="宋体"/>
                <w:color w:val="auto"/>
                <w:kern w:val="0"/>
                <w:szCs w:val="21"/>
                <w:lang w:bidi="ar"/>
              </w:rPr>
              <w:t>5.具有多档位混响调节功能，混响效果≥15625个，效果占比、回响延时、混响幅度调节，三种音效各具有≥25档调节方式。</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6.具有多频段均衡调节功能，均衡调节≥2197种，麦克风均衡器调节功能，具有高、中、低音三种调节档位，每种效果支持≥13档调节。</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7.具有长时间续航，发射机使用时长≥10小时。</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8.具有ID码防串扰功能，采用32位唯一ID码，用于接收和发射配对，收发ID码必须相同才能对码，能够有效防止相同频率的信号相互串台。</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9.接收机具有≥2个2.2英寸的TFT-LCD显示屏；发射机具有≥0.96英寸OLED显示屏，能够显示频率信息、音频加密状态、功率挡位、静音状态、电量格数信息。</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299FA53">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14:paraId="07BE4C5C">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w:t>
            </w:r>
          </w:p>
        </w:tc>
      </w:tr>
      <w:tr w14:paraId="0439D822">
        <w:tblPrEx>
          <w:tblCellMar>
            <w:top w:w="0" w:type="dxa"/>
            <w:left w:w="108" w:type="dxa"/>
            <w:bottom w:w="0" w:type="dxa"/>
            <w:right w:w="108" w:type="dxa"/>
          </w:tblCellMar>
        </w:tblPrEx>
        <w:trPr>
          <w:trHeight w:val="64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14:paraId="6522BFD4">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20</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14:paraId="7E467912">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电源管理器</w:t>
            </w:r>
          </w:p>
        </w:tc>
        <w:tc>
          <w:tcPr>
            <w:tcW w:w="6090" w:type="dxa"/>
            <w:tcBorders>
              <w:top w:val="single" w:color="000000" w:sz="4" w:space="0"/>
              <w:left w:val="single" w:color="000000" w:sz="4" w:space="0"/>
              <w:bottom w:val="single" w:color="000000" w:sz="4" w:space="0"/>
              <w:right w:val="single" w:color="000000" w:sz="4" w:space="0"/>
            </w:tcBorders>
            <w:noWrap w:val="0"/>
            <w:vAlign w:val="center"/>
          </w:tcPr>
          <w:p w14:paraId="5503057C">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1.支持≥8通道电源时序打开/关闭，每路动作延时时间：≤1秒，支持远程控制（上电+24V直流信号）8通道电源时序打开/关闭—当电源开关处于off位置时有效。支持配置CH1和CH2通道为受控或不受控状态。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2.当远程控制有效时同时控制后板ALARM（报警）端口导通以起到级联控制ALARM（报警）功能。</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3.单个通道最大负载功率≥2200W，所有通道负载总功率≥6000W。输出连接器：多用途电源插座。</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4.具有一路及以上USB输出接口。</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519B9DF">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台</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14:paraId="63C43918">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r>
      <w:tr w14:paraId="5C09E461">
        <w:tblPrEx>
          <w:tblCellMar>
            <w:top w:w="0" w:type="dxa"/>
            <w:left w:w="108" w:type="dxa"/>
            <w:bottom w:w="0" w:type="dxa"/>
            <w:right w:w="108" w:type="dxa"/>
          </w:tblCellMar>
        </w:tblPrEx>
        <w:trPr>
          <w:trHeight w:val="64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14:paraId="39CDA47F">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21</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14:paraId="448159F5">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一拖四无线桌面话筒</w:t>
            </w:r>
          </w:p>
        </w:tc>
        <w:tc>
          <w:tcPr>
            <w:tcW w:w="6090" w:type="dxa"/>
            <w:tcBorders>
              <w:top w:val="single" w:color="000000" w:sz="4" w:space="0"/>
              <w:left w:val="single" w:color="000000" w:sz="4" w:space="0"/>
              <w:bottom w:val="single" w:color="000000" w:sz="4" w:space="0"/>
              <w:right w:val="single" w:color="000000" w:sz="4" w:space="0"/>
            </w:tcBorders>
            <w:noWrap w:val="0"/>
            <w:vAlign w:val="center"/>
          </w:tcPr>
          <w:p w14:paraId="131AC6C2">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1.基于数字U段的传输技术，pi/4-DQPSK调制方式，采用国产主控芯片，传输距离≥80米，接收机具有≥4路平衡输出、≥1路非平衡混音输出；具有混响、均衡、智能静音、音频加密、功率调节功能。</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2.具有≥1台接收主机、≥4台桌面式短咪杆发射机；频率范围等同或优于470MHz-510MHz、540MHz-590MHz、640MHz-690MHz、807MHz-830MHz四个频段使用。</w:t>
            </w:r>
            <w:r>
              <w:rPr>
                <w:rFonts w:hint="eastAsia" w:ascii="宋体" w:hAnsi="宋体" w:cs="宋体"/>
                <w:color w:val="auto"/>
                <w:kern w:val="0"/>
                <w:szCs w:val="21"/>
                <w:lang w:bidi="ar"/>
              </w:rPr>
              <w:br w:type="textWrapping"/>
            </w:r>
            <w:r>
              <w:rPr>
                <w:rFonts w:hint="eastAsia" w:ascii="宋体" w:hAnsi="宋体" w:cs="宋体"/>
                <w:color w:val="auto"/>
                <w:szCs w:val="21"/>
              </w:rPr>
              <w:t>●</w:t>
            </w:r>
            <w:r>
              <w:rPr>
                <w:rFonts w:hint="eastAsia" w:ascii="宋体" w:hAnsi="宋体" w:cs="宋体"/>
                <w:color w:val="auto"/>
                <w:kern w:val="0"/>
                <w:szCs w:val="21"/>
                <w:lang w:bidi="ar"/>
              </w:rPr>
              <w:t>3.接收机前面板具有≥4个LCD 显示屏、≥4个编码旋钮、≥4个频率扫描实体按键、≥4个红外对频实体按键、≥1个电源开关按键、≥1个二合一指示灯（红外发射管+对频指示灯）；后面板具有≥1个LINE-OUT接口、≥4个XLR-OUT接口、≥4个BNC接口、≥1个DC接口。桌面式发射机具有≥1个TYPE-C 充电口、≥1个3.5mm耳麦输入接口、≥1个OLED显示屏、≥1个电源开关按键，≥1个触摸开关麦按键。</w:t>
            </w:r>
            <w:r>
              <w:rPr>
                <w:rFonts w:hint="eastAsia" w:ascii="宋体" w:hAnsi="宋体" w:cs="宋体"/>
                <w:color w:val="auto"/>
                <w:kern w:val="0"/>
                <w:szCs w:val="21"/>
                <w:lang w:bidi="ar"/>
              </w:rPr>
              <w:br w:type="textWrapping"/>
            </w:r>
            <w:r>
              <w:rPr>
                <w:rFonts w:hint="eastAsia" w:ascii="宋体" w:hAnsi="宋体" w:cs="宋体"/>
                <w:color w:val="auto"/>
                <w:szCs w:val="21"/>
              </w:rPr>
              <w:t>●</w:t>
            </w:r>
            <w:r>
              <w:rPr>
                <w:rFonts w:hint="eastAsia" w:ascii="宋体" w:hAnsi="宋体" w:cs="宋体"/>
                <w:color w:val="auto"/>
                <w:kern w:val="0"/>
                <w:szCs w:val="21"/>
                <w:lang w:bidi="ar"/>
              </w:rPr>
              <w:t>4.具有多档位混响调节功能，混响效果≥15625个，效果占比、回响延时、混响幅度调节，三种音效各具有≥25档调节方式。</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5.具有多频段均衡调节功能，均衡调节≥2197种，麦克风均衡器调节功能，具有高、中、低音三种调节档位，每种效果支持≥13档调节。</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6.具有ID码防串扰功能，采用32位唯一ID码，用于接收和发射配对，收发ID码必须相同才能对码，能够有效防止相同频率的信号相互串台。</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7.接收机具有≥4个2.2英寸的TFT-LCD显示屏；发射机具有≥0.96英寸OLED显示屏，能够显示频率信息、音频加密状态、功率挡位、静音状态、电量格数信息。</w:t>
            </w:r>
            <w:r>
              <w:rPr>
                <w:rFonts w:hint="eastAsia" w:ascii="宋体" w:hAnsi="宋体" w:cs="宋体"/>
                <w:color w:val="auto"/>
                <w:kern w:val="0"/>
                <w:szCs w:val="21"/>
                <w:lang w:bidi="ar"/>
              </w:rPr>
              <w:br w:type="textWrapping"/>
            </w:r>
            <w:r>
              <w:rPr>
                <w:rFonts w:hint="eastAsia" w:ascii="宋体" w:hAnsi="宋体" w:cs="宋体"/>
                <w:color w:val="auto"/>
                <w:szCs w:val="21"/>
              </w:rPr>
              <w:t>●</w:t>
            </w:r>
            <w:r>
              <w:rPr>
                <w:rFonts w:hint="eastAsia" w:ascii="宋体" w:hAnsi="宋体" w:cs="宋体"/>
                <w:color w:val="auto"/>
                <w:kern w:val="0"/>
                <w:szCs w:val="21"/>
                <w:lang w:bidi="ar"/>
              </w:rPr>
              <w:t>8.桌面式发射机配置≥1颗容量2400mAh的锂电池，使用时长≥15小时；设备电池孔位≥4个，电池具有扩展性，通过拓展连续使用时长≥60小时。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FEF2979">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14:paraId="31567866">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w:t>
            </w:r>
          </w:p>
        </w:tc>
      </w:tr>
      <w:tr w14:paraId="22345104">
        <w:tblPrEx>
          <w:tblCellMar>
            <w:top w:w="0" w:type="dxa"/>
            <w:left w:w="108" w:type="dxa"/>
            <w:bottom w:w="0" w:type="dxa"/>
            <w:right w:w="108" w:type="dxa"/>
          </w:tblCellMar>
        </w:tblPrEx>
        <w:trPr>
          <w:trHeight w:val="64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14:paraId="3D3F733E">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22</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14:paraId="475EBAB2">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抑制器</w:t>
            </w:r>
          </w:p>
        </w:tc>
        <w:tc>
          <w:tcPr>
            <w:tcW w:w="6090" w:type="dxa"/>
            <w:tcBorders>
              <w:top w:val="single" w:color="000000" w:sz="4" w:space="0"/>
              <w:left w:val="single" w:color="000000" w:sz="4" w:space="0"/>
              <w:bottom w:val="single" w:color="000000" w:sz="4" w:space="0"/>
              <w:right w:val="single" w:color="000000" w:sz="4" w:space="0"/>
            </w:tcBorders>
            <w:noWrap w:val="0"/>
            <w:vAlign w:val="center"/>
          </w:tcPr>
          <w:p w14:paraId="74D00427">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1.基于啸叫检测门限更新法，具有移频+陷波反馈抑制功能，可以使用≥48个可编程陷波点。</w:t>
            </w:r>
            <w:r>
              <w:rPr>
                <w:rFonts w:hint="eastAsia" w:ascii="宋体" w:hAnsi="宋体" w:cs="宋体"/>
                <w:color w:val="auto"/>
                <w:kern w:val="0"/>
                <w:szCs w:val="21"/>
                <w:lang w:bidi="ar"/>
              </w:rPr>
              <w:br w:type="textWrapping"/>
            </w:r>
            <w:r>
              <w:rPr>
                <w:rFonts w:hint="eastAsia" w:ascii="宋体" w:hAnsi="宋体" w:cs="宋体"/>
                <w:color w:val="auto"/>
                <w:szCs w:val="21"/>
              </w:rPr>
              <w:t>●</w:t>
            </w:r>
            <w:r>
              <w:rPr>
                <w:rFonts w:hint="eastAsia" w:ascii="宋体" w:hAnsi="宋体" w:cs="宋体"/>
                <w:color w:val="auto"/>
                <w:kern w:val="0"/>
                <w:szCs w:val="21"/>
                <w:lang w:bidi="ar"/>
              </w:rPr>
              <w:t>2.前面板具有≥48个LED灯陷波状态指示灯（具有≥2×12个静态点和≥2×12个动态点）、≥2英寸IPS真彩显示屏、≥1个编码旋钮；后面板具有≥1个船形开关、≥2路XLR母座+2路TRS母座模拟输入、≥2路XLR母座+2路TRS母座模拟输出、≥1个RJ45接口。</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3.设备具有编码旋钮和≥2.0英寸IPS屏幕，可用于控制和配置设备直通、场景。IPS屏幕能够显示IP地址，输入和输出通道的实时电平。</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4.具有设备定位，PC客户端具有一键定位局域网内同类设备功能，被定位到的设备会在显示屏上显示定位信息。</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5.设备具有统一集中控制功能，支持≥65535台设备通过软件集中控制。</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6.支持多客户端数据同步，≥2个客户端以上连接混音器设备时，可实现多端数据同步。</w:t>
            </w:r>
            <w:r>
              <w:rPr>
                <w:rFonts w:hint="eastAsia" w:ascii="宋体" w:hAnsi="宋体" w:cs="宋体"/>
                <w:color w:val="auto"/>
                <w:kern w:val="0"/>
                <w:szCs w:val="21"/>
                <w:lang w:bidi="ar"/>
              </w:rPr>
              <w:br w:type="textWrapping"/>
            </w:r>
            <w:r>
              <w:rPr>
                <w:rFonts w:hint="eastAsia" w:ascii="宋体" w:hAnsi="宋体" w:cs="宋体"/>
                <w:color w:val="auto"/>
                <w:szCs w:val="21"/>
              </w:rPr>
              <w:t>●</w:t>
            </w:r>
            <w:r>
              <w:rPr>
                <w:rFonts w:hint="eastAsia" w:ascii="宋体" w:hAnsi="宋体" w:cs="宋体"/>
                <w:color w:val="auto"/>
                <w:kern w:val="0"/>
                <w:szCs w:val="21"/>
                <w:lang w:bidi="ar"/>
              </w:rPr>
              <w:t>7.反馈抑制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FA986A4">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台</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14:paraId="54DBDC32">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r>
      <w:tr w14:paraId="52BA2677">
        <w:tblPrEx>
          <w:tblCellMar>
            <w:top w:w="0" w:type="dxa"/>
            <w:left w:w="108" w:type="dxa"/>
            <w:bottom w:w="0" w:type="dxa"/>
            <w:right w:w="108" w:type="dxa"/>
          </w:tblCellMar>
        </w:tblPrEx>
        <w:trPr>
          <w:trHeight w:val="64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14:paraId="67727C34">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23</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14:paraId="030C91FF">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机柜</w:t>
            </w:r>
          </w:p>
        </w:tc>
        <w:tc>
          <w:tcPr>
            <w:tcW w:w="6090" w:type="dxa"/>
            <w:tcBorders>
              <w:top w:val="single" w:color="000000" w:sz="4" w:space="0"/>
              <w:left w:val="single" w:color="000000" w:sz="4" w:space="0"/>
              <w:bottom w:val="single" w:color="000000" w:sz="4" w:space="0"/>
              <w:right w:val="single" w:color="000000" w:sz="4" w:space="0"/>
            </w:tcBorders>
            <w:noWrap w:val="0"/>
            <w:vAlign w:val="center"/>
          </w:tcPr>
          <w:p w14:paraId="60629BF7">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规格：600*600*1000mm(宽深高），玻璃门。颜标准配置：</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1、钢化玻璃门和网孔门可选</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2、电源一套，</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3、固定板一块，</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4、二个风扇。</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5、颜色：黑色\白色。</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C6E6D70">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个</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14:paraId="69646771">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r>
      <w:tr w14:paraId="1152B375">
        <w:tblPrEx>
          <w:tblCellMar>
            <w:top w:w="0" w:type="dxa"/>
            <w:left w:w="108" w:type="dxa"/>
            <w:bottom w:w="0" w:type="dxa"/>
            <w:right w:w="108" w:type="dxa"/>
          </w:tblCellMar>
        </w:tblPrEx>
        <w:trPr>
          <w:trHeight w:val="74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14:paraId="64B99EDC">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24</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14:paraId="6A3E76A3">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24口交换机</w:t>
            </w:r>
          </w:p>
        </w:tc>
        <w:tc>
          <w:tcPr>
            <w:tcW w:w="6090" w:type="dxa"/>
            <w:tcBorders>
              <w:top w:val="single" w:color="000000" w:sz="4" w:space="0"/>
              <w:left w:val="single" w:color="000000" w:sz="4" w:space="0"/>
              <w:bottom w:val="single" w:color="000000" w:sz="4" w:space="0"/>
              <w:right w:val="single" w:color="000000" w:sz="4" w:space="0"/>
            </w:tcBorders>
            <w:noWrap w:val="0"/>
            <w:vAlign w:val="center"/>
          </w:tcPr>
          <w:p w14:paraId="7FAD32AC">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1.要求设备固化 24 个千兆电口，2 个千兆 SFP 光口，金属外壳，标准 1U 设备，可上架 19 寸机柜安装</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2.交换容量≥56Gbps，包转发率≥72Mpps</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3.支持智能流控硬件开关，可以有效的减少网络引起的延时，丢包，重传增加，网络资源不能用的问题</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509F0E8">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台</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14:paraId="388E191F">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r>
      <w:tr w14:paraId="67D101D1">
        <w:tblPrEx>
          <w:tblCellMar>
            <w:top w:w="0" w:type="dxa"/>
            <w:left w:w="108" w:type="dxa"/>
            <w:bottom w:w="0" w:type="dxa"/>
            <w:right w:w="108" w:type="dxa"/>
          </w:tblCellMar>
        </w:tblPrEx>
        <w:trPr>
          <w:trHeight w:val="67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14:paraId="54AB1D84">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25</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14:paraId="74A6EB68">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墙面设计制作(党团活动室）</w:t>
            </w:r>
          </w:p>
        </w:tc>
        <w:tc>
          <w:tcPr>
            <w:tcW w:w="6090" w:type="dxa"/>
            <w:tcBorders>
              <w:top w:val="single" w:color="000000" w:sz="4" w:space="0"/>
              <w:left w:val="single" w:color="000000" w:sz="4" w:space="0"/>
              <w:bottom w:val="single" w:color="000000" w:sz="4" w:space="0"/>
              <w:right w:val="single" w:color="000000" w:sz="4" w:space="0"/>
            </w:tcBorders>
            <w:noWrap w:val="0"/>
            <w:vAlign w:val="center"/>
          </w:tcPr>
          <w:p w14:paraId="5E206764">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尺寸：第一面尺寸≥5000*1600mm；第二面尺寸≥6400*1600mm，</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1、背景墙LED灯带≥15米，灯珠≥30颗/米，功率≥5W/米，色温≥4000K。</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LED背景墙装饰，底部：9毫米阻燃夹板开10公分龙骨间隔≥400*400mm钉做木方龙骨架，木龙骨结构做弧，面封7毫米阻燃板，板面封泰山石膏板，刮两层立邦牌腻子、打磨2-3遍，面刷2遍立邦乳胶漆面漆；部分墙面：12毫米夹板开10公分龙骨间隔400*400mm钉做木方龙骨架结构做造型，定制碳晶板：7.5毫米厚碳晶板，尺寸≥1220*2440mm，竹炭实芯材质，无醛，表面平整光滑、密度硬度高、经久耐用、耐撞击；</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3、18毫米PVC雕刻，网版印刷加工色彩，面贴亚克力uv背喷；材料：一级18毫米厚的PVC板，确保其表面平整和光滑，适合进行雕刻和印刷。</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设计和雕刻造型：使用专业的设计软件创建所需的造型和图案。根据设计要求，将图案转化为适合激光雕刻的矢量文件格式。最终按实际设计图为准。</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4、讲台区域台阶提升15cm。</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84B123C">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平米</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14:paraId="4D096B6B">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18</w:t>
            </w:r>
          </w:p>
        </w:tc>
      </w:tr>
      <w:tr w14:paraId="674EEFDE">
        <w:tblPrEx>
          <w:tblCellMar>
            <w:top w:w="0" w:type="dxa"/>
            <w:left w:w="108" w:type="dxa"/>
            <w:bottom w:w="0" w:type="dxa"/>
            <w:right w:w="108" w:type="dxa"/>
          </w:tblCellMar>
        </w:tblPrEx>
        <w:trPr>
          <w:trHeight w:val="52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14:paraId="27048EDD">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26</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14:paraId="4481280A">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移动推车</w:t>
            </w:r>
          </w:p>
        </w:tc>
        <w:tc>
          <w:tcPr>
            <w:tcW w:w="6090" w:type="dxa"/>
            <w:tcBorders>
              <w:top w:val="single" w:color="000000" w:sz="4" w:space="0"/>
              <w:left w:val="single" w:color="000000" w:sz="4" w:space="0"/>
              <w:bottom w:val="single" w:color="000000" w:sz="4" w:space="0"/>
              <w:right w:val="single" w:color="000000" w:sz="4" w:space="0"/>
            </w:tcBorders>
            <w:noWrap w:val="0"/>
            <w:vAlign w:val="center"/>
          </w:tcPr>
          <w:p w14:paraId="67800DD9">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移动轮，可支持85英寸-100英寸</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79FA4E6">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个</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14:paraId="412B5591">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w:t>
            </w:r>
          </w:p>
        </w:tc>
      </w:tr>
      <w:tr w14:paraId="05E713B4">
        <w:tblPrEx>
          <w:tblCellMar>
            <w:top w:w="0" w:type="dxa"/>
            <w:left w:w="108" w:type="dxa"/>
            <w:bottom w:w="0" w:type="dxa"/>
            <w:right w:w="108" w:type="dxa"/>
          </w:tblCellMar>
        </w:tblPrEx>
        <w:trPr>
          <w:trHeight w:val="62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14:paraId="3402B5F6">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27</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14:paraId="3A053AF7">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移动投屏器</w:t>
            </w:r>
          </w:p>
        </w:tc>
        <w:tc>
          <w:tcPr>
            <w:tcW w:w="6090" w:type="dxa"/>
            <w:tcBorders>
              <w:top w:val="single" w:color="000000" w:sz="4" w:space="0"/>
              <w:left w:val="single" w:color="000000" w:sz="4" w:space="0"/>
              <w:bottom w:val="single" w:color="000000" w:sz="4" w:space="0"/>
              <w:right w:val="single" w:color="000000" w:sz="4" w:space="0"/>
            </w:tcBorders>
            <w:noWrap w:val="0"/>
            <w:vAlign w:val="center"/>
          </w:tcPr>
          <w:p w14:paraId="2EA31655">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≥50米传输，5G通信，≥1080P高清画质。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B455E8F">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14:paraId="413D9479">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w:t>
            </w:r>
          </w:p>
        </w:tc>
      </w:tr>
      <w:tr w14:paraId="7F8BF7EB">
        <w:tblPrEx>
          <w:tblCellMar>
            <w:top w:w="0" w:type="dxa"/>
            <w:left w:w="108" w:type="dxa"/>
            <w:bottom w:w="0" w:type="dxa"/>
            <w:right w:w="108" w:type="dxa"/>
          </w:tblCellMar>
        </w:tblPrEx>
        <w:trPr>
          <w:trHeight w:val="64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14:paraId="0B5A9448">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28</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14:paraId="32B9E7CB">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8口千兆交换机</w:t>
            </w:r>
          </w:p>
        </w:tc>
        <w:tc>
          <w:tcPr>
            <w:tcW w:w="6090" w:type="dxa"/>
            <w:tcBorders>
              <w:top w:val="single" w:color="000000" w:sz="4" w:space="0"/>
              <w:left w:val="single" w:color="000000" w:sz="4" w:space="0"/>
              <w:bottom w:val="single" w:color="000000" w:sz="4" w:space="0"/>
              <w:right w:val="single" w:color="000000" w:sz="4" w:space="0"/>
            </w:tcBorders>
            <w:noWrap w:val="0"/>
            <w:vAlign w:val="center"/>
          </w:tcPr>
          <w:p w14:paraId="23E942A2">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二层管理型交换机，8个千兆电口，2个千兆SFP光口，交换容量≥256Gbps，包转发率≥27Mpps；支持全端口线速转发。</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9F849BA">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台</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14:paraId="6C8BF4B5">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w:t>
            </w:r>
          </w:p>
        </w:tc>
      </w:tr>
      <w:tr w14:paraId="177F5247">
        <w:tblPrEx>
          <w:tblCellMar>
            <w:top w:w="0" w:type="dxa"/>
            <w:left w:w="108" w:type="dxa"/>
            <w:bottom w:w="0" w:type="dxa"/>
            <w:right w:w="108" w:type="dxa"/>
          </w:tblCellMar>
        </w:tblPrEx>
        <w:trPr>
          <w:trHeight w:val="416"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14:paraId="00A95A0D">
            <w:pPr>
              <w:widowControl/>
              <w:jc w:val="center"/>
              <w:textAlignment w:val="center"/>
              <w:rPr>
                <w:rFonts w:ascii="宋体" w:hAnsi="宋体" w:cs="宋体"/>
                <w:color w:val="auto"/>
                <w:szCs w:val="21"/>
              </w:rPr>
            </w:pPr>
            <w:r>
              <w:rPr>
                <w:rFonts w:hint="eastAsia" w:ascii="宋体" w:hAnsi="宋体" w:cs="宋体"/>
                <w:color w:val="auto"/>
                <w:kern w:val="0"/>
                <w:szCs w:val="21"/>
                <w:lang w:bidi="ar"/>
              </w:rPr>
              <w:t>29</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14:paraId="4C35E5F4">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辅导员工作室文化墙</w:t>
            </w:r>
          </w:p>
        </w:tc>
        <w:tc>
          <w:tcPr>
            <w:tcW w:w="6090" w:type="dxa"/>
            <w:tcBorders>
              <w:top w:val="single" w:color="000000" w:sz="4" w:space="0"/>
              <w:left w:val="single" w:color="000000" w:sz="4" w:space="0"/>
              <w:bottom w:val="single" w:color="000000" w:sz="4" w:space="0"/>
              <w:right w:val="single" w:color="000000" w:sz="4" w:space="0"/>
            </w:tcBorders>
            <w:noWrap w:val="0"/>
            <w:vAlign w:val="center"/>
          </w:tcPr>
          <w:p w14:paraId="34B19CE8">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尺寸：8米*1.6米文化版面制作，例如标题字以及PVC材料等。</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内容18毫米PVC雕刻，网版印刷加工色彩。局部面贴亚克力uv背喷</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D4816F5">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平米</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14:paraId="7FACB898">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26</w:t>
            </w:r>
          </w:p>
        </w:tc>
      </w:tr>
      <w:tr w14:paraId="3D5254D0">
        <w:tblPrEx>
          <w:tblCellMar>
            <w:top w:w="0" w:type="dxa"/>
            <w:left w:w="108" w:type="dxa"/>
            <w:bottom w:w="0" w:type="dxa"/>
            <w:right w:w="108" w:type="dxa"/>
          </w:tblCellMar>
        </w:tblPrEx>
        <w:trPr>
          <w:trHeight w:val="64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14:paraId="31A56052">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30</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14:paraId="11E95923">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音箱</w:t>
            </w:r>
          </w:p>
        </w:tc>
        <w:tc>
          <w:tcPr>
            <w:tcW w:w="6090" w:type="dxa"/>
            <w:tcBorders>
              <w:top w:val="single" w:color="000000" w:sz="4" w:space="0"/>
              <w:left w:val="single" w:color="000000" w:sz="4" w:space="0"/>
              <w:bottom w:val="single" w:color="000000" w:sz="4" w:space="0"/>
              <w:right w:val="single" w:color="000000" w:sz="4" w:space="0"/>
            </w:tcBorders>
            <w:noWrap w:val="0"/>
            <w:vAlign w:val="center"/>
          </w:tcPr>
          <w:p w14:paraId="25B28F51">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1.额定功率：≥60W</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2.最大功率：≥120W</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3.标称阻抗：≤8Ω</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4.频率范围（-10dB）等同或优于80Hz-20kHz</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5.灵敏度：≥94dB±3dB</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6.最大声压级（额定/峰值）：≥111dB/117dB</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7.覆盖角度(-6dB）：水平覆盖角≥100°，垂直覆盖角≥70°</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8.音箱内置1只≥5寸中低音单元和1只≥25芯丝膜高音单元。</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324D658">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只</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14:paraId="5ABFD3C7">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4</w:t>
            </w:r>
          </w:p>
        </w:tc>
      </w:tr>
      <w:tr w14:paraId="3410AE86">
        <w:tblPrEx>
          <w:tblCellMar>
            <w:top w:w="0" w:type="dxa"/>
            <w:left w:w="108" w:type="dxa"/>
            <w:bottom w:w="0" w:type="dxa"/>
            <w:right w:w="108" w:type="dxa"/>
          </w:tblCellMar>
        </w:tblPrEx>
        <w:trPr>
          <w:trHeight w:val="64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14:paraId="0FEB61D3">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31</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14:paraId="549DFAEB">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支架</w:t>
            </w:r>
          </w:p>
        </w:tc>
        <w:tc>
          <w:tcPr>
            <w:tcW w:w="6090" w:type="dxa"/>
            <w:tcBorders>
              <w:top w:val="single" w:color="000000" w:sz="4" w:space="0"/>
              <w:left w:val="single" w:color="000000" w:sz="4" w:space="0"/>
              <w:bottom w:val="single" w:color="000000" w:sz="4" w:space="0"/>
              <w:right w:val="single" w:color="000000" w:sz="4" w:space="0"/>
            </w:tcBorders>
            <w:noWrap w:val="0"/>
            <w:vAlign w:val="center"/>
          </w:tcPr>
          <w:p w14:paraId="2349C7D7">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音箱支架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D728EFC">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只</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14:paraId="01D45E73">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4</w:t>
            </w:r>
          </w:p>
        </w:tc>
      </w:tr>
      <w:tr w14:paraId="08178D80">
        <w:tblPrEx>
          <w:tblCellMar>
            <w:top w:w="0" w:type="dxa"/>
            <w:left w:w="108" w:type="dxa"/>
            <w:bottom w:w="0" w:type="dxa"/>
            <w:right w:w="108" w:type="dxa"/>
          </w:tblCellMar>
        </w:tblPrEx>
        <w:trPr>
          <w:trHeight w:val="64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14:paraId="23CBA89D">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32</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14:paraId="2121DC46">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数字功放</w:t>
            </w:r>
          </w:p>
        </w:tc>
        <w:tc>
          <w:tcPr>
            <w:tcW w:w="6090" w:type="dxa"/>
            <w:tcBorders>
              <w:top w:val="single" w:color="000000" w:sz="4" w:space="0"/>
              <w:left w:val="single" w:color="000000" w:sz="4" w:space="0"/>
              <w:bottom w:val="single" w:color="000000" w:sz="4" w:space="0"/>
              <w:right w:val="single" w:color="000000" w:sz="4" w:space="0"/>
            </w:tcBorders>
            <w:noWrap w:val="0"/>
            <w:vAlign w:val="center"/>
          </w:tcPr>
          <w:p w14:paraId="2BAF86DC">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1.支持≥2路音频输入，带切换功能;支持≥3路话筒输入功能，带独立增益调节功能;支持MIC1双接口输入，并带幻象电源功能。</w:t>
            </w:r>
            <w:r>
              <w:rPr>
                <w:rFonts w:hint="eastAsia" w:ascii="宋体" w:hAnsi="宋体" w:cs="宋体"/>
                <w:color w:val="auto"/>
                <w:kern w:val="0"/>
                <w:szCs w:val="21"/>
                <w:lang w:bidi="ar"/>
              </w:rPr>
              <w:br w:type="textWrapping"/>
            </w:r>
            <w:r>
              <w:rPr>
                <w:rFonts w:hint="eastAsia" w:ascii="宋体" w:hAnsi="宋体" w:cs="宋体"/>
                <w:color w:val="auto"/>
                <w:szCs w:val="21"/>
              </w:rPr>
              <w:t>●</w:t>
            </w:r>
            <w:r>
              <w:rPr>
                <w:rFonts w:hint="eastAsia" w:ascii="宋体" w:hAnsi="宋体" w:cs="宋体"/>
                <w:color w:val="auto"/>
                <w:kern w:val="0"/>
                <w:szCs w:val="21"/>
                <w:lang w:bidi="ar"/>
              </w:rPr>
              <w:t>2.带TF/USB接口的MP3播放器，具有蓝牙播放功能，带数码管显示功能;带MP3录音功能。可以通过MP3随时.随地播放录音。</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3.额定输出功率≥4Ω×2：120W×2；8Ω×2：60W×2、输出阻抗≤4~8Ω;信噪比:Mic≥65dB， 音乐≥70dB;谐波失真:功放额定输出功率时的失真&lt;1%。</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4.效果器参数DELAY: ≥80ms-240ms、ECHO:1-12、REPEAT: 0.1s-2s.</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5.频率响应AUX,VCD等同或优于20HZ(±3dB)-20KHZ(±3dB);MIC等同或优于50HZ(±3dB)-16kHZ(±3dB)。保护方式:超温/短路、冷却方式:风冷式。</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C8A7EC6">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台</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14:paraId="3C6380AB">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w:t>
            </w:r>
          </w:p>
        </w:tc>
      </w:tr>
      <w:tr w14:paraId="7CCB2C27">
        <w:tblPrEx>
          <w:tblCellMar>
            <w:top w:w="0" w:type="dxa"/>
            <w:left w:w="108" w:type="dxa"/>
            <w:bottom w:w="0" w:type="dxa"/>
            <w:right w:w="108" w:type="dxa"/>
          </w:tblCellMar>
        </w:tblPrEx>
        <w:trPr>
          <w:trHeight w:val="64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14:paraId="4A95615A">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33</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14:paraId="4ECA6C2B">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无线话筒</w:t>
            </w:r>
          </w:p>
        </w:tc>
        <w:tc>
          <w:tcPr>
            <w:tcW w:w="6090" w:type="dxa"/>
            <w:tcBorders>
              <w:top w:val="single" w:color="000000" w:sz="4" w:space="0"/>
              <w:left w:val="single" w:color="000000" w:sz="4" w:space="0"/>
              <w:bottom w:val="single" w:color="000000" w:sz="4" w:space="0"/>
              <w:right w:val="single" w:color="000000" w:sz="4" w:space="0"/>
            </w:tcBorders>
            <w:noWrap w:val="0"/>
            <w:vAlign w:val="center"/>
          </w:tcPr>
          <w:p w14:paraId="12E47C90">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1.基于数字U段的传输技术，pi/4-DQPSK调制方式，采用国产主控芯片，传输距离≥80米，接收机具有≥2路平衡输出、≥1路非平衡混音输出；具有混响、均衡、智能静音、音频加密、功率调节功能。</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2.具有≥1台接收主机、≥2只手持发射机；频率范围等同或优于470MHz-510MHz、540MHz-590MHz、640MHz-690MHz、807MHz-830MHz四个频段使用。</w:t>
            </w:r>
            <w:r>
              <w:rPr>
                <w:rFonts w:hint="eastAsia" w:ascii="宋体" w:hAnsi="宋体" w:cs="宋体"/>
                <w:color w:val="auto"/>
                <w:kern w:val="0"/>
                <w:szCs w:val="21"/>
                <w:lang w:bidi="ar"/>
              </w:rPr>
              <w:br w:type="textWrapping"/>
            </w:r>
            <w:r>
              <w:rPr>
                <w:rFonts w:hint="eastAsia" w:ascii="宋体" w:hAnsi="宋体" w:cs="宋体"/>
                <w:color w:val="auto"/>
                <w:szCs w:val="21"/>
              </w:rPr>
              <w:t>●</w:t>
            </w:r>
            <w:r>
              <w:rPr>
                <w:rFonts w:hint="eastAsia" w:ascii="宋体" w:hAnsi="宋体" w:cs="宋体"/>
                <w:color w:val="auto"/>
                <w:kern w:val="0"/>
                <w:szCs w:val="21"/>
                <w:lang w:bidi="ar"/>
              </w:rPr>
              <w:t>3.接收机前面板具有≥2个显示屏、≥2个编码旋钮、≥2个频率扫描实体按键、≥2个红外对频实体按键、≥1个电源开关按键、≥1个二合一指示灯（红外发射管+对频指示灯）；后面板具有≥1个LINE-OUT接口、≥2个XLR-OUT接口、≥2个BNC接口、≥1个DC接口。发射机具有≥1个OLED 显示屏、≥1个开关机/静音按键、≥2个工作状态指示灯</w:t>
            </w:r>
            <w:r>
              <w:rPr>
                <w:rFonts w:hint="eastAsia" w:ascii="宋体" w:hAnsi="宋体" w:cs="宋体"/>
                <w:color w:val="auto"/>
                <w:kern w:val="0"/>
                <w:szCs w:val="21"/>
                <w:lang w:bidi="ar"/>
              </w:rPr>
              <w:br w:type="textWrapping"/>
            </w:r>
            <w:r>
              <w:rPr>
                <w:rFonts w:hint="eastAsia" w:ascii="宋体" w:hAnsi="宋体" w:cs="宋体"/>
                <w:color w:val="auto"/>
                <w:szCs w:val="21"/>
              </w:rPr>
              <w:t>●</w:t>
            </w:r>
            <w:r>
              <w:rPr>
                <w:rFonts w:hint="eastAsia" w:ascii="宋体" w:hAnsi="宋体" w:cs="宋体"/>
                <w:color w:val="auto"/>
                <w:kern w:val="0"/>
                <w:szCs w:val="21"/>
                <w:lang w:bidi="ar"/>
              </w:rPr>
              <w:t>4.具有自动静音功能，麦克风跌落、抛掷时，毫秒级自动静音，避免冲击声；实时监测设备姿态，静置≥5秒静音，≥8分钟关机，无需手动干预。</w:t>
            </w:r>
            <w:r>
              <w:rPr>
                <w:rFonts w:hint="eastAsia" w:ascii="宋体" w:hAnsi="宋体" w:cs="宋体"/>
                <w:color w:val="auto"/>
                <w:kern w:val="0"/>
                <w:szCs w:val="21"/>
                <w:lang w:bidi="ar"/>
              </w:rPr>
              <w:br w:type="textWrapping"/>
            </w:r>
            <w:r>
              <w:rPr>
                <w:rFonts w:hint="eastAsia" w:ascii="宋体" w:hAnsi="宋体" w:cs="宋体"/>
                <w:color w:val="auto"/>
                <w:szCs w:val="21"/>
              </w:rPr>
              <w:t>●</w:t>
            </w:r>
            <w:r>
              <w:rPr>
                <w:rFonts w:hint="eastAsia" w:ascii="宋体" w:hAnsi="宋体" w:cs="宋体"/>
                <w:color w:val="auto"/>
                <w:kern w:val="0"/>
                <w:szCs w:val="21"/>
                <w:lang w:bidi="ar"/>
              </w:rPr>
              <w:t>5.具有多档位混响调节功能，混响效果≥15625个，效果占比、回响延时、混响幅度调节，三种音效各具有≥25档调节方式。</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6.具有多频段均衡调节功能，均衡调节≥2197种，麦克风均衡器调节功能，具有高、中、低音三种调节档位，每种效果支持≥13档调节。</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7.具有长时间续航，发射机使用时长≥10小时。</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8.具有ID码防串扰功能，采用32位唯一ID码，用于接收和发射配对，收发ID码必须相同才能对码，能够有效防止相同频率的信号相互串台。</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9.接收机具有≥2个2.2英寸的TFT-LCD显示屏；发射机具有≥0.96英寸OLED显示屏，能够显示频率信息、音频加密状态、功率挡位、静音状态、电量格数信息。</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BE7DCE4">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14:paraId="5870DC81">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w:t>
            </w:r>
          </w:p>
        </w:tc>
      </w:tr>
      <w:tr w14:paraId="4BA25196">
        <w:tblPrEx>
          <w:tblCellMar>
            <w:top w:w="0" w:type="dxa"/>
            <w:left w:w="108" w:type="dxa"/>
            <w:bottom w:w="0" w:type="dxa"/>
            <w:right w:w="108" w:type="dxa"/>
          </w:tblCellMar>
        </w:tblPrEx>
        <w:trPr>
          <w:trHeight w:val="64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14:paraId="1F20E15F">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34</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14:paraId="5EDBFB6D">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窗帘</w:t>
            </w:r>
          </w:p>
        </w:tc>
        <w:tc>
          <w:tcPr>
            <w:tcW w:w="6090" w:type="dxa"/>
            <w:tcBorders>
              <w:top w:val="single" w:color="000000" w:sz="4" w:space="0"/>
              <w:left w:val="single" w:color="000000" w:sz="4" w:space="0"/>
              <w:bottom w:val="single" w:color="000000" w:sz="4" w:space="0"/>
              <w:right w:val="single" w:color="000000" w:sz="4" w:space="0"/>
            </w:tcBorders>
            <w:noWrap w:val="0"/>
            <w:vAlign w:val="center"/>
          </w:tcPr>
          <w:p w14:paraId="4E091ECC">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窗帘比例为1：1.8。玻璃窗总长度为6米。</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一、布料：</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1.纤维含量（成分）：聚酯纤维65%±5，粘纤35%±5；</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2.断裂强力：经向≥1300N，纬向≥1500N；</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3.马丁代尔起毛球：≥3级；</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4.马丁代尔耐磨：≥4000次；</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5.撕破强力：经向≥110N，纬向≥230N；</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6.接缝强力（条样法）：经向≥250 N，纬向≥270N；</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7.克重量：不低于381g/㎡；</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8.甲醛含量：达到GB 18401-2010 C类合格；</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AF5554A">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项</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14:paraId="0E7197BB">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w:t>
            </w:r>
          </w:p>
        </w:tc>
      </w:tr>
      <w:tr w14:paraId="09676C59">
        <w:tblPrEx>
          <w:tblCellMar>
            <w:top w:w="0" w:type="dxa"/>
            <w:left w:w="108" w:type="dxa"/>
            <w:bottom w:w="0" w:type="dxa"/>
            <w:right w:w="108" w:type="dxa"/>
          </w:tblCellMar>
        </w:tblPrEx>
        <w:trPr>
          <w:trHeight w:val="64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14:paraId="36E719F4">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35</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14:paraId="5835111A">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广西农业工程职业技术学院农业工程辅导员工作室装修设计改造</w:t>
            </w:r>
          </w:p>
        </w:tc>
        <w:tc>
          <w:tcPr>
            <w:tcW w:w="6090" w:type="dxa"/>
            <w:tcBorders>
              <w:top w:val="single" w:color="000000" w:sz="4" w:space="0"/>
              <w:left w:val="single" w:color="000000" w:sz="4" w:space="0"/>
              <w:bottom w:val="single" w:color="000000" w:sz="4" w:space="0"/>
              <w:right w:val="single" w:color="000000" w:sz="4" w:space="0"/>
            </w:tcBorders>
            <w:noWrap w:val="0"/>
            <w:vAlign w:val="center"/>
          </w:tcPr>
          <w:p w14:paraId="2EA5DDBE">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面积54平米【长9米，宽6米】包含天花（石膏板边吊、窗帘盒、刮腻子等），地面，玻璃新建墙面以及新建墙体的预算。具体装修工程量以博奥版为准。（控制价另附）</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95E4087">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项</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14:paraId="78ED8B6D">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w:t>
            </w:r>
          </w:p>
        </w:tc>
      </w:tr>
      <w:tr w14:paraId="5D966187">
        <w:tblPrEx>
          <w:tblCellMar>
            <w:top w:w="0" w:type="dxa"/>
            <w:left w:w="108" w:type="dxa"/>
            <w:bottom w:w="0" w:type="dxa"/>
            <w:right w:w="108" w:type="dxa"/>
          </w:tblCellMar>
        </w:tblPrEx>
        <w:trPr>
          <w:trHeight w:val="640" w:hRule="atLeast"/>
        </w:trPr>
        <w:tc>
          <w:tcPr>
            <w:tcW w:w="8428" w:type="dxa"/>
            <w:gridSpan w:val="4"/>
            <w:tcBorders>
              <w:top w:val="single" w:color="000000" w:sz="4" w:space="0"/>
              <w:left w:val="single" w:color="000000" w:sz="4" w:space="0"/>
              <w:bottom w:val="single" w:color="000000" w:sz="4" w:space="0"/>
              <w:right w:val="single" w:color="000000" w:sz="4" w:space="0"/>
            </w:tcBorders>
            <w:noWrap/>
            <w:vAlign w:val="center"/>
          </w:tcPr>
          <w:p w14:paraId="684A930B">
            <w:pPr>
              <w:widowControl/>
              <w:jc w:val="center"/>
              <w:textAlignment w:val="center"/>
              <w:rPr>
                <w:rFonts w:hint="eastAsia" w:ascii="宋体" w:hAnsi="宋体" w:cs="宋体"/>
                <w:color w:val="auto"/>
                <w:kern w:val="0"/>
                <w:szCs w:val="21"/>
                <w:lang w:bidi="ar"/>
              </w:rPr>
            </w:pPr>
            <w:r>
              <w:rPr>
                <w:rFonts w:hint="eastAsia" w:ascii="宋体" w:hAnsi="宋体" w:cs="宋体"/>
                <w:b/>
                <w:bCs/>
                <w:color w:val="auto"/>
                <w:kern w:val="0"/>
                <w:szCs w:val="21"/>
                <w:lang w:bidi="ar"/>
              </w:rPr>
              <w:t>合计（元）</w:t>
            </w:r>
          </w:p>
        </w:tc>
        <w:tc>
          <w:tcPr>
            <w:tcW w:w="1334" w:type="dxa"/>
            <w:gridSpan w:val="2"/>
            <w:tcBorders>
              <w:top w:val="single" w:color="000000" w:sz="4" w:space="0"/>
              <w:left w:val="single" w:color="000000" w:sz="4" w:space="0"/>
              <w:bottom w:val="single" w:color="000000" w:sz="4" w:space="0"/>
              <w:right w:val="single" w:color="000000" w:sz="4" w:space="0"/>
            </w:tcBorders>
            <w:noWrap w:val="0"/>
            <w:vAlign w:val="center"/>
          </w:tcPr>
          <w:p w14:paraId="6998297D">
            <w:pPr>
              <w:widowControl/>
              <w:jc w:val="center"/>
              <w:textAlignment w:val="center"/>
              <w:rPr>
                <w:rFonts w:ascii="宋体" w:hAnsi="宋体" w:cs="宋体"/>
                <w:color w:val="auto"/>
                <w:kern w:val="0"/>
                <w:szCs w:val="21"/>
                <w:lang w:bidi="ar"/>
              </w:rPr>
            </w:pPr>
            <w:r>
              <w:rPr>
                <w:rFonts w:hint="eastAsia" w:ascii="宋体" w:hAnsi="宋体" w:cs="宋体"/>
                <w:b/>
                <w:color w:val="auto"/>
              </w:rPr>
              <w:t>1311259.12</w:t>
            </w:r>
          </w:p>
        </w:tc>
      </w:tr>
      <w:tr w14:paraId="72BB54A4">
        <w:tblPrEx>
          <w:tblCellMar>
            <w:top w:w="0" w:type="dxa"/>
            <w:left w:w="108" w:type="dxa"/>
            <w:bottom w:w="0" w:type="dxa"/>
            <w:right w:w="108" w:type="dxa"/>
          </w:tblCellMar>
        </w:tblPrEx>
        <w:trPr>
          <w:trHeight w:val="640" w:hRule="atLeast"/>
        </w:trPr>
        <w:tc>
          <w:tcPr>
            <w:tcW w:w="1328" w:type="dxa"/>
            <w:gridSpan w:val="2"/>
            <w:tcBorders>
              <w:top w:val="single" w:color="000000" w:sz="4" w:space="0"/>
              <w:left w:val="single" w:color="000000" w:sz="4" w:space="0"/>
              <w:bottom w:val="single" w:color="000000" w:sz="4" w:space="0"/>
              <w:right w:val="single" w:color="000000" w:sz="4" w:space="0"/>
            </w:tcBorders>
            <w:noWrap/>
            <w:vAlign w:val="center"/>
          </w:tcPr>
          <w:p w14:paraId="02A8ED7E">
            <w:pPr>
              <w:widowControl/>
              <w:jc w:val="center"/>
              <w:textAlignment w:val="center"/>
              <w:rPr>
                <w:rFonts w:hint="eastAsia" w:ascii="宋体" w:hAnsi="宋体" w:cs="宋体"/>
                <w:b/>
                <w:bCs/>
                <w:color w:val="auto"/>
                <w:kern w:val="0"/>
                <w:szCs w:val="21"/>
                <w:lang w:bidi="ar"/>
              </w:rPr>
            </w:pPr>
            <w:r>
              <w:rPr>
                <w:rFonts w:hint="eastAsia" w:ascii="宋体" w:hAnsi="宋体" w:cs="宋体"/>
                <w:b/>
                <w:color w:val="auto"/>
              </w:rPr>
              <w:t>商务要求</w:t>
            </w:r>
          </w:p>
        </w:tc>
        <w:tc>
          <w:tcPr>
            <w:tcW w:w="8434" w:type="dxa"/>
            <w:gridSpan w:val="4"/>
            <w:tcBorders>
              <w:top w:val="single" w:color="000000" w:sz="4" w:space="0"/>
              <w:left w:val="single" w:color="000000" w:sz="4" w:space="0"/>
              <w:bottom w:val="single" w:color="000000" w:sz="4" w:space="0"/>
              <w:right w:val="single" w:color="000000" w:sz="4" w:space="0"/>
            </w:tcBorders>
            <w:noWrap w:val="0"/>
            <w:vAlign w:val="center"/>
          </w:tcPr>
          <w:p w14:paraId="2562BF3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本次报价须为人民币报价，包含产品价、运输费（含装卸费）、保险费、安装调试费、税费、培训费、产品检测费、产品保修期内维护费等费用。对于本文件中明确列明必须报价的货物或服务，供应商应分别报价。对于本文件中未列明，而供应商认为必需的费用也需列入总报价。在合同实施时，采购人将不予支付成交供应商没有列入的项目费用，并认为此项目的费用已包含在投标总报价中。</w:t>
            </w:r>
          </w:p>
          <w:p w14:paraId="6FB4D9FA">
            <w:pPr>
              <w:spacing w:line="360" w:lineRule="auto"/>
              <w:ind w:firstLine="420" w:firstLineChars="200"/>
              <w:rPr>
                <w:rFonts w:hint="eastAsia" w:ascii="宋体" w:hAnsi="宋体" w:cs="宋体"/>
                <w:i/>
                <w:color w:val="auto"/>
                <w:szCs w:val="21"/>
              </w:rPr>
            </w:pPr>
            <w:r>
              <w:rPr>
                <w:rFonts w:hint="eastAsia" w:ascii="宋体" w:hAnsi="宋体" w:cs="宋体"/>
                <w:color w:val="auto"/>
                <w:szCs w:val="21"/>
              </w:rPr>
              <w:t>2.合同签订日期：中标通知书发出后25日内。</w:t>
            </w:r>
          </w:p>
          <w:p w14:paraId="764356E4">
            <w:pPr>
              <w:widowControl/>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szCs w:val="21"/>
              </w:rPr>
              <w:t>3.服务时间：自签订合同之日起</w:t>
            </w:r>
            <w:r>
              <w:rPr>
                <w:rFonts w:hint="eastAsia" w:ascii="宋体" w:hAnsi="宋体" w:cs="宋体"/>
                <w:color w:val="auto"/>
                <w:szCs w:val="21"/>
                <w:u w:val="single"/>
              </w:rPr>
              <w:t xml:space="preserve">60个 </w:t>
            </w:r>
            <w:r>
              <w:rPr>
                <w:rFonts w:hint="eastAsia" w:ascii="宋体" w:hAnsi="宋体" w:cs="宋体"/>
                <w:color w:val="auto"/>
                <w:szCs w:val="21"/>
              </w:rPr>
              <w:t>日历日内全部交货安装完成并验收合格。</w:t>
            </w:r>
          </w:p>
          <w:p w14:paraId="6A06E55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4.保修期：</w:t>
            </w:r>
          </w:p>
          <w:p w14:paraId="271E7B1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（1）供应商应明确承诺：保修期自验收合格之日起不少于一年（含一年）。单项产品的保修期以“技术参数要求”中要求为准。保修期内全上门维修、更换零部件。保修期满后，终身维护。</w:t>
            </w:r>
          </w:p>
          <w:p w14:paraId="79FF0E6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（2）属于国家规定“三包”范围的，其保修期不得低于“三包”规定。成交供应商承诺保修期优于国家“三包”规定的，或优于招标文件规定的，按成交供应商实际承诺执行。</w:t>
            </w:r>
          </w:p>
          <w:p w14:paraId="0B38D28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4.交货地点：</w:t>
            </w:r>
            <w:r>
              <w:rPr>
                <w:rFonts w:hint="eastAsia" w:ascii="宋体" w:hAnsi="宋体" w:cs="宋体"/>
                <w:color w:val="auto"/>
                <w:szCs w:val="21"/>
                <w:u w:val="single"/>
              </w:rPr>
              <w:t>广西壮族自治区崇左市扶绥县空港大道25号广西农业工程职业技术学院</w:t>
            </w:r>
            <w:r>
              <w:rPr>
                <w:rFonts w:hint="eastAsia" w:ascii="宋体" w:hAnsi="宋体" w:cs="宋体"/>
                <w:color w:val="auto"/>
                <w:szCs w:val="21"/>
              </w:rPr>
              <w:t>。</w:t>
            </w:r>
          </w:p>
          <w:p w14:paraId="6F4C8A7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5.验收标准：</w:t>
            </w:r>
          </w:p>
          <w:p w14:paraId="64F3879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（1）成交供应商需承担供货时产品质量抽样检测的相关费用以及项目验收时发生的一切费用。</w:t>
            </w:r>
          </w:p>
          <w:p w14:paraId="1F0C38C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采购人将依据采购文件上的技术要求和国家有关质量标准对成交供应商提交的货物进行初步验收，初步验收不合格的，采购人有权不予签收；在本项目验收时，成交供应商如提供不符合采购文件、投标文件和采购合同规定的服务，采购人有权拒绝接受，由此产生的一切损失均由成交供应商自行承担。</w:t>
            </w:r>
          </w:p>
          <w:p w14:paraId="72B7AA3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当项目完成后，由成交供应商向采购人提出项目竣工测试申请，并于验收前向采购人提供一切有关技术文件、资料、图纸和相关记录等竣工材料，并在竣工前5个工作日通知采购人及有关部门准备验收。拟竣工项目的实施总体功能、性能符合采购人认可的技术设计方案及合同规定的，予以验收，并作出验收结果报告。供需双方签署项目终验验收证书，并自正式交付使用之日起，整体项目才视为接受，并开始计算保修期。</w:t>
            </w:r>
          </w:p>
          <w:p w14:paraId="5D822E2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（4）项目采购文件及成交供应商投标文件中的“服务响应表”，逐条验收；</w:t>
            </w:r>
          </w:p>
          <w:p w14:paraId="2801A9B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（5）项目采购文件成交供应商投标文件中的“商务要求的响应表”，逐条验收；</w:t>
            </w:r>
          </w:p>
          <w:p w14:paraId="7DD4C58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（6）成交供应商投标文件中其他技术、服务、商务性的说明、承诺事项，逐条验收；</w:t>
            </w:r>
          </w:p>
          <w:p w14:paraId="1056136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国家相关法律法规、标准和规范等、执行《关于印发广西壮族自治区政府采购项目履约验收管理办法的通知》（桂财采〔2015〕22号），采用文中《广西壮族自治区政府采购项目合同验收书》格式文本等规范。</w:t>
            </w:r>
          </w:p>
          <w:p w14:paraId="54C7D8F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6.售后服务、服务标准、期限、效率：</w:t>
            </w:r>
          </w:p>
          <w:p w14:paraId="6018E2E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投标货物必须为经合法渠道销售的全新原装产品；负责送货上门，根据采购人提供的条件（如场地、电源、水源等）完成安装调试；保修期内负责上门维修，保修期后负责长期及时有效的技术服务，终身维修，保修期内负责维修、更换零部件；费用应包含在报价中。安装调试和培训：到货后，成交供应商需在接到用户通知后10个工作日内进行安装调试；提供用户管理人员的现场操作使用及基本维护的培训。</w:t>
            </w:r>
          </w:p>
          <w:p w14:paraId="70F04E8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（2）调试及运行：</w:t>
            </w:r>
          </w:p>
          <w:p w14:paraId="0557839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①成交供应商负责全部设备的安装、调试、试运行，设备的安装、调试费用应包括在投标总价中。交付的设备应符合技术规格要求；</w:t>
            </w:r>
          </w:p>
          <w:p w14:paraId="29FD4FA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②设备到达采购人指定地点后，成交供应商应在收到采购人通知后一星期内，派出有经验的技术人员进行安装调试；</w:t>
            </w:r>
          </w:p>
          <w:p w14:paraId="700770F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③成交供应商应在60天内完成安装调试工作，如因成交供应商原因造成延期，所造成的费用由成交供应商承担。</w:t>
            </w:r>
          </w:p>
          <w:p w14:paraId="4A5AC4C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（3）响应时间要求：</w:t>
            </w:r>
          </w:p>
          <w:p w14:paraId="427AFA6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①保修期内，设备发生故障时接到通知后2小时内需要作出响应，12小时到达现场，48小时内解决问题。</w:t>
            </w:r>
          </w:p>
          <w:p w14:paraId="56B35CD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②保修期满后，按照保修期内售后服务内容及标准继续提供维保服务，直至甲方确认更换维保单位或设备报废。不能因保修期满而出现缓修、拒修等情况，维修所产生费用由乙方和甲方另行结算。维保金额每年不得超过合同额的10%，维保成本超过该数额的一概由乙方自行承担，项目保修期满后可签订维护和售后服务合同，具体事项以实际谈判为准。</w:t>
            </w:r>
          </w:p>
          <w:p w14:paraId="510DDC2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（4）如不按照售后服务要求提供服务的，中标人（成交供应商）应每次向采购人支付违约金壹万元。</w:t>
            </w:r>
          </w:p>
          <w:p w14:paraId="021A654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（5）国内设有服务电话。</w:t>
            </w:r>
          </w:p>
          <w:p w14:paraId="17F73DD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（6）以上款项中，如在“技术指标要求”有专项要求的，从其规定。</w:t>
            </w:r>
          </w:p>
          <w:p w14:paraId="10D0E0C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（7）配合本项目实施需安装的其他软硬件，供应商需保证正版授权。</w:t>
            </w:r>
          </w:p>
          <w:p w14:paraId="39C40FC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（8）设备安装需配合采购人弱电网络等项目施工安装需求，同时对采购人场地进行保护，若出现损坏由成交供应商自行承担。</w:t>
            </w:r>
          </w:p>
          <w:p w14:paraId="000210A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培训：为采购人提供专业化技术培训：成交供应商在设备安装调试合格后1个月内，应安排有经验的技术人员到现场进行技术答疑。装机使用培训≥2天，跟进强化培训：1天，维修保养培训：1天。培训人数不少于2人。投标文件中提供完善的技术培训方案，保证使用人员正常操作设备的各种功能。</w:t>
            </w:r>
          </w:p>
          <w:p w14:paraId="541058B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8.知识产权：</w:t>
            </w:r>
          </w:p>
          <w:p w14:paraId="3A90353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供应商需提供软件的报告、资料、文件等内容及服务成果，采购单位享有充分、完整和排他的著作权和知识产权。未经采购单位书面许可，供应商不得向任何第三方提供上述报告、资料、文件、用户信息等内容及服务成果。即使向履行有关的人员提供，也应注意保密并限于履行合同的必需范围。</w:t>
            </w:r>
          </w:p>
          <w:p w14:paraId="1B8D724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（2）供应商应严格遵守相关的知识产权及软件版权保护的法律法规；并在项目所规定的范围内使用本信息系统，任何供应商用于未经授权的商业目的的复制行为所造成的违约或侵权责任由供应商承担。</w:t>
            </w:r>
          </w:p>
          <w:p w14:paraId="0AB48DD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9.付款方式、时间及条件：</w:t>
            </w:r>
          </w:p>
          <w:p w14:paraId="62D433C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（1）合同签订后5个工作日内采购人向供应商预付50%合同款，供应商安装调试完毕并经采购人验收合格后，5个工作日内采购人向供应商支付50%合同款。</w:t>
            </w:r>
          </w:p>
          <w:p w14:paraId="2B18F6C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发票要求：成交供应商应向采购人开具等额有效的增值税发票，如成交供应商提供虚假发票，除须向采购人补开合法发票外，须赔偿采购人发票票面金额一倍的违约金，且采购人有权终止合同，成交供应商不得提出异议，因终止合同而产生的一切损失均由成交供应商承担。</w:t>
            </w:r>
          </w:p>
          <w:p w14:paraId="6240434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10.履约保证金：本项目收取履约保证金。</w:t>
            </w:r>
          </w:p>
          <w:p w14:paraId="7737292D">
            <w:pPr>
              <w:wordWrap w:val="0"/>
              <w:autoSpaceDE w:val="0"/>
              <w:autoSpaceDN w:val="0"/>
              <w:snapToGrid w:val="0"/>
              <w:spacing w:line="360" w:lineRule="auto"/>
              <w:ind w:firstLine="420" w:firstLineChars="200"/>
              <w:textAlignment w:val="bottom"/>
              <w:rPr>
                <w:rFonts w:hint="eastAsia" w:ascii="宋体" w:hAnsi="宋体" w:cs="宋体"/>
                <w:color w:val="auto"/>
                <w:szCs w:val="21"/>
              </w:rPr>
            </w:pPr>
            <w:r>
              <w:rPr>
                <w:rFonts w:hint="eastAsia" w:ascii="宋体" w:hAnsi="宋体" w:cs="宋体"/>
                <w:color w:val="auto"/>
                <w:szCs w:val="21"/>
              </w:rPr>
              <w:t>（1）成交人在签订合同15个工作日内，按合同总金额的5%向采购人递交履约保证金（如成交人为中小企业的，则为合同总金额的2%）。如为保函、保险单，则有效期应不低于12个月。经采购人验收货物符合合同约定，采购人一次性无息退回履约保证金。</w:t>
            </w:r>
          </w:p>
          <w:p w14:paraId="4C1E6A45">
            <w:pPr>
              <w:wordWrap w:val="0"/>
              <w:autoSpaceDE w:val="0"/>
              <w:autoSpaceDN w:val="0"/>
              <w:snapToGrid w:val="0"/>
              <w:spacing w:line="360" w:lineRule="auto"/>
              <w:ind w:firstLine="420" w:firstLineChars="200"/>
              <w:textAlignment w:val="bottom"/>
              <w:rPr>
                <w:rFonts w:hint="eastAsia" w:ascii="宋体" w:hAnsi="宋体" w:cs="宋体"/>
                <w:color w:val="auto"/>
                <w:szCs w:val="21"/>
              </w:rPr>
            </w:pPr>
            <w:r>
              <w:rPr>
                <w:rFonts w:hint="eastAsia" w:ascii="宋体" w:hAnsi="宋体" w:cs="宋体"/>
                <w:color w:val="auto"/>
                <w:szCs w:val="21"/>
              </w:rPr>
              <w:t>（2）履约保证金的递交：履约保证金金额：按合同总金额的5%（如成交人为中小企业的，则为合同总金额的2%）</w:t>
            </w:r>
          </w:p>
          <w:p w14:paraId="25C78D2A">
            <w:pPr>
              <w:wordWrap w:val="0"/>
              <w:autoSpaceDE w:val="0"/>
              <w:autoSpaceDN w:val="0"/>
              <w:snapToGrid w:val="0"/>
              <w:spacing w:line="360" w:lineRule="auto"/>
              <w:ind w:firstLine="420" w:firstLineChars="200"/>
              <w:textAlignment w:val="bottom"/>
              <w:rPr>
                <w:rFonts w:hint="eastAsia" w:ascii="宋体" w:hAnsi="宋体" w:cs="宋体"/>
                <w:color w:val="auto"/>
                <w:szCs w:val="21"/>
              </w:rPr>
            </w:pPr>
            <w:r>
              <w:rPr>
                <w:rFonts w:hint="eastAsia" w:ascii="宋体" w:hAnsi="宋体" w:cs="宋体"/>
                <w:color w:val="auto"/>
                <w:szCs w:val="21"/>
              </w:rPr>
              <w:t>履约保证金递交方式：金融机构转账、支票、汇票、本票、金融机构出具的保函或保险机构出具的保函、保险单。</w:t>
            </w:r>
          </w:p>
          <w:p w14:paraId="368CCBC6">
            <w:pPr>
              <w:wordWrap w:val="0"/>
              <w:autoSpaceDE w:val="0"/>
              <w:autoSpaceDN w:val="0"/>
              <w:snapToGrid w:val="0"/>
              <w:spacing w:line="360" w:lineRule="auto"/>
              <w:textAlignment w:val="bottom"/>
              <w:rPr>
                <w:rFonts w:hint="eastAsia" w:ascii="宋体" w:hAnsi="宋体" w:cs="宋体"/>
                <w:color w:val="auto"/>
                <w:szCs w:val="21"/>
              </w:rPr>
            </w:pPr>
            <w:r>
              <w:rPr>
                <w:rFonts w:hint="eastAsia" w:ascii="宋体" w:hAnsi="宋体" w:cs="宋体"/>
                <w:color w:val="auto"/>
                <w:szCs w:val="21"/>
              </w:rPr>
              <w:t>保证金指定账户：采购人帐户</w:t>
            </w:r>
          </w:p>
          <w:p w14:paraId="7AFF2D63">
            <w:pPr>
              <w:wordWrap w:val="0"/>
              <w:autoSpaceDE w:val="0"/>
              <w:autoSpaceDN w:val="0"/>
              <w:snapToGrid w:val="0"/>
              <w:spacing w:line="360" w:lineRule="auto"/>
              <w:ind w:firstLine="420" w:firstLineChars="200"/>
              <w:textAlignment w:val="bottom"/>
              <w:rPr>
                <w:rFonts w:hint="eastAsia" w:ascii="宋体" w:hAnsi="宋体" w:cs="宋体"/>
                <w:color w:val="auto"/>
                <w:szCs w:val="21"/>
              </w:rPr>
            </w:pPr>
            <w:r>
              <w:rPr>
                <w:rFonts w:hint="eastAsia" w:ascii="宋体" w:hAnsi="宋体" w:cs="宋体"/>
                <w:color w:val="auto"/>
                <w:szCs w:val="21"/>
              </w:rPr>
              <w:t>开户名称：广西农业工程职业技术学院</w:t>
            </w:r>
          </w:p>
          <w:p w14:paraId="0DAC556E">
            <w:pPr>
              <w:wordWrap w:val="0"/>
              <w:autoSpaceDE w:val="0"/>
              <w:autoSpaceDN w:val="0"/>
              <w:snapToGrid w:val="0"/>
              <w:spacing w:line="360" w:lineRule="auto"/>
              <w:ind w:firstLine="420" w:firstLineChars="200"/>
              <w:textAlignment w:val="bottom"/>
              <w:rPr>
                <w:rFonts w:hint="eastAsia" w:ascii="宋体" w:hAnsi="宋体" w:cs="宋体"/>
                <w:color w:val="auto"/>
                <w:szCs w:val="21"/>
              </w:rPr>
            </w:pPr>
            <w:r>
              <w:rPr>
                <w:rFonts w:hint="eastAsia" w:ascii="宋体" w:hAnsi="宋体" w:cs="宋体"/>
                <w:color w:val="auto"/>
                <w:szCs w:val="21"/>
              </w:rPr>
              <w:t>开户银行：广西北部湾银行南宁市七星中支行</w:t>
            </w:r>
          </w:p>
          <w:p w14:paraId="76C9D52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银行账号：</w:t>
            </w:r>
            <w:r>
              <w:rPr>
                <w:rFonts w:hint="eastAsia"/>
                <w:color w:val="auto"/>
              </w:rPr>
              <w:t xml:space="preserve">805031167700001  </w:t>
            </w:r>
          </w:p>
          <w:p w14:paraId="4DD78F5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包装和运输要求：根据《财政部等三部门联合印发商品包装和快递包装政府采购需求标准（试行）》财办库【2020】123号文规定，若投标产品使用塑料、纸质、木质等包装材料时应满足《商品包装政府采购需求标准（试行）》要求，若投标产品需要快递包装，快递封装材料应满足《快递包装政府采购需求标准（试行）》要求；运输要求详见采购文件合同主要条款格式部分。</w:t>
            </w:r>
          </w:p>
          <w:p w14:paraId="4233F35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12.保险：供应商负责办理运输和保险，将货物运抵交货地点。与运输、保险相关的费用由供应商承担。</w:t>
            </w:r>
          </w:p>
          <w:p w14:paraId="0D3EEC8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13.项目实施过程中安全生产要求</w:t>
            </w:r>
          </w:p>
          <w:p w14:paraId="1D648CE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成交供应商应遵守国家关于安全生产有关管理规定，严格按安全标准组织项目实施，并随时接受招标人安全检查人员实施的监督检查，采取必要的安全防护措施，消除事故隐患。由于成交供应商安全措施不力造成事故的责任和因此发生的费用，由成交供应商负责。</w:t>
            </w:r>
          </w:p>
          <w:p w14:paraId="3FCBA69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（2）成交供应商应对己方实施人员进行安全教育，并对他们的安全负责。</w:t>
            </w:r>
          </w:p>
          <w:p w14:paraId="67ED6CA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（3）采购人提供成交供应商实施人员的生产用水、用电、项目实施用临时办公场地等。</w:t>
            </w:r>
          </w:p>
          <w:p w14:paraId="6CCDF40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（4）成交供应商提供的产品必须符合《中华人民共和国环境保护法》及其他相关环保法律法规、标准等规定的要求，环保检测分析方法采用中华人民共和国现行的国家规定的方法。噪声检测应符合GB/T 3768-2017的规定，不得大于80dB (A)。</w:t>
            </w:r>
          </w:p>
          <w:p w14:paraId="7561AD0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14.其他要求：</w:t>
            </w:r>
          </w:p>
          <w:p w14:paraId="63FF4D2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（1）为有效防止虚假应标，项目成交结果发布后，如有质疑，采购人有权要求中标人（成交供应商）提供所投产品以供测试，确保功能参数要求均可满足；若测试达不到响应指标，以虚假响应处理。</w:t>
            </w:r>
          </w:p>
          <w:p w14:paraId="2A2126F9">
            <w:pPr>
              <w:widowControl/>
              <w:spacing w:line="360" w:lineRule="auto"/>
              <w:ind w:firstLine="420" w:firstLineChars="200"/>
              <w:jc w:val="left"/>
              <w:rPr>
                <w:rFonts w:hint="eastAsia" w:ascii="宋体" w:hAnsi="宋体" w:cs="宋体"/>
                <w:b/>
                <w:color w:val="auto"/>
              </w:rPr>
            </w:pPr>
            <w:r>
              <w:rPr>
                <w:rFonts w:hint="eastAsia" w:ascii="宋体" w:hAnsi="宋体" w:cs="宋体"/>
                <w:color w:val="auto"/>
                <w:szCs w:val="21"/>
              </w:rPr>
              <w:t>（2）供应商所提供的仪器、设备、资料等主要货物均必须符合国家相关行业强制性标准。</w:t>
            </w:r>
          </w:p>
        </w:tc>
      </w:tr>
    </w:tbl>
    <w:p w14:paraId="4D0F3E0D">
      <w:pPr>
        <w:pStyle w:val="56"/>
        <w:rPr>
          <w:rFonts w:hint="eastAsia"/>
          <w:color w:val="auto"/>
        </w:rPr>
      </w:pPr>
    </w:p>
    <w:p w14:paraId="33FA7DFE">
      <w:pPr>
        <w:spacing w:line="360" w:lineRule="auto"/>
        <w:jc w:val="left"/>
        <w:rPr>
          <w:rFonts w:hint="eastAsia" w:ascii="宋体" w:hAnsi="宋体" w:cs="宋体"/>
          <w:color w:val="auto"/>
          <w:kern w:val="0"/>
          <w:sz w:val="32"/>
          <w:szCs w:val="32"/>
        </w:rPr>
      </w:pPr>
      <w:r>
        <w:rPr>
          <w:rFonts w:hint="eastAsia" w:ascii="宋体" w:hAnsi="宋体" w:cs="宋体"/>
          <w:color w:val="auto"/>
          <w:kern w:val="0"/>
          <w:sz w:val="32"/>
          <w:szCs w:val="32"/>
        </w:rPr>
        <w:br w:type="page"/>
      </w:r>
      <w:r>
        <w:rPr>
          <w:rFonts w:hint="eastAsia" w:ascii="宋体" w:hAnsi="宋体" w:cs="宋体"/>
          <w:color w:val="auto"/>
          <w:kern w:val="0"/>
          <w:sz w:val="32"/>
          <w:szCs w:val="32"/>
        </w:rPr>
        <w:t>附件1：</w:t>
      </w:r>
    </w:p>
    <w:p w14:paraId="27421197">
      <w:pPr>
        <w:spacing w:line="360" w:lineRule="auto"/>
        <w:ind w:firstLine="2000" w:firstLineChars="500"/>
        <w:rPr>
          <w:rFonts w:hint="eastAsia" w:ascii="宋体" w:hAnsi="宋体" w:cs="宋体"/>
          <w:color w:val="auto"/>
          <w:sz w:val="40"/>
          <w:szCs w:val="40"/>
        </w:rPr>
      </w:pPr>
      <w:r>
        <w:rPr>
          <w:rFonts w:hint="eastAsia" w:ascii="宋体" w:hAnsi="宋体" w:cs="宋体"/>
          <w:color w:val="auto"/>
          <w:sz w:val="40"/>
          <w:szCs w:val="40"/>
        </w:rPr>
        <w:t>节能产品政府采购品目清单</w:t>
      </w:r>
    </w:p>
    <w:tbl>
      <w:tblPr>
        <w:tblStyle w:val="40"/>
        <w:tblW w:w="9220" w:type="dxa"/>
        <w:tblInd w:w="93" w:type="dxa"/>
        <w:tblLayout w:type="autofit"/>
        <w:tblCellMar>
          <w:top w:w="0" w:type="dxa"/>
          <w:left w:w="108" w:type="dxa"/>
          <w:bottom w:w="0" w:type="dxa"/>
          <w:right w:w="108" w:type="dxa"/>
        </w:tblCellMar>
      </w:tblPr>
      <w:tblGrid>
        <w:gridCol w:w="631"/>
        <w:gridCol w:w="1161"/>
        <w:gridCol w:w="1581"/>
        <w:gridCol w:w="1615"/>
        <w:gridCol w:w="4232"/>
      </w:tblGrid>
      <w:tr w14:paraId="145C5116">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noWrap w:val="0"/>
            <w:vAlign w:val="top"/>
          </w:tcPr>
          <w:p w14:paraId="6A021752">
            <w:pPr>
              <w:widowControl/>
              <w:spacing w:line="360" w:lineRule="auto"/>
              <w:jc w:val="center"/>
              <w:rPr>
                <w:rFonts w:hint="eastAsia" w:ascii="宋体" w:hAnsi="宋体" w:cs="宋体"/>
                <w:b/>
                <w:bCs/>
                <w:color w:val="auto"/>
                <w:kern w:val="0"/>
                <w:szCs w:val="21"/>
              </w:rPr>
            </w:pPr>
            <w:r>
              <w:rPr>
                <w:rFonts w:hint="eastAsia" w:ascii="宋体" w:hAnsi="宋体" w:cs="宋体"/>
                <w:b/>
                <w:bCs/>
                <w:color w:val="auto"/>
                <w:kern w:val="0"/>
                <w:szCs w:val="21"/>
              </w:rPr>
              <w:t>品目序号</w:t>
            </w:r>
          </w:p>
        </w:tc>
        <w:tc>
          <w:tcPr>
            <w:tcW w:w="4020" w:type="dxa"/>
            <w:gridSpan w:val="3"/>
            <w:tcBorders>
              <w:top w:val="single" w:color="000000" w:sz="8" w:space="0"/>
              <w:left w:val="nil"/>
              <w:bottom w:val="single" w:color="000000" w:sz="8" w:space="0"/>
              <w:right w:val="single" w:color="000000" w:sz="8" w:space="0"/>
            </w:tcBorders>
            <w:noWrap w:val="0"/>
            <w:vAlign w:val="center"/>
          </w:tcPr>
          <w:p w14:paraId="01ACE71B">
            <w:pPr>
              <w:widowControl/>
              <w:spacing w:line="360" w:lineRule="auto"/>
              <w:jc w:val="center"/>
              <w:rPr>
                <w:rFonts w:hint="eastAsia" w:ascii="宋体" w:hAnsi="宋体" w:cs="宋体"/>
                <w:b/>
                <w:bCs/>
                <w:color w:val="auto"/>
                <w:kern w:val="0"/>
                <w:szCs w:val="21"/>
              </w:rPr>
            </w:pPr>
            <w:r>
              <w:rPr>
                <w:rFonts w:hint="eastAsia" w:ascii="宋体" w:hAnsi="宋体" w:cs="宋体"/>
                <w:b/>
                <w:bCs/>
                <w:color w:val="auto"/>
                <w:kern w:val="0"/>
                <w:szCs w:val="21"/>
              </w:rPr>
              <w:t>名称</w:t>
            </w:r>
          </w:p>
        </w:tc>
        <w:tc>
          <w:tcPr>
            <w:tcW w:w="4540" w:type="dxa"/>
            <w:tcBorders>
              <w:top w:val="single" w:color="000000" w:sz="8" w:space="0"/>
              <w:left w:val="nil"/>
              <w:bottom w:val="single" w:color="000000" w:sz="8" w:space="0"/>
              <w:right w:val="single" w:color="000000" w:sz="8" w:space="0"/>
            </w:tcBorders>
            <w:noWrap w:val="0"/>
            <w:vAlign w:val="center"/>
          </w:tcPr>
          <w:p w14:paraId="4EA116AA">
            <w:pPr>
              <w:widowControl/>
              <w:spacing w:line="360" w:lineRule="auto"/>
              <w:jc w:val="center"/>
              <w:rPr>
                <w:rFonts w:hint="eastAsia" w:ascii="宋体" w:hAnsi="宋体" w:cs="宋体"/>
                <w:b/>
                <w:bCs/>
                <w:color w:val="auto"/>
                <w:kern w:val="0"/>
                <w:szCs w:val="21"/>
              </w:rPr>
            </w:pPr>
            <w:r>
              <w:rPr>
                <w:rFonts w:hint="eastAsia" w:ascii="宋体" w:hAnsi="宋体" w:cs="宋体"/>
                <w:b/>
                <w:bCs/>
                <w:color w:val="auto"/>
                <w:kern w:val="0"/>
                <w:szCs w:val="21"/>
              </w:rPr>
              <w:t>依据的标准</w:t>
            </w:r>
          </w:p>
        </w:tc>
      </w:tr>
      <w:tr w14:paraId="19C1FFE6">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16FB6C05">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1</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12620E3D">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A020101计算机设备</w:t>
            </w:r>
          </w:p>
        </w:tc>
        <w:tc>
          <w:tcPr>
            <w:tcW w:w="1320" w:type="dxa"/>
            <w:tcBorders>
              <w:top w:val="nil"/>
              <w:left w:val="nil"/>
              <w:bottom w:val="single" w:color="000000" w:sz="8" w:space="0"/>
              <w:right w:val="single" w:color="000000" w:sz="8" w:space="0"/>
            </w:tcBorders>
            <w:noWrap w:val="0"/>
            <w:vAlign w:val="center"/>
          </w:tcPr>
          <w:p w14:paraId="66FD68E7">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★A02010104台式计算机</w:t>
            </w:r>
          </w:p>
        </w:tc>
        <w:tc>
          <w:tcPr>
            <w:tcW w:w="1620" w:type="dxa"/>
            <w:tcBorders>
              <w:top w:val="nil"/>
              <w:left w:val="nil"/>
              <w:bottom w:val="single" w:color="000000" w:sz="8" w:space="0"/>
              <w:right w:val="single" w:color="000000" w:sz="8" w:space="0"/>
            </w:tcBorders>
            <w:noWrap w:val="0"/>
            <w:vAlign w:val="center"/>
          </w:tcPr>
          <w:p w14:paraId="4F7B83C8">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　</w:t>
            </w:r>
          </w:p>
        </w:tc>
        <w:tc>
          <w:tcPr>
            <w:tcW w:w="4540" w:type="dxa"/>
            <w:tcBorders>
              <w:top w:val="nil"/>
              <w:left w:val="nil"/>
              <w:bottom w:val="single" w:color="000000" w:sz="8" w:space="0"/>
              <w:right w:val="single" w:color="000000" w:sz="8" w:space="0"/>
            </w:tcBorders>
            <w:noWrap w:val="0"/>
            <w:vAlign w:val="center"/>
          </w:tcPr>
          <w:p w14:paraId="5C1918DD">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《微型计算机能效限定值及能效等级》（GB28380）</w:t>
            </w:r>
          </w:p>
        </w:tc>
      </w:tr>
      <w:tr w14:paraId="27E0E352">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A97F69A">
            <w:pPr>
              <w:widowControl/>
              <w:spacing w:line="360" w:lineRule="auto"/>
              <w:jc w:val="left"/>
              <w:rPr>
                <w:rFonts w:hint="eastAsia"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DE1653A">
            <w:pPr>
              <w:widowControl/>
              <w:spacing w:line="360" w:lineRule="auto"/>
              <w:jc w:val="left"/>
              <w:rPr>
                <w:rFonts w:hint="eastAsia" w:ascii="宋体" w:hAnsi="宋体" w:cs="宋体"/>
                <w:color w:val="auto"/>
                <w:kern w:val="0"/>
                <w:szCs w:val="21"/>
              </w:rPr>
            </w:pPr>
          </w:p>
        </w:tc>
        <w:tc>
          <w:tcPr>
            <w:tcW w:w="1320" w:type="dxa"/>
            <w:tcBorders>
              <w:top w:val="nil"/>
              <w:left w:val="nil"/>
              <w:bottom w:val="single" w:color="000000" w:sz="8" w:space="0"/>
              <w:right w:val="single" w:color="000000" w:sz="8" w:space="0"/>
            </w:tcBorders>
            <w:noWrap w:val="0"/>
            <w:vAlign w:val="center"/>
          </w:tcPr>
          <w:p w14:paraId="7883F030">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★A02010105便携式计算机</w:t>
            </w:r>
          </w:p>
        </w:tc>
        <w:tc>
          <w:tcPr>
            <w:tcW w:w="1620" w:type="dxa"/>
            <w:tcBorders>
              <w:top w:val="nil"/>
              <w:left w:val="nil"/>
              <w:bottom w:val="single" w:color="000000" w:sz="8" w:space="0"/>
              <w:right w:val="single" w:color="000000" w:sz="8" w:space="0"/>
            </w:tcBorders>
            <w:noWrap w:val="0"/>
            <w:vAlign w:val="center"/>
          </w:tcPr>
          <w:p w14:paraId="77C7ECB2">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　</w:t>
            </w:r>
          </w:p>
        </w:tc>
        <w:tc>
          <w:tcPr>
            <w:tcW w:w="4540" w:type="dxa"/>
            <w:tcBorders>
              <w:top w:val="nil"/>
              <w:left w:val="nil"/>
              <w:bottom w:val="single" w:color="000000" w:sz="8" w:space="0"/>
              <w:right w:val="single" w:color="000000" w:sz="8" w:space="0"/>
            </w:tcBorders>
            <w:noWrap w:val="0"/>
            <w:vAlign w:val="center"/>
          </w:tcPr>
          <w:p w14:paraId="27BA9930">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《微型计算机能效限定值及能效等级》（GB28380）</w:t>
            </w:r>
          </w:p>
        </w:tc>
      </w:tr>
      <w:tr w14:paraId="1BE3141F">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2CED58E">
            <w:pPr>
              <w:widowControl/>
              <w:spacing w:line="360" w:lineRule="auto"/>
              <w:jc w:val="left"/>
              <w:rPr>
                <w:rFonts w:hint="eastAsia"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A124245">
            <w:pPr>
              <w:widowControl/>
              <w:spacing w:line="360" w:lineRule="auto"/>
              <w:jc w:val="left"/>
              <w:rPr>
                <w:rFonts w:hint="eastAsia" w:ascii="宋体" w:hAnsi="宋体" w:cs="宋体"/>
                <w:color w:val="auto"/>
                <w:kern w:val="0"/>
                <w:szCs w:val="21"/>
              </w:rPr>
            </w:pPr>
          </w:p>
        </w:tc>
        <w:tc>
          <w:tcPr>
            <w:tcW w:w="1320" w:type="dxa"/>
            <w:tcBorders>
              <w:top w:val="nil"/>
              <w:left w:val="nil"/>
              <w:bottom w:val="single" w:color="000000" w:sz="8" w:space="0"/>
              <w:right w:val="single" w:color="000000" w:sz="8" w:space="0"/>
            </w:tcBorders>
            <w:noWrap w:val="0"/>
            <w:vAlign w:val="center"/>
          </w:tcPr>
          <w:p w14:paraId="189C0E9D">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★A02010107平板式微型计算机</w:t>
            </w:r>
          </w:p>
        </w:tc>
        <w:tc>
          <w:tcPr>
            <w:tcW w:w="1620" w:type="dxa"/>
            <w:tcBorders>
              <w:top w:val="nil"/>
              <w:left w:val="nil"/>
              <w:bottom w:val="single" w:color="000000" w:sz="8" w:space="0"/>
              <w:right w:val="single" w:color="000000" w:sz="8" w:space="0"/>
            </w:tcBorders>
            <w:noWrap w:val="0"/>
            <w:vAlign w:val="center"/>
          </w:tcPr>
          <w:p w14:paraId="5E9ACDFB">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　</w:t>
            </w:r>
          </w:p>
        </w:tc>
        <w:tc>
          <w:tcPr>
            <w:tcW w:w="4540" w:type="dxa"/>
            <w:tcBorders>
              <w:top w:val="nil"/>
              <w:left w:val="nil"/>
              <w:bottom w:val="single" w:color="000000" w:sz="8" w:space="0"/>
              <w:right w:val="single" w:color="000000" w:sz="8" w:space="0"/>
            </w:tcBorders>
            <w:noWrap w:val="0"/>
            <w:vAlign w:val="center"/>
          </w:tcPr>
          <w:p w14:paraId="4D744D50">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《微型计算机能效限定值及能效等级》（GB28380）</w:t>
            </w:r>
          </w:p>
        </w:tc>
      </w:tr>
      <w:tr w14:paraId="4D2991AB">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1F17788D">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2</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79348618">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A020106输入输出设备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14:paraId="33144AB2">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A02010601打印设备</w:t>
            </w:r>
          </w:p>
        </w:tc>
        <w:tc>
          <w:tcPr>
            <w:tcW w:w="1620" w:type="dxa"/>
            <w:tcBorders>
              <w:top w:val="nil"/>
              <w:left w:val="nil"/>
              <w:bottom w:val="single" w:color="000000" w:sz="8" w:space="0"/>
              <w:right w:val="single" w:color="000000" w:sz="8" w:space="0"/>
            </w:tcBorders>
            <w:noWrap w:val="0"/>
            <w:vAlign w:val="center"/>
          </w:tcPr>
          <w:p w14:paraId="3B000C0C">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A0201060101喷墨打印机</w:t>
            </w:r>
          </w:p>
        </w:tc>
        <w:tc>
          <w:tcPr>
            <w:tcW w:w="4540" w:type="dxa"/>
            <w:tcBorders>
              <w:top w:val="nil"/>
              <w:left w:val="nil"/>
              <w:bottom w:val="single" w:color="000000" w:sz="8" w:space="0"/>
              <w:right w:val="single" w:color="000000" w:sz="8" w:space="0"/>
            </w:tcBorders>
            <w:noWrap w:val="0"/>
            <w:vAlign w:val="center"/>
          </w:tcPr>
          <w:p w14:paraId="62250968">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《复印机、打印机和传真机能效限定值及能效等级》（GB21521）</w:t>
            </w:r>
          </w:p>
        </w:tc>
      </w:tr>
      <w:tr w14:paraId="6451ED6F">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46D019C">
            <w:pPr>
              <w:widowControl/>
              <w:spacing w:line="360" w:lineRule="auto"/>
              <w:jc w:val="left"/>
              <w:rPr>
                <w:rFonts w:hint="eastAsia"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F41B7EB">
            <w:pPr>
              <w:widowControl/>
              <w:spacing w:line="360" w:lineRule="auto"/>
              <w:jc w:val="left"/>
              <w:rPr>
                <w:rFonts w:hint="eastAsia"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12A8EC9">
            <w:pPr>
              <w:widowControl/>
              <w:spacing w:line="360" w:lineRule="auto"/>
              <w:jc w:val="left"/>
              <w:rPr>
                <w:rFonts w:hint="eastAsia" w:ascii="宋体" w:hAnsi="宋体" w:cs="宋体"/>
                <w:color w:val="auto"/>
                <w:kern w:val="0"/>
                <w:szCs w:val="21"/>
              </w:rPr>
            </w:pPr>
          </w:p>
        </w:tc>
        <w:tc>
          <w:tcPr>
            <w:tcW w:w="1620" w:type="dxa"/>
            <w:tcBorders>
              <w:top w:val="nil"/>
              <w:left w:val="nil"/>
              <w:bottom w:val="single" w:color="000000" w:sz="8" w:space="0"/>
              <w:right w:val="single" w:color="000000" w:sz="8" w:space="0"/>
            </w:tcBorders>
            <w:noWrap w:val="0"/>
            <w:vAlign w:val="center"/>
          </w:tcPr>
          <w:p w14:paraId="3B383AA9">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★A0201060102激光打印机</w:t>
            </w:r>
          </w:p>
        </w:tc>
        <w:tc>
          <w:tcPr>
            <w:tcW w:w="4540" w:type="dxa"/>
            <w:tcBorders>
              <w:top w:val="nil"/>
              <w:left w:val="nil"/>
              <w:bottom w:val="single" w:color="000000" w:sz="8" w:space="0"/>
              <w:right w:val="single" w:color="000000" w:sz="8" w:space="0"/>
            </w:tcBorders>
            <w:noWrap w:val="0"/>
            <w:vAlign w:val="center"/>
          </w:tcPr>
          <w:p w14:paraId="0CBC6A84">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《复印机、打印机和传真机能效限定值及能效等级》（GB21521）</w:t>
            </w:r>
          </w:p>
        </w:tc>
      </w:tr>
      <w:tr w14:paraId="7F8399F6">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E9AE008">
            <w:pPr>
              <w:widowControl/>
              <w:spacing w:line="360" w:lineRule="auto"/>
              <w:jc w:val="left"/>
              <w:rPr>
                <w:rFonts w:hint="eastAsia"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9B67E78">
            <w:pPr>
              <w:widowControl/>
              <w:spacing w:line="360" w:lineRule="auto"/>
              <w:jc w:val="left"/>
              <w:rPr>
                <w:rFonts w:hint="eastAsia"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CF2D717">
            <w:pPr>
              <w:widowControl/>
              <w:spacing w:line="360" w:lineRule="auto"/>
              <w:jc w:val="left"/>
              <w:rPr>
                <w:rFonts w:hint="eastAsia" w:ascii="宋体" w:hAnsi="宋体" w:cs="宋体"/>
                <w:color w:val="auto"/>
                <w:kern w:val="0"/>
                <w:szCs w:val="21"/>
              </w:rPr>
            </w:pPr>
          </w:p>
        </w:tc>
        <w:tc>
          <w:tcPr>
            <w:tcW w:w="1620" w:type="dxa"/>
            <w:tcBorders>
              <w:top w:val="nil"/>
              <w:left w:val="nil"/>
              <w:bottom w:val="single" w:color="000000" w:sz="8" w:space="0"/>
              <w:right w:val="single" w:color="000000" w:sz="8" w:space="0"/>
            </w:tcBorders>
            <w:noWrap w:val="0"/>
            <w:vAlign w:val="center"/>
          </w:tcPr>
          <w:p w14:paraId="41479C34">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★A0201060104针式打印机</w:t>
            </w:r>
          </w:p>
        </w:tc>
        <w:tc>
          <w:tcPr>
            <w:tcW w:w="4540" w:type="dxa"/>
            <w:tcBorders>
              <w:top w:val="nil"/>
              <w:left w:val="nil"/>
              <w:bottom w:val="single" w:color="000000" w:sz="8" w:space="0"/>
              <w:right w:val="single" w:color="000000" w:sz="8" w:space="0"/>
            </w:tcBorders>
            <w:noWrap w:val="0"/>
            <w:vAlign w:val="center"/>
          </w:tcPr>
          <w:p w14:paraId="05239BC0">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《复印机、打印机和传真机能效限定值及能效等级》（GB21521）</w:t>
            </w:r>
          </w:p>
        </w:tc>
      </w:tr>
      <w:tr w14:paraId="5439B148">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F550D7B">
            <w:pPr>
              <w:widowControl/>
              <w:spacing w:line="360" w:lineRule="auto"/>
              <w:jc w:val="left"/>
              <w:rPr>
                <w:rFonts w:hint="eastAsia"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2FF8573">
            <w:pPr>
              <w:widowControl/>
              <w:spacing w:line="360" w:lineRule="auto"/>
              <w:jc w:val="left"/>
              <w:rPr>
                <w:rFonts w:hint="eastAsia" w:ascii="宋体" w:hAnsi="宋体" w:cs="宋体"/>
                <w:color w:val="auto"/>
                <w:kern w:val="0"/>
                <w:szCs w:val="21"/>
              </w:rPr>
            </w:pPr>
          </w:p>
        </w:tc>
        <w:tc>
          <w:tcPr>
            <w:tcW w:w="1320" w:type="dxa"/>
            <w:tcBorders>
              <w:top w:val="nil"/>
              <w:left w:val="nil"/>
              <w:bottom w:val="single" w:color="000000" w:sz="8" w:space="0"/>
              <w:right w:val="single" w:color="000000" w:sz="8" w:space="0"/>
            </w:tcBorders>
            <w:noWrap w:val="0"/>
            <w:vAlign w:val="center"/>
          </w:tcPr>
          <w:p w14:paraId="13D1FD88">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A02010604显示设备</w:t>
            </w:r>
          </w:p>
        </w:tc>
        <w:tc>
          <w:tcPr>
            <w:tcW w:w="1620" w:type="dxa"/>
            <w:tcBorders>
              <w:top w:val="nil"/>
              <w:left w:val="nil"/>
              <w:bottom w:val="single" w:color="000000" w:sz="8" w:space="0"/>
              <w:right w:val="single" w:color="000000" w:sz="8" w:space="0"/>
            </w:tcBorders>
            <w:noWrap w:val="0"/>
            <w:vAlign w:val="center"/>
          </w:tcPr>
          <w:p w14:paraId="469C21E9">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★A0201060401液晶显示器</w:t>
            </w:r>
          </w:p>
        </w:tc>
        <w:tc>
          <w:tcPr>
            <w:tcW w:w="4540" w:type="dxa"/>
            <w:tcBorders>
              <w:top w:val="nil"/>
              <w:left w:val="nil"/>
              <w:bottom w:val="single" w:color="000000" w:sz="8" w:space="0"/>
              <w:right w:val="single" w:color="000000" w:sz="8" w:space="0"/>
            </w:tcBorders>
            <w:noWrap w:val="0"/>
            <w:vAlign w:val="center"/>
          </w:tcPr>
          <w:p w14:paraId="2334FFA5">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《计算机显示器能效限定值及能效等级》（GB21520）</w:t>
            </w:r>
          </w:p>
        </w:tc>
      </w:tr>
      <w:tr w14:paraId="6DCA740C">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F49CAB7">
            <w:pPr>
              <w:widowControl/>
              <w:spacing w:line="360" w:lineRule="auto"/>
              <w:jc w:val="left"/>
              <w:rPr>
                <w:rFonts w:hint="eastAsia"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8F84239">
            <w:pPr>
              <w:widowControl/>
              <w:spacing w:line="360" w:lineRule="auto"/>
              <w:jc w:val="left"/>
              <w:rPr>
                <w:rFonts w:hint="eastAsia" w:ascii="宋体" w:hAnsi="宋体" w:cs="宋体"/>
                <w:color w:val="auto"/>
                <w:kern w:val="0"/>
                <w:szCs w:val="21"/>
              </w:rPr>
            </w:pPr>
          </w:p>
        </w:tc>
        <w:tc>
          <w:tcPr>
            <w:tcW w:w="1320" w:type="dxa"/>
            <w:tcBorders>
              <w:top w:val="nil"/>
              <w:left w:val="nil"/>
              <w:bottom w:val="single" w:color="000000" w:sz="8" w:space="0"/>
              <w:right w:val="single" w:color="000000" w:sz="8" w:space="0"/>
            </w:tcBorders>
            <w:noWrap w:val="0"/>
            <w:vAlign w:val="center"/>
          </w:tcPr>
          <w:p w14:paraId="7621D175">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A02010609图形图像输入设备</w:t>
            </w:r>
          </w:p>
        </w:tc>
        <w:tc>
          <w:tcPr>
            <w:tcW w:w="1620" w:type="dxa"/>
            <w:tcBorders>
              <w:top w:val="nil"/>
              <w:left w:val="nil"/>
              <w:bottom w:val="single" w:color="000000" w:sz="8" w:space="0"/>
              <w:right w:val="single" w:color="000000" w:sz="8" w:space="0"/>
            </w:tcBorders>
            <w:noWrap w:val="0"/>
            <w:vAlign w:val="center"/>
          </w:tcPr>
          <w:p w14:paraId="688CC31B">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A0201060901扫描仪</w:t>
            </w:r>
          </w:p>
        </w:tc>
        <w:tc>
          <w:tcPr>
            <w:tcW w:w="4540" w:type="dxa"/>
            <w:tcBorders>
              <w:top w:val="nil"/>
              <w:left w:val="nil"/>
              <w:bottom w:val="single" w:color="000000" w:sz="8" w:space="0"/>
              <w:right w:val="single" w:color="000000" w:sz="8" w:space="0"/>
            </w:tcBorders>
            <w:noWrap w:val="0"/>
            <w:vAlign w:val="center"/>
          </w:tcPr>
          <w:p w14:paraId="3E3C6667">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参照《复印机、打印机和传真机能效限定值及能效等级》（GB21521中打印速度为15页/分的针式打印机相关要求中打印速度为15页/分的针式打印机相关要求</w:t>
            </w:r>
          </w:p>
        </w:tc>
      </w:tr>
      <w:tr w14:paraId="7884B132">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6EC14A52">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3</w:t>
            </w:r>
          </w:p>
        </w:tc>
        <w:tc>
          <w:tcPr>
            <w:tcW w:w="1080" w:type="dxa"/>
            <w:tcBorders>
              <w:top w:val="nil"/>
              <w:left w:val="nil"/>
              <w:bottom w:val="single" w:color="000000" w:sz="8" w:space="0"/>
              <w:right w:val="single" w:color="000000" w:sz="8" w:space="0"/>
            </w:tcBorders>
            <w:noWrap w:val="0"/>
            <w:vAlign w:val="center"/>
          </w:tcPr>
          <w:p w14:paraId="706FFC60">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A020202投影仪</w:t>
            </w:r>
          </w:p>
        </w:tc>
        <w:tc>
          <w:tcPr>
            <w:tcW w:w="1320" w:type="dxa"/>
            <w:tcBorders>
              <w:top w:val="nil"/>
              <w:left w:val="nil"/>
              <w:bottom w:val="single" w:color="000000" w:sz="8" w:space="0"/>
              <w:right w:val="single" w:color="000000" w:sz="8" w:space="0"/>
            </w:tcBorders>
            <w:noWrap w:val="0"/>
            <w:vAlign w:val="center"/>
          </w:tcPr>
          <w:p w14:paraId="57939173">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　</w:t>
            </w:r>
          </w:p>
        </w:tc>
        <w:tc>
          <w:tcPr>
            <w:tcW w:w="1620" w:type="dxa"/>
            <w:tcBorders>
              <w:top w:val="nil"/>
              <w:left w:val="nil"/>
              <w:bottom w:val="single" w:color="000000" w:sz="8" w:space="0"/>
              <w:right w:val="single" w:color="000000" w:sz="8" w:space="0"/>
            </w:tcBorders>
            <w:noWrap w:val="0"/>
            <w:vAlign w:val="center"/>
          </w:tcPr>
          <w:p w14:paraId="5E9E85F2">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　</w:t>
            </w:r>
          </w:p>
        </w:tc>
        <w:tc>
          <w:tcPr>
            <w:tcW w:w="4540" w:type="dxa"/>
            <w:tcBorders>
              <w:top w:val="nil"/>
              <w:left w:val="nil"/>
              <w:bottom w:val="single" w:color="000000" w:sz="8" w:space="0"/>
              <w:right w:val="single" w:color="000000" w:sz="8" w:space="0"/>
            </w:tcBorders>
            <w:noWrap w:val="0"/>
            <w:vAlign w:val="center"/>
          </w:tcPr>
          <w:p w14:paraId="1A1BE0B1">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《投影机能效限定值及能效等级》（GB32028）</w:t>
            </w:r>
          </w:p>
        </w:tc>
      </w:tr>
      <w:tr w14:paraId="6720936D">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11896BA6">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4</w:t>
            </w:r>
          </w:p>
        </w:tc>
        <w:tc>
          <w:tcPr>
            <w:tcW w:w="1080" w:type="dxa"/>
            <w:tcBorders>
              <w:top w:val="nil"/>
              <w:left w:val="nil"/>
              <w:bottom w:val="single" w:color="000000" w:sz="8" w:space="0"/>
              <w:right w:val="single" w:color="000000" w:sz="8" w:space="0"/>
            </w:tcBorders>
            <w:noWrap w:val="0"/>
            <w:vAlign w:val="center"/>
          </w:tcPr>
          <w:p w14:paraId="1D7BBB4E">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A020204多功能一体机</w:t>
            </w:r>
          </w:p>
        </w:tc>
        <w:tc>
          <w:tcPr>
            <w:tcW w:w="1320" w:type="dxa"/>
            <w:tcBorders>
              <w:top w:val="nil"/>
              <w:left w:val="nil"/>
              <w:bottom w:val="single" w:color="000000" w:sz="8" w:space="0"/>
              <w:right w:val="single" w:color="000000" w:sz="8" w:space="0"/>
            </w:tcBorders>
            <w:noWrap w:val="0"/>
            <w:vAlign w:val="center"/>
          </w:tcPr>
          <w:p w14:paraId="7A7D9EC9">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　</w:t>
            </w:r>
          </w:p>
        </w:tc>
        <w:tc>
          <w:tcPr>
            <w:tcW w:w="1620" w:type="dxa"/>
            <w:tcBorders>
              <w:top w:val="nil"/>
              <w:left w:val="nil"/>
              <w:bottom w:val="single" w:color="000000" w:sz="8" w:space="0"/>
              <w:right w:val="single" w:color="000000" w:sz="8" w:space="0"/>
            </w:tcBorders>
            <w:noWrap w:val="0"/>
            <w:vAlign w:val="center"/>
          </w:tcPr>
          <w:p w14:paraId="20D2052E">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　</w:t>
            </w:r>
          </w:p>
        </w:tc>
        <w:tc>
          <w:tcPr>
            <w:tcW w:w="4540" w:type="dxa"/>
            <w:tcBorders>
              <w:top w:val="nil"/>
              <w:left w:val="nil"/>
              <w:bottom w:val="single" w:color="000000" w:sz="8" w:space="0"/>
              <w:right w:val="single" w:color="000000" w:sz="8" w:space="0"/>
            </w:tcBorders>
            <w:noWrap w:val="0"/>
            <w:vAlign w:val="center"/>
          </w:tcPr>
          <w:p w14:paraId="79336B79">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《复印机、打印机和传真机能效限定值及能效等级》（GB21521）</w:t>
            </w:r>
          </w:p>
        </w:tc>
      </w:tr>
      <w:tr w14:paraId="7BFF36F0">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0F3422DD">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5</w:t>
            </w:r>
          </w:p>
        </w:tc>
        <w:tc>
          <w:tcPr>
            <w:tcW w:w="1080" w:type="dxa"/>
            <w:tcBorders>
              <w:top w:val="nil"/>
              <w:left w:val="nil"/>
              <w:bottom w:val="single" w:color="000000" w:sz="8" w:space="0"/>
              <w:right w:val="single" w:color="000000" w:sz="8" w:space="0"/>
            </w:tcBorders>
            <w:noWrap w:val="0"/>
            <w:vAlign w:val="center"/>
          </w:tcPr>
          <w:p w14:paraId="2B8E3D2D">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A020519泵</w:t>
            </w:r>
          </w:p>
        </w:tc>
        <w:tc>
          <w:tcPr>
            <w:tcW w:w="1320" w:type="dxa"/>
            <w:tcBorders>
              <w:top w:val="nil"/>
              <w:left w:val="nil"/>
              <w:bottom w:val="single" w:color="000000" w:sz="8" w:space="0"/>
              <w:right w:val="single" w:color="000000" w:sz="8" w:space="0"/>
            </w:tcBorders>
            <w:noWrap w:val="0"/>
            <w:vAlign w:val="center"/>
          </w:tcPr>
          <w:p w14:paraId="0F0427BD">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A02051901离心泵</w:t>
            </w:r>
          </w:p>
        </w:tc>
        <w:tc>
          <w:tcPr>
            <w:tcW w:w="1620" w:type="dxa"/>
            <w:tcBorders>
              <w:top w:val="nil"/>
              <w:left w:val="nil"/>
              <w:bottom w:val="single" w:color="000000" w:sz="8" w:space="0"/>
              <w:right w:val="single" w:color="000000" w:sz="8" w:space="0"/>
            </w:tcBorders>
            <w:noWrap w:val="0"/>
            <w:vAlign w:val="center"/>
          </w:tcPr>
          <w:p w14:paraId="78074B24">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　</w:t>
            </w:r>
          </w:p>
        </w:tc>
        <w:tc>
          <w:tcPr>
            <w:tcW w:w="4540" w:type="dxa"/>
            <w:tcBorders>
              <w:top w:val="nil"/>
              <w:left w:val="nil"/>
              <w:bottom w:val="single" w:color="000000" w:sz="8" w:space="0"/>
              <w:right w:val="single" w:color="000000" w:sz="8" w:space="0"/>
            </w:tcBorders>
            <w:noWrap w:val="0"/>
            <w:vAlign w:val="center"/>
          </w:tcPr>
          <w:p w14:paraId="4918491D">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《清水离心泵能效限定值及节能评价值》（GB19762）</w:t>
            </w:r>
          </w:p>
        </w:tc>
      </w:tr>
      <w:tr w14:paraId="79F62851">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1C966110">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6</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483A2041">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A020523制冷空调设备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14:paraId="39F777BC">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★A02052301制冷压缩机</w:t>
            </w:r>
          </w:p>
        </w:tc>
        <w:tc>
          <w:tcPr>
            <w:tcW w:w="1620" w:type="dxa"/>
            <w:tcBorders>
              <w:top w:val="nil"/>
              <w:left w:val="nil"/>
              <w:bottom w:val="single" w:color="000000" w:sz="8" w:space="0"/>
              <w:right w:val="single" w:color="000000" w:sz="8" w:space="0"/>
            </w:tcBorders>
            <w:noWrap w:val="0"/>
            <w:vAlign w:val="center"/>
          </w:tcPr>
          <w:p w14:paraId="25B1C20F">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冷水机组</w:t>
            </w:r>
          </w:p>
        </w:tc>
        <w:tc>
          <w:tcPr>
            <w:tcW w:w="4540" w:type="dxa"/>
            <w:tcBorders>
              <w:top w:val="nil"/>
              <w:left w:val="nil"/>
              <w:bottom w:val="single" w:color="000000" w:sz="8" w:space="0"/>
              <w:right w:val="single" w:color="000000" w:sz="8" w:space="0"/>
            </w:tcBorders>
            <w:noWrap w:val="0"/>
            <w:vAlign w:val="center"/>
          </w:tcPr>
          <w:p w14:paraId="77AE5599">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《冷水机组能效限定值及能效等级》（GB19577），《低环境温度空气源热泵（冷水）机组能效限定值及能效等级》（GB37480）</w:t>
            </w:r>
          </w:p>
        </w:tc>
      </w:tr>
      <w:tr w14:paraId="7BBB7A76">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F74212C">
            <w:pPr>
              <w:widowControl/>
              <w:spacing w:line="360" w:lineRule="auto"/>
              <w:jc w:val="left"/>
              <w:rPr>
                <w:rFonts w:hint="eastAsia"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0D84C43">
            <w:pPr>
              <w:widowControl/>
              <w:spacing w:line="360" w:lineRule="auto"/>
              <w:jc w:val="left"/>
              <w:rPr>
                <w:rFonts w:hint="eastAsia"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EE2C3FC">
            <w:pPr>
              <w:widowControl/>
              <w:spacing w:line="360" w:lineRule="auto"/>
              <w:jc w:val="left"/>
              <w:rPr>
                <w:rFonts w:hint="eastAsia" w:ascii="宋体" w:hAnsi="宋体" w:cs="宋体"/>
                <w:color w:val="auto"/>
                <w:kern w:val="0"/>
                <w:szCs w:val="21"/>
              </w:rPr>
            </w:pPr>
          </w:p>
        </w:tc>
        <w:tc>
          <w:tcPr>
            <w:tcW w:w="1620" w:type="dxa"/>
            <w:tcBorders>
              <w:top w:val="nil"/>
              <w:left w:val="nil"/>
              <w:bottom w:val="single" w:color="000000" w:sz="8" w:space="0"/>
              <w:right w:val="single" w:color="000000" w:sz="8" w:space="0"/>
            </w:tcBorders>
            <w:noWrap w:val="0"/>
            <w:vAlign w:val="center"/>
          </w:tcPr>
          <w:p w14:paraId="1739DB73">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水源热泵机组</w:t>
            </w:r>
          </w:p>
        </w:tc>
        <w:tc>
          <w:tcPr>
            <w:tcW w:w="4540" w:type="dxa"/>
            <w:tcBorders>
              <w:top w:val="nil"/>
              <w:left w:val="nil"/>
              <w:bottom w:val="single" w:color="000000" w:sz="8" w:space="0"/>
              <w:right w:val="single" w:color="000000" w:sz="8" w:space="0"/>
            </w:tcBorders>
            <w:noWrap w:val="0"/>
            <w:vAlign w:val="center"/>
          </w:tcPr>
          <w:p w14:paraId="15274DB0">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《水（地）源热泵机组能效限定值及能效等级》（GB30721）</w:t>
            </w:r>
          </w:p>
        </w:tc>
      </w:tr>
      <w:tr w14:paraId="4490FC43">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4035737">
            <w:pPr>
              <w:widowControl/>
              <w:spacing w:line="360" w:lineRule="auto"/>
              <w:jc w:val="left"/>
              <w:rPr>
                <w:rFonts w:hint="eastAsia"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D423BED">
            <w:pPr>
              <w:widowControl/>
              <w:spacing w:line="360" w:lineRule="auto"/>
              <w:jc w:val="left"/>
              <w:rPr>
                <w:rFonts w:hint="eastAsia"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B108725">
            <w:pPr>
              <w:widowControl/>
              <w:spacing w:line="360" w:lineRule="auto"/>
              <w:jc w:val="left"/>
              <w:rPr>
                <w:rFonts w:hint="eastAsia" w:ascii="宋体" w:hAnsi="宋体" w:cs="宋体"/>
                <w:color w:val="auto"/>
                <w:kern w:val="0"/>
                <w:szCs w:val="21"/>
              </w:rPr>
            </w:pPr>
          </w:p>
        </w:tc>
        <w:tc>
          <w:tcPr>
            <w:tcW w:w="1620" w:type="dxa"/>
            <w:tcBorders>
              <w:top w:val="nil"/>
              <w:left w:val="nil"/>
              <w:bottom w:val="single" w:color="000000" w:sz="8" w:space="0"/>
              <w:right w:val="single" w:color="000000" w:sz="8" w:space="0"/>
            </w:tcBorders>
            <w:noWrap w:val="0"/>
            <w:vAlign w:val="center"/>
          </w:tcPr>
          <w:p w14:paraId="100D9470">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溴化锂吸收式冷水机组</w:t>
            </w:r>
          </w:p>
        </w:tc>
        <w:tc>
          <w:tcPr>
            <w:tcW w:w="4540" w:type="dxa"/>
            <w:tcBorders>
              <w:top w:val="nil"/>
              <w:left w:val="nil"/>
              <w:bottom w:val="single" w:color="000000" w:sz="8" w:space="0"/>
              <w:right w:val="single" w:color="000000" w:sz="8" w:space="0"/>
            </w:tcBorders>
            <w:noWrap w:val="0"/>
            <w:vAlign w:val="center"/>
          </w:tcPr>
          <w:p w14:paraId="1CDF46E6">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《溴化锂吸收式冷水机组能效限定值及能效等级》（GB29540）</w:t>
            </w:r>
          </w:p>
        </w:tc>
      </w:tr>
      <w:tr w14:paraId="21FF3ABB">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E38E9C0">
            <w:pPr>
              <w:widowControl/>
              <w:spacing w:line="360" w:lineRule="auto"/>
              <w:jc w:val="left"/>
              <w:rPr>
                <w:rFonts w:hint="eastAsia"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C070AF9">
            <w:pPr>
              <w:widowControl/>
              <w:spacing w:line="360" w:lineRule="auto"/>
              <w:jc w:val="left"/>
              <w:rPr>
                <w:rFonts w:hint="eastAsia" w:ascii="宋体" w:hAnsi="宋体" w:cs="宋体"/>
                <w:color w:val="auto"/>
                <w:kern w:val="0"/>
                <w:szCs w:val="21"/>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045D6078">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★A02052305空调机组</w:t>
            </w:r>
          </w:p>
        </w:tc>
        <w:tc>
          <w:tcPr>
            <w:tcW w:w="1620" w:type="dxa"/>
            <w:tcBorders>
              <w:top w:val="nil"/>
              <w:left w:val="nil"/>
              <w:bottom w:val="single" w:color="000000" w:sz="8" w:space="0"/>
              <w:right w:val="single" w:color="000000" w:sz="8" w:space="0"/>
            </w:tcBorders>
            <w:noWrap w:val="0"/>
            <w:vAlign w:val="center"/>
          </w:tcPr>
          <w:p w14:paraId="009A9CE1">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多联式空调（热泵）机组(制冷量&gt;14000W)</w:t>
            </w:r>
          </w:p>
        </w:tc>
        <w:tc>
          <w:tcPr>
            <w:tcW w:w="4540" w:type="dxa"/>
            <w:tcBorders>
              <w:top w:val="nil"/>
              <w:left w:val="nil"/>
              <w:bottom w:val="single" w:color="000000" w:sz="8" w:space="0"/>
              <w:right w:val="single" w:color="000000" w:sz="8" w:space="0"/>
            </w:tcBorders>
            <w:noWrap w:val="0"/>
            <w:vAlign w:val="center"/>
          </w:tcPr>
          <w:p w14:paraId="2D5924AE">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《多联式空调（热泵）机组能效限定值及能源效率等级》（GB21454）</w:t>
            </w:r>
          </w:p>
        </w:tc>
      </w:tr>
      <w:tr w14:paraId="4F380AB0">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287023B">
            <w:pPr>
              <w:widowControl/>
              <w:spacing w:line="360" w:lineRule="auto"/>
              <w:jc w:val="left"/>
              <w:rPr>
                <w:rFonts w:hint="eastAsia"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79922D5">
            <w:pPr>
              <w:widowControl/>
              <w:spacing w:line="360" w:lineRule="auto"/>
              <w:jc w:val="left"/>
              <w:rPr>
                <w:rFonts w:hint="eastAsia"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0E1E7FA">
            <w:pPr>
              <w:widowControl/>
              <w:spacing w:line="360" w:lineRule="auto"/>
              <w:jc w:val="left"/>
              <w:rPr>
                <w:rFonts w:hint="eastAsia" w:ascii="宋体" w:hAnsi="宋体" w:cs="宋体"/>
                <w:color w:val="auto"/>
                <w:kern w:val="0"/>
                <w:szCs w:val="21"/>
              </w:rPr>
            </w:pPr>
          </w:p>
        </w:tc>
        <w:tc>
          <w:tcPr>
            <w:tcW w:w="1620" w:type="dxa"/>
            <w:tcBorders>
              <w:top w:val="nil"/>
              <w:left w:val="nil"/>
              <w:bottom w:val="single" w:color="000000" w:sz="8" w:space="0"/>
              <w:right w:val="single" w:color="000000" w:sz="8" w:space="0"/>
            </w:tcBorders>
            <w:noWrap w:val="0"/>
            <w:vAlign w:val="center"/>
          </w:tcPr>
          <w:p w14:paraId="479D5656">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单元式空气调节机(制冷量&gt;14000W</w:t>
            </w:r>
          </w:p>
        </w:tc>
        <w:tc>
          <w:tcPr>
            <w:tcW w:w="4540" w:type="dxa"/>
            <w:tcBorders>
              <w:top w:val="nil"/>
              <w:left w:val="nil"/>
              <w:bottom w:val="single" w:color="000000" w:sz="8" w:space="0"/>
              <w:right w:val="single" w:color="000000" w:sz="8" w:space="0"/>
            </w:tcBorders>
            <w:noWrap w:val="0"/>
            <w:vAlign w:val="center"/>
          </w:tcPr>
          <w:p w14:paraId="6BE568B6">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《单元式空气调节机能效限定值及能效等级》（GB19576）《风管送风式空调机组能效限定值及能效等级》（GB37479）</w:t>
            </w:r>
          </w:p>
        </w:tc>
      </w:tr>
      <w:tr w14:paraId="76727BCE">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8EF843D">
            <w:pPr>
              <w:widowControl/>
              <w:spacing w:line="360" w:lineRule="auto"/>
              <w:jc w:val="left"/>
              <w:rPr>
                <w:rFonts w:hint="eastAsia"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29390BB">
            <w:pPr>
              <w:widowControl/>
              <w:spacing w:line="360" w:lineRule="auto"/>
              <w:jc w:val="left"/>
              <w:rPr>
                <w:rFonts w:hint="eastAsia" w:ascii="宋体" w:hAnsi="宋体" w:cs="宋体"/>
                <w:color w:val="auto"/>
                <w:kern w:val="0"/>
                <w:szCs w:val="21"/>
              </w:rPr>
            </w:pPr>
          </w:p>
        </w:tc>
        <w:tc>
          <w:tcPr>
            <w:tcW w:w="1320" w:type="dxa"/>
            <w:tcBorders>
              <w:top w:val="nil"/>
              <w:left w:val="nil"/>
              <w:bottom w:val="single" w:color="000000" w:sz="8" w:space="0"/>
              <w:right w:val="single" w:color="000000" w:sz="8" w:space="0"/>
            </w:tcBorders>
            <w:noWrap w:val="0"/>
            <w:vAlign w:val="center"/>
          </w:tcPr>
          <w:p w14:paraId="57759FE8">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★A02052309专用制冷、空调设备</w:t>
            </w:r>
          </w:p>
        </w:tc>
        <w:tc>
          <w:tcPr>
            <w:tcW w:w="1620" w:type="dxa"/>
            <w:tcBorders>
              <w:top w:val="nil"/>
              <w:left w:val="nil"/>
              <w:bottom w:val="single" w:color="000000" w:sz="8" w:space="0"/>
              <w:right w:val="single" w:color="000000" w:sz="8" w:space="0"/>
            </w:tcBorders>
            <w:noWrap w:val="0"/>
            <w:vAlign w:val="center"/>
          </w:tcPr>
          <w:p w14:paraId="5D9A714A">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机房空调</w:t>
            </w:r>
          </w:p>
        </w:tc>
        <w:tc>
          <w:tcPr>
            <w:tcW w:w="4540" w:type="dxa"/>
            <w:tcBorders>
              <w:top w:val="nil"/>
              <w:left w:val="nil"/>
              <w:bottom w:val="single" w:color="000000" w:sz="8" w:space="0"/>
              <w:right w:val="single" w:color="000000" w:sz="8" w:space="0"/>
            </w:tcBorders>
            <w:noWrap w:val="0"/>
            <w:vAlign w:val="center"/>
          </w:tcPr>
          <w:p w14:paraId="3925990F">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《单元式空气调节机能效限定值及能效等级》（GB19576）</w:t>
            </w:r>
          </w:p>
        </w:tc>
      </w:tr>
      <w:tr w14:paraId="6E5C64AB">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AA58B54">
            <w:pPr>
              <w:widowControl/>
              <w:spacing w:line="360" w:lineRule="auto"/>
              <w:jc w:val="left"/>
              <w:rPr>
                <w:rFonts w:hint="eastAsia"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10A3EC2">
            <w:pPr>
              <w:widowControl/>
              <w:spacing w:line="360" w:lineRule="auto"/>
              <w:jc w:val="left"/>
              <w:rPr>
                <w:rFonts w:hint="eastAsia" w:ascii="宋体" w:hAnsi="宋体" w:cs="宋体"/>
                <w:color w:val="auto"/>
                <w:kern w:val="0"/>
                <w:szCs w:val="21"/>
              </w:rPr>
            </w:pPr>
          </w:p>
        </w:tc>
        <w:tc>
          <w:tcPr>
            <w:tcW w:w="1320" w:type="dxa"/>
            <w:tcBorders>
              <w:top w:val="nil"/>
              <w:left w:val="nil"/>
              <w:bottom w:val="single" w:color="000000" w:sz="8" w:space="0"/>
              <w:right w:val="single" w:color="000000" w:sz="8" w:space="0"/>
            </w:tcBorders>
            <w:noWrap w:val="0"/>
            <w:vAlign w:val="center"/>
          </w:tcPr>
          <w:p w14:paraId="28C04FB0">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A02052399其他制冷空调设备</w:t>
            </w:r>
          </w:p>
        </w:tc>
        <w:tc>
          <w:tcPr>
            <w:tcW w:w="1620" w:type="dxa"/>
            <w:tcBorders>
              <w:top w:val="nil"/>
              <w:left w:val="nil"/>
              <w:bottom w:val="single" w:color="000000" w:sz="8" w:space="0"/>
              <w:right w:val="single" w:color="000000" w:sz="8" w:space="0"/>
            </w:tcBorders>
            <w:noWrap w:val="0"/>
            <w:vAlign w:val="center"/>
          </w:tcPr>
          <w:p w14:paraId="3786E993">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冷却塔</w:t>
            </w:r>
          </w:p>
        </w:tc>
        <w:tc>
          <w:tcPr>
            <w:tcW w:w="4540" w:type="dxa"/>
            <w:tcBorders>
              <w:top w:val="nil"/>
              <w:left w:val="nil"/>
              <w:bottom w:val="single" w:color="000000" w:sz="8" w:space="0"/>
              <w:right w:val="single" w:color="000000" w:sz="8" w:space="0"/>
            </w:tcBorders>
            <w:noWrap w:val="0"/>
            <w:vAlign w:val="center"/>
          </w:tcPr>
          <w:p w14:paraId="5FF7C2DF">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《机械通风冷却塔第1部分：中小型开式冷却塔》（GB/T7190.1）；《机械通风冷却塔第2部分：大型开式冷却塔》（GB/T7190.2）</w:t>
            </w:r>
          </w:p>
        </w:tc>
      </w:tr>
      <w:tr w14:paraId="510A6DA4">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5F01D3D0">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7</w:t>
            </w:r>
          </w:p>
        </w:tc>
        <w:tc>
          <w:tcPr>
            <w:tcW w:w="1080" w:type="dxa"/>
            <w:tcBorders>
              <w:top w:val="nil"/>
              <w:left w:val="nil"/>
              <w:bottom w:val="single" w:color="000000" w:sz="8" w:space="0"/>
              <w:right w:val="single" w:color="000000" w:sz="8" w:space="0"/>
            </w:tcBorders>
            <w:noWrap w:val="0"/>
            <w:vAlign w:val="center"/>
          </w:tcPr>
          <w:p w14:paraId="1F90EED9">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A020601电机</w:t>
            </w:r>
          </w:p>
        </w:tc>
        <w:tc>
          <w:tcPr>
            <w:tcW w:w="1320" w:type="dxa"/>
            <w:tcBorders>
              <w:top w:val="nil"/>
              <w:left w:val="nil"/>
              <w:bottom w:val="single" w:color="000000" w:sz="8" w:space="0"/>
              <w:right w:val="single" w:color="000000" w:sz="8" w:space="0"/>
            </w:tcBorders>
            <w:noWrap w:val="0"/>
            <w:vAlign w:val="center"/>
          </w:tcPr>
          <w:p w14:paraId="2227C0E5">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　</w:t>
            </w:r>
          </w:p>
        </w:tc>
        <w:tc>
          <w:tcPr>
            <w:tcW w:w="1620" w:type="dxa"/>
            <w:tcBorders>
              <w:top w:val="nil"/>
              <w:left w:val="nil"/>
              <w:bottom w:val="single" w:color="000000" w:sz="8" w:space="0"/>
              <w:right w:val="single" w:color="000000" w:sz="8" w:space="0"/>
            </w:tcBorders>
            <w:noWrap w:val="0"/>
            <w:vAlign w:val="center"/>
          </w:tcPr>
          <w:p w14:paraId="6D903FD4">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　</w:t>
            </w:r>
          </w:p>
        </w:tc>
        <w:tc>
          <w:tcPr>
            <w:tcW w:w="4540" w:type="dxa"/>
            <w:tcBorders>
              <w:top w:val="nil"/>
              <w:left w:val="nil"/>
              <w:bottom w:val="single" w:color="000000" w:sz="8" w:space="0"/>
              <w:right w:val="single" w:color="000000" w:sz="8" w:space="0"/>
            </w:tcBorders>
            <w:noWrap w:val="0"/>
            <w:vAlign w:val="center"/>
          </w:tcPr>
          <w:p w14:paraId="322B58DE">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《中小型三相异步电动机能效限定值及能效等级》（GB18613）</w:t>
            </w:r>
          </w:p>
        </w:tc>
      </w:tr>
      <w:tr w14:paraId="53610D3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18C9D16B">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8</w:t>
            </w:r>
          </w:p>
        </w:tc>
        <w:tc>
          <w:tcPr>
            <w:tcW w:w="1080" w:type="dxa"/>
            <w:tcBorders>
              <w:top w:val="nil"/>
              <w:left w:val="nil"/>
              <w:bottom w:val="single" w:color="000000" w:sz="8" w:space="0"/>
              <w:right w:val="single" w:color="000000" w:sz="8" w:space="0"/>
            </w:tcBorders>
            <w:noWrap w:val="0"/>
            <w:vAlign w:val="center"/>
          </w:tcPr>
          <w:p w14:paraId="3524DE30">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A020602变压器</w:t>
            </w:r>
          </w:p>
        </w:tc>
        <w:tc>
          <w:tcPr>
            <w:tcW w:w="1320" w:type="dxa"/>
            <w:tcBorders>
              <w:top w:val="nil"/>
              <w:left w:val="nil"/>
              <w:bottom w:val="single" w:color="000000" w:sz="8" w:space="0"/>
              <w:right w:val="single" w:color="000000" w:sz="8" w:space="0"/>
            </w:tcBorders>
            <w:noWrap w:val="0"/>
            <w:vAlign w:val="center"/>
          </w:tcPr>
          <w:p w14:paraId="3B6CA074">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配电变压器</w:t>
            </w:r>
          </w:p>
        </w:tc>
        <w:tc>
          <w:tcPr>
            <w:tcW w:w="1620" w:type="dxa"/>
            <w:tcBorders>
              <w:top w:val="nil"/>
              <w:left w:val="nil"/>
              <w:bottom w:val="single" w:color="000000" w:sz="8" w:space="0"/>
              <w:right w:val="single" w:color="000000" w:sz="8" w:space="0"/>
            </w:tcBorders>
            <w:noWrap w:val="0"/>
            <w:vAlign w:val="center"/>
          </w:tcPr>
          <w:p w14:paraId="20FE6891">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　</w:t>
            </w:r>
          </w:p>
        </w:tc>
        <w:tc>
          <w:tcPr>
            <w:tcW w:w="4540" w:type="dxa"/>
            <w:tcBorders>
              <w:top w:val="nil"/>
              <w:left w:val="nil"/>
              <w:bottom w:val="single" w:color="000000" w:sz="8" w:space="0"/>
              <w:right w:val="single" w:color="000000" w:sz="8" w:space="0"/>
            </w:tcBorders>
            <w:noWrap w:val="0"/>
            <w:vAlign w:val="center"/>
          </w:tcPr>
          <w:p w14:paraId="783FAB58">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《三相配电变压器能效限定值及能效等级》（GB20052）</w:t>
            </w:r>
          </w:p>
        </w:tc>
      </w:tr>
      <w:tr w14:paraId="2B694D3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3CACC20E">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9</w:t>
            </w:r>
          </w:p>
        </w:tc>
        <w:tc>
          <w:tcPr>
            <w:tcW w:w="1080" w:type="dxa"/>
            <w:tcBorders>
              <w:top w:val="nil"/>
              <w:left w:val="nil"/>
              <w:bottom w:val="single" w:color="000000" w:sz="8" w:space="0"/>
              <w:right w:val="single" w:color="000000" w:sz="8" w:space="0"/>
            </w:tcBorders>
            <w:noWrap w:val="0"/>
            <w:vAlign w:val="center"/>
          </w:tcPr>
          <w:p w14:paraId="5F07BC8A">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★A020609镇流器</w:t>
            </w:r>
          </w:p>
        </w:tc>
        <w:tc>
          <w:tcPr>
            <w:tcW w:w="1320" w:type="dxa"/>
            <w:tcBorders>
              <w:top w:val="nil"/>
              <w:left w:val="nil"/>
              <w:bottom w:val="single" w:color="000000" w:sz="8" w:space="0"/>
              <w:right w:val="single" w:color="000000" w:sz="8" w:space="0"/>
            </w:tcBorders>
            <w:noWrap w:val="0"/>
            <w:vAlign w:val="center"/>
          </w:tcPr>
          <w:p w14:paraId="3966222F">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管型荧光灯镇流器</w:t>
            </w:r>
          </w:p>
        </w:tc>
        <w:tc>
          <w:tcPr>
            <w:tcW w:w="1620" w:type="dxa"/>
            <w:tcBorders>
              <w:top w:val="nil"/>
              <w:left w:val="nil"/>
              <w:bottom w:val="single" w:color="000000" w:sz="8" w:space="0"/>
              <w:right w:val="single" w:color="000000" w:sz="8" w:space="0"/>
            </w:tcBorders>
            <w:noWrap w:val="0"/>
            <w:vAlign w:val="center"/>
          </w:tcPr>
          <w:p w14:paraId="67A555C5">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　</w:t>
            </w:r>
          </w:p>
        </w:tc>
        <w:tc>
          <w:tcPr>
            <w:tcW w:w="4540" w:type="dxa"/>
            <w:tcBorders>
              <w:top w:val="nil"/>
              <w:left w:val="nil"/>
              <w:bottom w:val="single" w:color="000000" w:sz="8" w:space="0"/>
              <w:right w:val="single" w:color="000000" w:sz="8" w:space="0"/>
            </w:tcBorders>
            <w:noWrap w:val="0"/>
            <w:vAlign w:val="center"/>
          </w:tcPr>
          <w:p w14:paraId="2B1DEEDA">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《管形荧光灯镇流器能效限定值及能效等级》（GB17896）</w:t>
            </w:r>
          </w:p>
        </w:tc>
      </w:tr>
      <w:tr w14:paraId="4EA07D8D">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1D1BA7B6">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10</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45C3C083">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A020618生活用电器</w:t>
            </w:r>
          </w:p>
        </w:tc>
        <w:tc>
          <w:tcPr>
            <w:tcW w:w="1320" w:type="dxa"/>
            <w:tcBorders>
              <w:top w:val="nil"/>
              <w:left w:val="nil"/>
              <w:bottom w:val="single" w:color="000000" w:sz="8" w:space="0"/>
              <w:right w:val="single" w:color="000000" w:sz="8" w:space="0"/>
            </w:tcBorders>
            <w:noWrap w:val="0"/>
            <w:vAlign w:val="center"/>
          </w:tcPr>
          <w:p w14:paraId="0B530449">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A0206180101电冰箱</w:t>
            </w:r>
          </w:p>
        </w:tc>
        <w:tc>
          <w:tcPr>
            <w:tcW w:w="1620" w:type="dxa"/>
            <w:tcBorders>
              <w:top w:val="nil"/>
              <w:left w:val="nil"/>
              <w:bottom w:val="single" w:color="000000" w:sz="8" w:space="0"/>
              <w:right w:val="single" w:color="000000" w:sz="8" w:space="0"/>
            </w:tcBorders>
            <w:noWrap w:val="0"/>
            <w:vAlign w:val="center"/>
          </w:tcPr>
          <w:p w14:paraId="131BC2A0">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　</w:t>
            </w:r>
          </w:p>
        </w:tc>
        <w:tc>
          <w:tcPr>
            <w:tcW w:w="4540" w:type="dxa"/>
            <w:tcBorders>
              <w:top w:val="nil"/>
              <w:left w:val="nil"/>
              <w:bottom w:val="single" w:color="000000" w:sz="8" w:space="0"/>
              <w:right w:val="single" w:color="000000" w:sz="8" w:space="0"/>
            </w:tcBorders>
            <w:noWrap w:val="0"/>
            <w:vAlign w:val="center"/>
          </w:tcPr>
          <w:p w14:paraId="7945788D">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《家用电冰箱耗电量限定值及能效等级》（GB 12021.2）</w:t>
            </w:r>
          </w:p>
        </w:tc>
      </w:tr>
      <w:tr w14:paraId="4D0539FB">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A29BE37">
            <w:pPr>
              <w:widowControl/>
              <w:spacing w:line="360" w:lineRule="auto"/>
              <w:jc w:val="left"/>
              <w:rPr>
                <w:rFonts w:hint="eastAsia"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D5CEEF6">
            <w:pPr>
              <w:widowControl/>
              <w:spacing w:line="360" w:lineRule="auto"/>
              <w:jc w:val="left"/>
              <w:rPr>
                <w:rFonts w:hint="eastAsia" w:ascii="宋体" w:hAnsi="宋体" w:cs="宋体"/>
                <w:color w:val="auto"/>
                <w:kern w:val="0"/>
                <w:szCs w:val="21"/>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4A693B4D">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★A0206180203空调机</w:t>
            </w:r>
          </w:p>
        </w:tc>
        <w:tc>
          <w:tcPr>
            <w:tcW w:w="1620" w:type="dxa"/>
            <w:tcBorders>
              <w:top w:val="nil"/>
              <w:left w:val="nil"/>
              <w:bottom w:val="single" w:color="000000" w:sz="8" w:space="0"/>
              <w:right w:val="single" w:color="000000" w:sz="8" w:space="0"/>
            </w:tcBorders>
            <w:noWrap w:val="0"/>
            <w:vAlign w:val="center"/>
          </w:tcPr>
          <w:p w14:paraId="2D2FA1C5">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房间空气调节器</w:t>
            </w:r>
          </w:p>
        </w:tc>
        <w:tc>
          <w:tcPr>
            <w:tcW w:w="4540" w:type="dxa"/>
            <w:tcBorders>
              <w:top w:val="nil"/>
              <w:left w:val="nil"/>
              <w:bottom w:val="single" w:color="000000" w:sz="8" w:space="0"/>
              <w:right w:val="single" w:color="000000" w:sz="8" w:space="0"/>
            </w:tcBorders>
            <w:noWrap w:val="0"/>
            <w:vAlign w:val="center"/>
          </w:tcPr>
          <w:p w14:paraId="7D5B26F1">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《转速可控型房间空气调节器能效限定值及能效等级》（GB21455-2013），待2019年修订发布后，按《房间空气调节器能效限定值及能效等级》（GB21455-2019实施。</w:t>
            </w:r>
          </w:p>
        </w:tc>
      </w:tr>
      <w:tr w14:paraId="581FFB5B">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F3AAE98">
            <w:pPr>
              <w:widowControl/>
              <w:spacing w:line="360" w:lineRule="auto"/>
              <w:jc w:val="left"/>
              <w:rPr>
                <w:rFonts w:hint="eastAsia"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71C51E0">
            <w:pPr>
              <w:widowControl/>
              <w:spacing w:line="360" w:lineRule="auto"/>
              <w:jc w:val="left"/>
              <w:rPr>
                <w:rFonts w:hint="eastAsia"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F69B1AA">
            <w:pPr>
              <w:widowControl/>
              <w:spacing w:line="360" w:lineRule="auto"/>
              <w:jc w:val="left"/>
              <w:rPr>
                <w:rFonts w:hint="eastAsia" w:ascii="宋体" w:hAnsi="宋体" w:cs="宋体"/>
                <w:color w:val="auto"/>
                <w:kern w:val="0"/>
                <w:szCs w:val="21"/>
              </w:rPr>
            </w:pPr>
          </w:p>
        </w:tc>
        <w:tc>
          <w:tcPr>
            <w:tcW w:w="1620" w:type="dxa"/>
            <w:tcBorders>
              <w:top w:val="nil"/>
              <w:left w:val="nil"/>
              <w:bottom w:val="single" w:color="000000" w:sz="8" w:space="0"/>
              <w:right w:val="single" w:color="000000" w:sz="8" w:space="0"/>
            </w:tcBorders>
            <w:noWrap w:val="0"/>
            <w:vAlign w:val="center"/>
          </w:tcPr>
          <w:p w14:paraId="1E382071">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多联式空调（热泵）机组（制冷量≤ 14000W）</w:t>
            </w:r>
          </w:p>
        </w:tc>
        <w:tc>
          <w:tcPr>
            <w:tcW w:w="4540" w:type="dxa"/>
            <w:tcBorders>
              <w:top w:val="nil"/>
              <w:left w:val="nil"/>
              <w:bottom w:val="single" w:color="000000" w:sz="8" w:space="0"/>
              <w:right w:val="single" w:color="000000" w:sz="8" w:space="0"/>
            </w:tcBorders>
            <w:noWrap w:val="0"/>
            <w:vAlign w:val="center"/>
          </w:tcPr>
          <w:p w14:paraId="0F341743">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《多联式空调（热泵）机组能效限定值及能源效率等级》（GB21454）</w:t>
            </w:r>
          </w:p>
        </w:tc>
      </w:tr>
      <w:tr w14:paraId="16BC9035">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A80A277">
            <w:pPr>
              <w:widowControl/>
              <w:spacing w:line="360" w:lineRule="auto"/>
              <w:jc w:val="left"/>
              <w:rPr>
                <w:rFonts w:hint="eastAsia"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B9673D3">
            <w:pPr>
              <w:widowControl/>
              <w:spacing w:line="360" w:lineRule="auto"/>
              <w:jc w:val="left"/>
              <w:rPr>
                <w:rFonts w:hint="eastAsia"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4E03CB8">
            <w:pPr>
              <w:widowControl/>
              <w:spacing w:line="360" w:lineRule="auto"/>
              <w:jc w:val="left"/>
              <w:rPr>
                <w:rFonts w:hint="eastAsia" w:ascii="宋体" w:hAnsi="宋体" w:cs="宋体"/>
                <w:color w:val="auto"/>
                <w:kern w:val="0"/>
                <w:szCs w:val="21"/>
              </w:rPr>
            </w:pPr>
          </w:p>
        </w:tc>
        <w:tc>
          <w:tcPr>
            <w:tcW w:w="1620" w:type="dxa"/>
            <w:tcBorders>
              <w:top w:val="nil"/>
              <w:left w:val="nil"/>
              <w:bottom w:val="single" w:color="000000" w:sz="8" w:space="0"/>
              <w:right w:val="single" w:color="000000" w:sz="8" w:space="0"/>
            </w:tcBorders>
            <w:noWrap w:val="0"/>
            <w:vAlign w:val="center"/>
          </w:tcPr>
          <w:p w14:paraId="060A6B0A">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单元式空气调节机(制冷量≤14000W)</w:t>
            </w:r>
          </w:p>
        </w:tc>
        <w:tc>
          <w:tcPr>
            <w:tcW w:w="4540" w:type="dxa"/>
            <w:tcBorders>
              <w:top w:val="nil"/>
              <w:left w:val="nil"/>
              <w:bottom w:val="single" w:color="000000" w:sz="8" w:space="0"/>
              <w:right w:val="single" w:color="000000" w:sz="8" w:space="0"/>
            </w:tcBorders>
            <w:noWrap w:val="0"/>
            <w:vAlign w:val="center"/>
          </w:tcPr>
          <w:p w14:paraId="58CA133F">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《单元式空气调节机能效限定值及能源效率等级》（GB19576）《风管送风式空调机组能效限定值及能效等级》（GB37479）</w:t>
            </w:r>
          </w:p>
        </w:tc>
      </w:tr>
      <w:tr w14:paraId="1B9C19F3">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73B050D">
            <w:pPr>
              <w:widowControl/>
              <w:spacing w:line="360" w:lineRule="auto"/>
              <w:jc w:val="left"/>
              <w:rPr>
                <w:rFonts w:hint="eastAsia"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02935EF">
            <w:pPr>
              <w:widowControl/>
              <w:spacing w:line="360" w:lineRule="auto"/>
              <w:jc w:val="left"/>
              <w:rPr>
                <w:rFonts w:hint="eastAsia" w:ascii="宋体" w:hAnsi="宋体" w:cs="宋体"/>
                <w:color w:val="auto"/>
                <w:kern w:val="0"/>
                <w:szCs w:val="21"/>
              </w:rPr>
            </w:pPr>
          </w:p>
        </w:tc>
        <w:tc>
          <w:tcPr>
            <w:tcW w:w="1320" w:type="dxa"/>
            <w:tcBorders>
              <w:top w:val="nil"/>
              <w:left w:val="nil"/>
              <w:bottom w:val="single" w:color="000000" w:sz="8" w:space="0"/>
              <w:right w:val="single" w:color="000000" w:sz="8" w:space="0"/>
            </w:tcBorders>
            <w:noWrap w:val="0"/>
            <w:vAlign w:val="center"/>
          </w:tcPr>
          <w:p w14:paraId="470C541F">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A0206180301洗衣机</w:t>
            </w:r>
          </w:p>
        </w:tc>
        <w:tc>
          <w:tcPr>
            <w:tcW w:w="1620" w:type="dxa"/>
            <w:tcBorders>
              <w:top w:val="nil"/>
              <w:left w:val="nil"/>
              <w:bottom w:val="single" w:color="000000" w:sz="8" w:space="0"/>
              <w:right w:val="single" w:color="000000" w:sz="8" w:space="0"/>
            </w:tcBorders>
            <w:noWrap w:val="0"/>
            <w:vAlign w:val="center"/>
          </w:tcPr>
          <w:p w14:paraId="57948A1C">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　</w:t>
            </w:r>
          </w:p>
        </w:tc>
        <w:tc>
          <w:tcPr>
            <w:tcW w:w="4540" w:type="dxa"/>
            <w:tcBorders>
              <w:top w:val="nil"/>
              <w:left w:val="nil"/>
              <w:bottom w:val="single" w:color="000000" w:sz="8" w:space="0"/>
              <w:right w:val="single" w:color="000000" w:sz="8" w:space="0"/>
            </w:tcBorders>
            <w:noWrap w:val="0"/>
            <w:vAlign w:val="center"/>
          </w:tcPr>
          <w:p w14:paraId="6202B5B1">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《电动洗衣机能效水效限定值及等级》（GB12021.4）</w:t>
            </w:r>
          </w:p>
        </w:tc>
      </w:tr>
      <w:tr w14:paraId="2075B6AC">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3A09200">
            <w:pPr>
              <w:widowControl/>
              <w:spacing w:line="360" w:lineRule="auto"/>
              <w:jc w:val="left"/>
              <w:rPr>
                <w:rFonts w:hint="eastAsia"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B5627E8">
            <w:pPr>
              <w:widowControl/>
              <w:spacing w:line="360" w:lineRule="auto"/>
              <w:jc w:val="left"/>
              <w:rPr>
                <w:rFonts w:hint="eastAsia" w:ascii="宋体" w:hAnsi="宋体" w:cs="宋体"/>
                <w:color w:val="auto"/>
                <w:kern w:val="0"/>
                <w:szCs w:val="21"/>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6C713E87">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A02061808热水器</w:t>
            </w:r>
          </w:p>
        </w:tc>
        <w:tc>
          <w:tcPr>
            <w:tcW w:w="1620" w:type="dxa"/>
            <w:tcBorders>
              <w:top w:val="nil"/>
              <w:left w:val="nil"/>
              <w:bottom w:val="single" w:color="000000" w:sz="8" w:space="0"/>
              <w:right w:val="single" w:color="000000" w:sz="8" w:space="0"/>
            </w:tcBorders>
            <w:noWrap w:val="0"/>
            <w:vAlign w:val="center"/>
          </w:tcPr>
          <w:p w14:paraId="6ACA0A66">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★电热水器</w:t>
            </w:r>
          </w:p>
        </w:tc>
        <w:tc>
          <w:tcPr>
            <w:tcW w:w="4540" w:type="dxa"/>
            <w:tcBorders>
              <w:top w:val="nil"/>
              <w:left w:val="nil"/>
              <w:bottom w:val="single" w:color="000000" w:sz="8" w:space="0"/>
              <w:right w:val="single" w:color="000000" w:sz="8" w:space="0"/>
            </w:tcBorders>
            <w:noWrap w:val="0"/>
            <w:vAlign w:val="center"/>
          </w:tcPr>
          <w:p w14:paraId="25DE3087">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《储水式电热水器能效限定值及能效等级》（GB21519）</w:t>
            </w:r>
          </w:p>
        </w:tc>
      </w:tr>
      <w:tr w14:paraId="1E08AEFA">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0975548">
            <w:pPr>
              <w:widowControl/>
              <w:spacing w:line="360" w:lineRule="auto"/>
              <w:jc w:val="left"/>
              <w:rPr>
                <w:rFonts w:hint="eastAsia"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85EADB0">
            <w:pPr>
              <w:widowControl/>
              <w:spacing w:line="360" w:lineRule="auto"/>
              <w:jc w:val="left"/>
              <w:rPr>
                <w:rFonts w:hint="eastAsia"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7D0F0BD">
            <w:pPr>
              <w:widowControl/>
              <w:spacing w:line="360" w:lineRule="auto"/>
              <w:jc w:val="left"/>
              <w:rPr>
                <w:rFonts w:hint="eastAsia" w:ascii="宋体" w:hAnsi="宋体" w:cs="宋体"/>
                <w:color w:val="auto"/>
                <w:kern w:val="0"/>
                <w:szCs w:val="21"/>
              </w:rPr>
            </w:pPr>
          </w:p>
        </w:tc>
        <w:tc>
          <w:tcPr>
            <w:tcW w:w="1620" w:type="dxa"/>
            <w:tcBorders>
              <w:top w:val="nil"/>
              <w:left w:val="nil"/>
              <w:bottom w:val="single" w:color="000000" w:sz="8" w:space="0"/>
              <w:right w:val="single" w:color="000000" w:sz="8" w:space="0"/>
            </w:tcBorders>
            <w:noWrap w:val="0"/>
            <w:vAlign w:val="center"/>
          </w:tcPr>
          <w:p w14:paraId="2FB72CAC">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燃气热水器</w:t>
            </w:r>
          </w:p>
        </w:tc>
        <w:tc>
          <w:tcPr>
            <w:tcW w:w="4540" w:type="dxa"/>
            <w:tcBorders>
              <w:top w:val="nil"/>
              <w:left w:val="nil"/>
              <w:bottom w:val="single" w:color="000000" w:sz="8" w:space="0"/>
              <w:right w:val="single" w:color="000000" w:sz="8" w:space="0"/>
            </w:tcBorders>
            <w:noWrap w:val="0"/>
            <w:vAlign w:val="center"/>
          </w:tcPr>
          <w:p w14:paraId="26C36D5C">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《家用燃气快速热水器和燃气采暖热水炉能效限定值及能效等级》（GB20665）</w:t>
            </w:r>
          </w:p>
        </w:tc>
      </w:tr>
      <w:tr w14:paraId="0A58BD9D">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7F1C33C">
            <w:pPr>
              <w:widowControl/>
              <w:spacing w:line="360" w:lineRule="auto"/>
              <w:jc w:val="left"/>
              <w:rPr>
                <w:rFonts w:hint="eastAsia"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E5CFA59">
            <w:pPr>
              <w:widowControl/>
              <w:spacing w:line="360" w:lineRule="auto"/>
              <w:jc w:val="left"/>
              <w:rPr>
                <w:rFonts w:hint="eastAsia"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16DBA2E">
            <w:pPr>
              <w:widowControl/>
              <w:spacing w:line="360" w:lineRule="auto"/>
              <w:jc w:val="left"/>
              <w:rPr>
                <w:rFonts w:hint="eastAsia" w:ascii="宋体" w:hAnsi="宋体" w:cs="宋体"/>
                <w:color w:val="auto"/>
                <w:kern w:val="0"/>
                <w:szCs w:val="21"/>
              </w:rPr>
            </w:pPr>
          </w:p>
        </w:tc>
        <w:tc>
          <w:tcPr>
            <w:tcW w:w="1620" w:type="dxa"/>
            <w:tcBorders>
              <w:top w:val="nil"/>
              <w:left w:val="nil"/>
              <w:bottom w:val="single" w:color="000000" w:sz="8" w:space="0"/>
              <w:right w:val="single" w:color="000000" w:sz="8" w:space="0"/>
            </w:tcBorders>
            <w:noWrap w:val="0"/>
            <w:vAlign w:val="center"/>
          </w:tcPr>
          <w:p w14:paraId="75EEA80B">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热泵热水器</w:t>
            </w:r>
          </w:p>
        </w:tc>
        <w:tc>
          <w:tcPr>
            <w:tcW w:w="4540" w:type="dxa"/>
            <w:tcBorders>
              <w:top w:val="nil"/>
              <w:left w:val="nil"/>
              <w:bottom w:val="single" w:color="000000" w:sz="8" w:space="0"/>
              <w:right w:val="single" w:color="000000" w:sz="8" w:space="0"/>
            </w:tcBorders>
            <w:noWrap w:val="0"/>
            <w:vAlign w:val="center"/>
          </w:tcPr>
          <w:p w14:paraId="2BBCEA86">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《热泵热水机（器）能效限定值及能效等级》（GB29541）</w:t>
            </w:r>
          </w:p>
        </w:tc>
      </w:tr>
      <w:tr w14:paraId="6665D042">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499720A">
            <w:pPr>
              <w:widowControl/>
              <w:spacing w:line="360" w:lineRule="auto"/>
              <w:jc w:val="left"/>
              <w:rPr>
                <w:rFonts w:hint="eastAsia"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C45939F">
            <w:pPr>
              <w:widowControl/>
              <w:spacing w:line="360" w:lineRule="auto"/>
              <w:jc w:val="left"/>
              <w:rPr>
                <w:rFonts w:hint="eastAsia"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5B16E2D">
            <w:pPr>
              <w:widowControl/>
              <w:spacing w:line="360" w:lineRule="auto"/>
              <w:jc w:val="left"/>
              <w:rPr>
                <w:rFonts w:hint="eastAsia" w:ascii="宋体" w:hAnsi="宋体" w:cs="宋体"/>
                <w:color w:val="auto"/>
                <w:kern w:val="0"/>
                <w:szCs w:val="21"/>
              </w:rPr>
            </w:pPr>
          </w:p>
        </w:tc>
        <w:tc>
          <w:tcPr>
            <w:tcW w:w="1620" w:type="dxa"/>
            <w:tcBorders>
              <w:top w:val="nil"/>
              <w:left w:val="nil"/>
              <w:bottom w:val="single" w:color="000000" w:sz="8" w:space="0"/>
              <w:right w:val="single" w:color="000000" w:sz="8" w:space="0"/>
            </w:tcBorders>
            <w:noWrap w:val="0"/>
            <w:vAlign w:val="center"/>
          </w:tcPr>
          <w:p w14:paraId="56E596CF">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太阳能热水系统</w:t>
            </w:r>
          </w:p>
        </w:tc>
        <w:tc>
          <w:tcPr>
            <w:tcW w:w="4540" w:type="dxa"/>
            <w:tcBorders>
              <w:top w:val="nil"/>
              <w:left w:val="nil"/>
              <w:bottom w:val="single" w:color="000000" w:sz="8" w:space="0"/>
              <w:right w:val="single" w:color="000000" w:sz="8" w:space="0"/>
            </w:tcBorders>
            <w:noWrap w:val="0"/>
            <w:vAlign w:val="center"/>
          </w:tcPr>
          <w:p w14:paraId="2FA887AD">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《家用太阳能热水系统能效限定值及能效等级》（GB26969）</w:t>
            </w:r>
          </w:p>
        </w:tc>
      </w:tr>
      <w:tr w14:paraId="2D75B9A5">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1B2DC3D5">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11</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7B8A12BF">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A020619照明设备</w:t>
            </w:r>
          </w:p>
        </w:tc>
        <w:tc>
          <w:tcPr>
            <w:tcW w:w="1320" w:type="dxa"/>
            <w:tcBorders>
              <w:top w:val="nil"/>
              <w:left w:val="nil"/>
              <w:bottom w:val="single" w:color="000000" w:sz="8" w:space="0"/>
              <w:right w:val="single" w:color="000000" w:sz="8" w:space="0"/>
            </w:tcBorders>
            <w:noWrap w:val="0"/>
            <w:vAlign w:val="center"/>
          </w:tcPr>
          <w:p w14:paraId="52A154A5">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★普通照明用双端荧光灯</w:t>
            </w:r>
          </w:p>
        </w:tc>
        <w:tc>
          <w:tcPr>
            <w:tcW w:w="1620" w:type="dxa"/>
            <w:tcBorders>
              <w:top w:val="nil"/>
              <w:left w:val="nil"/>
              <w:bottom w:val="single" w:color="000000" w:sz="8" w:space="0"/>
              <w:right w:val="single" w:color="000000" w:sz="8" w:space="0"/>
            </w:tcBorders>
            <w:noWrap w:val="0"/>
            <w:vAlign w:val="center"/>
          </w:tcPr>
          <w:p w14:paraId="6C7AF3E1">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　</w:t>
            </w:r>
          </w:p>
        </w:tc>
        <w:tc>
          <w:tcPr>
            <w:tcW w:w="4540" w:type="dxa"/>
            <w:tcBorders>
              <w:top w:val="nil"/>
              <w:left w:val="nil"/>
              <w:bottom w:val="single" w:color="000000" w:sz="8" w:space="0"/>
              <w:right w:val="single" w:color="000000" w:sz="8" w:space="0"/>
            </w:tcBorders>
            <w:noWrap w:val="0"/>
            <w:vAlign w:val="center"/>
          </w:tcPr>
          <w:p w14:paraId="62F4E328">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《普通照明用双端荧光灯能效限定值及能效等级》（GB19043）</w:t>
            </w:r>
          </w:p>
        </w:tc>
      </w:tr>
      <w:tr w14:paraId="71431D51">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BEF0875">
            <w:pPr>
              <w:widowControl/>
              <w:spacing w:line="360" w:lineRule="auto"/>
              <w:jc w:val="left"/>
              <w:rPr>
                <w:rFonts w:hint="eastAsia"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CB71A2F">
            <w:pPr>
              <w:widowControl/>
              <w:spacing w:line="360" w:lineRule="auto"/>
              <w:jc w:val="left"/>
              <w:rPr>
                <w:rFonts w:hint="eastAsia" w:ascii="宋体" w:hAnsi="宋体" w:cs="宋体"/>
                <w:color w:val="auto"/>
                <w:kern w:val="0"/>
                <w:szCs w:val="21"/>
              </w:rPr>
            </w:pPr>
          </w:p>
        </w:tc>
        <w:tc>
          <w:tcPr>
            <w:tcW w:w="1320" w:type="dxa"/>
            <w:tcBorders>
              <w:top w:val="nil"/>
              <w:left w:val="nil"/>
              <w:bottom w:val="single" w:color="000000" w:sz="8" w:space="0"/>
              <w:right w:val="single" w:color="000000" w:sz="8" w:space="0"/>
            </w:tcBorders>
            <w:noWrap w:val="0"/>
            <w:vAlign w:val="center"/>
          </w:tcPr>
          <w:p w14:paraId="0A5E6A60">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LED道路/隧道照明产品</w:t>
            </w:r>
          </w:p>
        </w:tc>
        <w:tc>
          <w:tcPr>
            <w:tcW w:w="1620" w:type="dxa"/>
            <w:tcBorders>
              <w:top w:val="nil"/>
              <w:left w:val="nil"/>
              <w:bottom w:val="single" w:color="000000" w:sz="8" w:space="0"/>
              <w:right w:val="single" w:color="000000" w:sz="8" w:space="0"/>
            </w:tcBorders>
            <w:noWrap w:val="0"/>
            <w:vAlign w:val="center"/>
          </w:tcPr>
          <w:p w14:paraId="036AADF4">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　</w:t>
            </w:r>
          </w:p>
        </w:tc>
        <w:tc>
          <w:tcPr>
            <w:tcW w:w="4540" w:type="dxa"/>
            <w:tcBorders>
              <w:top w:val="nil"/>
              <w:left w:val="nil"/>
              <w:bottom w:val="single" w:color="000000" w:sz="8" w:space="0"/>
              <w:right w:val="single" w:color="000000" w:sz="8" w:space="0"/>
            </w:tcBorders>
            <w:noWrap w:val="0"/>
            <w:vAlign w:val="center"/>
          </w:tcPr>
          <w:p w14:paraId="5BAA0198">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《道路和隧道照明用LED灯具能效限定值及能效等级》（GB37478）</w:t>
            </w:r>
          </w:p>
        </w:tc>
      </w:tr>
      <w:tr w14:paraId="15A8DC2B">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7835E1D">
            <w:pPr>
              <w:widowControl/>
              <w:spacing w:line="360" w:lineRule="auto"/>
              <w:jc w:val="left"/>
              <w:rPr>
                <w:rFonts w:hint="eastAsia"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A49068F">
            <w:pPr>
              <w:widowControl/>
              <w:spacing w:line="360" w:lineRule="auto"/>
              <w:jc w:val="left"/>
              <w:rPr>
                <w:rFonts w:hint="eastAsia" w:ascii="宋体" w:hAnsi="宋体" w:cs="宋体"/>
                <w:color w:val="auto"/>
                <w:kern w:val="0"/>
                <w:szCs w:val="21"/>
              </w:rPr>
            </w:pPr>
          </w:p>
        </w:tc>
        <w:tc>
          <w:tcPr>
            <w:tcW w:w="1320" w:type="dxa"/>
            <w:tcBorders>
              <w:top w:val="nil"/>
              <w:left w:val="nil"/>
              <w:bottom w:val="single" w:color="000000" w:sz="8" w:space="0"/>
              <w:right w:val="single" w:color="000000" w:sz="8" w:space="0"/>
            </w:tcBorders>
            <w:noWrap w:val="0"/>
            <w:vAlign w:val="center"/>
          </w:tcPr>
          <w:p w14:paraId="220ADAD3">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LED筒灯</w:t>
            </w:r>
          </w:p>
        </w:tc>
        <w:tc>
          <w:tcPr>
            <w:tcW w:w="1620" w:type="dxa"/>
            <w:tcBorders>
              <w:top w:val="nil"/>
              <w:left w:val="nil"/>
              <w:bottom w:val="single" w:color="000000" w:sz="8" w:space="0"/>
              <w:right w:val="single" w:color="000000" w:sz="8" w:space="0"/>
            </w:tcBorders>
            <w:noWrap w:val="0"/>
            <w:vAlign w:val="center"/>
          </w:tcPr>
          <w:p w14:paraId="4FE7C0F7">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　</w:t>
            </w:r>
          </w:p>
        </w:tc>
        <w:tc>
          <w:tcPr>
            <w:tcW w:w="4540" w:type="dxa"/>
            <w:tcBorders>
              <w:top w:val="nil"/>
              <w:left w:val="nil"/>
              <w:bottom w:val="single" w:color="000000" w:sz="8" w:space="0"/>
              <w:right w:val="single" w:color="000000" w:sz="8" w:space="0"/>
            </w:tcBorders>
            <w:noWrap w:val="0"/>
            <w:vAlign w:val="center"/>
          </w:tcPr>
          <w:p w14:paraId="1903FC57">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《室内照明用LED产品能效限定值及能效等级》（GB30255）</w:t>
            </w:r>
          </w:p>
        </w:tc>
      </w:tr>
      <w:tr w14:paraId="76544098">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DC92155">
            <w:pPr>
              <w:widowControl/>
              <w:spacing w:line="360" w:lineRule="auto"/>
              <w:jc w:val="left"/>
              <w:rPr>
                <w:rFonts w:hint="eastAsia"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2EA11AE">
            <w:pPr>
              <w:widowControl/>
              <w:spacing w:line="360" w:lineRule="auto"/>
              <w:jc w:val="left"/>
              <w:rPr>
                <w:rFonts w:hint="eastAsia" w:ascii="宋体" w:hAnsi="宋体" w:cs="宋体"/>
                <w:color w:val="auto"/>
                <w:kern w:val="0"/>
                <w:szCs w:val="21"/>
              </w:rPr>
            </w:pPr>
          </w:p>
        </w:tc>
        <w:tc>
          <w:tcPr>
            <w:tcW w:w="1320" w:type="dxa"/>
            <w:tcBorders>
              <w:top w:val="nil"/>
              <w:left w:val="nil"/>
              <w:bottom w:val="single" w:color="000000" w:sz="8" w:space="0"/>
              <w:right w:val="single" w:color="000000" w:sz="8" w:space="0"/>
            </w:tcBorders>
            <w:noWrap w:val="0"/>
            <w:vAlign w:val="center"/>
          </w:tcPr>
          <w:p w14:paraId="4FB4C252">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普通照明用非定向自镇流LED灯</w:t>
            </w:r>
          </w:p>
        </w:tc>
        <w:tc>
          <w:tcPr>
            <w:tcW w:w="1620" w:type="dxa"/>
            <w:tcBorders>
              <w:top w:val="nil"/>
              <w:left w:val="nil"/>
              <w:bottom w:val="single" w:color="000000" w:sz="8" w:space="0"/>
              <w:right w:val="single" w:color="000000" w:sz="8" w:space="0"/>
            </w:tcBorders>
            <w:noWrap w:val="0"/>
            <w:vAlign w:val="center"/>
          </w:tcPr>
          <w:p w14:paraId="4480ED9E">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　</w:t>
            </w:r>
          </w:p>
        </w:tc>
        <w:tc>
          <w:tcPr>
            <w:tcW w:w="4540" w:type="dxa"/>
            <w:tcBorders>
              <w:top w:val="nil"/>
              <w:left w:val="nil"/>
              <w:bottom w:val="single" w:color="000000" w:sz="8" w:space="0"/>
              <w:right w:val="single" w:color="000000" w:sz="8" w:space="0"/>
            </w:tcBorders>
            <w:noWrap w:val="0"/>
            <w:vAlign w:val="center"/>
          </w:tcPr>
          <w:p w14:paraId="6042BD80">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《室内照明用LED产品能效限定值及能效等级》（GB30255）</w:t>
            </w:r>
          </w:p>
        </w:tc>
      </w:tr>
      <w:tr w14:paraId="2F50642A">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noWrap w:val="0"/>
            <w:vAlign w:val="center"/>
          </w:tcPr>
          <w:p w14:paraId="4E65EC78">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12</w:t>
            </w:r>
          </w:p>
        </w:tc>
        <w:tc>
          <w:tcPr>
            <w:tcW w:w="1080" w:type="dxa"/>
            <w:tcBorders>
              <w:top w:val="nil"/>
              <w:left w:val="nil"/>
              <w:bottom w:val="single" w:color="000000" w:sz="8" w:space="0"/>
              <w:right w:val="single" w:color="000000" w:sz="8" w:space="0"/>
            </w:tcBorders>
            <w:noWrap w:val="0"/>
            <w:vAlign w:val="center"/>
          </w:tcPr>
          <w:p w14:paraId="45E203F9">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★A020910电视设备</w:t>
            </w:r>
          </w:p>
        </w:tc>
        <w:tc>
          <w:tcPr>
            <w:tcW w:w="1320" w:type="dxa"/>
            <w:tcBorders>
              <w:top w:val="nil"/>
              <w:left w:val="nil"/>
              <w:bottom w:val="single" w:color="000000" w:sz="8" w:space="0"/>
              <w:right w:val="single" w:color="000000" w:sz="8" w:space="0"/>
            </w:tcBorders>
            <w:noWrap w:val="0"/>
            <w:vAlign w:val="center"/>
          </w:tcPr>
          <w:p w14:paraId="56F7D04D">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A02091001普通电视设备（电视机）</w:t>
            </w:r>
          </w:p>
        </w:tc>
        <w:tc>
          <w:tcPr>
            <w:tcW w:w="1620" w:type="dxa"/>
            <w:tcBorders>
              <w:top w:val="nil"/>
              <w:left w:val="nil"/>
              <w:bottom w:val="single" w:color="000000" w:sz="8" w:space="0"/>
              <w:right w:val="single" w:color="000000" w:sz="8" w:space="0"/>
            </w:tcBorders>
            <w:noWrap w:val="0"/>
            <w:vAlign w:val="center"/>
          </w:tcPr>
          <w:p w14:paraId="0F0C164B">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　</w:t>
            </w:r>
          </w:p>
        </w:tc>
        <w:tc>
          <w:tcPr>
            <w:tcW w:w="4540" w:type="dxa"/>
            <w:tcBorders>
              <w:top w:val="nil"/>
              <w:left w:val="nil"/>
              <w:bottom w:val="single" w:color="000000" w:sz="8" w:space="0"/>
              <w:right w:val="single" w:color="000000" w:sz="8" w:space="0"/>
            </w:tcBorders>
            <w:noWrap w:val="0"/>
            <w:vAlign w:val="center"/>
          </w:tcPr>
          <w:p w14:paraId="26D0403E">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《平板电视能效限定值及能效等级》（GB24850）</w:t>
            </w:r>
          </w:p>
        </w:tc>
      </w:tr>
      <w:tr w14:paraId="254468CE">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noWrap w:val="0"/>
            <w:vAlign w:val="center"/>
          </w:tcPr>
          <w:p w14:paraId="2D07DF59">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13</w:t>
            </w:r>
          </w:p>
        </w:tc>
        <w:tc>
          <w:tcPr>
            <w:tcW w:w="1080" w:type="dxa"/>
            <w:tcBorders>
              <w:top w:val="nil"/>
              <w:left w:val="nil"/>
              <w:bottom w:val="single" w:color="000000" w:sz="8" w:space="0"/>
              <w:right w:val="single" w:color="000000" w:sz="8" w:space="0"/>
            </w:tcBorders>
            <w:noWrap w:val="0"/>
            <w:vAlign w:val="center"/>
          </w:tcPr>
          <w:p w14:paraId="3DFAF313">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★A020911视频设备</w:t>
            </w:r>
          </w:p>
        </w:tc>
        <w:tc>
          <w:tcPr>
            <w:tcW w:w="1320" w:type="dxa"/>
            <w:tcBorders>
              <w:top w:val="nil"/>
              <w:left w:val="nil"/>
              <w:bottom w:val="single" w:color="000000" w:sz="8" w:space="0"/>
              <w:right w:val="single" w:color="000000" w:sz="8" w:space="0"/>
            </w:tcBorders>
            <w:noWrap w:val="0"/>
            <w:vAlign w:val="center"/>
          </w:tcPr>
          <w:p w14:paraId="1D482361">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A02091107视频监控设备</w:t>
            </w:r>
          </w:p>
        </w:tc>
        <w:tc>
          <w:tcPr>
            <w:tcW w:w="1620" w:type="dxa"/>
            <w:tcBorders>
              <w:top w:val="nil"/>
              <w:left w:val="nil"/>
              <w:bottom w:val="single" w:color="000000" w:sz="8" w:space="0"/>
              <w:right w:val="single" w:color="000000" w:sz="8" w:space="0"/>
            </w:tcBorders>
            <w:noWrap w:val="0"/>
            <w:vAlign w:val="center"/>
          </w:tcPr>
          <w:p w14:paraId="279BA2CF">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监视器</w:t>
            </w:r>
          </w:p>
        </w:tc>
        <w:tc>
          <w:tcPr>
            <w:tcW w:w="4540" w:type="dxa"/>
            <w:tcBorders>
              <w:top w:val="nil"/>
              <w:left w:val="nil"/>
              <w:bottom w:val="single" w:color="000000" w:sz="8" w:space="0"/>
              <w:right w:val="single" w:color="000000" w:sz="8" w:space="0"/>
            </w:tcBorders>
            <w:noWrap w:val="0"/>
            <w:vAlign w:val="center"/>
          </w:tcPr>
          <w:p w14:paraId="02BC6184">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以射频信号为主要信号输入的监视器应符合《平板电视能效限定值及能效等级》（GB24850），以数字信号为主要信号输入的监视器应符合《计算机显示器能效限定值及能效等级》（GB21520）</w:t>
            </w:r>
          </w:p>
        </w:tc>
      </w:tr>
      <w:tr w14:paraId="7126AC3F">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3946EB82">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14</w:t>
            </w:r>
          </w:p>
        </w:tc>
        <w:tc>
          <w:tcPr>
            <w:tcW w:w="1080" w:type="dxa"/>
            <w:tcBorders>
              <w:top w:val="nil"/>
              <w:left w:val="nil"/>
              <w:bottom w:val="single" w:color="000000" w:sz="8" w:space="0"/>
              <w:right w:val="single" w:color="000000" w:sz="8" w:space="0"/>
            </w:tcBorders>
            <w:noWrap w:val="0"/>
            <w:vAlign w:val="center"/>
          </w:tcPr>
          <w:p w14:paraId="4AE004C0">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A031210饮食炊事机械</w:t>
            </w:r>
          </w:p>
        </w:tc>
        <w:tc>
          <w:tcPr>
            <w:tcW w:w="1320" w:type="dxa"/>
            <w:tcBorders>
              <w:top w:val="nil"/>
              <w:left w:val="nil"/>
              <w:bottom w:val="single" w:color="000000" w:sz="8" w:space="0"/>
              <w:right w:val="single" w:color="000000" w:sz="8" w:space="0"/>
            </w:tcBorders>
            <w:noWrap w:val="0"/>
            <w:vAlign w:val="center"/>
          </w:tcPr>
          <w:p w14:paraId="244D8DC7">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商用燃气灶具</w:t>
            </w:r>
          </w:p>
        </w:tc>
        <w:tc>
          <w:tcPr>
            <w:tcW w:w="1620" w:type="dxa"/>
            <w:tcBorders>
              <w:top w:val="nil"/>
              <w:left w:val="nil"/>
              <w:bottom w:val="single" w:color="000000" w:sz="8" w:space="0"/>
              <w:right w:val="single" w:color="000000" w:sz="8" w:space="0"/>
            </w:tcBorders>
            <w:noWrap w:val="0"/>
            <w:vAlign w:val="center"/>
          </w:tcPr>
          <w:p w14:paraId="046D30B6">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　</w:t>
            </w:r>
          </w:p>
        </w:tc>
        <w:tc>
          <w:tcPr>
            <w:tcW w:w="4540" w:type="dxa"/>
            <w:tcBorders>
              <w:top w:val="nil"/>
              <w:left w:val="nil"/>
              <w:bottom w:val="single" w:color="000000" w:sz="8" w:space="0"/>
              <w:right w:val="single" w:color="000000" w:sz="8" w:space="0"/>
            </w:tcBorders>
            <w:noWrap w:val="0"/>
            <w:vAlign w:val="center"/>
          </w:tcPr>
          <w:p w14:paraId="38A97C10">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《商用燃气灶具能效限定值及能效等级》（GB30531）</w:t>
            </w:r>
          </w:p>
        </w:tc>
      </w:tr>
      <w:tr w14:paraId="22D92667">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1F6FC851">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15</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3EBB0913">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★A060805便器</w:t>
            </w:r>
          </w:p>
        </w:tc>
        <w:tc>
          <w:tcPr>
            <w:tcW w:w="1320" w:type="dxa"/>
            <w:tcBorders>
              <w:top w:val="nil"/>
              <w:left w:val="nil"/>
              <w:bottom w:val="single" w:color="000000" w:sz="8" w:space="0"/>
              <w:right w:val="single" w:color="000000" w:sz="8" w:space="0"/>
            </w:tcBorders>
            <w:noWrap w:val="0"/>
            <w:vAlign w:val="center"/>
          </w:tcPr>
          <w:p w14:paraId="7EAF6949">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坐便器</w:t>
            </w:r>
          </w:p>
        </w:tc>
        <w:tc>
          <w:tcPr>
            <w:tcW w:w="1620" w:type="dxa"/>
            <w:tcBorders>
              <w:top w:val="nil"/>
              <w:left w:val="nil"/>
              <w:bottom w:val="single" w:color="000000" w:sz="8" w:space="0"/>
              <w:right w:val="single" w:color="000000" w:sz="8" w:space="0"/>
            </w:tcBorders>
            <w:noWrap w:val="0"/>
            <w:vAlign w:val="center"/>
          </w:tcPr>
          <w:p w14:paraId="23FE9A9B">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　</w:t>
            </w:r>
          </w:p>
        </w:tc>
        <w:tc>
          <w:tcPr>
            <w:tcW w:w="4540" w:type="dxa"/>
            <w:tcBorders>
              <w:top w:val="nil"/>
              <w:left w:val="nil"/>
              <w:bottom w:val="single" w:color="000000" w:sz="8" w:space="0"/>
              <w:right w:val="single" w:color="000000" w:sz="8" w:space="0"/>
            </w:tcBorders>
            <w:noWrap w:val="0"/>
            <w:vAlign w:val="center"/>
          </w:tcPr>
          <w:p w14:paraId="5F1AD565">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《坐便器水效限定值及水效等级》（GB25502）</w:t>
            </w:r>
          </w:p>
        </w:tc>
      </w:tr>
      <w:tr w14:paraId="6A5C119F">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689662D">
            <w:pPr>
              <w:widowControl/>
              <w:spacing w:line="360" w:lineRule="auto"/>
              <w:jc w:val="left"/>
              <w:rPr>
                <w:rFonts w:hint="eastAsia"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3EDCEB2">
            <w:pPr>
              <w:widowControl/>
              <w:spacing w:line="360" w:lineRule="auto"/>
              <w:jc w:val="left"/>
              <w:rPr>
                <w:rFonts w:hint="eastAsia" w:ascii="宋体" w:hAnsi="宋体" w:cs="宋体"/>
                <w:color w:val="auto"/>
                <w:kern w:val="0"/>
                <w:szCs w:val="21"/>
              </w:rPr>
            </w:pPr>
          </w:p>
        </w:tc>
        <w:tc>
          <w:tcPr>
            <w:tcW w:w="1320" w:type="dxa"/>
            <w:tcBorders>
              <w:top w:val="nil"/>
              <w:left w:val="nil"/>
              <w:bottom w:val="single" w:color="000000" w:sz="8" w:space="0"/>
              <w:right w:val="single" w:color="000000" w:sz="8" w:space="0"/>
            </w:tcBorders>
            <w:noWrap w:val="0"/>
            <w:vAlign w:val="center"/>
          </w:tcPr>
          <w:p w14:paraId="4950273F">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蹲便器</w:t>
            </w:r>
          </w:p>
        </w:tc>
        <w:tc>
          <w:tcPr>
            <w:tcW w:w="1620" w:type="dxa"/>
            <w:tcBorders>
              <w:top w:val="nil"/>
              <w:left w:val="nil"/>
              <w:bottom w:val="single" w:color="000000" w:sz="8" w:space="0"/>
              <w:right w:val="single" w:color="000000" w:sz="8" w:space="0"/>
            </w:tcBorders>
            <w:noWrap w:val="0"/>
            <w:vAlign w:val="center"/>
          </w:tcPr>
          <w:p w14:paraId="5241F8F3">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　</w:t>
            </w:r>
          </w:p>
        </w:tc>
        <w:tc>
          <w:tcPr>
            <w:tcW w:w="4540" w:type="dxa"/>
            <w:tcBorders>
              <w:top w:val="nil"/>
              <w:left w:val="nil"/>
              <w:bottom w:val="single" w:color="000000" w:sz="8" w:space="0"/>
              <w:right w:val="single" w:color="000000" w:sz="8" w:space="0"/>
            </w:tcBorders>
            <w:noWrap w:val="0"/>
            <w:vAlign w:val="center"/>
          </w:tcPr>
          <w:p w14:paraId="528FD70B">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《蹲便器用水效率限定值及用水效率等级》（GB30717）</w:t>
            </w:r>
          </w:p>
        </w:tc>
      </w:tr>
      <w:tr w14:paraId="644DA1E0">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9AF9454">
            <w:pPr>
              <w:widowControl/>
              <w:spacing w:line="360" w:lineRule="auto"/>
              <w:jc w:val="left"/>
              <w:rPr>
                <w:rFonts w:hint="eastAsia"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5BFD902">
            <w:pPr>
              <w:widowControl/>
              <w:spacing w:line="360" w:lineRule="auto"/>
              <w:jc w:val="left"/>
              <w:rPr>
                <w:rFonts w:hint="eastAsia" w:ascii="宋体" w:hAnsi="宋体" w:cs="宋体"/>
                <w:color w:val="auto"/>
                <w:kern w:val="0"/>
                <w:szCs w:val="21"/>
              </w:rPr>
            </w:pPr>
          </w:p>
        </w:tc>
        <w:tc>
          <w:tcPr>
            <w:tcW w:w="1320" w:type="dxa"/>
            <w:tcBorders>
              <w:top w:val="nil"/>
              <w:left w:val="nil"/>
              <w:bottom w:val="single" w:color="000000" w:sz="8" w:space="0"/>
              <w:right w:val="single" w:color="000000" w:sz="8" w:space="0"/>
            </w:tcBorders>
            <w:noWrap w:val="0"/>
            <w:vAlign w:val="center"/>
          </w:tcPr>
          <w:p w14:paraId="3392C040">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小便器</w:t>
            </w:r>
          </w:p>
        </w:tc>
        <w:tc>
          <w:tcPr>
            <w:tcW w:w="1620" w:type="dxa"/>
            <w:tcBorders>
              <w:top w:val="nil"/>
              <w:left w:val="nil"/>
              <w:bottom w:val="single" w:color="000000" w:sz="8" w:space="0"/>
              <w:right w:val="single" w:color="000000" w:sz="8" w:space="0"/>
            </w:tcBorders>
            <w:noWrap w:val="0"/>
            <w:vAlign w:val="center"/>
          </w:tcPr>
          <w:p w14:paraId="0B88F605">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　</w:t>
            </w:r>
          </w:p>
        </w:tc>
        <w:tc>
          <w:tcPr>
            <w:tcW w:w="4540" w:type="dxa"/>
            <w:tcBorders>
              <w:top w:val="nil"/>
              <w:left w:val="nil"/>
              <w:bottom w:val="single" w:color="000000" w:sz="8" w:space="0"/>
              <w:right w:val="single" w:color="000000" w:sz="8" w:space="0"/>
            </w:tcBorders>
            <w:noWrap w:val="0"/>
            <w:vAlign w:val="center"/>
          </w:tcPr>
          <w:p w14:paraId="4A8048A5">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《小便器用水效率限定值及用水效率等级》（GB28377）</w:t>
            </w:r>
          </w:p>
        </w:tc>
      </w:tr>
      <w:tr w14:paraId="404F3179">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10CDBAFB">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16</w:t>
            </w:r>
          </w:p>
        </w:tc>
        <w:tc>
          <w:tcPr>
            <w:tcW w:w="1080" w:type="dxa"/>
            <w:tcBorders>
              <w:top w:val="nil"/>
              <w:left w:val="nil"/>
              <w:bottom w:val="single" w:color="000000" w:sz="8" w:space="0"/>
              <w:right w:val="single" w:color="000000" w:sz="8" w:space="0"/>
            </w:tcBorders>
            <w:noWrap w:val="0"/>
            <w:vAlign w:val="center"/>
          </w:tcPr>
          <w:p w14:paraId="1F231464">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★A060806水嘴</w:t>
            </w:r>
          </w:p>
        </w:tc>
        <w:tc>
          <w:tcPr>
            <w:tcW w:w="1320" w:type="dxa"/>
            <w:tcBorders>
              <w:top w:val="nil"/>
              <w:left w:val="nil"/>
              <w:bottom w:val="single" w:color="000000" w:sz="8" w:space="0"/>
              <w:right w:val="single" w:color="000000" w:sz="8" w:space="0"/>
            </w:tcBorders>
            <w:noWrap w:val="0"/>
            <w:vAlign w:val="center"/>
          </w:tcPr>
          <w:p w14:paraId="3778C01C">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　</w:t>
            </w:r>
          </w:p>
        </w:tc>
        <w:tc>
          <w:tcPr>
            <w:tcW w:w="1620" w:type="dxa"/>
            <w:tcBorders>
              <w:top w:val="nil"/>
              <w:left w:val="nil"/>
              <w:bottom w:val="single" w:color="000000" w:sz="8" w:space="0"/>
              <w:right w:val="single" w:color="000000" w:sz="8" w:space="0"/>
            </w:tcBorders>
            <w:noWrap w:val="0"/>
            <w:vAlign w:val="center"/>
          </w:tcPr>
          <w:p w14:paraId="799FB3F0">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　</w:t>
            </w:r>
          </w:p>
        </w:tc>
        <w:tc>
          <w:tcPr>
            <w:tcW w:w="4540" w:type="dxa"/>
            <w:tcBorders>
              <w:top w:val="nil"/>
              <w:left w:val="nil"/>
              <w:bottom w:val="single" w:color="000000" w:sz="8" w:space="0"/>
              <w:right w:val="single" w:color="000000" w:sz="8" w:space="0"/>
            </w:tcBorders>
            <w:noWrap w:val="0"/>
            <w:vAlign w:val="center"/>
          </w:tcPr>
          <w:p w14:paraId="6AD6F758">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《水嘴用水效率限定值及用水效率等级》（GB 25501）</w:t>
            </w:r>
          </w:p>
        </w:tc>
      </w:tr>
      <w:tr w14:paraId="53B1179B">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4EF22814">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17</w:t>
            </w:r>
          </w:p>
        </w:tc>
        <w:tc>
          <w:tcPr>
            <w:tcW w:w="1080" w:type="dxa"/>
            <w:tcBorders>
              <w:top w:val="nil"/>
              <w:left w:val="nil"/>
              <w:bottom w:val="single" w:color="000000" w:sz="8" w:space="0"/>
              <w:right w:val="single" w:color="000000" w:sz="8" w:space="0"/>
            </w:tcBorders>
            <w:noWrap w:val="0"/>
            <w:vAlign w:val="center"/>
          </w:tcPr>
          <w:p w14:paraId="5BB45720">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A060807便器冲洗阀</w:t>
            </w:r>
          </w:p>
        </w:tc>
        <w:tc>
          <w:tcPr>
            <w:tcW w:w="1320" w:type="dxa"/>
            <w:tcBorders>
              <w:top w:val="nil"/>
              <w:left w:val="nil"/>
              <w:bottom w:val="single" w:color="000000" w:sz="8" w:space="0"/>
              <w:right w:val="single" w:color="000000" w:sz="8" w:space="0"/>
            </w:tcBorders>
            <w:noWrap w:val="0"/>
            <w:vAlign w:val="center"/>
          </w:tcPr>
          <w:p w14:paraId="47A156AD">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　</w:t>
            </w:r>
          </w:p>
        </w:tc>
        <w:tc>
          <w:tcPr>
            <w:tcW w:w="1620" w:type="dxa"/>
            <w:tcBorders>
              <w:top w:val="nil"/>
              <w:left w:val="nil"/>
              <w:bottom w:val="single" w:color="000000" w:sz="8" w:space="0"/>
              <w:right w:val="single" w:color="000000" w:sz="8" w:space="0"/>
            </w:tcBorders>
            <w:noWrap w:val="0"/>
            <w:vAlign w:val="center"/>
          </w:tcPr>
          <w:p w14:paraId="6E17F6B1">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　</w:t>
            </w:r>
          </w:p>
        </w:tc>
        <w:tc>
          <w:tcPr>
            <w:tcW w:w="4540" w:type="dxa"/>
            <w:tcBorders>
              <w:top w:val="nil"/>
              <w:left w:val="nil"/>
              <w:bottom w:val="single" w:color="000000" w:sz="8" w:space="0"/>
              <w:right w:val="single" w:color="000000" w:sz="8" w:space="0"/>
            </w:tcBorders>
            <w:noWrap w:val="0"/>
            <w:vAlign w:val="center"/>
          </w:tcPr>
          <w:p w14:paraId="67B59952">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《便器冲洗阀用水效率限定值及用水效率等级》（GB28379）</w:t>
            </w:r>
          </w:p>
        </w:tc>
      </w:tr>
      <w:tr w14:paraId="789D298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41854458">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18</w:t>
            </w:r>
          </w:p>
        </w:tc>
        <w:tc>
          <w:tcPr>
            <w:tcW w:w="1080" w:type="dxa"/>
            <w:tcBorders>
              <w:top w:val="nil"/>
              <w:left w:val="nil"/>
              <w:bottom w:val="single" w:color="000000" w:sz="8" w:space="0"/>
              <w:right w:val="single" w:color="000000" w:sz="8" w:space="0"/>
            </w:tcBorders>
            <w:noWrap w:val="0"/>
            <w:vAlign w:val="center"/>
          </w:tcPr>
          <w:p w14:paraId="200B0665">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A060810淋浴器</w:t>
            </w:r>
          </w:p>
        </w:tc>
        <w:tc>
          <w:tcPr>
            <w:tcW w:w="1320" w:type="dxa"/>
            <w:tcBorders>
              <w:top w:val="nil"/>
              <w:left w:val="nil"/>
              <w:bottom w:val="single" w:color="000000" w:sz="8" w:space="0"/>
              <w:right w:val="single" w:color="000000" w:sz="8" w:space="0"/>
            </w:tcBorders>
            <w:noWrap w:val="0"/>
            <w:vAlign w:val="center"/>
          </w:tcPr>
          <w:p w14:paraId="3B0A0E53">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　</w:t>
            </w:r>
          </w:p>
        </w:tc>
        <w:tc>
          <w:tcPr>
            <w:tcW w:w="1620" w:type="dxa"/>
            <w:tcBorders>
              <w:top w:val="nil"/>
              <w:left w:val="nil"/>
              <w:bottom w:val="single" w:color="000000" w:sz="8" w:space="0"/>
              <w:right w:val="single" w:color="000000" w:sz="8" w:space="0"/>
            </w:tcBorders>
            <w:noWrap w:val="0"/>
            <w:vAlign w:val="center"/>
          </w:tcPr>
          <w:p w14:paraId="61FBB551">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　</w:t>
            </w:r>
          </w:p>
        </w:tc>
        <w:tc>
          <w:tcPr>
            <w:tcW w:w="4540" w:type="dxa"/>
            <w:tcBorders>
              <w:top w:val="nil"/>
              <w:left w:val="nil"/>
              <w:bottom w:val="single" w:color="000000" w:sz="8" w:space="0"/>
              <w:right w:val="single" w:color="000000" w:sz="8" w:space="0"/>
            </w:tcBorders>
            <w:noWrap w:val="0"/>
            <w:vAlign w:val="center"/>
          </w:tcPr>
          <w:p w14:paraId="0B81B9AE">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《淋浴器用水效率限定值及用水效率等级》（GB28378）</w:t>
            </w:r>
          </w:p>
        </w:tc>
      </w:tr>
    </w:tbl>
    <w:p w14:paraId="7B7B5100">
      <w:pPr>
        <w:pStyle w:val="18"/>
        <w:spacing w:line="360" w:lineRule="auto"/>
        <w:rPr>
          <w:rFonts w:hint="eastAsia" w:ascii="宋体" w:hAnsi="宋体" w:cs="宋体"/>
          <w:color w:val="auto"/>
          <w:sz w:val="21"/>
          <w:szCs w:val="21"/>
        </w:rPr>
      </w:pPr>
      <w:r>
        <w:rPr>
          <w:rFonts w:hint="eastAsia" w:ascii="宋体" w:hAnsi="宋体" w:cs="宋体"/>
          <w:color w:val="auto"/>
          <w:spacing w:val="-3"/>
          <w:sz w:val="21"/>
          <w:szCs w:val="21"/>
        </w:rPr>
        <w:t>注：1.节能产品认证应依据相关国家标准的最新版本，依据国家标准中二级能效（水效）</w:t>
      </w:r>
      <w:r>
        <w:rPr>
          <w:rFonts w:hint="eastAsia" w:ascii="宋体" w:hAnsi="宋体" w:cs="宋体"/>
          <w:color w:val="auto"/>
          <w:sz w:val="21"/>
          <w:szCs w:val="21"/>
        </w:rPr>
        <w:t>指标。</w:t>
      </w:r>
    </w:p>
    <w:p w14:paraId="13805428">
      <w:pPr>
        <w:spacing w:line="360" w:lineRule="auto"/>
        <w:rPr>
          <w:rFonts w:hint="eastAsia" w:ascii="宋体" w:hAnsi="宋体" w:cs="宋体"/>
          <w:b/>
          <w:color w:val="auto"/>
          <w:sz w:val="32"/>
          <w:szCs w:val="32"/>
        </w:rPr>
      </w:pPr>
      <w:r>
        <w:rPr>
          <w:rFonts w:hint="eastAsia" w:ascii="宋体" w:hAnsi="宋体" w:cs="宋体"/>
          <w:color w:val="auto"/>
          <w:szCs w:val="21"/>
        </w:rPr>
        <w:t xml:space="preserve">    2</w:t>
      </w:r>
      <w:r>
        <w:rPr>
          <w:rFonts w:hint="eastAsia" w:ascii="宋体" w:hAnsi="宋体" w:cs="宋体"/>
          <w:b/>
          <w:bCs/>
          <w:color w:val="auto"/>
          <w:szCs w:val="21"/>
        </w:rPr>
        <w:t>.以“★”标注的为政府强制采购产品。</w:t>
      </w:r>
    </w:p>
    <w:p w14:paraId="3C94499E">
      <w:pPr>
        <w:spacing w:line="360" w:lineRule="auto"/>
        <w:rPr>
          <w:rFonts w:hint="eastAsia" w:ascii="宋体" w:hAnsi="宋体" w:cs="宋体"/>
          <w:b/>
          <w:bCs/>
          <w:color w:val="auto"/>
          <w:sz w:val="24"/>
        </w:rPr>
      </w:pPr>
      <w:bookmarkStart w:id="40" w:name="_Toc17369"/>
      <w:r>
        <w:rPr>
          <w:rFonts w:hint="eastAsia" w:ascii="宋体" w:hAnsi="宋体" w:cs="宋体"/>
          <w:b/>
          <w:bCs/>
          <w:color w:val="auto"/>
          <w:sz w:val="24"/>
        </w:rPr>
        <w:br w:type="page"/>
      </w:r>
      <w:r>
        <w:rPr>
          <w:rFonts w:hint="eastAsia" w:ascii="宋体" w:hAnsi="宋体" w:cs="宋体"/>
          <w:b/>
          <w:bCs/>
          <w:color w:val="auto"/>
          <w:sz w:val="24"/>
        </w:rPr>
        <w:t>附</w:t>
      </w:r>
      <w:bookmarkEnd w:id="40"/>
      <w:r>
        <w:rPr>
          <w:rFonts w:hint="eastAsia" w:ascii="宋体" w:hAnsi="宋体" w:cs="宋体"/>
          <w:b/>
          <w:bCs/>
          <w:color w:val="auto"/>
          <w:sz w:val="24"/>
        </w:rPr>
        <w:t>件2：</w:t>
      </w:r>
    </w:p>
    <w:p w14:paraId="6DE3B399">
      <w:pPr>
        <w:spacing w:line="360" w:lineRule="auto"/>
        <w:jc w:val="center"/>
        <w:rPr>
          <w:rFonts w:hint="eastAsia" w:ascii="宋体" w:hAnsi="宋体" w:cs="宋体"/>
          <w:color w:val="auto"/>
          <w:sz w:val="28"/>
          <w:szCs w:val="28"/>
        </w:rPr>
      </w:pPr>
      <w:r>
        <w:rPr>
          <w:rFonts w:hint="eastAsia" w:ascii="宋体" w:hAnsi="宋体" w:cs="宋体"/>
          <w:color w:val="auto"/>
          <w:sz w:val="28"/>
          <w:szCs w:val="28"/>
        </w:rPr>
        <w:t>中小微企业划型标准</w:t>
      </w:r>
    </w:p>
    <w:tbl>
      <w:tblPr>
        <w:tblStyle w:val="40"/>
        <w:tblW w:w="0" w:type="auto"/>
        <w:jc w:val="center"/>
        <w:tblLayout w:type="fixed"/>
        <w:tblCellMar>
          <w:top w:w="0" w:type="dxa"/>
          <w:left w:w="108" w:type="dxa"/>
          <w:bottom w:w="0" w:type="dxa"/>
          <w:right w:w="108" w:type="dxa"/>
        </w:tblCellMar>
      </w:tblPr>
      <w:tblGrid>
        <w:gridCol w:w="1985"/>
        <w:gridCol w:w="1984"/>
        <w:gridCol w:w="851"/>
        <w:gridCol w:w="1842"/>
        <w:gridCol w:w="1701"/>
        <w:gridCol w:w="1134"/>
      </w:tblGrid>
      <w:tr w14:paraId="1F63E69B">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1004C5AE">
            <w:pPr>
              <w:widowControl/>
              <w:spacing w:line="360" w:lineRule="auto"/>
              <w:jc w:val="left"/>
              <w:rPr>
                <w:rFonts w:hint="eastAsia" w:ascii="宋体" w:hAnsi="宋体" w:cs="宋体"/>
                <w:b/>
                <w:color w:val="auto"/>
                <w:kern w:val="0"/>
                <w:szCs w:val="21"/>
              </w:rPr>
            </w:pPr>
            <w:r>
              <w:rPr>
                <w:rFonts w:hint="eastAsia" w:ascii="宋体" w:hAnsi="宋体" w:cs="宋体"/>
                <w:b/>
                <w:color w:val="auto"/>
                <w:kern w:val="0"/>
                <w:szCs w:val="21"/>
              </w:rPr>
              <w:t>行业名称</w:t>
            </w:r>
          </w:p>
        </w:tc>
        <w:tc>
          <w:tcPr>
            <w:tcW w:w="1984" w:type="dxa"/>
            <w:tcBorders>
              <w:top w:val="single" w:color="auto" w:sz="4" w:space="0"/>
              <w:left w:val="nil"/>
              <w:bottom w:val="single" w:color="auto" w:sz="4" w:space="0"/>
              <w:right w:val="single" w:color="auto" w:sz="4" w:space="0"/>
            </w:tcBorders>
            <w:noWrap w:val="0"/>
            <w:vAlign w:val="center"/>
          </w:tcPr>
          <w:p w14:paraId="36400D83">
            <w:pPr>
              <w:widowControl/>
              <w:spacing w:line="360" w:lineRule="auto"/>
              <w:jc w:val="left"/>
              <w:rPr>
                <w:rFonts w:hint="eastAsia" w:ascii="宋体" w:hAnsi="宋体" w:cs="宋体"/>
                <w:b/>
                <w:color w:val="auto"/>
                <w:kern w:val="0"/>
                <w:szCs w:val="21"/>
              </w:rPr>
            </w:pPr>
            <w:r>
              <w:rPr>
                <w:rFonts w:hint="eastAsia" w:ascii="宋体" w:hAnsi="宋体" w:cs="宋体"/>
                <w:b/>
                <w:color w:val="auto"/>
                <w:kern w:val="0"/>
                <w:szCs w:val="21"/>
              </w:rPr>
              <w:t>指标名称</w:t>
            </w:r>
          </w:p>
        </w:tc>
        <w:tc>
          <w:tcPr>
            <w:tcW w:w="851" w:type="dxa"/>
            <w:tcBorders>
              <w:top w:val="single" w:color="auto" w:sz="4" w:space="0"/>
              <w:left w:val="nil"/>
              <w:bottom w:val="single" w:color="auto" w:sz="4" w:space="0"/>
              <w:right w:val="single" w:color="auto" w:sz="4" w:space="0"/>
            </w:tcBorders>
            <w:noWrap w:val="0"/>
            <w:vAlign w:val="center"/>
          </w:tcPr>
          <w:p w14:paraId="2AD8BD0E">
            <w:pPr>
              <w:widowControl/>
              <w:spacing w:line="360" w:lineRule="auto"/>
              <w:jc w:val="left"/>
              <w:rPr>
                <w:rFonts w:hint="eastAsia" w:ascii="宋体" w:hAnsi="宋体" w:cs="宋体"/>
                <w:b/>
                <w:color w:val="auto"/>
                <w:kern w:val="0"/>
                <w:szCs w:val="21"/>
              </w:rPr>
            </w:pPr>
            <w:r>
              <w:rPr>
                <w:rFonts w:hint="eastAsia" w:ascii="宋体" w:hAnsi="宋体" w:cs="宋体"/>
                <w:b/>
                <w:color w:val="auto"/>
                <w:kern w:val="0"/>
                <w:szCs w:val="21"/>
              </w:rPr>
              <w:t>计量单位</w:t>
            </w:r>
          </w:p>
        </w:tc>
        <w:tc>
          <w:tcPr>
            <w:tcW w:w="1842" w:type="dxa"/>
            <w:tcBorders>
              <w:top w:val="single" w:color="auto" w:sz="4" w:space="0"/>
              <w:left w:val="nil"/>
              <w:bottom w:val="single" w:color="auto" w:sz="4" w:space="0"/>
              <w:right w:val="single" w:color="auto" w:sz="4" w:space="0"/>
            </w:tcBorders>
            <w:noWrap w:val="0"/>
            <w:vAlign w:val="center"/>
          </w:tcPr>
          <w:p w14:paraId="092C0F3C">
            <w:pPr>
              <w:widowControl/>
              <w:spacing w:line="360" w:lineRule="auto"/>
              <w:jc w:val="left"/>
              <w:rPr>
                <w:rFonts w:hint="eastAsia" w:ascii="宋体" w:hAnsi="宋体" w:cs="宋体"/>
                <w:b/>
                <w:color w:val="auto"/>
                <w:kern w:val="0"/>
                <w:szCs w:val="21"/>
              </w:rPr>
            </w:pPr>
            <w:r>
              <w:rPr>
                <w:rFonts w:hint="eastAsia" w:ascii="宋体" w:hAnsi="宋体" w:cs="宋体"/>
                <w:b/>
                <w:color w:val="auto"/>
                <w:kern w:val="0"/>
                <w:szCs w:val="21"/>
              </w:rPr>
              <w:t>中型</w:t>
            </w:r>
          </w:p>
        </w:tc>
        <w:tc>
          <w:tcPr>
            <w:tcW w:w="1701" w:type="dxa"/>
            <w:tcBorders>
              <w:top w:val="single" w:color="auto" w:sz="4" w:space="0"/>
              <w:left w:val="nil"/>
              <w:bottom w:val="single" w:color="auto" w:sz="4" w:space="0"/>
              <w:right w:val="single" w:color="auto" w:sz="4" w:space="0"/>
            </w:tcBorders>
            <w:noWrap w:val="0"/>
            <w:vAlign w:val="center"/>
          </w:tcPr>
          <w:p w14:paraId="09AF4C73">
            <w:pPr>
              <w:widowControl/>
              <w:spacing w:line="360" w:lineRule="auto"/>
              <w:jc w:val="left"/>
              <w:rPr>
                <w:rFonts w:hint="eastAsia" w:ascii="宋体" w:hAnsi="宋体" w:cs="宋体"/>
                <w:b/>
                <w:color w:val="auto"/>
                <w:kern w:val="0"/>
                <w:szCs w:val="21"/>
              </w:rPr>
            </w:pPr>
            <w:r>
              <w:rPr>
                <w:rFonts w:hint="eastAsia" w:ascii="宋体" w:hAnsi="宋体" w:cs="宋体"/>
                <w:b/>
                <w:color w:val="auto"/>
                <w:kern w:val="0"/>
                <w:szCs w:val="21"/>
              </w:rPr>
              <w:t>小型</w:t>
            </w:r>
          </w:p>
        </w:tc>
        <w:tc>
          <w:tcPr>
            <w:tcW w:w="1134" w:type="dxa"/>
            <w:tcBorders>
              <w:top w:val="single" w:color="auto" w:sz="4" w:space="0"/>
              <w:left w:val="nil"/>
              <w:bottom w:val="single" w:color="auto" w:sz="4" w:space="0"/>
              <w:right w:val="single" w:color="auto" w:sz="4" w:space="0"/>
            </w:tcBorders>
            <w:noWrap w:val="0"/>
            <w:vAlign w:val="center"/>
          </w:tcPr>
          <w:p w14:paraId="471D85C6">
            <w:pPr>
              <w:widowControl/>
              <w:spacing w:line="360" w:lineRule="auto"/>
              <w:jc w:val="left"/>
              <w:rPr>
                <w:rFonts w:hint="eastAsia" w:ascii="宋体" w:hAnsi="宋体" w:cs="宋体"/>
                <w:b/>
                <w:color w:val="auto"/>
                <w:kern w:val="0"/>
                <w:szCs w:val="21"/>
              </w:rPr>
            </w:pPr>
            <w:r>
              <w:rPr>
                <w:rFonts w:hint="eastAsia" w:ascii="宋体" w:hAnsi="宋体" w:cs="宋体"/>
                <w:b/>
                <w:color w:val="auto"/>
                <w:kern w:val="0"/>
                <w:szCs w:val="21"/>
              </w:rPr>
              <w:t>微型</w:t>
            </w:r>
          </w:p>
        </w:tc>
      </w:tr>
      <w:tr w14:paraId="01DEC841">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noWrap w:val="0"/>
            <w:vAlign w:val="bottom"/>
          </w:tcPr>
          <w:p w14:paraId="47C94F3B">
            <w:pPr>
              <w:widowControl/>
              <w:spacing w:line="360" w:lineRule="auto"/>
              <w:jc w:val="center"/>
              <w:rPr>
                <w:rFonts w:hint="eastAsia" w:ascii="宋体" w:hAnsi="宋体" w:cs="宋体"/>
                <w:b/>
                <w:bCs/>
                <w:color w:val="auto"/>
                <w:kern w:val="0"/>
                <w:szCs w:val="21"/>
              </w:rPr>
            </w:pPr>
            <w:r>
              <w:rPr>
                <w:rFonts w:hint="eastAsia" w:ascii="宋体" w:hAnsi="宋体" w:cs="宋体"/>
                <w:b/>
                <w:bCs/>
                <w:color w:val="auto"/>
                <w:kern w:val="0"/>
                <w:szCs w:val="21"/>
              </w:rPr>
              <w:t>农、林、牧、渔</w:t>
            </w:r>
          </w:p>
        </w:tc>
        <w:tc>
          <w:tcPr>
            <w:tcW w:w="1984" w:type="dxa"/>
            <w:tcBorders>
              <w:top w:val="nil"/>
              <w:left w:val="nil"/>
              <w:bottom w:val="single" w:color="auto" w:sz="4" w:space="0"/>
              <w:right w:val="single" w:color="auto" w:sz="4" w:space="0"/>
            </w:tcBorders>
            <w:noWrap w:val="0"/>
            <w:vAlign w:val="center"/>
          </w:tcPr>
          <w:p w14:paraId="73AE9CA9">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营业收入（Y）</w:t>
            </w:r>
          </w:p>
        </w:tc>
        <w:tc>
          <w:tcPr>
            <w:tcW w:w="851" w:type="dxa"/>
            <w:tcBorders>
              <w:top w:val="nil"/>
              <w:left w:val="nil"/>
              <w:bottom w:val="single" w:color="auto" w:sz="4" w:space="0"/>
              <w:right w:val="single" w:color="auto" w:sz="4" w:space="0"/>
            </w:tcBorders>
            <w:noWrap w:val="0"/>
            <w:vAlign w:val="center"/>
          </w:tcPr>
          <w:p w14:paraId="6C3F1327">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万元</w:t>
            </w:r>
          </w:p>
        </w:tc>
        <w:tc>
          <w:tcPr>
            <w:tcW w:w="1842" w:type="dxa"/>
            <w:tcBorders>
              <w:top w:val="nil"/>
              <w:left w:val="nil"/>
              <w:bottom w:val="single" w:color="auto" w:sz="4" w:space="0"/>
              <w:right w:val="single" w:color="auto" w:sz="4" w:space="0"/>
            </w:tcBorders>
            <w:noWrap w:val="0"/>
            <w:vAlign w:val="center"/>
          </w:tcPr>
          <w:p w14:paraId="41FDE58A">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500≤Y＜20000</w:t>
            </w:r>
          </w:p>
        </w:tc>
        <w:tc>
          <w:tcPr>
            <w:tcW w:w="1701" w:type="dxa"/>
            <w:tcBorders>
              <w:top w:val="nil"/>
              <w:left w:val="nil"/>
              <w:bottom w:val="single" w:color="auto" w:sz="4" w:space="0"/>
              <w:right w:val="single" w:color="auto" w:sz="4" w:space="0"/>
            </w:tcBorders>
            <w:noWrap w:val="0"/>
            <w:vAlign w:val="center"/>
          </w:tcPr>
          <w:p w14:paraId="43800E12">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50≤Y＜500</w:t>
            </w:r>
          </w:p>
        </w:tc>
        <w:tc>
          <w:tcPr>
            <w:tcW w:w="1134" w:type="dxa"/>
            <w:tcBorders>
              <w:top w:val="nil"/>
              <w:left w:val="nil"/>
              <w:bottom w:val="single" w:color="auto" w:sz="4" w:space="0"/>
              <w:right w:val="single" w:color="auto" w:sz="4" w:space="0"/>
            </w:tcBorders>
            <w:noWrap w:val="0"/>
            <w:vAlign w:val="center"/>
          </w:tcPr>
          <w:p w14:paraId="5CC60D6D">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Y＜50</w:t>
            </w:r>
          </w:p>
        </w:tc>
      </w:tr>
      <w:tr w14:paraId="06E79125">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025D2642">
            <w:pPr>
              <w:widowControl/>
              <w:spacing w:line="360" w:lineRule="auto"/>
              <w:jc w:val="center"/>
              <w:rPr>
                <w:rFonts w:hint="eastAsia" w:ascii="宋体" w:hAnsi="宋体" w:cs="宋体"/>
                <w:b/>
                <w:bCs/>
                <w:color w:val="auto"/>
                <w:kern w:val="0"/>
                <w:szCs w:val="21"/>
              </w:rPr>
            </w:pPr>
            <w:r>
              <w:rPr>
                <w:rFonts w:hint="eastAsia" w:ascii="宋体" w:hAnsi="宋体" w:cs="宋体"/>
                <w:b/>
                <w:bCs/>
                <w:color w:val="auto"/>
                <w:kern w:val="0"/>
                <w:szCs w:val="21"/>
              </w:rPr>
              <w:t>工业</w:t>
            </w:r>
          </w:p>
        </w:tc>
        <w:tc>
          <w:tcPr>
            <w:tcW w:w="1984" w:type="dxa"/>
            <w:tcBorders>
              <w:top w:val="nil"/>
              <w:left w:val="nil"/>
              <w:bottom w:val="single" w:color="auto" w:sz="4" w:space="0"/>
              <w:right w:val="single" w:color="auto" w:sz="4" w:space="0"/>
            </w:tcBorders>
            <w:noWrap w:val="0"/>
            <w:vAlign w:val="center"/>
          </w:tcPr>
          <w:p w14:paraId="6B5BF1F0">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从业人员（X）</w:t>
            </w:r>
          </w:p>
        </w:tc>
        <w:tc>
          <w:tcPr>
            <w:tcW w:w="851" w:type="dxa"/>
            <w:tcBorders>
              <w:top w:val="nil"/>
              <w:left w:val="nil"/>
              <w:bottom w:val="single" w:color="auto" w:sz="4" w:space="0"/>
              <w:right w:val="single" w:color="auto" w:sz="4" w:space="0"/>
            </w:tcBorders>
            <w:noWrap w:val="0"/>
            <w:vAlign w:val="center"/>
          </w:tcPr>
          <w:p w14:paraId="092BEE18">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人</w:t>
            </w:r>
          </w:p>
        </w:tc>
        <w:tc>
          <w:tcPr>
            <w:tcW w:w="1842" w:type="dxa"/>
            <w:tcBorders>
              <w:top w:val="nil"/>
              <w:left w:val="nil"/>
              <w:bottom w:val="single" w:color="auto" w:sz="4" w:space="0"/>
              <w:right w:val="single" w:color="auto" w:sz="4" w:space="0"/>
            </w:tcBorders>
            <w:noWrap w:val="0"/>
            <w:vAlign w:val="center"/>
          </w:tcPr>
          <w:p w14:paraId="288E7C8E">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300≤X＜1000</w:t>
            </w:r>
          </w:p>
        </w:tc>
        <w:tc>
          <w:tcPr>
            <w:tcW w:w="1701" w:type="dxa"/>
            <w:tcBorders>
              <w:top w:val="nil"/>
              <w:left w:val="nil"/>
              <w:bottom w:val="single" w:color="auto" w:sz="4" w:space="0"/>
              <w:right w:val="single" w:color="auto" w:sz="4" w:space="0"/>
            </w:tcBorders>
            <w:noWrap w:val="0"/>
            <w:vAlign w:val="center"/>
          </w:tcPr>
          <w:p w14:paraId="092ECE1A">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20≤X＜300</w:t>
            </w:r>
          </w:p>
        </w:tc>
        <w:tc>
          <w:tcPr>
            <w:tcW w:w="1134" w:type="dxa"/>
            <w:tcBorders>
              <w:top w:val="nil"/>
              <w:left w:val="nil"/>
              <w:bottom w:val="single" w:color="auto" w:sz="4" w:space="0"/>
              <w:right w:val="single" w:color="auto" w:sz="4" w:space="0"/>
            </w:tcBorders>
            <w:noWrap w:val="0"/>
            <w:vAlign w:val="center"/>
          </w:tcPr>
          <w:p w14:paraId="709FAAEB">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X＜20</w:t>
            </w:r>
          </w:p>
        </w:tc>
      </w:tr>
      <w:tr w14:paraId="57460328">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16FD412B">
            <w:pPr>
              <w:widowControl/>
              <w:spacing w:line="360" w:lineRule="auto"/>
              <w:jc w:val="left"/>
              <w:rPr>
                <w:rFonts w:hint="eastAsia" w:ascii="宋体" w:hAnsi="宋体" w:cs="宋体"/>
                <w:b/>
                <w:bCs/>
                <w:color w:val="auto"/>
                <w:kern w:val="0"/>
                <w:szCs w:val="21"/>
              </w:rPr>
            </w:pPr>
          </w:p>
        </w:tc>
        <w:tc>
          <w:tcPr>
            <w:tcW w:w="1984" w:type="dxa"/>
            <w:tcBorders>
              <w:top w:val="nil"/>
              <w:left w:val="nil"/>
              <w:bottom w:val="single" w:color="auto" w:sz="4" w:space="0"/>
              <w:right w:val="single" w:color="auto" w:sz="4" w:space="0"/>
            </w:tcBorders>
            <w:noWrap w:val="0"/>
            <w:vAlign w:val="center"/>
          </w:tcPr>
          <w:p w14:paraId="4643ABE8">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营业收入（Y）</w:t>
            </w:r>
          </w:p>
        </w:tc>
        <w:tc>
          <w:tcPr>
            <w:tcW w:w="851" w:type="dxa"/>
            <w:tcBorders>
              <w:top w:val="nil"/>
              <w:left w:val="nil"/>
              <w:bottom w:val="single" w:color="auto" w:sz="4" w:space="0"/>
              <w:right w:val="single" w:color="auto" w:sz="4" w:space="0"/>
            </w:tcBorders>
            <w:noWrap w:val="0"/>
            <w:vAlign w:val="center"/>
          </w:tcPr>
          <w:p w14:paraId="361ADACE">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万元</w:t>
            </w:r>
          </w:p>
        </w:tc>
        <w:tc>
          <w:tcPr>
            <w:tcW w:w="1842" w:type="dxa"/>
            <w:tcBorders>
              <w:top w:val="nil"/>
              <w:left w:val="nil"/>
              <w:bottom w:val="single" w:color="auto" w:sz="4" w:space="0"/>
              <w:right w:val="single" w:color="auto" w:sz="4" w:space="0"/>
            </w:tcBorders>
            <w:noWrap w:val="0"/>
            <w:vAlign w:val="center"/>
          </w:tcPr>
          <w:p w14:paraId="56FC02E5">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2000≤Y＜40000</w:t>
            </w:r>
          </w:p>
        </w:tc>
        <w:tc>
          <w:tcPr>
            <w:tcW w:w="1701" w:type="dxa"/>
            <w:tcBorders>
              <w:top w:val="nil"/>
              <w:left w:val="nil"/>
              <w:bottom w:val="single" w:color="auto" w:sz="4" w:space="0"/>
              <w:right w:val="single" w:color="auto" w:sz="4" w:space="0"/>
            </w:tcBorders>
            <w:noWrap w:val="0"/>
            <w:vAlign w:val="center"/>
          </w:tcPr>
          <w:p w14:paraId="5FF02CBC">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300≤Y＜2000</w:t>
            </w:r>
          </w:p>
        </w:tc>
        <w:tc>
          <w:tcPr>
            <w:tcW w:w="1134" w:type="dxa"/>
            <w:tcBorders>
              <w:top w:val="nil"/>
              <w:left w:val="nil"/>
              <w:bottom w:val="single" w:color="auto" w:sz="4" w:space="0"/>
              <w:right w:val="single" w:color="auto" w:sz="4" w:space="0"/>
            </w:tcBorders>
            <w:noWrap w:val="0"/>
            <w:vAlign w:val="center"/>
          </w:tcPr>
          <w:p w14:paraId="77A070D4">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Y＜300</w:t>
            </w:r>
          </w:p>
        </w:tc>
      </w:tr>
      <w:tr w14:paraId="3AD97016">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29848381">
            <w:pPr>
              <w:widowControl/>
              <w:spacing w:line="360" w:lineRule="auto"/>
              <w:jc w:val="center"/>
              <w:rPr>
                <w:rFonts w:hint="eastAsia" w:ascii="宋体" w:hAnsi="宋体" w:cs="宋体"/>
                <w:b/>
                <w:bCs/>
                <w:color w:val="auto"/>
                <w:kern w:val="0"/>
                <w:szCs w:val="21"/>
              </w:rPr>
            </w:pPr>
            <w:r>
              <w:rPr>
                <w:rFonts w:hint="eastAsia" w:ascii="宋体" w:hAnsi="宋体" w:cs="宋体"/>
                <w:b/>
                <w:bCs/>
                <w:color w:val="auto"/>
                <w:kern w:val="0"/>
                <w:szCs w:val="21"/>
              </w:rPr>
              <w:t>建筑业</w:t>
            </w:r>
          </w:p>
        </w:tc>
        <w:tc>
          <w:tcPr>
            <w:tcW w:w="1984" w:type="dxa"/>
            <w:tcBorders>
              <w:top w:val="nil"/>
              <w:left w:val="nil"/>
              <w:bottom w:val="single" w:color="auto" w:sz="4" w:space="0"/>
              <w:right w:val="single" w:color="auto" w:sz="4" w:space="0"/>
            </w:tcBorders>
            <w:noWrap w:val="0"/>
            <w:vAlign w:val="center"/>
          </w:tcPr>
          <w:p w14:paraId="3AB9B2A2">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营业收入（Y）</w:t>
            </w:r>
          </w:p>
        </w:tc>
        <w:tc>
          <w:tcPr>
            <w:tcW w:w="851" w:type="dxa"/>
            <w:tcBorders>
              <w:top w:val="nil"/>
              <w:left w:val="nil"/>
              <w:bottom w:val="single" w:color="auto" w:sz="4" w:space="0"/>
              <w:right w:val="single" w:color="auto" w:sz="4" w:space="0"/>
            </w:tcBorders>
            <w:noWrap w:val="0"/>
            <w:vAlign w:val="center"/>
          </w:tcPr>
          <w:p w14:paraId="4BBA15A9">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万元</w:t>
            </w:r>
          </w:p>
        </w:tc>
        <w:tc>
          <w:tcPr>
            <w:tcW w:w="1842" w:type="dxa"/>
            <w:tcBorders>
              <w:top w:val="nil"/>
              <w:left w:val="nil"/>
              <w:bottom w:val="single" w:color="auto" w:sz="4" w:space="0"/>
              <w:right w:val="single" w:color="auto" w:sz="4" w:space="0"/>
            </w:tcBorders>
            <w:noWrap w:val="0"/>
            <w:vAlign w:val="center"/>
          </w:tcPr>
          <w:p w14:paraId="689614F1">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6000≤Y＜80000</w:t>
            </w:r>
          </w:p>
        </w:tc>
        <w:tc>
          <w:tcPr>
            <w:tcW w:w="1701" w:type="dxa"/>
            <w:tcBorders>
              <w:top w:val="nil"/>
              <w:left w:val="nil"/>
              <w:bottom w:val="single" w:color="auto" w:sz="4" w:space="0"/>
              <w:right w:val="single" w:color="auto" w:sz="4" w:space="0"/>
            </w:tcBorders>
            <w:noWrap w:val="0"/>
            <w:vAlign w:val="center"/>
          </w:tcPr>
          <w:p w14:paraId="5D3DF96B">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300≤Y＜6000</w:t>
            </w:r>
          </w:p>
        </w:tc>
        <w:tc>
          <w:tcPr>
            <w:tcW w:w="1134" w:type="dxa"/>
            <w:tcBorders>
              <w:top w:val="nil"/>
              <w:left w:val="nil"/>
              <w:bottom w:val="single" w:color="auto" w:sz="4" w:space="0"/>
              <w:right w:val="single" w:color="auto" w:sz="4" w:space="0"/>
            </w:tcBorders>
            <w:noWrap w:val="0"/>
            <w:vAlign w:val="center"/>
          </w:tcPr>
          <w:p w14:paraId="3BC6070E">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Y＜300</w:t>
            </w:r>
          </w:p>
        </w:tc>
      </w:tr>
      <w:tr w14:paraId="55C08800">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4BDB3465">
            <w:pPr>
              <w:widowControl/>
              <w:spacing w:line="360" w:lineRule="auto"/>
              <w:jc w:val="left"/>
              <w:rPr>
                <w:rFonts w:hint="eastAsia" w:ascii="宋体" w:hAnsi="宋体" w:cs="宋体"/>
                <w:b/>
                <w:bCs/>
                <w:color w:val="auto"/>
                <w:kern w:val="0"/>
                <w:szCs w:val="21"/>
              </w:rPr>
            </w:pPr>
          </w:p>
        </w:tc>
        <w:tc>
          <w:tcPr>
            <w:tcW w:w="1984" w:type="dxa"/>
            <w:tcBorders>
              <w:top w:val="nil"/>
              <w:left w:val="nil"/>
              <w:bottom w:val="single" w:color="auto" w:sz="4" w:space="0"/>
              <w:right w:val="single" w:color="auto" w:sz="4" w:space="0"/>
            </w:tcBorders>
            <w:noWrap w:val="0"/>
            <w:vAlign w:val="center"/>
          </w:tcPr>
          <w:p w14:paraId="53DA048F">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资产总额（Z）</w:t>
            </w:r>
          </w:p>
        </w:tc>
        <w:tc>
          <w:tcPr>
            <w:tcW w:w="851" w:type="dxa"/>
            <w:tcBorders>
              <w:top w:val="nil"/>
              <w:left w:val="nil"/>
              <w:bottom w:val="single" w:color="auto" w:sz="4" w:space="0"/>
              <w:right w:val="single" w:color="auto" w:sz="4" w:space="0"/>
            </w:tcBorders>
            <w:noWrap w:val="0"/>
            <w:vAlign w:val="center"/>
          </w:tcPr>
          <w:p w14:paraId="2B63AF27">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万元</w:t>
            </w:r>
          </w:p>
        </w:tc>
        <w:tc>
          <w:tcPr>
            <w:tcW w:w="1842" w:type="dxa"/>
            <w:tcBorders>
              <w:top w:val="nil"/>
              <w:left w:val="nil"/>
              <w:bottom w:val="single" w:color="auto" w:sz="4" w:space="0"/>
              <w:right w:val="single" w:color="auto" w:sz="4" w:space="0"/>
            </w:tcBorders>
            <w:noWrap w:val="0"/>
            <w:vAlign w:val="center"/>
          </w:tcPr>
          <w:p w14:paraId="095C0A0C">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5000≤Z＜80000</w:t>
            </w:r>
          </w:p>
        </w:tc>
        <w:tc>
          <w:tcPr>
            <w:tcW w:w="1701" w:type="dxa"/>
            <w:tcBorders>
              <w:top w:val="nil"/>
              <w:left w:val="nil"/>
              <w:bottom w:val="single" w:color="auto" w:sz="4" w:space="0"/>
              <w:right w:val="single" w:color="auto" w:sz="4" w:space="0"/>
            </w:tcBorders>
            <w:noWrap w:val="0"/>
            <w:vAlign w:val="center"/>
          </w:tcPr>
          <w:p w14:paraId="29BC7B22">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300≤Z＜5000</w:t>
            </w:r>
          </w:p>
        </w:tc>
        <w:tc>
          <w:tcPr>
            <w:tcW w:w="1134" w:type="dxa"/>
            <w:tcBorders>
              <w:top w:val="nil"/>
              <w:left w:val="nil"/>
              <w:bottom w:val="single" w:color="auto" w:sz="4" w:space="0"/>
              <w:right w:val="single" w:color="auto" w:sz="4" w:space="0"/>
            </w:tcBorders>
            <w:noWrap w:val="0"/>
            <w:vAlign w:val="center"/>
          </w:tcPr>
          <w:p w14:paraId="13AA7320">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Z＜300</w:t>
            </w:r>
          </w:p>
        </w:tc>
      </w:tr>
      <w:tr w14:paraId="2CE89301">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1D6F5F1B">
            <w:pPr>
              <w:widowControl/>
              <w:spacing w:line="360" w:lineRule="auto"/>
              <w:jc w:val="center"/>
              <w:rPr>
                <w:rFonts w:hint="eastAsia" w:ascii="宋体" w:hAnsi="宋体" w:cs="宋体"/>
                <w:b/>
                <w:bCs/>
                <w:color w:val="auto"/>
                <w:kern w:val="0"/>
                <w:szCs w:val="21"/>
              </w:rPr>
            </w:pPr>
            <w:r>
              <w:rPr>
                <w:rFonts w:hint="eastAsia" w:ascii="宋体" w:hAnsi="宋体" w:cs="宋体"/>
                <w:b/>
                <w:bCs/>
                <w:color w:val="auto"/>
                <w:kern w:val="0"/>
                <w:szCs w:val="21"/>
              </w:rPr>
              <w:t>批发业</w:t>
            </w:r>
          </w:p>
        </w:tc>
        <w:tc>
          <w:tcPr>
            <w:tcW w:w="1984" w:type="dxa"/>
            <w:tcBorders>
              <w:top w:val="nil"/>
              <w:left w:val="nil"/>
              <w:bottom w:val="single" w:color="auto" w:sz="4" w:space="0"/>
              <w:right w:val="single" w:color="auto" w:sz="4" w:space="0"/>
            </w:tcBorders>
            <w:noWrap w:val="0"/>
            <w:vAlign w:val="center"/>
          </w:tcPr>
          <w:p w14:paraId="542D3E4A">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从业人员（X）</w:t>
            </w:r>
          </w:p>
        </w:tc>
        <w:tc>
          <w:tcPr>
            <w:tcW w:w="851" w:type="dxa"/>
            <w:tcBorders>
              <w:top w:val="nil"/>
              <w:left w:val="nil"/>
              <w:bottom w:val="single" w:color="auto" w:sz="4" w:space="0"/>
              <w:right w:val="single" w:color="auto" w:sz="4" w:space="0"/>
            </w:tcBorders>
            <w:noWrap w:val="0"/>
            <w:vAlign w:val="center"/>
          </w:tcPr>
          <w:p w14:paraId="40375833">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人</w:t>
            </w:r>
          </w:p>
        </w:tc>
        <w:tc>
          <w:tcPr>
            <w:tcW w:w="1842" w:type="dxa"/>
            <w:tcBorders>
              <w:top w:val="nil"/>
              <w:left w:val="nil"/>
              <w:bottom w:val="single" w:color="auto" w:sz="4" w:space="0"/>
              <w:right w:val="single" w:color="auto" w:sz="4" w:space="0"/>
            </w:tcBorders>
            <w:noWrap w:val="0"/>
            <w:vAlign w:val="center"/>
          </w:tcPr>
          <w:p w14:paraId="059F5AB4">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20≤X＜200</w:t>
            </w:r>
          </w:p>
        </w:tc>
        <w:tc>
          <w:tcPr>
            <w:tcW w:w="1701" w:type="dxa"/>
            <w:tcBorders>
              <w:top w:val="nil"/>
              <w:left w:val="nil"/>
              <w:bottom w:val="single" w:color="auto" w:sz="4" w:space="0"/>
              <w:right w:val="single" w:color="auto" w:sz="4" w:space="0"/>
            </w:tcBorders>
            <w:noWrap w:val="0"/>
            <w:vAlign w:val="center"/>
          </w:tcPr>
          <w:p w14:paraId="2E059617">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5≤X＜20</w:t>
            </w:r>
          </w:p>
        </w:tc>
        <w:tc>
          <w:tcPr>
            <w:tcW w:w="1134" w:type="dxa"/>
            <w:tcBorders>
              <w:top w:val="nil"/>
              <w:left w:val="nil"/>
              <w:bottom w:val="single" w:color="auto" w:sz="4" w:space="0"/>
              <w:right w:val="single" w:color="auto" w:sz="4" w:space="0"/>
            </w:tcBorders>
            <w:noWrap w:val="0"/>
            <w:vAlign w:val="center"/>
          </w:tcPr>
          <w:p w14:paraId="589EE98F">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X＜5</w:t>
            </w:r>
          </w:p>
        </w:tc>
      </w:tr>
      <w:tr w14:paraId="47AD2D36">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6584F832">
            <w:pPr>
              <w:widowControl/>
              <w:spacing w:line="360" w:lineRule="auto"/>
              <w:jc w:val="left"/>
              <w:rPr>
                <w:rFonts w:hint="eastAsia" w:ascii="宋体" w:hAnsi="宋体" w:cs="宋体"/>
                <w:b/>
                <w:bCs/>
                <w:color w:val="auto"/>
                <w:kern w:val="0"/>
                <w:szCs w:val="21"/>
              </w:rPr>
            </w:pPr>
          </w:p>
        </w:tc>
        <w:tc>
          <w:tcPr>
            <w:tcW w:w="1984" w:type="dxa"/>
            <w:tcBorders>
              <w:top w:val="nil"/>
              <w:left w:val="nil"/>
              <w:bottom w:val="single" w:color="auto" w:sz="4" w:space="0"/>
              <w:right w:val="single" w:color="auto" w:sz="4" w:space="0"/>
            </w:tcBorders>
            <w:noWrap w:val="0"/>
            <w:vAlign w:val="center"/>
          </w:tcPr>
          <w:p w14:paraId="449A0F76">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营业收入（Y）</w:t>
            </w:r>
          </w:p>
        </w:tc>
        <w:tc>
          <w:tcPr>
            <w:tcW w:w="851" w:type="dxa"/>
            <w:tcBorders>
              <w:top w:val="nil"/>
              <w:left w:val="nil"/>
              <w:bottom w:val="single" w:color="auto" w:sz="4" w:space="0"/>
              <w:right w:val="single" w:color="auto" w:sz="4" w:space="0"/>
            </w:tcBorders>
            <w:noWrap w:val="0"/>
            <w:vAlign w:val="center"/>
          </w:tcPr>
          <w:p w14:paraId="0AD7F057">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万元</w:t>
            </w:r>
          </w:p>
        </w:tc>
        <w:tc>
          <w:tcPr>
            <w:tcW w:w="1842" w:type="dxa"/>
            <w:tcBorders>
              <w:top w:val="nil"/>
              <w:left w:val="nil"/>
              <w:bottom w:val="single" w:color="auto" w:sz="4" w:space="0"/>
              <w:right w:val="single" w:color="auto" w:sz="4" w:space="0"/>
            </w:tcBorders>
            <w:noWrap w:val="0"/>
            <w:vAlign w:val="center"/>
          </w:tcPr>
          <w:p w14:paraId="3B6F8645">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5000≤Y＜40000</w:t>
            </w:r>
          </w:p>
        </w:tc>
        <w:tc>
          <w:tcPr>
            <w:tcW w:w="1701" w:type="dxa"/>
            <w:tcBorders>
              <w:top w:val="nil"/>
              <w:left w:val="nil"/>
              <w:bottom w:val="single" w:color="auto" w:sz="4" w:space="0"/>
              <w:right w:val="single" w:color="auto" w:sz="4" w:space="0"/>
            </w:tcBorders>
            <w:noWrap w:val="0"/>
            <w:vAlign w:val="center"/>
          </w:tcPr>
          <w:p w14:paraId="34853E6A">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1000≤Y＜5000</w:t>
            </w:r>
          </w:p>
        </w:tc>
        <w:tc>
          <w:tcPr>
            <w:tcW w:w="1134" w:type="dxa"/>
            <w:tcBorders>
              <w:top w:val="nil"/>
              <w:left w:val="nil"/>
              <w:bottom w:val="single" w:color="auto" w:sz="4" w:space="0"/>
              <w:right w:val="single" w:color="auto" w:sz="4" w:space="0"/>
            </w:tcBorders>
            <w:noWrap w:val="0"/>
            <w:vAlign w:val="center"/>
          </w:tcPr>
          <w:p w14:paraId="04957461">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Y＜1000</w:t>
            </w:r>
          </w:p>
        </w:tc>
      </w:tr>
      <w:tr w14:paraId="0093D85C">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647B7FE9">
            <w:pPr>
              <w:widowControl/>
              <w:spacing w:line="360" w:lineRule="auto"/>
              <w:jc w:val="center"/>
              <w:rPr>
                <w:rFonts w:hint="eastAsia" w:ascii="宋体" w:hAnsi="宋体" w:cs="宋体"/>
                <w:b/>
                <w:bCs/>
                <w:color w:val="auto"/>
                <w:kern w:val="0"/>
                <w:szCs w:val="21"/>
              </w:rPr>
            </w:pPr>
            <w:r>
              <w:rPr>
                <w:rFonts w:hint="eastAsia" w:ascii="宋体" w:hAnsi="宋体" w:cs="宋体"/>
                <w:b/>
                <w:bCs/>
                <w:color w:val="auto"/>
                <w:kern w:val="0"/>
                <w:szCs w:val="21"/>
              </w:rPr>
              <w:t>零售业</w:t>
            </w:r>
          </w:p>
        </w:tc>
        <w:tc>
          <w:tcPr>
            <w:tcW w:w="1984" w:type="dxa"/>
            <w:tcBorders>
              <w:top w:val="nil"/>
              <w:left w:val="nil"/>
              <w:bottom w:val="single" w:color="auto" w:sz="4" w:space="0"/>
              <w:right w:val="single" w:color="auto" w:sz="4" w:space="0"/>
            </w:tcBorders>
            <w:noWrap w:val="0"/>
            <w:vAlign w:val="center"/>
          </w:tcPr>
          <w:p w14:paraId="6ADBA63D">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从业人员（X）</w:t>
            </w:r>
          </w:p>
        </w:tc>
        <w:tc>
          <w:tcPr>
            <w:tcW w:w="851" w:type="dxa"/>
            <w:tcBorders>
              <w:top w:val="nil"/>
              <w:left w:val="nil"/>
              <w:bottom w:val="single" w:color="auto" w:sz="4" w:space="0"/>
              <w:right w:val="single" w:color="auto" w:sz="4" w:space="0"/>
            </w:tcBorders>
            <w:noWrap w:val="0"/>
            <w:vAlign w:val="center"/>
          </w:tcPr>
          <w:p w14:paraId="77202BE1">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人</w:t>
            </w:r>
          </w:p>
        </w:tc>
        <w:tc>
          <w:tcPr>
            <w:tcW w:w="1842" w:type="dxa"/>
            <w:tcBorders>
              <w:top w:val="nil"/>
              <w:left w:val="nil"/>
              <w:bottom w:val="single" w:color="auto" w:sz="4" w:space="0"/>
              <w:right w:val="single" w:color="auto" w:sz="4" w:space="0"/>
            </w:tcBorders>
            <w:noWrap w:val="0"/>
            <w:vAlign w:val="center"/>
          </w:tcPr>
          <w:p w14:paraId="400ECEE0">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50≤X＜300</w:t>
            </w:r>
          </w:p>
        </w:tc>
        <w:tc>
          <w:tcPr>
            <w:tcW w:w="1701" w:type="dxa"/>
            <w:tcBorders>
              <w:top w:val="nil"/>
              <w:left w:val="nil"/>
              <w:bottom w:val="single" w:color="auto" w:sz="4" w:space="0"/>
              <w:right w:val="single" w:color="auto" w:sz="4" w:space="0"/>
            </w:tcBorders>
            <w:noWrap w:val="0"/>
            <w:vAlign w:val="center"/>
          </w:tcPr>
          <w:p w14:paraId="3FC5D516">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10≤X＜50</w:t>
            </w:r>
          </w:p>
        </w:tc>
        <w:tc>
          <w:tcPr>
            <w:tcW w:w="1134" w:type="dxa"/>
            <w:tcBorders>
              <w:top w:val="nil"/>
              <w:left w:val="nil"/>
              <w:bottom w:val="single" w:color="auto" w:sz="4" w:space="0"/>
              <w:right w:val="single" w:color="auto" w:sz="4" w:space="0"/>
            </w:tcBorders>
            <w:noWrap w:val="0"/>
            <w:vAlign w:val="center"/>
          </w:tcPr>
          <w:p w14:paraId="2C0F301B">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X＜10</w:t>
            </w:r>
          </w:p>
        </w:tc>
      </w:tr>
      <w:tr w14:paraId="6C8D3DB8">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7A5E7019">
            <w:pPr>
              <w:widowControl/>
              <w:spacing w:line="360" w:lineRule="auto"/>
              <w:jc w:val="left"/>
              <w:rPr>
                <w:rFonts w:hint="eastAsia" w:ascii="宋体" w:hAnsi="宋体" w:cs="宋体"/>
                <w:b/>
                <w:bCs/>
                <w:color w:val="auto"/>
                <w:kern w:val="0"/>
                <w:szCs w:val="21"/>
              </w:rPr>
            </w:pPr>
          </w:p>
        </w:tc>
        <w:tc>
          <w:tcPr>
            <w:tcW w:w="1984" w:type="dxa"/>
            <w:tcBorders>
              <w:top w:val="nil"/>
              <w:left w:val="nil"/>
              <w:bottom w:val="single" w:color="auto" w:sz="4" w:space="0"/>
              <w:right w:val="single" w:color="auto" w:sz="4" w:space="0"/>
            </w:tcBorders>
            <w:noWrap w:val="0"/>
            <w:vAlign w:val="center"/>
          </w:tcPr>
          <w:p w14:paraId="433CA072">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营业收入（Y）</w:t>
            </w:r>
          </w:p>
        </w:tc>
        <w:tc>
          <w:tcPr>
            <w:tcW w:w="851" w:type="dxa"/>
            <w:tcBorders>
              <w:top w:val="nil"/>
              <w:left w:val="nil"/>
              <w:bottom w:val="single" w:color="auto" w:sz="4" w:space="0"/>
              <w:right w:val="single" w:color="auto" w:sz="4" w:space="0"/>
            </w:tcBorders>
            <w:noWrap w:val="0"/>
            <w:vAlign w:val="center"/>
          </w:tcPr>
          <w:p w14:paraId="7E334F0C">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万元</w:t>
            </w:r>
          </w:p>
        </w:tc>
        <w:tc>
          <w:tcPr>
            <w:tcW w:w="1842" w:type="dxa"/>
            <w:tcBorders>
              <w:top w:val="nil"/>
              <w:left w:val="nil"/>
              <w:bottom w:val="single" w:color="auto" w:sz="4" w:space="0"/>
              <w:right w:val="single" w:color="auto" w:sz="4" w:space="0"/>
            </w:tcBorders>
            <w:noWrap w:val="0"/>
            <w:vAlign w:val="center"/>
          </w:tcPr>
          <w:p w14:paraId="6F7496A3">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500≤Y＜20000</w:t>
            </w:r>
          </w:p>
        </w:tc>
        <w:tc>
          <w:tcPr>
            <w:tcW w:w="1701" w:type="dxa"/>
            <w:tcBorders>
              <w:top w:val="nil"/>
              <w:left w:val="nil"/>
              <w:bottom w:val="single" w:color="auto" w:sz="4" w:space="0"/>
              <w:right w:val="single" w:color="auto" w:sz="4" w:space="0"/>
            </w:tcBorders>
            <w:noWrap w:val="0"/>
            <w:vAlign w:val="center"/>
          </w:tcPr>
          <w:p w14:paraId="45176C23">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100≤Y＜500</w:t>
            </w:r>
          </w:p>
        </w:tc>
        <w:tc>
          <w:tcPr>
            <w:tcW w:w="1134" w:type="dxa"/>
            <w:tcBorders>
              <w:top w:val="nil"/>
              <w:left w:val="nil"/>
              <w:bottom w:val="single" w:color="auto" w:sz="4" w:space="0"/>
              <w:right w:val="single" w:color="auto" w:sz="4" w:space="0"/>
            </w:tcBorders>
            <w:noWrap w:val="0"/>
            <w:vAlign w:val="center"/>
          </w:tcPr>
          <w:p w14:paraId="1270B402">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Y＜100</w:t>
            </w:r>
          </w:p>
        </w:tc>
      </w:tr>
      <w:tr w14:paraId="5BFD560C">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4D791EDD">
            <w:pPr>
              <w:widowControl/>
              <w:spacing w:line="360" w:lineRule="auto"/>
              <w:jc w:val="center"/>
              <w:rPr>
                <w:rFonts w:hint="eastAsia" w:ascii="宋体" w:hAnsi="宋体" w:cs="宋体"/>
                <w:b/>
                <w:bCs/>
                <w:color w:val="auto"/>
                <w:kern w:val="0"/>
                <w:szCs w:val="21"/>
              </w:rPr>
            </w:pPr>
            <w:r>
              <w:rPr>
                <w:rFonts w:hint="eastAsia" w:ascii="宋体" w:hAnsi="宋体" w:cs="宋体"/>
                <w:b/>
                <w:bCs/>
                <w:color w:val="auto"/>
                <w:kern w:val="0"/>
                <w:szCs w:val="21"/>
              </w:rPr>
              <w:t>交通运输业</w:t>
            </w:r>
          </w:p>
        </w:tc>
        <w:tc>
          <w:tcPr>
            <w:tcW w:w="1984" w:type="dxa"/>
            <w:tcBorders>
              <w:top w:val="nil"/>
              <w:left w:val="nil"/>
              <w:bottom w:val="single" w:color="auto" w:sz="4" w:space="0"/>
              <w:right w:val="single" w:color="auto" w:sz="4" w:space="0"/>
            </w:tcBorders>
            <w:noWrap w:val="0"/>
            <w:vAlign w:val="center"/>
          </w:tcPr>
          <w:p w14:paraId="4B1395E0">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从业人员（X）</w:t>
            </w:r>
          </w:p>
        </w:tc>
        <w:tc>
          <w:tcPr>
            <w:tcW w:w="851" w:type="dxa"/>
            <w:tcBorders>
              <w:top w:val="nil"/>
              <w:left w:val="nil"/>
              <w:bottom w:val="single" w:color="auto" w:sz="4" w:space="0"/>
              <w:right w:val="single" w:color="auto" w:sz="4" w:space="0"/>
            </w:tcBorders>
            <w:noWrap w:val="0"/>
            <w:vAlign w:val="center"/>
          </w:tcPr>
          <w:p w14:paraId="62B9D07A">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人</w:t>
            </w:r>
          </w:p>
        </w:tc>
        <w:tc>
          <w:tcPr>
            <w:tcW w:w="1842" w:type="dxa"/>
            <w:tcBorders>
              <w:top w:val="nil"/>
              <w:left w:val="nil"/>
              <w:bottom w:val="single" w:color="auto" w:sz="4" w:space="0"/>
              <w:right w:val="single" w:color="auto" w:sz="4" w:space="0"/>
            </w:tcBorders>
            <w:noWrap w:val="0"/>
            <w:vAlign w:val="center"/>
          </w:tcPr>
          <w:p w14:paraId="59A9A4B6">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300≤X＜1000</w:t>
            </w:r>
          </w:p>
        </w:tc>
        <w:tc>
          <w:tcPr>
            <w:tcW w:w="1701" w:type="dxa"/>
            <w:tcBorders>
              <w:top w:val="nil"/>
              <w:left w:val="nil"/>
              <w:bottom w:val="single" w:color="auto" w:sz="4" w:space="0"/>
              <w:right w:val="single" w:color="auto" w:sz="4" w:space="0"/>
            </w:tcBorders>
            <w:noWrap w:val="0"/>
            <w:vAlign w:val="center"/>
          </w:tcPr>
          <w:p w14:paraId="2D58D159">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20≤X＜300</w:t>
            </w:r>
          </w:p>
        </w:tc>
        <w:tc>
          <w:tcPr>
            <w:tcW w:w="1134" w:type="dxa"/>
            <w:tcBorders>
              <w:top w:val="nil"/>
              <w:left w:val="nil"/>
              <w:bottom w:val="single" w:color="auto" w:sz="4" w:space="0"/>
              <w:right w:val="single" w:color="auto" w:sz="4" w:space="0"/>
            </w:tcBorders>
            <w:noWrap w:val="0"/>
            <w:vAlign w:val="center"/>
          </w:tcPr>
          <w:p w14:paraId="1941CB1D">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X＜20</w:t>
            </w:r>
          </w:p>
        </w:tc>
      </w:tr>
      <w:tr w14:paraId="1BFD424A">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60C762B6">
            <w:pPr>
              <w:widowControl/>
              <w:spacing w:line="360" w:lineRule="auto"/>
              <w:jc w:val="left"/>
              <w:rPr>
                <w:rFonts w:hint="eastAsia" w:ascii="宋体" w:hAnsi="宋体" w:cs="宋体"/>
                <w:b/>
                <w:bCs/>
                <w:color w:val="auto"/>
                <w:kern w:val="0"/>
                <w:szCs w:val="21"/>
              </w:rPr>
            </w:pPr>
          </w:p>
        </w:tc>
        <w:tc>
          <w:tcPr>
            <w:tcW w:w="1984" w:type="dxa"/>
            <w:tcBorders>
              <w:top w:val="nil"/>
              <w:left w:val="nil"/>
              <w:bottom w:val="single" w:color="auto" w:sz="4" w:space="0"/>
              <w:right w:val="single" w:color="auto" w:sz="4" w:space="0"/>
            </w:tcBorders>
            <w:noWrap w:val="0"/>
            <w:vAlign w:val="center"/>
          </w:tcPr>
          <w:p w14:paraId="254BD871">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营业收入（Y）</w:t>
            </w:r>
          </w:p>
        </w:tc>
        <w:tc>
          <w:tcPr>
            <w:tcW w:w="851" w:type="dxa"/>
            <w:tcBorders>
              <w:top w:val="nil"/>
              <w:left w:val="nil"/>
              <w:bottom w:val="single" w:color="auto" w:sz="4" w:space="0"/>
              <w:right w:val="single" w:color="auto" w:sz="4" w:space="0"/>
            </w:tcBorders>
            <w:noWrap w:val="0"/>
            <w:vAlign w:val="center"/>
          </w:tcPr>
          <w:p w14:paraId="665D25A6">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万元</w:t>
            </w:r>
          </w:p>
        </w:tc>
        <w:tc>
          <w:tcPr>
            <w:tcW w:w="1842" w:type="dxa"/>
            <w:tcBorders>
              <w:top w:val="nil"/>
              <w:left w:val="nil"/>
              <w:bottom w:val="single" w:color="auto" w:sz="4" w:space="0"/>
              <w:right w:val="single" w:color="auto" w:sz="4" w:space="0"/>
            </w:tcBorders>
            <w:noWrap w:val="0"/>
            <w:vAlign w:val="center"/>
          </w:tcPr>
          <w:p w14:paraId="33441875">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3000≤Y＜30000</w:t>
            </w:r>
          </w:p>
        </w:tc>
        <w:tc>
          <w:tcPr>
            <w:tcW w:w="1701" w:type="dxa"/>
            <w:tcBorders>
              <w:top w:val="nil"/>
              <w:left w:val="nil"/>
              <w:bottom w:val="single" w:color="auto" w:sz="4" w:space="0"/>
              <w:right w:val="single" w:color="auto" w:sz="4" w:space="0"/>
            </w:tcBorders>
            <w:noWrap w:val="0"/>
            <w:vAlign w:val="center"/>
          </w:tcPr>
          <w:p w14:paraId="62EC0EB5">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200≤Y＜3000</w:t>
            </w:r>
          </w:p>
        </w:tc>
        <w:tc>
          <w:tcPr>
            <w:tcW w:w="1134" w:type="dxa"/>
            <w:tcBorders>
              <w:top w:val="nil"/>
              <w:left w:val="nil"/>
              <w:bottom w:val="single" w:color="auto" w:sz="4" w:space="0"/>
              <w:right w:val="single" w:color="auto" w:sz="4" w:space="0"/>
            </w:tcBorders>
            <w:noWrap w:val="0"/>
            <w:vAlign w:val="center"/>
          </w:tcPr>
          <w:p w14:paraId="4B032287">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Y＜200</w:t>
            </w:r>
          </w:p>
        </w:tc>
      </w:tr>
      <w:tr w14:paraId="0C925757">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30B716D1">
            <w:pPr>
              <w:widowControl/>
              <w:spacing w:line="360" w:lineRule="auto"/>
              <w:jc w:val="center"/>
              <w:rPr>
                <w:rFonts w:hint="eastAsia" w:ascii="宋体" w:hAnsi="宋体" w:cs="宋体"/>
                <w:b/>
                <w:bCs/>
                <w:color w:val="auto"/>
                <w:kern w:val="0"/>
                <w:szCs w:val="21"/>
              </w:rPr>
            </w:pPr>
            <w:r>
              <w:rPr>
                <w:rFonts w:hint="eastAsia" w:ascii="宋体" w:hAnsi="宋体" w:cs="宋体"/>
                <w:b/>
                <w:bCs/>
                <w:color w:val="auto"/>
                <w:kern w:val="0"/>
                <w:szCs w:val="21"/>
              </w:rPr>
              <w:t>仓储业</w:t>
            </w:r>
          </w:p>
        </w:tc>
        <w:tc>
          <w:tcPr>
            <w:tcW w:w="1984" w:type="dxa"/>
            <w:tcBorders>
              <w:top w:val="nil"/>
              <w:left w:val="nil"/>
              <w:bottom w:val="single" w:color="auto" w:sz="4" w:space="0"/>
              <w:right w:val="single" w:color="auto" w:sz="4" w:space="0"/>
            </w:tcBorders>
            <w:noWrap w:val="0"/>
            <w:vAlign w:val="center"/>
          </w:tcPr>
          <w:p w14:paraId="0E2891C7">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从业人员（X）</w:t>
            </w:r>
          </w:p>
        </w:tc>
        <w:tc>
          <w:tcPr>
            <w:tcW w:w="851" w:type="dxa"/>
            <w:tcBorders>
              <w:top w:val="nil"/>
              <w:left w:val="nil"/>
              <w:bottom w:val="single" w:color="auto" w:sz="4" w:space="0"/>
              <w:right w:val="single" w:color="auto" w:sz="4" w:space="0"/>
            </w:tcBorders>
            <w:noWrap w:val="0"/>
            <w:vAlign w:val="center"/>
          </w:tcPr>
          <w:p w14:paraId="7321708B">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人</w:t>
            </w:r>
          </w:p>
        </w:tc>
        <w:tc>
          <w:tcPr>
            <w:tcW w:w="1842" w:type="dxa"/>
            <w:tcBorders>
              <w:top w:val="nil"/>
              <w:left w:val="nil"/>
              <w:bottom w:val="single" w:color="auto" w:sz="4" w:space="0"/>
              <w:right w:val="single" w:color="auto" w:sz="4" w:space="0"/>
            </w:tcBorders>
            <w:noWrap w:val="0"/>
            <w:vAlign w:val="center"/>
          </w:tcPr>
          <w:p w14:paraId="7270A153">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100≤X＜200</w:t>
            </w:r>
          </w:p>
        </w:tc>
        <w:tc>
          <w:tcPr>
            <w:tcW w:w="1701" w:type="dxa"/>
            <w:tcBorders>
              <w:top w:val="nil"/>
              <w:left w:val="nil"/>
              <w:bottom w:val="single" w:color="auto" w:sz="4" w:space="0"/>
              <w:right w:val="single" w:color="auto" w:sz="4" w:space="0"/>
            </w:tcBorders>
            <w:noWrap w:val="0"/>
            <w:vAlign w:val="center"/>
          </w:tcPr>
          <w:p w14:paraId="77B25170">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20≤X＜100</w:t>
            </w:r>
          </w:p>
        </w:tc>
        <w:tc>
          <w:tcPr>
            <w:tcW w:w="1134" w:type="dxa"/>
            <w:tcBorders>
              <w:top w:val="nil"/>
              <w:left w:val="nil"/>
              <w:bottom w:val="single" w:color="auto" w:sz="4" w:space="0"/>
              <w:right w:val="single" w:color="auto" w:sz="4" w:space="0"/>
            </w:tcBorders>
            <w:noWrap w:val="0"/>
            <w:vAlign w:val="center"/>
          </w:tcPr>
          <w:p w14:paraId="6D673A88">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X＜20</w:t>
            </w:r>
          </w:p>
        </w:tc>
      </w:tr>
      <w:tr w14:paraId="78278482">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59B7EA27">
            <w:pPr>
              <w:widowControl/>
              <w:spacing w:line="360" w:lineRule="auto"/>
              <w:jc w:val="left"/>
              <w:rPr>
                <w:rFonts w:hint="eastAsia" w:ascii="宋体" w:hAnsi="宋体" w:cs="宋体"/>
                <w:b/>
                <w:bCs/>
                <w:color w:val="auto"/>
                <w:kern w:val="0"/>
                <w:szCs w:val="21"/>
              </w:rPr>
            </w:pPr>
          </w:p>
        </w:tc>
        <w:tc>
          <w:tcPr>
            <w:tcW w:w="1984" w:type="dxa"/>
            <w:tcBorders>
              <w:top w:val="nil"/>
              <w:left w:val="nil"/>
              <w:bottom w:val="single" w:color="auto" w:sz="4" w:space="0"/>
              <w:right w:val="single" w:color="auto" w:sz="4" w:space="0"/>
            </w:tcBorders>
            <w:noWrap w:val="0"/>
            <w:vAlign w:val="center"/>
          </w:tcPr>
          <w:p w14:paraId="6657A75B">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营业收入（Y）</w:t>
            </w:r>
          </w:p>
        </w:tc>
        <w:tc>
          <w:tcPr>
            <w:tcW w:w="851" w:type="dxa"/>
            <w:tcBorders>
              <w:top w:val="nil"/>
              <w:left w:val="nil"/>
              <w:bottom w:val="single" w:color="auto" w:sz="4" w:space="0"/>
              <w:right w:val="single" w:color="auto" w:sz="4" w:space="0"/>
            </w:tcBorders>
            <w:noWrap w:val="0"/>
            <w:vAlign w:val="center"/>
          </w:tcPr>
          <w:p w14:paraId="46C70165">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万元</w:t>
            </w:r>
          </w:p>
        </w:tc>
        <w:tc>
          <w:tcPr>
            <w:tcW w:w="1842" w:type="dxa"/>
            <w:tcBorders>
              <w:top w:val="nil"/>
              <w:left w:val="nil"/>
              <w:bottom w:val="single" w:color="auto" w:sz="4" w:space="0"/>
              <w:right w:val="single" w:color="auto" w:sz="4" w:space="0"/>
            </w:tcBorders>
            <w:noWrap w:val="0"/>
            <w:vAlign w:val="center"/>
          </w:tcPr>
          <w:p w14:paraId="20231823">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1000≤Y＜30000</w:t>
            </w:r>
          </w:p>
        </w:tc>
        <w:tc>
          <w:tcPr>
            <w:tcW w:w="1701" w:type="dxa"/>
            <w:tcBorders>
              <w:top w:val="nil"/>
              <w:left w:val="nil"/>
              <w:bottom w:val="single" w:color="auto" w:sz="4" w:space="0"/>
              <w:right w:val="single" w:color="auto" w:sz="4" w:space="0"/>
            </w:tcBorders>
            <w:noWrap w:val="0"/>
            <w:vAlign w:val="center"/>
          </w:tcPr>
          <w:p w14:paraId="7D01FF4F">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100≤Y＜1000</w:t>
            </w:r>
          </w:p>
        </w:tc>
        <w:tc>
          <w:tcPr>
            <w:tcW w:w="1134" w:type="dxa"/>
            <w:tcBorders>
              <w:top w:val="nil"/>
              <w:left w:val="nil"/>
              <w:bottom w:val="single" w:color="auto" w:sz="4" w:space="0"/>
              <w:right w:val="single" w:color="auto" w:sz="4" w:space="0"/>
            </w:tcBorders>
            <w:noWrap w:val="0"/>
            <w:vAlign w:val="center"/>
          </w:tcPr>
          <w:p w14:paraId="4BD757C8">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Y＜100</w:t>
            </w:r>
          </w:p>
        </w:tc>
      </w:tr>
      <w:tr w14:paraId="2E522B02">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71983FCA">
            <w:pPr>
              <w:widowControl/>
              <w:spacing w:line="360" w:lineRule="auto"/>
              <w:jc w:val="center"/>
              <w:rPr>
                <w:rFonts w:hint="eastAsia" w:ascii="宋体" w:hAnsi="宋体" w:cs="宋体"/>
                <w:b/>
                <w:bCs/>
                <w:color w:val="auto"/>
                <w:kern w:val="0"/>
                <w:szCs w:val="21"/>
              </w:rPr>
            </w:pPr>
            <w:r>
              <w:rPr>
                <w:rFonts w:hint="eastAsia" w:ascii="宋体" w:hAnsi="宋体" w:cs="宋体"/>
                <w:b/>
                <w:bCs/>
                <w:color w:val="auto"/>
                <w:kern w:val="0"/>
                <w:szCs w:val="21"/>
              </w:rPr>
              <w:t>邮政业</w:t>
            </w:r>
          </w:p>
        </w:tc>
        <w:tc>
          <w:tcPr>
            <w:tcW w:w="1984" w:type="dxa"/>
            <w:tcBorders>
              <w:top w:val="nil"/>
              <w:left w:val="nil"/>
              <w:bottom w:val="single" w:color="auto" w:sz="4" w:space="0"/>
              <w:right w:val="single" w:color="auto" w:sz="4" w:space="0"/>
            </w:tcBorders>
            <w:noWrap w:val="0"/>
            <w:vAlign w:val="center"/>
          </w:tcPr>
          <w:p w14:paraId="220E9ABA">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从业人员（X）</w:t>
            </w:r>
          </w:p>
        </w:tc>
        <w:tc>
          <w:tcPr>
            <w:tcW w:w="851" w:type="dxa"/>
            <w:tcBorders>
              <w:top w:val="nil"/>
              <w:left w:val="nil"/>
              <w:bottom w:val="single" w:color="auto" w:sz="4" w:space="0"/>
              <w:right w:val="single" w:color="auto" w:sz="4" w:space="0"/>
            </w:tcBorders>
            <w:noWrap w:val="0"/>
            <w:vAlign w:val="center"/>
          </w:tcPr>
          <w:p w14:paraId="21171935">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人</w:t>
            </w:r>
          </w:p>
        </w:tc>
        <w:tc>
          <w:tcPr>
            <w:tcW w:w="1842" w:type="dxa"/>
            <w:tcBorders>
              <w:top w:val="nil"/>
              <w:left w:val="nil"/>
              <w:bottom w:val="single" w:color="auto" w:sz="4" w:space="0"/>
              <w:right w:val="single" w:color="auto" w:sz="4" w:space="0"/>
            </w:tcBorders>
            <w:noWrap w:val="0"/>
            <w:vAlign w:val="center"/>
          </w:tcPr>
          <w:p w14:paraId="77DA6D3D">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300≤X＜1000</w:t>
            </w:r>
          </w:p>
        </w:tc>
        <w:tc>
          <w:tcPr>
            <w:tcW w:w="1701" w:type="dxa"/>
            <w:tcBorders>
              <w:top w:val="nil"/>
              <w:left w:val="nil"/>
              <w:bottom w:val="single" w:color="auto" w:sz="4" w:space="0"/>
              <w:right w:val="single" w:color="auto" w:sz="4" w:space="0"/>
            </w:tcBorders>
            <w:noWrap w:val="0"/>
            <w:vAlign w:val="center"/>
          </w:tcPr>
          <w:p w14:paraId="740C62C3">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20≤X＜300</w:t>
            </w:r>
          </w:p>
        </w:tc>
        <w:tc>
          <w:tcPr>
            <w:tcW w:w="1134" w:type="dxa"/>
            <w:tcBorders>
              <w:top w:val="nil"/>
              <w:left w:val="nil"/>
              <w:bottom w:val="single" w:color="auto" w:sz="4" w:space="0"/>
              <w:right w:val="single" w:color="auto" w:sz="4" w:space="0"/>
            </w:tcBorders>
            <w:noWrap w:val="0"/>
            <w:vAlign w:val="center"/>
          </w:tcPr>
          <w:p w14:paraId="7F4052EB">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X＜20</w:t>
            </w:r>
          </w:p>
        </w:tc>
      </w:tr>
      <w:tr w14:paraId="2A8745B1">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3B2D718F">
            <w:pPr>
              <w:widowControl/>
              <w:spacing w:line="360" w:lineRule="auto"/>
              <w:jc w:val="left"/>
              <w:rPr>
                <w:rFonts w:hint="eastAsia" w:ascii="宋体" w:hAnsi="宋体" w:cs="宋体"/>
                <w:b/>
                <w:bCs/>
                <w:color w:val="auto"/>
                <w:kern w:val="0"/>
                <w:szCs w:val="21"/>
              </w:rPr>
            </w:pPr>
          </w:p>
        </w:tc>
        <w:tc>
          <w:tcPr>
            <w:tcW w:w="1984" w:type="dxa"/>
            <w:tcBorders>
              <w:top w:val="nil"/>
              <w:left w:val="nil"/>
              <w:bottom w:val="single" w:color="auto" w:sz="4" w:space="0"/>
              <w:right w:val="single" w:color="auto" w:sz="4" w:space="0"/>
            </w:tcBorders>
            <w:noWrap w:val="0"/>
            <w:vAlign w:val="center"/>
          </w:tcPr>
          <w:p w14:paraId="1D69EE3B">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营业收入（Y）</w:t>
            </w:r>
          </w:p>
        </w:tc>
        <w:tc>
          <w:tcPr>
            <w:tcW w:w="851" w:type="dxa"/>
            <w:tcBorders>
              <w:top w:val="nil"/>
              <w:left w:val="nil"/>
              <w:bottom w:val="single" w:color="auto" w:sz="4" w:space="0"/>
              <w:right w:val="single" w:color="auto" w:sz="4" w:space="0"/>
            </w:tcBorders>
            <w:noWrap w:val="0"/>
            <w:vAlign w:val="center"/>
          </w:tcPr>
          <w:p w14:paraId="2D792BE7">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万元</w:t>
            </w:r>
          </w:p>
        </w:tc>
        <w:tc>
          <w:tcPr>
            <w:tcW w:w="1842" w:type="dxa"/>
            <w:tcBorders>
              <w:top w:val="nil"/>
              <w:left w:val="nil"/>
              <w:bottom w:val="single" w:color="auto" w:sz="4" w:space="0"/>
              <w:right w:val="single" w:color="auto" w:sz="4" w:space="0"/>
            </w:tcBorders>
            <w:noWrap w:val="0"/>
            <w:vAlign w:val="center"/>
          </w:tcPr>
          <w:p w14:paraId="245B46EE">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2000≤Y＜30000</w:t>
            </w:r>
          </w:p>
        </w:tc>
        <w:tc>
          <w:tcPr>
            <w:tcW w:w="1701" w:type="dxa"/>
            <w:tcBorders>
              <w:top w:val="nil"/>
              <w:left w:val="nil"/>
              <w:bottom w:val="single" w:color="auto" w:sz="4" w:space="0"/>
              <w:right w:val="single" w:color="auto" w:sz="4" w:space="0"/>
            </w:tcBorders>
            <w:noWrap w:val="0"/>
            <w:vAlign w:val="center"/>
          </w:tcPr>
          <w:p w14:paraId="16BB5E39">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100≤Y＜2000</w:t>
            </w:r>
          </w:p>
        </w:tc>
        <w:tc>
          <w:tcPr>
            <w:tcW w:w="1134" w:type="dxa"/>
            <w:tcBorders>
              <w:top w:val="nil"/>
              <w:left w:val="nil"/>
              <w:bottom w:val="single" w:color="auto" w:sz="4" w:space="0"/>
              <w:right w:val="single" w:color="auto" w:sz="4" w:space="0"/>
            </w:tcBorders>
            <w:noWrap w:val="0"/>
            <w:vAlign w:val="center"/>
          </w:tcPr>
          <w:p w14:paraId="6BA8CFA1">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Y＜100</w:t>
            </w:r>
          </w:p>
        </w:tc>
      </w:tr>
      <w:tr w14:paraId="05D207A9">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4926D28F">
            <w:pPr>
              <w:widowControl/>
              <w:spacing w:line="360" w:lineRule="auto"/>
              <w:jc w:val="center"/>
              <w:rPr>
                <w:rFonts w:hint="eastAsia" w:ascii="宋体" w:hAnsi="宋体" w:cs="宋体"/>
                <w:b/>
                <w:bCs/>
                <w:color w:val="auto"/>
                <w:kern w:val="0"/>
                <w:szCs w:val="21"/>
              </w:rPr>
            </w:pPr>
            <w:r>
              <w:rPr>
                <w:rFonts w:hint="eastAsia" w:ascii="宋体" w:hAnsi="宋体" w:cs="宋体"/>
                <w:b/>
                <w:bCs/>
                <w:color w:val="auto"/>
                <w:kern w:val="0"/>
                <w:szCs w:val="21"/>
              </w:rPr>
              <w:t>住宿业</w:t>
            </w:r>
          </w:p>
        </w:tc>
        <w:tc>
          <w:tcPr>
            <w:tcW w:w="1984" w:type="dxa"/>
            <w:tcBorders>
              <w:top w:val="nil"/>
              <w:left w:val="nil"/>
              <w:bottom w:val="single" w:color="auto" w:sz="4" w:space="0"/>
              <w:right w:val="single" w:color="auto" w:sz="4" w:space="0"/>
            </w:tcBorders>
            <w:noWrap w:val="0"/>
            <w:vAlign w:val="center"/>
          </w:tcPr>
          <w:p w14:paraId="6185EC33">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从业人员（X）</w:t>
            </w:r>
          </w:p>
        </w:tc>
        <w:tc>
          <w:tcPr>
            <w:tcW w:w="851" w:type="dxa"/>
            <w:tcBorders>
              <w:top w:val="nil"/>
              <w:left w:val="nil"/>
              <w:bottom w:val="single" w:color="auto" w:sz="4" w:space="0"/>
              <w:right w:val="single" w:color="auto" w:sz="4" w:space="0"/>
            </w:tcBorders>
            <w:noWrap w:val="0"/>
            <w:vAlign w:val="center"/>
          </w:tcPr>
          <w:p w14:paraId="36F6AFC8">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人</w:t>
            </w:r>
          </w:p>
        </w:tc>
        <w:tc>
          <w:tcPr>
            <w:tcW w:w="1842" w:type="dxa"/>
            <w:tcBorders>
              <w:top w:val="nil"/>
              <w:left w:val="nil"/>
              <w:bottom w:val="single" w:color="auto" w:sz="4" w:space="0"/>
              <w:right w:val="single" w:color="auto" w:sz="4" w:space="0"/>
            </w:tcBorders>
            <w:noWrap w:val="0"/>
            <w:vAlign w:val="center"/>
          </w:tcPr>
          <w:p w14:paraId="36D5490C">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100≤X＜300</w:t>
            </w:r>
          </w:p>
        </w:tc>
        <w:tc>
          <w:tcPr>
            <w:tcW w:w="1701" w:type="dxa"/>
            <w:tcBorders>
              <w:top w:val="nil"/>
              <w:left w:val="nil"/>
              <w:bottom w:val="single" w:color="auto" w:sz="4" w:space="0"/>
              <w:right w:val="single" w:color="auto" w:sz="4" w:space="0"/>
            </w:tcBorders>
            <w:noWrap w:val="0"/>
            <w:vAlign w:val="center"/>
          </w:tcPr>
          <w:p w14:paraId="3DC3B19E">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10≤X＜100</w:t>
            </w:r>
          </w:p>
        </w:tc>
        <w:tc>
          <w:tcPr>
            <w:tcW w:w="1134" w:type="dxa"/>
            <w:tcBorders>
              <w:top w:val="nil"/>
              <w:left w:val="nil"/>
              <w:bottom w:val="single" w:color="auto" w:sz="4" w:space="0"/>
              <w:right w:val="single" w:color="auto" w:sz="4" w:space="0"/>
            </w:tcBorders>
            <w:noWrap w:val="0"/>
            <w:vAlign w:val="center"/>
          </w:tcPr>
          <w:p w14:paraId="59E00FBE">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X＜10</w:t>
            </w:r>
          </w:p>
        </w:tc>
      </w:tr>
      <w:tr w14:paraId="1ED61764">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5B93D07B">
            <w:pPr>
              <w:widowControl/>
              <w:spacing w:line="360" w:lineRule="auto"/>
              <w:jc w:val="left"/>
              <w:rPr>
                <w:rFonts w:hint="eastAsia" w:ascii="宋体" w:hAnsi="宋体" w:cs="宋体"/>
                <w:b/>
                <w:bCs/>
                <w:color w:val="auto"/>
                <w:kern w:val="0"/>
                <w:szCs w:val="21"/>
              </w:rPr>
            </w:pPr>
          </w:p>
        </w:tc>
        <w:tc>
          <w:tcPr>
            <w:tcW w:w="1984" w:type="dxa"/>
            <w:tcBorders>
              <w:top w:val="nil"/>
              <w:left w:val="nil"/>
              <w:bottom w:val="single" w:color="auto" w:sz="4" w:space="0"/>
              <w:right w:val="single" w:color="auto" w:sz="4" w:space="0"/>
            </w:tcBorders>
            <w:noWrap w:val="0"/>
            <w:vAlign w:val="center"/>
          </w:tcPr>
          <w:p w14:paraId="117F41EA">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营业收入（Y）</w:t>
            </w:r>
          </w:p>
        </w:tc>
        <w:tc>
          <w:tcPr>
            <w:tcW w:w="851" w:type="dxa"/>
            <w:tcBorders>
              <w:top w:val="nil"/>
              <w:left w:val="nil"/>
              <w:bottom w:val="single" w:color="auto" w:sz="4" w:space="0"/>
              <w:right w:val="single" w:color="auto" w:sz="4" w:space="0"/>
            </w:tcBorders>
            <w:noWrap w:val="0"/>
            <w:vAlign w:val="center"/>
          </w:tcPr>
          <w:p w14:paraId="51303361">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万元</w:t>
            </w:r>
          </w:p>
        </w:tc>
        <w:tc>
          <w:tcPr>
            <w:tcW w:w="1842" w:type="dxa"/>
            <w:tcBorders>
              <w:top w:val="nil"/>
              <w:left w:val="nil"/>
              <w:bottom w:val="single" w:color="auto" w:sz="4" w:space="0"/>
              <w:right w:val="single" w:color="auto" w:sz="4" w:space="0"/>
            </w:tcBorders>
            <w:noWrap w:val="0"/>
            <w:vAlign w:val="center"/>
          </w:tcPr>
          <w:p w14:paraId="1618BAEB">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2000≤Y＜10000</w:t>
            </w:r>
          </w:p>
        </w:tc>
        <w:tc>
          <w:tcPr>
            <w:tcW w:w="1701" w:type="dxa"/>
            <w:tcBorders>
              <w:top w:val="nil"/>
              <w:left w:val="nil"/>
              <w:bottom w:val="single" w:color="auto" w:sz="4" w:space="0"/>
              <w:right w:val="single" w:color="auto" w:sz="4" w:space="0"/>
            </w:tcBorders>
            <w:noWrap w:val="0"/>
            <w:vAlign w:val="center"/>
          </w:tcPr>
          <w:p w14:paraId="344B3A79">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100≤Y＜2000</w:t>
            </w:r>
          </w:p>
        </w:tc>
        <w:tc>
          <w:tcPr>
            <w:tcW w:w="1134" w:type="dxa"/>
            <w:tcBorders>
              <w:top w:val="nil"/>
              <w:left w:val="nil"/>
              <w:bottom w:val="single" w:color="auto" w:sz="4" w:space="0"/>
              <w:right w:val="single" w:color="auto" w:sz="4" w:space="0"/>
            </w:tcBorders>
            <w:noWrap w:val="0"/>
            <w:vAlign w:val="center"/>
          </w:tcPr>
          <w:p w14:paraId="589143B5">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Y＜100</w:t>
            </w:r>
          </w:p>
        </w:tc>
      </w:tr>
      <w:tr w14:paraId="36FFDB4A">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240552CB">
            <w:pPr>
              <w:widowControl/>
              <w:spacing w:line="360" w:lineRule="auto"/>
              <w:jc w:val="center"/>
              <w:rPr>
                <w:rFonts w:hint="eastAsia" w:ascii="宋体" w:hAnsi="宋体" w:cs="宋体"/>
                <w:b/>
                <w:bCs/>
                <w:color w:val="auto"/>
                <w:kern w:val="0"/>
                <w:szCs w:val="21"/>
              </w:rPr>
            </w:pPr>
            <w:r>
              <w:rPr>
                <w:rFonts w:hint="eastAsia" w:ascii="宋体" w:hAnsi="宋体" w:cs="宋体"/>
                <w:b/>
                <w:bCs/>
                <w:color w:val="auto"/>
                <w:kern w:val="0"/>
                <w:szCs w:val="21"/>
              </w:rPr>
              <w:t>餐饮业</w:t>
            </w:r>
          </w:p>
        </w:tc>
        <w:tc>
          <w:tcPr>
            <w:tcW w:w="1984" w:type="dxa"/>
            <w:tcBorders>
              <w:top w:val="nil"/>
              <w:left w:val="nil"/>
              <w:bottom w:val="single" w:color="auto" w:sz="4" w:space="0"/>
              <w:right w:val="single" w:color="auto" w:sz="4" w:space="0"/>
            </w:tcBorders>
            <w:noWrap w:val="0"/>
            <w:vAlign w:val="center"/>
          </w:tcPr>
          <w:p w14:paraId="73292CA2">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从业人员（X）</w:t>
            </w:r>
          </w:p>
        </w:tc>
        <w:tc>
          <w:tcPr>
            <w:tcW w:w="851" w:type="dxa"/>
            <w:tcBorders>
              <w:top w:val="nil"/>
              <w:left w:val="nil"/>
              <w:bottom w:val="single" w:color="auto" w:sz="4" w:space="0"/>
              <w:right w:val="single" w:color="auto" w:sz="4" w:space="0"/>
            </w:tcBorders>
            <w:noWrap w:val="0"/>
            <w:vAlign w:val="center"/>
          </w:tcPr>
          <w:p w14:paraId="18AD9B1B">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人</w:t>
            </w:r>
          </w:p>
        </w:tc>
        <w:tc>
          <w:tcPr>
            <w:tcW w:w="1842" w:type="dxa"/>
            <w:tcBorders>
              <w:top w:val="nil"/>
              <w:left w:val="nil"/>
              <w:bottom w:val="single" w:color="auto" w:sz="4" w:space="0"/>
              <w:right w:val="single" w:color="auto" w:sz="4" w:space="0"/>
            </w:tcBorders>
            <w:noWrap w:val="0"/>
            <w:vAlign w:val="center"/>
          </w:tcPr>
          <w:p w14:paraId="3A8F312C">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100≤X＜300</w:t>
            </w:r>
          </w:p>
        </w:tc>
        <w:tc>
          <w:tcPr>
            <w:tcW w:w="1701" w:type="dxa"/>
            <w:tcBorders>
              <w:top w:val="nil"/>
              <w:left w:val="nil"/>
              <w:bottom w:val="single" w:color="auto" w:sz="4" w:space="0"/>
              <w:right w:val="single" w:color="auto" w:sz="4" w:space="0"/>
            </w:tcBorders>
            <w:noWrap w:val="0"/>
            <w:vAlign w:val="center"/>
          </w:tcPr>
          <w:p w14:paraId="4B7DE696">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10≤X＜100</w:t>
            </w:r>
          </w:p>
        </w:tc>
        <w:tc>
          <w:tcPr>
            <w:tcW w:w="1134" w:type="dxa"/>
            <w:tcBorders>
              <w:top w:val="nil"/>
              <w:left w:val="nil"/>
              <w:bottom w:val="single" w:color="auto" w:sz="4" w:space="0"/>
              <w:right w:val="single" w:color="auto" w:sz="4" w:space="0"/>
            </w:tcBorders>
            <w:noWrap w:val="0"/>
            <w:vAlign w:val="center"/>
          </w:tcPr>
          <w:p w14:paraId="42D5A8EB">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X＜10</w:t>
            </w:r>
          </w:p>
        </w:tc>
      </w:tr>
      <w:tr w14:paraId="04841319">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1CFAD202">
            <w:pPr>
              <w:widowControl/>
              <w:spacing w:line="360" w:lineRule="auto"/>
              <w:jc w:val="left"/>
              <w:rPr>
                <w:rFonts w:hint="eastAsia" w:ascii="宋体" w:hAnsi="宋体" w:cs="宋体"/>
                <w:b/>
                <w:bCs/>
                <w:color w:val="auto"/>
                <w:kern w:val="0"/>
                <w:szCs w:val="21"/>
              </w:rPr>
            </w:pPr>
          </w:p>
        </w:tc>
        <w:tc>
          <w:tcPr>
            <w:tcW w:w="1984" w:type="dxa"/>
            <w:tcBorders>
              <w:top w:val="nil"/>
              <w:left w:val="nil"/>
              <w:bottom w:val="single" w:color="auto" w:sz="4" w:space="0"/>
              <w:right w:val="single" w:color="auto" w:sz="4" w:space="0"/>
            </w:tcBorders>
            <w:noWrap w:val="0"/>
            <w:vAlign w:val="center"/>
          </w:tcPr>
          <w:p w14:paraId="36A352E3">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营业收入（Y）</w:t>
            </w:r>
          </w:p>
        </w:tc>
        <w:tc>
          <w:tcPr>
            <w:tcW w:w="851" w:type="dxa"/>
            <w:tcBorders>
              <w:top w:val="nil"/>
              <w:left w:val="nil"/>
              <w:bottom w:val="single" w:color="auto" w:sz="4" w:space="0"/>
              <w:right w:val="single" w:color="auto" w:sz="4" w:space="0"/>
            </w:tcBorders>
            <w:noWrap w:val="0"/>
            <w:vAlign w:val="center"/>
          </w:tcPr>
          <w:p w14:paraId="349C8FB4">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万元</w:t>
            </w:r>
          </w:p>
        </w:tc>
        <w:tc>
          <w:tcPr>
            <w:tcW w:w="1842" w:type="dxa"/>
            <w:tcBorders>
              <w:top w:val="nil"/>
              <w:left w:val="nil"/>
              <w:bottom w:val="single" w:color="auto" w:sz="4" w:space="0"/>
              <w:right w:val="single" w:color="auto" w:sz="4" w:space="0"/>
            </w:tcBorders>
            <w:noWrap w:val="0"/>
            <w:vAlign w:val="center"/>
          </w:tcPr>
          <w:p w14:paraId="0F923BBA">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2000≤Y＜10000</w:t>
            </w:r>
          </w:p>
        </w:tc>
        <w:tc>
          <w:tcPr>
            <w:tcW w:w="1701" w:type="dxa"/>
            <w:tcBorders>
              <w:top w:val="nil"/>
              <w:left w:val="nil"/>
              <w:bottom w:val="single" w:color="auto" w:sz="4" w:space="0"/>
              <w:right w:val="single" w:color="auto" w:sz="4" w:space="0"/>
            </w:tcBorders>
            <w:noWrap w:val="0"/>
            <w:vAlign w:val="center"/>
          </w:tcPr>
          <w:p w14:paraId="40ED0B30">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100≤Y＜2000</w:t>
            </w:r>
          </w:p>
        </w:tc>
        <w:tc>
          <w:tcPr>
            <w:tcW w:w="1134" w:type="dxa"/>
            <w:tcBorders>
              <w:top w:val="nil"/>
              <w:left w:val="nil"/>
              <w:bottom w:val="single" w:color="auto" w:sz="4" w:space="0"/>
              <w:right w:val="single" w:color="auto" w:sz="4" w:space="0"/>
            </w:tcBorders>
            <w:noWrap w:val="0"/>
            <w:vAlign w:val="center"/>
          </w:tcPr>
          <w:p w14:paraId="2D90C23E">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Y＜100</w:t>
            </w:r>
          </w:p>
        </w:tc>
      </w:tr>
      <w:tr w14:paraId="78262929">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7CF6FFEF">
            <w:pPr>
              <w:widowControl/>
              <w:spacing w:line="360" w:lineRule="auto"/>
              <w:jc w:val="center"/>
              <w:rPr>
                <w:rFonts w:hint="eastAsia" w:ascii="宋体" w:hAnsi="宋体" w:cs="宋体"/>
                <w:b/>
                <w:bCs/>
                <w:color w:val="auto"/>
                <w:kern w:val="0"/>
                <w:szCs w:val="21"/>
              </w:rPr>
            </w:pPr>
            <w:r>
              <w:rPr>
                <w:rFonts w:hint="eastAsia" w:ascii="宋体" w:hAnsi="宋体" w:cs="宋体"/>
                <w:b/>
                <w:bCs/>
                <w:color w:val="auto"/>
                <w:kern w:val="0"/>
                <w:szCs w:val="21"/>
              </w:rPr>
              <w:t>信息传输业</w:t>
            </w:r>
          </w:p>
        </w:tc>
        <w:tc>
          <w:tcPr>
            <w:tcW w:w="1984" w:type="dxa"/>
            <w:tcBorders>
              <w:top w:val="nil"/>
              <w:left w:val="nil"/>
              <w:bottom w:val="single" w:color="auto" w:sz="4" w:space="0"/>
              <w:right w:val="single" w:color="auto" w:sz="4" w:space="0"/>
            </w:tcBorders>
            <w:noWrap w:val="0"/>
            <w:vAlign w:val="center"/>
          </w:tcPr>
          <w:p w14:paraId="6D445A67">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从业人员（X）</w:t>
            </w:r>
          </w:p>
        </w:tc>
        <w:tc>
          <w:tcPr>
            <w:tcW w:w="851" w:type="dxa"/>
            <w:tcBorders>
              <w:top w:val="nil"/>
              <w:left w:val="nil"/>
              <w:bottom w:val="single" w:color="auto" w:sz="4" w:space="0"/>
              <w:right w:val="single" w:color="auto" w:sz="4" w:space="0"/>
            </w:tcBorders>
            <w:noWrap w:val="0"/>
            <w:vAlign w:val="center"/>
          </w:tcPr>
          <w:p w14:paraId="6B72734C">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人</w:t>
            </w:r>
          </w:p>
        </w:tc>
        <w:tc>
          <w:tcPr>
            <w:tcW w:w="1842" w:type="dxa"/>
            <w:tcBorders>
              <w:top w:val="nil"/>
              <w:left w:val="nil"/>
              <w:bottom w:val="single" w:color="auto" w:sz="4" w:space="0"/>
              <w:right w:val="single" w:color="auto" w:sz="4" w:space="0"/>
            </w:tcBorders>
            <w:noWrap w:val="0"/>
            <w:vAlign w:val="center"/>
          </w:tcPr>
          <w:p w14:paraId="2CD37E11">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100≤X＜2000</w:t>
            </w:r>
          </w:p>
        </w:tc>
        <w:tc>
          <w:tcPr>
            <w:tcW w:w="1701" w:type="dxa"/>
            <w:tcBorders>
              <w:top w:val="nil"/>
              <w:left w:val="nil"/>
              <w:bottom w:val="single" w:color="auto" w:sz="4" w:space="0"/>
              <w:right w:val="single" w:color="auto" w:sz="4" w:space="0"/>
            </w:tcBorders>
            <w:noWrap w:val="0"/>
            <w:vAlign w:val="center"/>
          </w:tcPr>
          <w:p w14:paraId="18AEF424">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10≤X＜100</w:t>
            </w:r>
          </w:p>
        </w:tc>
        <w:tc>
          <w:tcPr>
            <w:tcW w:w="1134" w:type="dxa"/>
            <w:tcBorders>
              <w:top w:val="nil"/>
              <w:left w:val="nil"/>
              <w:bottom w:val="single" w:color="auto" w:sz="4" w:space="0"/>
              <w:right w:val="single" w:color="auto" w:sz="4" w:space="0"/>
            </w:tcBorders>
            <w:noWrap w:val="0"/>
            <w:vAlign w:val="center"/>
          </w:tcPr>
          <w:p w14:paraId="414F2D82">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X＜10</w:t>
            </w:r>
          </w:p>
        </w:tc>
      </w:tr>
      <w:tr w14:paraId="37C5CC96">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66FD6A13">
            <w:pPr>
              <w:widowControl/>
              <w:spacing w:line="360" w:lineRule="auto"/>
              <w:jc w:val="left"/>
              <w:rPr>
                <w:rFonts w:hint="eastAsia" w:ascii="宋体" w:hAnsi="宋体" w:cs="宋体"/>
                <w:b/>
                <w:bCs/>
                <w:color w:val="auto"/>
                <w:kern w:val="0"/>
                <w:szCs w:val="21"/>
              </w:rPr>
            </w:pPr>
          </w:p>
        </w:tc>
        <w:tc>
          <w:tcPr>
            <w:tcW w:w="1984" w:type="dxa"/>
            <w:tcBorders>
              <w:top w:val="nil"/>
              <w:left w:val="nil"/>
              <w:bottom w:val="single" w:color="auto" w:sz="4" w:space="0"/>
              <w:right w:val="single" w:color="auto" w:sz="4" w:space="0"/>
            </w:tcBorders>
            <w:noWrap w:val="0"/>
            <w:vAlign w:val="center"/>
          </w:tcPr>
          <w:p w14:paraId="5E46BB29">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营业收入（Y）</w:t>
            </w:r>
          </w:p>
        </w:tc>
        <w:tc>
          <w:tcPr>
            <w:tcW w:w="851" w:type="dxa"/>
            <w:tcBorders>
              <w:top w:val="nil"/>
              <w:left w:val="nil"/>
              <w:bottom w:val="single" w:color="auto" w:sz="4" w:space="0"/>
              <w:right w:val="single" w:color="auto" w:sz="4" w:space="0"/>
            </w:tcBorders>
            <w:noWrap w:val="0"/>
            <w:vAlign w:val="center"/>
          </w:tcPr>
          <w:p w14:paraId="046E7264">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万元</w:t>
            </w:r>
          </w:p>
        </w:tc>
        <w:tc>
          <w:tcPr>
            <w:tcW w:w="1842" w:type="dxa"/>
            <w:tcBorders>
              <w:top w:val="nil"/>
              <w:left w:val="nil"/>
              <w:bottom w:val="single" w:color="auto" w:sz="4" w:space="0"/>
              <w:right w:val="single" w:color="auto" w:sz="4" w:space="0"/>
            </w:tcBorders>
            <w:noWrap w:val="0"/>
            <w:vAlign w:val="center"/>
          </w:tcPr>
          <w:p w14:paraId="1BBF1018">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1000≤Y＜100000</w:t>
            </w:r>
          </w:p>
        </w:tc>
        <w:tc>
          <w:tcPr>
            <w:tcW w:w="1701" w:type="dxa"/>
            <w:tcBorders>
              <w:top w:val="nil"/>
              <w:left w:val="nil"/>
              <w:bottom w:val="single" w:color="auto" w:sz="4" w:space="0"/>
              <w:right w:val="single" w:color="auto" w:sz="4" w:space="0"/>
            </w:tcBorders>
            <w:noWrap w:val="0"/>
            <w:vAlign w:val="center"/>
          </w:tcPr>
          <w:p w14:paraId="71F0B8A0">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100≤Y＜1000</w:t>
            </w:r>
          </w:p>
        </w:tc>
        <w:tc>
          <w:tcPr>
            <w:tcW w:w="1134" w:type="dxa"/>
            <w:tcBorders>
              <w:top w:val="nil"/>
              <w:left w:val="nil"/>
              <w:bottom w:val="single" w:color="auto" w:sz="4" w:space="0"/>
              <w:right w:val="single" w:color="auto" w:sz="4" w:space="0"/>
            </w:tcBorders>
            <w:noWrap w:val="0"/>
            <w:vAlign w:val="center"/>
          </w:tcPr>
          <w:p w14:paraId="1B5B750B">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Y＜100</w:t>
            </w:r>
          </w:p>
        </w:tc>
      </w:tr>
      <w:tr w14:paraId="00A91CC7">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379F339F">
            <w:pPr>
              <w:widowControl/>
              <w:spacing w:line="360" w:lineRule="auto"/>
              <w:jc w:val="center"/>
              <w:rPr>
                <w:rFonts w:hint="eastAsia" w:ascii="宋体" w:hAnsi="宋体" w:cs="宋体"/>
                <w:b/>
                <w:bCs/>
                <w:color w:val="auto"/>
                <w:kern w:val="0"/>
                <w:szCs w:val="21"/>
              </w:rPr>
            </w:pPr>
            <w:r>
              <w:rPr>
                <w:rFonts w:hint="eastAsia" w:ascii="宋体" w:hAnsi="宋体" w:cs="宋体"/>
                <w:b/>
                <w:bCs/>
                <w:color w:val="auto"/>
                <w:kern w:val="0"/>
                <w:szCs w:val="21"/>
              </w:rPr>
              <w:t>软件和信息技术服务业</w:t>
            </w:r>
          </w:p>
        </w:tc>
        <w:tc>
          <w:tcPr>
            <w:tcW w:w="1984" w:type="dxa"/>
            <w:tcBorders>
              <w:top w:val="nil"/>
              <w:left w:val="nil"/>
              <w:bottom w:val="single" w:color="auto" w:sz="4" w:space="0"/>
              <w:right w:val="single" w:color="auto" w:sz="4" w:space="0"/>
            </w:tcBorders>
            <w:noWrap w:val="0"/>
            <w:vAlign w:val="center"/>
          </w:tcPr>
          <w:p w14:paraId="209E6448">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从业人员（X）</w:t>
            </w:r>
          </w:p>
        </w:tc>
        <w:tc>
          <w:tcPr>
            <w:tcW w:w="851" w:type="dxa"/>
            <w:tcBorders>
              <w:top w:val="nil"/>
              <w:left w:val="nil"/>
              <w:bottom w:val="single" w:color="auto" w:sz="4" w:space="0"/>
              <w:right w:val="single" w:color="auto" w:sz="4" w:space="0"/>
            </w:tcBorders>
            <w:noWrap w:val="0"/>
            <w:vAlign w:val="center"/>
          </w:tcPr>
          <w:p w14:paraId="3ACB016D">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人</w:t>
            </w:r>
          </w:p>
        </w:tc>
        <w:tc>
          <w:tcPr>
            <w:tcW w:w="1842" w:type="dxa"/>
            <w:tcBorders>
              <w:top w:val="nil"/>
              <w:left w:val="nil"/>
              <w:bottom w:val="single" w:color="auto" w:sz="4" w:space="0"/>
              <w:right w:val="single" w:color="auto" w:sz="4" w:space="0"/>
            </w:tcBorders>
            <w:noWrap w:val="0"/>
            <w:vAlign w:val="center"/>
          </w:tcPr>
          <w:p w14:paraId="1552733F">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100≤X＜300</w:t>
            </w:r>
          </w:p>
        </w:tc>
        <w:tc>
          <w:tcPr>
            <w:tcW w:w="1701" w:type="dxa"/>
            <w:tcBorders>
              <w:top w:val="nil"/>
              <w:left w:val="nil"/>
              <w:bottom w:val="single" w:color="auto" w:sz="4" w:space="0"/>
              <w:right w:val="single" w:color="auto" w:sz="4" w:space="0"/>
            </w:tcBorders>
            <w:noWrap w:val="0"/>
            <w:vAlign w:val="center"/>
          </w:tcPr>
          <w:p w14:paraId="0863353A">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10≤X＜100</w:t>
            </w:r>
          </w:p>
        </w:tc>
        <w:tc>
          <w:tcPr>
            <w:tcW w:w="1134" w:type="dxa"/>
            <w:tcBorders>
              <w:top w:val="nil"/>
              <w:left w:val="nil"/>
              <w:bottom w:val="single" w:color="auto" w:sz="4" w:space="0"/>
              <w:right w:val="single" w:color="auto" w:sz="4" w:space="0"/>
            </w:tcBorders>
            <w:noWrap w:val="0"/>
            <w:vAlign w:val="center"/>
          </w:tcPr>
          <w:p w14:paraId="480FB99C">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X＜10</w:t>
            </w:r>
          </w:p>
        </w:tc>
      </w:tr>
      <w:tr w14:paraId="721C3227">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0C24CC80">
            <w:pPr>
              <w:widowControl/>
              <w:spacing w:line="360" w:lineRule="auto"/>
              <w:jc w:val="left"/>
              <w:rPr>
                <w:rFonts w:hint="eastAsia" w:ascii="宋体" w:hAnsi="宋体" w:cs="宋体"/>
                <w:b/>
                <w:bCs/>
                <w:color w:val="auto"/>
                <w:kern w:val="0"/>
                <w:szCs w:val="21"/>
              </w:rPr>
            </w:pPr>
          </w:p>
        </w:tc>
        <w:tc>
          <w:tcPr>
            <w:tcW w:w="1984" w:type="dxa"/>
            <w:tcBorders>
              <w:top w:val="nil"/>
              <w:left w:val="nil"/>
              <w:bottom w:val="single" w:color="auto" w:sz="4" w:space="0"/>
              <w:right w:val="single" w:color="auto" w:sz="4" w:space="0"/>
            </w:tcBorders>
            <w:noWrap w:val="0"/>
            <w:vAlign w:val="center"/>
          </w:tcPr>
          <w:p w14:paraId="08BA6971">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营业收入（Y）</w:t>
            </w:r>
          </w:p>
        </w:tc>
        <w:tc>
          <w:tcPr>
            <w:tcW w:w="851" w:type="dxa"/>
            <w:tcBorders>
              <w:top w:val="nil"/>
              <w:left w:val="nil"/>
              <w:bottom w:val="single" w:color="auto" w:sz="4" w:space="0"/>
              <w:right w:val="single" w:color="auto" w:sz="4" w:space="0"/>
            </w:tcBorders>
            <w:noWrap w:val="0"/>
            <w:vAlign w:val="center"/>
          </w:tcPr>
          <w:p w14:paraId="6482E8D7">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万元</w:t>
            </w:r>
          </w:p>
        </w:tc>
        <w:tc>
          <w:tcPr>
            <w:tcW w:w="1842" w:type="dxa"/>
            <w:tcBorders>
              <w:top w:val="nil"/>
              <w:left w:val="nil"/>
              <w:bottom w:val="single" w:color="auto" w:sz="4" w:space="0"/>
              <w:right w:val="single" w:color="auto" w:sz="4" w:space="0"/>
            </w:tcBorders>
            <w:noWrap w:val="0"/>
            <w:vAlign w:val="center"/>
          </w:tcPr>
          <w:p w14:paraId="79058753">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1000≤Y＜10000</w:t>
            </w:r>
          </w:p>
        </w:tc>
        <w:tc>
          <w:tcPr>
            <w:tcW w:w="1701" w:type="dxa"/>
            <w:tcBorders>
              <w:top w:val="nil"/>
              <w:left w:val="nil"/>
              <w:bottom w:val="single" w:color="auto" w:sz="4" w:space="0"/>
              <w:right w:val="single" w:color="auto" w:sz="4" w:space="0"/>
            </w:tcBorders>
            <w:noWrap w:val="0"/>
            <w:vAlign w:val="center"/>
          </w:tcPr>
          <w:p w14:paraId="339ECC33">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50≤Y＜1000</w:t>
            </w:r>
          </w:p>
        </w:tc>
        <w:tc>
          <w:tcPr>
            <w:tcW w:w="1134" w:type="dxa"/>
            <w:tcBorders>
              <w:top w:val="nil"/>
              <w:left w:val="nil"/>
              <w:bottom w:val="single" w:color="auto" w:sz="4" w:space="0"/>
              <w:right w:val="single" w:color="auto" w:sz="4" w:space="0"/>
            </w:tcBorders>
            <w:noWrap w:val="0"/>
            <w:vAlign w:val="center"/>
          </w:tcPr>
          <w:p w14:paraId="5BCC4FE2">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Y＜50</w:t>
            </w:r>
          </w:p>
        </w:tc>
      </w:tr>
      <w:tr w14:paraId="437D8930">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1088C9FB">
            <w:pPr>
              <w:widowControl/>
              <w:spacing w:line="360" w:lineRule="auto"/>
              <w:jc w:val="center"/>
              <w:rPr>
                <w:rFonts w:hint="eastAsia" w:ascii="宋体" w:hAnsi="宋体" w:cs="宋体"/>
                <w:b/>
                <w:bCs/>
                <w:color w:val="auto"/>
                <w:kern w:val="0"/>
                <w:szCs w:val="21"/>
              </w:rPr>
            </w:pPr>
            <w:r>
              <w:rPr>
                <w:rFonts w:hint="eastAsia" w:ascii="宋体" w:hAnsi="宋体" w:cs="宋体"/>
                <w:b/>
                <w:bCs/>
                <w:color w:val="auto"/>
                <w:kern w:val="0"/>
                <w:szCs w:val="21"/>
              </w:rPr>
              <w:t>房地产开发经营</w:t>
            </w:r>
          </w:p>
        </w:tc>
        <w:tc>
          <w:tcPr>
            <w:tcW w:w="1984" w:type="dxa"/>
            <w:tcBorders>
              <w:top w:val="nil"/>
              <w:left w:val="nil"/>
              <w:bottom w:val="single" w:color="auto" w:sz="4" w:space="0"/>
              <w:right w:val="single" w:color="auto" w:sz="4" w:space="0"/>
            </w:tcBorders>
            <w:noWrap w:val="0"/>
            <w:vAlign w:val="center"/>
          </w:tcPr>
          <w:p w14:paraId="40FA0F1F">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营业收入（Y）</w:t>
            </w:r>
          </w:p>
        </w:tc>
        <w:tc>
          <w:tcPr>
            <w:tcW w:w="851" w:type="dxa"/>
            <w:tcBorders>
              <w:top w:val="nil"/>
              <w:left w:val="nil"/>
              <w:bottom w:val="single" w:color="auto" w:sz="4" w:space="0"/>
              <w:right w:val="single" w:color="auto" w:sz="4" w:space="0"/>
            </w:tcBorders>
            <w:noWrap w:val="0"/>
            <w:vAlign w:val="center"/>
          </w:tcPr>
          <w:p w14:paraId="4FAED856">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万元</w:t>
            </w:r>
          </w:p>
        </w:tc>
        <w:tc>
          <w:tcPr>
            <w:tcW w:w="1842" w:type="dxa"/>
            <w:tcBorders>
              <w:top w:val="nil"/>
              <w:left w:val="nil"/>
              <w:bottom w:val="single" w:color="auto" w:sz="4" w:space="0"/>
              <w:right w:val="single" w:color="auto" w:sz="4" w:space="0"/>
            </w:tcBorders>
            <w:noWrap w:val="0"/>
            <w:vAlign w:val="center"/>
          </w:tcPr>
          <w:p w14:paraId="4F633136">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1000≤Y＜200000</w:t>
            </w:r>
          </w:p>
        </w:tc>
        <w:tc>
          <w:tcPr>
            <w:tcW w:w="1701" w:type="dxa"/>
            <w:tcBorders>
              <w:top w:val="nil"/>
              <w:left w:val="nil"/>
              <w:bottom w:val="single" w:color="auto" w:sz="4" w:space="0"/>
              <w:right w:val="single" w:color="auto" w:sz="4" w:space="0"/>
            </w:tcBorders>
            <w:noWrap w:val="0"/>
            <w:vAlign w:val="center"/>
          </w:tcPr>
          <w:p w14:paraId="1B8EA9DA">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100≤X＜1000</w:t>
            </w:r>
          </w:p>
        </w:tc>
        <w:tc>
          <w:tcPr>
            <w:tcW w:w="1134" w:type="dxa"/>
            <w:tcBorders>
              <w:top w:val="nil"/>
              <w:left w:val="nil"/>
              <w:bottom w:val="single" w:color="auto" w:sz="4" w:space="0"/>
              <w:right w:val="single" w:color="auto" w:sz="4" w:space="0"/>
            </w:tcBorders>
            <w:noWrap w:val="0"/>
            <w:vAlign w:val="center"/>
          </w:tcPr>
          <w:p w14:paraId="0E189C70">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X＜100</w:t>
            </w:r>
          </w:p>
        </w:tc>
      </w:tr>
      <w:tr w14:paraId="571C33FD">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B90702F">
            <w:pPr>
              <w:widowControl/>
              <w:spacing w:line="360" w:lineRule="auto"/>
              <w:jc w:val="left"/>
              <w:rPr>
                <w:rFonts w:hint="eastAsia" w:ascii="宋体" w:hAnsi="宋体" w:cs="宋体"/>
                <w:b/>
                <w:bCs/>
                <w:color w:val="auto"/>
                <w:kern w:val="0"/>
                <w:szCs w:val="21"/>
              </w:rPr>
            </w:pPr>
          </w:p>
        </w:tc>
        <w:tc>
          <w:tcPr>
            <w:tcW w:w="1984" w:type="dxa"/>
            <w:tcBorders>
              <w:top w:val="nil"/>
              <w:left w:val="nil"/>
              <w:bottom w:val="single" w:color="auto" w:sz="4" w:space="0"/>
              <w:right w:val="single" w:color="auto" w:sz="4" w:space="0"/>
            </w:tcBorders>
            <w:noWrap w:val="0"/>
            <w:vAlign w:val="center"/>
          </w:tcPr>
          <w:p w14:paraId="250E267A">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资产总额（Z）</w:t>
            </w:r>
          </w:p>
        </w:tc>
        <w:tc>
          <w:tcPr>
            <w:tcW w:w="851" w:type="dxa"/>
            <w:tcBorders>
              <w:top w:val="nil"/>
              <w:left w:val="nil"/>
              <w:bottom w:val="single" w:color="auto" w:sz="4" w:space="0"/>
              <w:right w:val="single" w:color="auto" w:sz="4" w:space="0"/>
            </w:tcBorders>
            <w:noWrap w:val="0"/>
            <w:vAlign w:val="center"/>
          </w:tcPr>
          <w:p w14:paraId="21D8EDD2">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万元</w:t>
            </w:r>
          </w:p>
        </w:tc>
        <w:tc>
          <w:tcPr>
            <w:tcW w:w="1842" w:type="dxa"/>
            <w:tcBorders>
              <w:top w:val="nil"/>
              <w:left w:val="nil"/>
              <w:bottom w:val="single" w:color="auto" w:sz="4" w:space="0"/>
              <w:right w:val="single" w:color="auto" w:sz="4" w:space="0"/>
            </w:tcBorders>
            <w:noWrap w:val="0"/>
            <w:vAlign w:val="center"/>
          </w:tcPr>
          <w:p w14:paraId="578A44E6">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5000≤Z＜10000</w:t>
            </w:r>
          </w:p>
        </w:tc>
        <w:tc>
          <w:tcPr>
            <w:tcW w:w="1701" w:type="dxa"/>
            <w:tcBorders>
              <w:top w:val="nil"/>
              <w:left w:val="nil"/>
              <w:bottom w:val="single" w:color="auto" w:sz="4" w:space="0"/>
              <w:right w:val="single" w:color="auto" w:sz="4" w:space="0"/>
            </w:tcBorders>
            <w:noWrap w:val="0"/>
            <w:vAlign w:val="center"/>
          </w:tcPr>
          <w:p w14:paraId="2619F095">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2000≤Y＜5000</w:t>
            </w:r>
          </w:p>
        </w:tc>
        <w:tc>
          <w:tcPr>
            <w:tcW w:w="1134" w:type="dxa"/>
            <w:tcBorders>
              <w:top w:val="nil"/>
              <w:left w:val="nil"/>
              <w:bottom w:val="single" w:color="auto" w:sz="4" w:space="0"/>
              <w:right w:val="single" w:color="auto" w:sz="4" w:space="0"/>
            </w:tcBorders>
            <w:noWrap w:val="0"/>
            <w:vAlign w:val="center"/>
          </w:tcPr>
          <w:p w14:paraId="65C4BFB0">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Y＜2000</w:t>
            </w:r>
          </w:p>
        </w:tc>
      </w:tr>
      <w:tr w14:paraId="3FD85B7B">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5BDAF8A6">
            <w:pPr>
              <w:widowControl/>
              <w:spacing w:line="360" w:lineRule="auto"/>
              <w:jc w:val="center"/>
              <w:rPr>
                <w:rFonts w:hint="eastAsia" w:ascii="宋体" w:hAnsi="宋体" w:cs="宋体"/>
                <w:b/>
                <w:bCs/>
                <w:color w:val="auto"/>
                <w:kern w:val="0"/>
                <w:szCs w:val="21"/>
              </w:rPr>
            </w:pPr>
            <w:r>
              <w:rPr>
                <w:rFonts w:hint="eastAsia" w:ascii="宋体" w:hAnsi="宋体" w:cs="宋体"/>
                <w:b/>
                <w:bCs/>
                <w:color w:val="auto"/>
                <w:kern w:val="0"/>
                <w:szCs w:val="21"/>
              </w:rPr>
              <w:t>物业管理</w:t>
            </w:r>
          </w:p>
        </w:tc>
        <w:tc>
          <w:tcPr>
            <w:tcW w:w="1984" w:type="dxa"/>
            <w:tcBorders>
              <w:top w:val="nil"/>
              <w:left w:val="nil"/>
              <w:bottom w:val="single" w:color="auto" w:sz="4" w:space="0"/>
              <w:right w:val="single" w:color="auto" w:sz="4" w:space="0"/>
            </w:tcBorders>
            <w:noWrap w:val="0"/>
            <w:vAlign w:val="center"/>
          </w:tcPr>
          <w:p w14:paraId="28DFF1D8">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从业人员（X）</w:t>
            </w:r>
          </w:p>
        </w:tc>
        <w:tc>
          <w:tcPr>
            <w:tcW w:w="851" w:type="dxa"/>
            <w:tcBorders>
              <w:top w:val="nil"/>
              <w:left w:val="nil"/>
              <w:bottom w:val="single" w:color="auto" w:sz="4" w:space="0"/>
              <w:right w:val="single" w:color="auto" w:sz="4" w:space="0"/>
            </w:tcBorders>
            <w:noWrap w:val="0"/>
            <w:vAlign w:val="center"/>
          </w:tcPr>
          <w:p w14:paraId="210F230E">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人</w:t>
            </w:r>
          </w:p>
        </w:tc>
        <w:tc>
          <w:tcPr>
            <w:tcW w:w="1842" w:type="dxa"/>
            <w:tcBorders>
              <w:top w:val="nil"/>
              <w:left w:val="nil"/>
              <w:bottom w:val="single" w:color="auto" w:sz="4" w:space="0"/>
              <w:right w:val="single" w:color="auto" w:sz="4" w:space="0"/>
            </w:tcBorders>
            <w:noWrap w:val="0"/>
            <w:vAlign w:val="center"/>
          </w:tcPr>
          <w:p w14:paraId="747976AA">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300≤X＜1000</w:t>
            </w:r>
          </w:p>
        </w:tc>
        <w:tc>
          <w:tcPr>
            <w:tcW w:w="1701" w:type="dxa"/>
            <w:tcBorders>
              <w:top w:val="nil"/>
              <w:left w:val="nil"/>
              <w:bottom w:val="single" w:color="auto" w:sz="4" w:space="0"/>
              <w:right w:val="single" w:color="auto" w:sz="4" w:space="0"/>
            </w:tcBorders>
            <w:noWrap w:val="0"/>
            <w:vAlign w:val="center"/>
          </w:tcPr>
          <w:p w14:paraId="5FCACA60">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100≤X＜300</w:t>
            </w:r>
          </w:p>
        </w:tc>
        <w:tc>
          <w:tcPr>
            <w:tcW w:w="1134" w:type="dxa"/>
            <w:tcBorders>
              <w:top w:val="nil"/>
              <w:left w:val="nil"/>
              <w:bottom w:val="single" w:color="auto" w:sz="4" w:space="0"/>
              <w:right w:val="single" w:color="auto" w:sz="4" w:space="0"/>
            </w:tcBorders>
            <w:noWrap w:val="0"/>
            <w:vAlign w:val="center"/>
          </w:tcPr>
          <w:p w14:paraId="53FE05E8">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X＜100</w:t>
            </w:r>
          </w:p>
        </w:tc>
      </w:tr>
      <w:tr w14:paraId="076C4ED8">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6E8585B0">
            <w:pPr>
              <w:widowControl/>
              <w:spacing w:line="360" w:lineRule="auto"/>
              <w:jc w:val="left"/>
              <w:rPr>
                <w:rFonts w:hint="eastAsia" w:ascii="宋体" w:hAnsi="宋体" w:cs="宋体"/>
                <w:b/>
                <w:bCs/>
                <w:color w:val="auto"/>
                <w:kern w:val="0"/>
                <w:szCs w:val="21"/>
              </w:rPr>
            </w:pPr>
          </w:p>
        </w:tc>
        <w:tc>
          <w:tcPr>
            <w:tcW w:w="1984" w:type="dxa"/>
            <w:tcBorders>
              <w:top w:val="nil"/>
              <w:left w:val="nil"/>
              <w:bottom w:val="single" w:color="auto" w:sz="4" w:space="0"/>
              <w:right w:val="single" w:color="auto" w:sz="4" w:space="0"/>
            </w:tcBorders>
            <w:noWrap w:val="0"/>
            <w:vAlign w:val="center"/>
          </w:tcPr>
          <w:p w14:paraId="36364A64">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营业收入（Y）</w:t>
            </w:r>
          </w:p>
        </w:tc>
        <w:tc>
          <w:tcPr>
            <w:tcW w:w="851" w:type="dxa"/>
            <w:tcBorders>
              <w:top w:val="nil"/>
              <w:left w:val="nil"/>
              <w:bottom w:val="single" w:color="auto" w:sz="4" w:space="0"/>
              <w:right w:val="single" w:color="auto" w:sz="4" w:space="0"/>
            </w:tcBorders>
            <w:noWrap w:val="0"/>
            <w:vAlign w:val="center"/>
          </w:tcPr>
          <w:p w14:paraId="0C371194">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万元</w:t>
            </w:r>
          </w:p>
        </w:tc>
        <w:tc>
          <w:tcPr>
            <w:tcW w:w="1842" w:type="dxa"/>
            <w:tcBorders>
              <w:top w:val="nil"/>
              <w:left w:val="nil"/>
              <w:bottom w:val="single" w:color="auto" w:sz="4" w:space="0"/>
              <w:right w:val="single" w:color="auto" w:sz="4" w:space="0"/>
            </w:tcBorders>
            <w:noWrap w:val="0"/>
            <w:vAlign w:val="center"/>
          </w:tcPr>
          <w:p w14:paraId="0BC47536">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1000≤Y＜5000</w:t>
            </w:r>
          </w:p>
        </w:tc>
        <w:tc>
          <w:tcPr>
            <w:tcW w:w="1701" w:type="dxa"/>
            <w:tcBorders>
              <w:top w:val="nil"/>
              <w:left w:val="nil"/>
              <w:bottom w:val="single" w:color="auto" w:sz="4" w:space="0"/>
              <w:right w:val="single" w:color="auto" w:sz="4" w:space="0"/>
            </w:tcBorders>
            <w:noWrap w:val="0"/>
            <w:vAlign w:val="center"/>
          </w:tcPr>
          <w:p w14:paraId="13D2EF92">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500≤Y＜1000</w:t>
            </w:r>
          </w:p>
        </w:tc>
        <w:tc>
          <w:tcPr>
            <w:tcW w:w="1134" w:type="dxa"/>
            <w:tcBorders>
              <w:top w:val="nil"/>
              <w:left w:val="nil"/>
              <w:bottom w:val="single" w:color="auto" w:sz="4" w:space="0"/>
              <w:right w:val="single" w:color="auto" w:sz="4" w:space="0"/>
            </w:tcBorders>
            <w:noWrap w:val="0"/>
            <w:vAlign w:val="center"/>
          </w:tcPr>
          <w:p w14:paraId="0652175E">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Y＜500</w:t>
            </w:r>
          </w:p>
        </w:tc>
      </w:tr>
      <w:tr w14:paraId="399D4BEB">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37BFEAA0">
            <w:pPr>
              <w:widowControl/>
              <w:spacing w:line="360" w:lineRule="auto"/>
              <w:jc w:val="center"/>
              <w:rPr>
                <w:rFonts w:hint="eastAsia" w:ascii="宋体" w:hAnsi="宋体" w:cs="宋体"/>
                <w:b/>
                <w:bCs/>
                <w:color w:val="auto"/>
                <w:kern w:val="0"/>
                <w:szCs w:val="21"/>
              </w:rPr>
            </w:pPr>
            <w:r>
              <w:rPr>
                <w:rFonts w:hint="eastAsia" w:ascii="宋体" w:hAnsi="宋体" w:cs="宋体"/>
                <w:b/>
                <w:bCs/>
                <w:color w:val="auto"/>
                <w:kern w:val="0"/>
                <w:szCs w:val="21"/>
              </w:rPr>
              <w:t>租赁和商务服务业</w:t>
            </w:r>
          </w:p>
        </w:tc>
        <w:tc>
          <w:tcPr>
            <w:tcW w:w="1984" w:type="dxa"/>
            <w:tcBorders>
              <w:top w:val="nil"/>
              <w:left w:val="nil"/>
              <w:bottom w:val="single" w:color="auto" w:sz="4" w:space="0"/>
              <w:right w:val="single" w:color="auto" w:sz="4" w:space="0"/>
            </w:tcBorders>
            <w:noWrap w:val="0"/>
            <w:vAlign w:val="center"/>
          </w:tcPr>
          <w:p w14:paraId="3638E4A2">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从业人员（X）</w:t>
            </w:r>
          </w:p>
        </w:tc>
        <w:tc>
          <w:tcPr>
            <w:tcW w:w="851" w:type="dxa"/>
            <w:tcBorders>
              <w:top w:val="nil"/>
              <w:left w:val="nil"/>
              <w:bottom w:val="single" w:color="auto" w:sz="4" w:space="0"/>
              <w:right w:val="single" w:color="auto" w:sz="4" w:space="0"/>
            </w:tcBorders>
            <w:noWrap w:val="0"/>
            <w:vAlign w:val="center"/>
          </w:tcPr>
          <w:p w14:paraId="26361291">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人</w:t>
            </w:r>
          </w:p>
        </w:tc>
        <w:tc>
          <w:tcPr>
            <w:tcW w:w="1842" w:type="dxa"/>
            <w:tcBorders>
              <w:top w:val="nil"/>
              <w:left w:val="nil"/>
              <w:bottom w:val="single" w:color="auto" w:sz="4" w:space="0"/>
              <w:right w:val="single" w:color="auto" w:sz="4" w:space="0"/>
            </w:tcBorders>
            <w:noWrap w:val="0"/>
            <w:vAlign w:val="center"/>
          </w:tcPr>
          <w:p w14:paraId="22F8CCDF">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100≤X＜300</w:t>
            </w:r>
          </w:p>
        </w:tc>
        <w:tc>
          <w:tcPr>
            <w:tcW w:w="1701" w:type="dxa"/>
            <w:tcBorders>
              <w:top w:val="nil"/>
              <w:left w:val="nil"/>
              <w:bottom w:val="single" w:color="auto" w:sz="4" w:space="0"/>
              <w:right w:val="single" w:color="auto" w:sz="4" w:space="0"/>
            </w:tcBorders>
            <w:noWrap w:val="0"/>
            <w:vAlign w:val="center"/>
          </w:tcPr>
          <w:p w14:paraId="5AF362AE">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10≤X＜100</w:t>
            </w:r>
          </w:p>
        </w:tc>
        <w:tc>
          <w:tcPr>
            <w:tcW w:w="1134" w:type="dxa"/>
            <w:tcBorders>
              <w:top w:val="nil"/>
              <w:left w:val="nil"/>
              <w:bottom w:val="single" w:color="auto" w:sz="4" w:space="0"/>
              <w:right w:val="single" w:color="auto" w:sz="4" w:space="0"/>
            </w:tcBorders>
            <w:noWrap w:val="0"/>
            <w:vAlign w:val="center"/>
          </w:tcPr>
          <w:p w14:paraId="49B6EF05">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X＜10</w:t>
            </w:r>
          </w:p>
        </w:tc>
      </w:tr>
      <w:tr w14:paraId="38AC71D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797273EA">
            <w:pPr>
              <w:widowControl/>
              <w:spacing w:line="360" w:lineRule="auto"/>
              <w:jc w:val="left"/>
              <w:rPr>
                <w:rFonts w:hint="eastAsia" w:ascii="宋体" w:hAnsi="宋体" w:cs="宋体"/>
                <w:b/>
                <w:bCs/>
                <w:color w:val="auto"/>
                <w:kern w:val="0"/>
                <w:szCs w:val="21"/>
              </w:rPr>
            </w:pPr>
          </w:p>
        </w:tc>
        <w:tc>
          <w:tcPr>
            <w:tcW w:w="1984" w:type="dxa"/>
            <w:tcBorders>
              <w:top w:val="nil"/>
              <w:left w:val="nil"/>
              <w:bottom w:val="single" w:color="auto" w:sz="4" w:space="0"/>
              <w:right w:val="single" w:color="auto" w:sz="4" w:space="0"/>
            </w:tcBorders>
            <w:noWrap w:val="0"/>
            <w:vAlign w:val="center"/>
          </w:tcPr>
          <w:p w14:paraId="35E7C231">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资产总额（Z）</w:t>
            </w:r>
          </w:p>
        </w:tc>
        <w:tc>
          <w:tcPr>
            <w:tcW w:w="851" w:type="dxa"/>
            <w:tcBorders>
              <w:top w:val="nil"/>
              <w:left w:val="nil"/>
              <w:bottom w:val="single" w:color="auto" w:sz="4" w:space="0"/>
              <w:right w:val="single" w:color="auto" w:sz="4" w:space="0"/>
            </w:tcBorders>
            <w:noWrap w:val="0"/>
            <w:vAlign w:val="center"/>
          </w:tcPr>
          <w:p w14:paraId="7D0DDBF2">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万元</w:t>
            </w:r>
          </w:p>
        </w:tc>
        <w:tc>
          <w:tcPr>
            <w:tcW w:w="1842" w:type="dxa"/>
            <w:tcBorders>
              <w:top w:val="nil"/>
              <w:left w:val="nil"/>
              <w:bottom w:val="single" w:color="auto" w:sz="4" w:space="0"/>
              <w:right w:val="single" w:color="auto" w:sz="4" w:space="0"/>
            </w:tcBorders>
            <w:noWrap w:val="0"/>
            <w:vAlign w:val="center"/>
          </w:tcPr>
          <w:p w14:paraId="232327CA">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8000≤Z＜120000</w:t>
            </w:r>
          </w:p>
        </w:tc>
        <w:tc>
          <w:tcPr>
            <w:tcW w:w="1701" w:type="dxa"/>
            <w:tcBorders>
              <w:top w:val="nil"/>
              <w:left w:val="nil"/>
              <w:bottom w:val="single" w:color="auto" w:sz="4" w:space="0"/>
              <w:right w:val="single" w:color="auto" w:sz="4" w:space="0"/>
            </w:tcBorders>
            <w:noWrap w:val="0"/>
            <w:vAlign w:val="center"/>
          </w:tcPr>
          <w:p w14:paraId="0E0B5264">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100≤Z＜8000</w:t>
            </w:r>
          </w:p>
        </w:tc>
        <w:tc>
          <w:tcPr>
            <w:tcW w:w="1134" w:type="dxa"/>
            <w:tcBorders>
              <w:top w:val="nil"/>
              <w:left w:val="nil"/>
              <w:bottom w:val="single" w:color="auto" w:sz="4" w:space="0"/>
              <w:right w:val="single" w:color="auto" w:sz="4" w:space="0"/>
            </w:tcBorders>
            <w:noWrap w:val="0"/>
            <w:vAlign w:val="center"/>
          </w:tcPr>
          <w:p w14:paraId="642A804E">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Y＜100</w:t>
            </w:r>
          </w:p>
        </w:tc>
      </w:tr>
      <w:tr w14:paraId="7666797B">
        <w:tblPrEx>
          <w:tblCellMar>
            <w:top w:w="0" w:type="dxa"/>
            <w:left w:w="108" w:type="dxa"/>
            <w:bottom w:w="0" w:type="dxa"/>
            <w:right w:w="108" w:type="dxa"/>
          </w:tblCellMar>
        </w:tblPrEx>
        <w:trPr>
          <w:trHeight w:val="412" w:hRule="atLeast"/>
          <w:jc w:val="center"/>
        </w:trPr>
        <w:tc>
          <w:tcPr>
            <w:tcW w:w="1985" w:type="dxa"/>
            <w:tcBorders>
              <w:top w:val="nil"/>
              <w:left w:val="single" w:color="auto" w:sz="4" w:space="0"/>
              <w:bottom w:val="single" w:color="auto" w:sz="4" w:space="0"/>
              <w:right w:val="single" w:color="auto" w:sz="4" w:space="0"/>
            </w:tcBorders>
            <w:noWrap w:val="0"/>
            <w:vAlign w:val="bottom"/>
          </w:tcPr>
          <w:p w14:paraId="43A6A3DC">
            <w:pPr>
              <w:widowControl/>
              <w:spacing w:line="360" w:lineRule="auto"/>
              <w:jc w:val="center"/>
              <w:rPr>
                <w:rFonts w:hint="eastAsia" w:ascii="宋体" w:hAnsi="宋体" w:cs="宋体"/>
                <w:b/>
                <w:bCs/>
                <w:color w:val="auto"/>
                <w:kern w:val="0"/>
                <w:szCs w:val="21"/>
              </w:rPr>
            </w:pPr>
            <w:r>
              <w:rPr>
                <w:rFonts w:hint="eastAsia" w:ascii="宋体" w:hAnsi="宋体" w:cs="宋体"/>
                <w:b/>
                <w:bCs/>
                <w:color w:val="auto"/>
                <w:kern w:val="0"/>
                <w:szCs w:val="21"/>
              </w:rPr>
              <w:t>其他未列明行业</w:t>
            </w:r>
          </w:p>
        </w:tc>
        <w:tc>
          <w:tcPr>
            <w:tcW w:w="1984" w:type="dxa"/>
            <w:tcBorders>
              <w:top w:val="nil"/>
              <w:left w:val="nil"/>
              <w:bottom w:val="single" w:color="auto" w:sz="4" w:space="0"/>
              <w:right w:val="single" w:color="auto" w:sz="4" w:space="0"/>
            </w:tcBorders>
            <w:noWrap w:val="0"/>
            <w:vAlign w:val="center"/>
          </w:tcPr>
          <w:p w14:paraId="6E0C19DA">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从业人员（X）</w:t>
            </w:r>
          </w:p>
        </w:tc>
        <w:tc>
          <w:tcPr>
            <w:tcW w:w="851" w:type="dxa"/>
            <w:tcBorders>
              <w:top w:val="nil"/>
              <w:left w:val="nil"/>
              <w:bottom w:val="single" w:color="auto" w:sz="4" w:space="0"/>
              <w:right w:val="single" w:color="auto" w:sz="4" w:space="0"/>
            </w:tcBorders>
            <w:noWrap w:val="0"/>
            <w:vAlign w:val="center"/>
          </w:tcPr>
          <w:p w14:paraId="5D03E247">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人</w:t>
            </w:r>
          </w:p>
        </w:tc>
        <w:tc>
          <w:tcPr>
            <w:tcW w:w="1842" w:type="dxa"/>
            <w:tcBorders>
              <w:top w:val="nil"/>
              <w:left w:val="nil"/>
              <w:bottom w:val="single" w:color="auto" w:sz="4" w:space="0"/>
              <w:right w:val="single" w:color="auto" w:sz="4" w:space="0"/>
            </w:tcBorders>
            <w:noWrap w:val="0"/>
            <w:vAlign w:val="center"/>
          </w:tcPr>
          <w:p w14:paraId="698EA263">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100≤X＜300</w:t>
            </w:r>
          </w:p>
        </w:tc>
        <w:tc>
          <w:tcPr>
            <w:tcW w:w="1701" w:type="dxa"/>
            <w:tcBorders>
              <w:top w:val="nil"/>
              <w:left w:val="nil"/>
              <w:bottom w:val="single" w:color="auto" w:sz="4" w:space="0"/>
              <w:right w:val="single" w:color="auto" w:sz="4" w:space="0"/>
            </w:tcBorders>
            <w:noWrap w:val="0"/>
            <w:vAlign w:val="center"/>
          </w:tcPr>
          <w:p w14:paraId="33B2A507">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10≤X＜100</w:t>
            </w:r>
          </w:p>
        </w:tc>
        <w:tc>
          <w:tcPr>
            <w:tcW w:w="1134" w:type="dxa"/>
            <w:tcBorders>
              <w:top w:val="nil"/>
              <w:left w:val="nil"/>
              <w:bottom w:val="single" w:color="auto" w:sz="4" w:space="0"/>
              <w:right w:val="single" w:color="auto" w:sz="4" w:space="0"/>
            </w:tcBorders>
            <w:noWrap w:val="0"/>
            <w:vAlign w:val="center"/>
          </w:tcPr>
          <w:p w14:paraId="5E4E8FDC">
            <w:pPr>
              <w:widowControl/>
              <w:spacing w:line="360" w:lineRule="auto"/>
              <w:jc w:val="left"/>
              <w:rPr>
                <w:rFonts w:hint="eastAsia" w:ascii="宋体" w:hAnsi="宋体" w:cs="宋体"/>
                <w:color w:val="auto"/>
                <w:kern w:val="0"/>
                <w:szCs w:val="21"/>
              </w:rPr>
            </w:pPr>
            <w:r>
              <w:rPr>
                <w:rFonts w:hint="eastAsia" w:ascii="宋体" w:hAnsi="宋体" w:cs="宋体"/>
                <w:color w:val="auto"/>
                <w:kern w:val="0"/>
                <w:szCs w:val="21"/>
              </w:rPr>
              <w:t>X＜10</w:t>
            </w:r>
          </w:p>
        </w:tc>
      </w:tr>
    </w:tbl>
    <w:p w14:paraId="0C219A21">
      <w:pPr>
        <w:snapToGrid w:val="0"/>
        <w:spacing w:line="360" w:lineRule="auto"/>
        <w:ind w:firstLine="420" w:firstLineChars="200"/>
        <w:textAlignment w:val="top"/>
        <w:rPr>
          <w:rFonts w:hint="eastAsia" w:ascii="宋体" w:hAnsi="宋体" w:cs="宋体"/>
          <w:color w:val="auto"/>
          <w:kern w:val="0"/>
          <w:szCs w:val="21"/>
        </w:rPr>
      </w:pPr>
      <w:r>
        <w:rPr>
          <w:rFonts w:hint="eastAsia" w:ascii="宋体" w:hAnsi="宋体" w:cs="宋体"/>
          <w:color w:val="auto"/>
          <w:kern w:val="0"/>
          <w:szCs w:val="21"/>
        </w:rPr>
        <w:t>说明：</w:t>
      </w:r>
    </w:p>
    <w:p w14:paraId="4A070DCC">
      <w:pPr>
        <w:snapToGrid w:val="0"/>
        <w:spacing w:line="360" w:lineRule="auto"/>
        <w:ind w:firstLine="420" w:firstLineChars="200"/>
        <w:textAlignment w:val="top"/>
        <w:rPr>
          <w:rFonts w:hint="eastAsia" w:ascii="宋体" w:hAnsi="宋体" w:cs="宋体"/>
          <w:color w:val="auto"/>
          <w:kern w:val="0"/>
          <w:szCs w:val="21"/>
        </w:rPr>
      </w:pPr>
      <w:r>
        <w:rPr>
          <w:rFonts w:hint="eastAsia" w:ascii="宋体" w:hAnsi="宋体" w:cs="宋体"/>
          <w:color w:val="auto"/>
          <w:kern w:val="0"/>
          <w:szCs w:val="21"/>
        </w:rPr>
        <w:t>1.大型、中型和小型企业须同时满足所列指标的下限，否则下划一档；微型企业只须满足所列指标中的一项即可。</w:t>
      </w:r>
    </w:p>
    <w:p w14:paraId="25D8A085">
      <w:pPr>
        <w:snapToGrid w:val="0"/>
        <w:spacing w:line="360" w:lineRule="auto"/>
        <w:ind w:firstLine="420" w:firstLineChars="200"/>
        <w:textAlignment w:val="top"/>
        <w:rPr>
          <w:rFonts w:hint="eastAsia" w:ascii="宋体" w:hAnsi="宋体" w:cs="宋体"/>
          <w:color w:val="auto"/>
          <w:kern w:val="0"/>
          <w:szCs w:val="21"/>
        </w:rPr>
      </w:pPr>
      <w:r>
        <w:rPr>
          <w:rFonts w:hint="eastAsia" w:ascii="宋体" w:hAnsi="宋体" w:cs="宋体"/>
          <w:color w:val="auto"/>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C978B7E">
      <w:pPr>
        <w:snapToGrid w:val="0"/>
        <w:spacing w:line="360" w:lineRule="auto"/>
        <w:ind w:firstLine="420" w:firstLineChars="200"/>
        <w:textAlignment w:val="top"/>
        <w:rPr>
          <w:rFonts w:hint="eastAsia" w:ascii="宋体" w:hAnsi="宋体" w:cs="宋体"/>
          <w:color w:val="auto"/>
          <w:kern w:val="0"/>
          <w:szCs w:val="21"/>
        </w:rPr>
      </w:pPr>
      <w:r>
        <w:rPr>
          <w:rFonts w:hint="eastAsia" w:ascii="宋体" w:hAnsi="宋体" w:cs="宋体"/>
          <w:color w:val="auto"/>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BCCA855">
      <w:pPr>
        <w:spacing w:line="360" w:lineRule="auto"/>
        <w:rPr>
          <w:rFonts w:hint="eastAsia" w:ascii="宋体" w:hAnsi="宋体" w:cs="宋体"/>
          <w:b/>
          <w:color w:val="auto"/>
          <w:sz w:val="32"/>
          <w:szCs w:val="32"/>
        </w:rPr>
      </w:pPr>
    </w:p>
    <w:p w14:paraId="131C2F2D">
      <w:pPr>
        <w:spacing w:line="360" w:lineRule="auto"/>
        <w:jc w:val="center"/>
        <w:rPr>
          <w:rFonts w:hint="eastAsia" w:ascii="宋体" w:hAnsi="宋体" w:cs="宋体"/>
          <w:b/>
          <w:color w:val="auto"/>
          <w:sz w:val="32"/>
          <w:szCs w:val="32"/>
        </w:rPr>
      </w:pPr>
    </w:p>
    <w:p w14:paraId="590CC7AD">
      <w:pPr>
        <w:spacing w:line="360" w:lineRule="auto"/>
        <w:jc w:val="center"/>
        <w:rPr>
          <w:rFonts w:hint="eastAsia" w:ascii="宋体" w:hAnsi="宋体" w:cs="宋体"/>
          <w:b/>
          <w:color w:val="auto"/>
          <w:sz w:val="32"/>
          <w:szCs w:val="32"/>
        </w:rPr>
      </w:pPr>
    </w:p>
    <w:p w14:paraId="7454488E">
      <w:pPr>
        <w:spacing w:line="360" w:lineRule="auto"/>
        <w:jc w:val="center"/>
        <w:rPr>
          <w:rFonts w:hint="eastAsia" w:ascii="宋体" w:hAnsi="宋体" w:cs="宋体"/>
          <w:b/>
          <w:color w:val="auto"/>
          <w:sz w:val="32"/>
          <w:szCs w:val="32"/>
        </w:rPr>
      </w:pPr>
    </w:p>
    <w:p w14:paraId="043629B6">
      <w:pPr>
        <w:spacing w:line="360" w:lineRule="auto"/>
        <w:jc w:val="center"/>
        <w:rPr>
          <w:rFonts w:hint="eastAsia" w:ascii="宋体" w:hAnsi="宋体" w:cs="宋体"/>
          <w:b/>
          <w:color w:val="auto"/>
          <w:sz w:val="32"/>
          <w:szCs w:val="32"/>
        </w:rPr>
      </w:pPr>
    </w:p>
    <w:p w14:paraId="4605EFBF">
      <w:pPr>
        <w:spacing w:line="360" w:lineRule="auto"/>
        <w:jc w:val="center"/>
        <w:rPr>
          <w:rFonts w:hint="eastAsia" w:ascii="宋体" w:hAnsi="宋体" w:cs="宋体"/>
          <w:b/>
          <w:color w:val="auto"/>
          <w:sz w:val="32"/>
          <w:szCs w:val="32"/>
        </w:rPr>
      </w:pPr>
    </w:p>
    <w:p w14:paraId="6C081D8A">
      <w:pPr>
        <w:spacing w:line="360" w:lineRule="auto"/>
        <w:jc w:val="center"/>
        <w:rPr>
          <w:rFonts w:hint="eastAsia" w:ascii="宋体" w:hAnsi="宋体" w:cs="宋体"/>
          <w:b/>
          <w:color w:val="auto"/>
          <w:sz w:val="32"/>
          <w:szCs w:val="32"/>
        </w:rPr>
      </w:pPr>
    </w:p>
    <w:p w14:paraId="7EF40A7A">
      <w:pPr>
        <w:pStyle w:val="36"/>
        <w:spacing w:line="360" w:lineRule="auto"/>
        <w:outlineLvl w:val="9"/>
        <w:rPr>
          <w:rFonts w:hint="eastAsia" w:ascii="宋体" w:hAnsi="宋体" w:cs="宋体"/>
          <w:color w:val="auto"/>
          <w:sz w:val="44"/>
          <w:szCs w:val="44"/>
        </w:rPr>
      </w:pPr>
      <w:bookmarkStart w:id="41" w:name="_Toc476258665"/>
      <w:r>
        <w:rPr>
          <w:rFonts w:hint="eastAsia" w:ascii="宋体" w:hAnsi="宋体" w:cs="宋体"/>
          <w:color w:val="auto"/>
          <w:sz w:val="44"/>
          <w:szCs w:val="44"/>
        </w:rPr>
        <w:br w:type="page"/>
      </w:r>
    </w:p>
    <w:p w14:paraId="5164A3D7">
      <w:pPr>
        <w:pStyle w:val="36"/>
        <w:spacing w:line="360" w:lineRule="auto"/>
        <w:outlineLvl w:val="9"/>
        <w:rPr>
          <w:rFonts w:hint="eastAsia" w:ascii="宋体" w:hAnsi="宋体" w:cs="宋体"/>
          <w:color w:val="auto"/>
          <w:sz w:val="44"/>
          <w:szCs w:val="44"/>
        </w:rPr>
      </w:pPr>
    </w:p>
    <w:p w14:paraId="500652BB">
      <w:pPr>
        <w:pStyle w:val="36"/>
        <w:spacing w:line="360" w:lineRule="auto"/>
        <w:outlineLvl w:val="9"/>
        <w:rPr>
          <w:rFonts w:hint="eastAsia" w:ascii="宋体" w:hAnsi="宋体" w:cs="宋体"/>
          <w:color w:val="auto"/>
          <w:sz w:val="44"/>
          <w:szCs w:val="44"/>
        </w:rPr>
      </w:pPr>
    </w:p>
    <w:p w14:paraId="63FCEF14">
      <w:pPr>
        <w:pStyle w:val="36"/>
        <w:spacing w:line="360" w:lineRule="auto"/>
        <w:outlineLvl w:val="9"/>
        <w:rPr>
          <w:rFonts w:hint="eastAsia" w:ascii="宋体" w:hAnsi="宋体" w:cs="宋体"/>
          <w:color w:val="auto"/>
          <w:sz w:val="44"/>
          <w:szCs w:val="44"/>
        </w:rPr>
      </w:pPr>
    </w:p>
    <w:p w14:paraId="088C2F21">
      <w:pPr>
        <w:pStyle w:val="36"/>
        <w:spacing w:line="360" w:lineRule="auto"/>
        <w:outlineLvl w:val="9"/>
        <w:rPr>
          <w:rFonts w:hint="eastAsia" w:ascii="宋体" w:hAnsi="宋体" w:cs="宋体"/>
          <w:color w:val="auto"/>
          <w:sz w:val="44"/>
          <w:szCs w:val="44"/>
        </w:rPr>
      </w:pPr>
    </w:p>
    <w:p w14:paraId="06786602">
      <w:pPr>
        <w:pStyle w:val="36"/>
        <w:spacing w:line="360" w:lineRule="auto"/>
        <w:outlineLvl w:val="9"/>
        <w:rPr>
          <w:rFonts w:hint="eastAsia" w:ascii="宋体" w:hAnsi="宋体" w:cs="宋体"/>
          <w:color w:val="auto"/>
          <w:sz w:val="44"/>
          <w:szCs w:val="44"/>
        </w:rPr>
      </w:pPr>
    </w:p>
    <w:p w14:paraId="077401A4">
      <w:pPr>
        <w:pStyle w:val="36"/>
        <w:spacing w:line="360" w:lineRule="auto"/>
        <w:rPr>
          <w:rFonts w:hint="eastAsia" w:ascii="宋体" w:hAnsi="宋体" w:cs="宋体"/>
          <w:color w:val="auto"/>
          <w:kern w:val="0"/>
          <w:sz w:val="44"/>
          <w:szCs w:val="44"/>
        </w:rPr>
      </w:pPr>
      <w:bookmarkStart w:id="73" w:name="_GoBack"/>
      <w:bookmarkEnd w:id="73"/>
      <w:bookmarkStart w:id="42" w:name="_Toc28461"/>
      <w:bookmarkStart w:id="43" w:name="_Toc476258673"/>
      <w:r>
        <w:rPr>
          <w:rFonts w:hint="eastAsia" w:ascii="宋体" w:hAnsi="宋体" w:cs="宋体"/>
          <w:color w:val="auto"/>
          <w:kern w:val="0"/>
          <w:sz w:val="44"/>
          <w:szCs w:val="44"/>
        </w:rPr>
        <w:t>第四章  评标标准</w:t>
      </w:r>
      <w:bookmarkEnd w:id="42"/>
      <w:bookmarkEnd w:id="43"/>
    </w:p>
    <w:p w14:paraId="37B70A30">
      <w:pPr>
        <w:pStyle w:val="22"/>
        <w:spacing w:line="360" w:lineRule="auto"/>
        <w:rPr>
          <w:rFonts w:hint="eastAsia" w:hAnsi="宋体" w:cs="宋体"/>
          <w:b/>
          <w:color w:val="auto"/>
          <w:kern w:val="0"/>
          <w:sz w:val="32"/>
          <w:szCs w:val="32"/>
        </w:rPr>
      </w:pPr>
    </w:p>
    <w:p w14:paraId="6C271BDD">
      <w:pPr>
        <w:pStyle w:val="22"/>
        <w:spacing w:line="360" w:lineRule="auto"/>
        <w:rPr>
          <w:rFonts w:hint="eastAsia" w:hAnsi="宋体" w:cs="宋体"/>
          <w:b/>
          <w:color w:val="auto"/>
          <w:kern w:val="0"/>
          <w:sz w:val="32"/>
          <w:szCs w:val="32"/>
        </w:rPr>
      </w:pPr>
    </w:p>
    <w:p w14:paraId="0BB7EAB1">
      <w:pPr>
        <w:pStyle w:val="22"/>
        <w:spacing w:line="360" w:lineRule="auto"/>
        <w:rPr>
          <w:rFonts w:hint="eastAsia" w:hAnsi="宋体" w:cs="宋体"/>
          <w:b/>
          <w:color w:val="auto"/>
          <w:kern w:val="0"/>
          <w:sz w:val="32"/>
          <w:szCs w:val="32"/>
        </w:rPr>
      </w:pPr>
    </w:p>
    <w:p w14:paraId="06418580">
      <w:pPr>
        <w:pStyle w:val="22"/>
        <w:spacing w:line="360" w:lineRule="auto"/>
        <w:rPr>
          <w:rFonts w:hint="eastAsia" w:hAnsi="宋体" w:cs="宋体"/>
          <w:b/>
          <w:color w:val="auto"/>
          <w:kern w:val="0"/>
          <w:sz w:val="32"/>
          <w:szCs w:val="32"/>
        </w:rPr>
      </w:pPr>
    </w:p>
    <w:p w14:paraId="4CAF4D45">
      <w:pPr>
        <w:pStyle w:val="22"/>
        <w:spacing w:line="360" w:lineRule="auto"/>
        <w:rPr>
          <w:rFonts w:hint="eastAsia" w:hAnsi="宋体" w:cs="宋体"/>
          <w:b/>
          <w:color w:val="auto"/>
          <w:kern w:val="0"/>
          <w:sz w:val="32"/>
          <w:szCs w:val="32"/>
        </w:rPr>
      </w:pPr>
    </w:p>
    <w:p w14:paraId="0E35DD02">
      <w:pPr>
        <w:pStyle w:val="22"/>
        <w:spacing w:line="360" w:lineRule="auto"/>
        <w:rPr>
          <w:rFonts w:hint="eastAsia" w:hAnsi="宋体" w:cs="宋体"/>
          <w:b/>
          <w:color w:val="auto"/>
          <w:kern w:val="0"/>
          <w:sz w:val="32"/>
          <w:szCs w:val="32"/>
        </w:rPr>
      </w:pPr>
    </w:p>
    <w:p w14:paraId="6EC3CB05">
      <w:pPr>
        <w:pStyle w:val="22"/>
        <w:spacing w:line="360" w:lineRule="auto"/>
        <w:rPr>
          <w:rFonts w:hint="eastAsia" w:hAnsi="宋体" w:cs="宋体"/>
          <w:b/>
          <w:color w:val="auto"/>
          <w:kern w:val="0"/>
          <w:sz w:val="32"/>
          <w:szCs w:val="32"/>
        </w:rPr>
      </w:pPr>
    </w:p>
    <w:p w14:paraId="3B31535E">
      <w:pPr>
        <w:pStyle w:val="22"/>
        <w:spacing w:line="360" w:lineRule="auto"/>
        <w:rPr>
          <w:rFonts w:hint="eastAsia" w:hAnsi="宋体" w:cs="宋体"/>
          <w:b/>
          <w:color w:val="auto"/>
          <w:kern w:val="0"/>
          <w:sz w:val="32"/>
          <w:szCs w:val="32"/>
        </w:rPr>
      </w:pPr>
    </w:p>
    <w:p w14:paraId="49C97084">
      <w:pPr>
        <w:pStyle w:val="22"/>
        <w:spacing w:line="360" w:lineRule="auto"/>
        <w:rPr>
          <w:rFonts w:hint="eastAsia" w:hAnsi="宋体" w:cs="宋体"/>
          <w:b/>
          <w:color w:val="auto"/>
          <w:kern w:val="0"/>
          <w:sz w:val="32"/>
          <w:szCs w:val="32"/>
        </w:rPr>
      </w:pPr>
    </w:p>
    <w:p w14:paraId="43632DB2">
      <w:pPr>
        <w:pStyle w:val="22"/>
        <w:spacing w:line="360" w:lineRule="auto"/>
        <w:rPr>
          <w:rFonts w:hint="eastAsia" w:hAnsi="宋体" w:cs="宋体"/>
          <w:b/>
          <w:color w:val="auto"/>
          <w:kern w:val="0"/>
          <w:sz w:val="32"/>
          <w:szCs w:val="32"/>
        </w:rPr>
      </w:pPr>
    </w:p>
    <w:p w14:paraId="6E23D882">
      <w:pPr>
        <w:pStyle w:val="22"/>
        <w:spacing w:line="360" w:lineRule="auto"/>
        <w:rPr>
          <w:rFonts w:hint="eastAsia" w:hAnsi="宋体" w:cs="宋体"/>
          <w:b/>
          <w:color w:val="auto"/>
          <w:kern w:val="0"/>
        </w:rPr>
      </w:pPr>
    </w:p>
    <w:p w14:paraId="41A770BC">
      <w:pPr>
        <w:pStyle w:val="22"/>
        <w:spacing w:line="360" w:lineRule="auto"/>
        <w:jc w:val="center"/>
        <w:rPr>
          <w:rFonts w:hint="eastAsia" w:hAnsi="宋体" w:cs="宋体"/>
          <w:b/>
          <w:color w:val="auto"/>
          <w:kern w:val="0"/>
          <w:sz w:val="32"/>
          <w:szCs w:val="32"/>
        </w:rPr>
      </w:pPr>
      <w:r>
        <w:rPr>
          <w:rFonts w:hint="eastAsia" w:hAnsi="宋体" w:cs="宋体"/>
          <w:b/>
          <w:color w:val="auto"/>
          <w:kern w:val="0"/>
          <w:sz w:val="32"/>
          <w:szCs w:val="32"/>
        </w:rPr>
        <w:br w:type="page"/>
      </w:r>
      <w:r>
        <w:rPr>
          <w:rFonts w:hint="eastAsia" w:hAnsi="宋体" w:cs="宋体"/>
          <w:b/>
          <w:color w:val="auto"/>
          <w:kern w:val="0"/>
          <w:sz w:val="32"/>
          <w:szCs w:val="32"/>
        </w:rPr>
        <w:t>评标标准</w:t>
      </w:r>
    </w:p>
    <w:p w14:paraId="219AE0BF">
      <w:pPr>
        <w:pStyle w:val="32"/>
        <w:spacing w:line="360" w:lineRule="auto"/>
        <w:ind w:left="0"/>
        <w:rPr>
          <w:rFonts w:hint="eastAsia" w:ascii="宋体" w:hAnsi="宋体" w:cs="宋体"/>
          <w:b/>
          <w:bCs/>
          <w:color w:val="auto"/>
          <w:szCs w:val="21"/>
        </w:rPr>
      </w:pPr>
      <w:r>
        <w:rPr>
          <w:rFonts w:hint="eastAsia" w:ascii="宋体" w:hAnsi="宋体" w:cs="宋体"/>
          <w:b/>
          <w:bCs/>
          <w:color w:val="auto"/>
          <w:szCs w:val="21"/>
        </w:rPr>
        <w:t>一、评标原则</w:t>
      </w:r>
    </w:p>
    <w:p w14:paraId="5CE8D038">
      <w:pPr>
        <w:pStyle w:val="32"/>
        <w:spacing w:line="360" w:lineRule="auto"/>
        <w:ind w:left="0"/>
        <w:rPr>
          <w:rFonts w:hint="eastAsia" w:ascii="宋体" w:hAnsi="宋体" w:cs="宋体"/>
          <w:bCs/>
          <w:color w:val="auto"/>
          <w:szCs w:val="21"/>
        </w:rPr>
      </w:pPr>
      <w:r>
        <w:rPr>
          <w:rFonts w:hint="eastAsia" w:ascii="宋体" w:hAnsi="宋体" w:cs="宋体"/>
          <w:bCs/>
          <w:color w:val="auto"/>
          <w:szCs w:val="21"/>
        </w:rPr>
        <w:t xml:space="preserve">    （一）磋商小组成员组成：本竞争性磋商采购项目的磋商小组由采购人代表和评审专家共三人以上的单数组成（达到公开招标数额标准以上的项目，竞争性磋商小组成员由五人以上单数组成）。其中，评审专家不得少于成员总数的三分之二。</w:t>
      </w:r>
    </w:p>
    <w:p w14:paraId="549D1496">
      <w:pPr>
        <w:spacing w:line="360" w:lineRule="auto"/>
        <w:rPr>
          <w:rFonts w:hint="eastAsia" w:ascii="宋体" w:hAnsi="宋体" w:cs="宋体"/>
          <w:b/>
          <w:color w:val="auto"/>
        </w:rPr>
      </w:pPr>
      <w:r>
        <w:rPr>
          <w:rFonts w:hint="eastAsia" w:ascii="宋体" w:hAnsi="宋体" w:cs="宋体"/>
          <w:bCs/>
          <w:color w:val="auto"/>
          <w:szCs w:val="21"/>
        </w:rPr>
        <w:t xml:space="preserve">    （二）评标依据：评委将以竞争性磋商文件和竞争性磋商响应文件为评标依据，对供应商的响应文件内容按百分制打分。</w:t>
      </w:r>
    </w:p>
    <w:p w14:paraId="53CD7B1E">
      <w:pPr>
        <w:pStyle w:val="32"/>
        <w:spacing w:line="360" w:lineRule="auto"/>
        <w:ind w:left="0" w:firstLine="420" w:firstLineChars="200"/>
        <w:rPr>
          <w:rFonts w:hint="eastAsia" w:ascii="宋体" w:hAnsi="宋体" w:cs="宋体"/>
          <w:bCs/>
          <w:color w:val="auto"/>
          <w:szCs w:val="21"/>
        </w:rPr>
      </w:pPr>
      <w:r>
        <w:rPr>
          <w:rFonts w:hint="eastAsia" w:ascii="宋体" w:hAnsi="宋体" w:cs="宋体"/>
          <w:bCs/>
          <w:color w:val="auto"/>
          <w:szCs w:val="21"/>
        </w:rPr>
        <w:t>（三）评标方式：以封闭方式进行。</w:t>
      </w:r>
    </w:p>
    <w:p w14:paraId="1E09AF3D">
      <w:pPr>
        <w:pStyle w:val="32"/>
        <w:spacing w:line="360" w:lineRule="auto"/>
        <w:ind w:left="0"/>
        <w:rPr>
          <w:rFonts w:hint="eastAsia" w:ascii="宋体" w:hAnsi="宋体" w:cs="宋体"/>
          <w:b/>
          <w:bCs/>
          <w:color w:val="auto"/>
          <w:szCs w:val="21"/>
        </w:rPr>
      </w:pPr>
      <w:r>
        <w:rPr>
          <w:rFonts w:hint="eastAsia" w:ascii="宋体" w:hAnsi="宋体" w:cs="宋体"/>
          <w:b/>
          <w:bCs/>
          <w:color w:val="auto"/>
          <w:szCs w:val="21"/>
        </w:rPr>
        <w:t>二、评标方法</w:t>
      </w:r>
    </w:p>
    <w:p w14:paraId="1D436338">
      <w:pPr>
        <w:pStyle w:val="32"/>
        <w:spacing w:line="360" w:lineRule="auto"/>
        <w:ind w:left="0"/>
        <w:rPr>
          <w:rFonts w:hint="eastAsia" w:ascii="宋体" w:hAnsi="宋体" w:cs="宋体"/>
          <w:bCs/>
          <w:color w:val="auto"/>
          <w:szCs w:val="21"/>
        </w:rPr>
      </w:pPr>
      <w:r>
        <w:rPr>
          <w:rFonts w:hint="eastAsia" w:ascii="宋体" w:hAnsi="宋体" w:cs="宋体"/>
          <w:bCs/>
          <w:color w:val="auto"/>
          <w:szCs w:val="21"/>
        </w:rPr>
        <w:t>（一）对进入详评的，采用百分制综合评分法。</w:t>
      </w:r>
    </w:p>
    <w:p w14:paraId="1818D2CB">
      <w:pPr>
        <w:pStyle w:val="32"/>
        <w:spacing w:line="360" w:lineRule="auto"/>
        <w:ind w:left="0"/>
        <w:rPr>
          <w:rFonts w:hint="eastAsia" w:ascii="宋体" w:hAnsi="宋体" w:cs="宋体"/>
          <w:bCs/>
          <w:color w:val="auto"/>
          <w:szCs w:val="21"/>
        </w:rPr>
      </w:pPr>
      <w:r>
        <w:rPr>
          <w:rFonts w:hint="eastAsia" w:ascii="宋体" w:hAnsi="宋体" w:cs="宋体"/>
          <w:bCs/>
          <w:color w:val="auto"/>
          <w:szCs w:val="21"/>
        </w:rPr>
        <w:t>（二）计分办法（按四舍五入取至百分位）：</w:t>
      </w:r>
    </w:p>
    <w:tbl>
      <w:tblPr>
        <w:tblStyle w:val="40"/>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728"/>
        <w:gridCol w:w="6495"/>
        <w:gridCol w:w="907"/>
      </w:tblGrid>
      <w:tr w14:paraId="30800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67" w:type="dxa"/>
            <w:noWrap w:val="0"/>
            <w:vAlign w:val="center"/>
          </w:tcPr>
          <w:p w14:paraId="7AE85AFD">
            <w:pPr>
              <w:widowControl/>
              <w:spacing w:line="360" w:lineRule="auto"/>
              <w:jc w:val="center"/>
              <w:rPr>
                <w:rFonts w:hint="eastAsia" w:ascii="宋体" w:hAnsi="宋体" w:cs="宋体"/>
                <w:b/>
                <w:bCs/>
                <w:color w:val="auto"/>
                <w:kern w:val="0"/>
                <w:szCs w:val="21"/>
              </w:rPr>
            </w:pPr>
            <w:r>
              <w:rPr>
                <w:rFonts w:hint="eastAsia" w:ascii="宋体" w:hAnsi="宋体" w:cs="宋体"/>
                <w:b/>
                <w:bCs/>
                <w:color w:val="auto"/>
                <w:kern w:val="0"/>
                <w:szCs w:val="21"/>
              </w:rPr>
              <w:t>序号</w:t>
            </w:r>
          </w:p>
        </w:tc>
        <w:tc>
          <w:tcPr>
            <w:tcW w:w="1728" w:type="dxa"/>
            <w:noWrap w:val="0"/>
            <w:vAlign w:val="center"/>
          </w:tcPr>
          <w:p w14:paraId="1443F9AD">
            <w:pPr>
              <w:widowControl/>
              <w:spacing w:line="360" w:lineRule="auto"/>
              <w:jc w:val="center"/>
              <w:rPr>
                <w:rFonts w:hint="eastAsia" w:ascii="宋体" w:hAnsi="宋体" w:cs="宋体"/>
                <w:b/>
                <w:bCs/>
                <w:color w:val="auto"/>
                <w:kern w:val="0"/>
                <w:szCs w:val="21"/>
              </w:rPr>
            </w:pPr>
            <w:r>
              <w:rPr>
                <w:rFonts w:hint="eastAsia" w:ascii="宋体" w:hAnsi="宋体" w:cs="宋体"/>
                <w:b/>
                <w:bCs/>
                <w:color w:val="auto"/>
                <w:kern w:val="0"/>
                <w:szCs w:val="21"/>
              </w:rPr>
              <w:t>评审因素</w:t>
            </w:r>
          </w:p>
        </w:tc>
        <w:tc>
          <w:tcPr>
            <w:tcW w:w="6495" w:type="dxa"/>
            <w:noWrap w:val="0"/>
            <w:vAlign w:val="center"/>
          </w:tcPr>
          <w:p w14:paraId="3A90A5F9">
            <w:pPr>
              <w:widowControl/>
              <w:spacing w:line="360" w:lineRule="auto"/>
              <w:jc w:val="center"/>
              <w:rPr>
                <w:rFonts w:hint="eastAsia" w:ascii="宋体" w:hAnsi="宋体" w:cs="宋体"/>
                <w:b/>
                <w:bCs/>
                <w:color w:val="auto"/>
                <w:kern w:val="0"/>
                <w:szCs w:val="21"/>
              </w:rPr>
            </w:pPr>
            <w:r>
              <w:rPr>
                <w:rFonts w:hint="eastAsia" w:ascii="宋体" w:hAnsi="宋体" w:cs="宋体"/>
                <w:b/>
                <w:bCs/>
                <w:color w:val="auto"/>
                <w:kern w:val="0"/>
                <w:szCs w:val="21"/>
              </w:rPr>
              <w:t>评审因素具体内容</w:t>
            </w:r>
          </w:p>
        </w:tc>
        <w:tc>
          <w:tcPr>
            <w:tcW w:w="907" w:type="dxa"/>
            <w:noWrap w:val="0"/>
            <w:vAlign w:val="center"/>
          </w:tcPr>
          <w:p w14:paraId="1662AF96">
            <w:pPr>
              <w:widowControl/>
              <w:spacing w:line="360" w:lineRule="auto"/>
              <w:jc w:val="center"/>
              <w:rPr>
                <w:rFonts w:hint="eastAsia" w:ascii="宋体" w:hAnsi="宋体" w:cs="宋体"/>
                <w:b/>
                <w:bCs/>
                <w:color w:val="auto"/>
                <w:kern w:val="0"/>
                <w:szCs w:val="21"/>
              </w:rPr>
            </w:pPr>
            <w:r>
              <w:rPr>
                <w:rFonts w:hint="eastAsia" w:ascii="宋体" w:hAnsi="宋体" w:cs="宋体"/>
                <w:b/>
                <w:bCs/>
                <w:color w:val="auto"/>
                <w:kern w:val="0"/>
                <w:szCs w:val="21"/>
              </w:rPr>
              <w:t>分值</w:t>
            </w:r>
          </w:p>
        </w:tc>
      </w:tr>
      <w:tr w14:paraId="1A9B8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567" w:type="dxa"/>
            <w:noWrap w:val="0"/>
            <w:vAlign w:val="center"/>
          </w:tcPr>
          <w:p w14:paraId="57DE43A5">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1</w:t>
            </w:r>
          </w:p>
        </w:tc>
        <w:tc>
          <w:tcPr>
            <w:tcW w:w="1728" w:type="dxa"/>
            <w:noWrap w:val="0"/>
            <w:vAlign w:val="center"/>
          </w:tcPr>
          <w:p w14:paraId="2E930474">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价格分</w:t>
            </w:r>
          </w:p>
        </w:tc>
        <w:tc>
          <w:tcPr>
            <w:tcW w:w="6495" w:type="dxa"/>
            <w:noWrap w:val="0"/>
            <w:vAlign w:val="top"/>
          </w:tcPr>
          <w:p w14:paraId="6BC4C186">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1.评审报价为供应商的最后报价进行政策性扣除后的价格，评审报价只是作为评审时使用。最终成交供应商的成交金额等于最后报价（如有修正，以确认修正后的最后报价为准）。</w:t>
            </w:r>
          </w:p>
          <w:p w14:paraId="19667DD2">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2.政府采购政策性扣除计算方法</w:t>
            </w:r>
          </w:p>
          <w:p w14:paraId="7ED0025E">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（1）按照《政府采购促进中小企业发展管理办法》（财库〔2020〕46号） ）规定，供应商在其响应文件中提供《中小企业声明函》，且工程全部由符合政策要求的小型、微型企业承建的，对其最后报价给予6%的扣除。</w:t>
            </w:r>
          </w:p>
          <w:p w14:paraId="14E7CAE5">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（2）按照《财政部、司法部关于政府采购支持监狱企业发展有关问题的通知》（财库〔2014〕68 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4C711C11">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（3）按照《关于促进残疾人就业政府采购政策的通知》（财库 〔2017〕141号）的规定，残疾人福利性单位视同小型、微型企业，享受预留份额、评审中价格扣除等促进中小企业发展的政府采购政策。残疾人福利性单位参加政府采购活动时，应当提供该通知规定的 《残疾人福利性单位声明函》，并对声明的真实性负责。残疾人福利性单位属于小型、微型企业的，不重复享受政策。</w:t>
            </w:r>
          </w:p>
          <w:p w14:paraId="2005F696">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（4）政策性扣除计算方法。</w:t>
            </w:r>
          </w:p>
          <w:p w14:paraId="4FB20FCD">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供应商被评定为监狱企业或者残疾人福利性单位或者其工程全部由符合政策要求的小型、微型企业承建的，该供应商的最后报价给予6%的扣除，扣除后的价格为评审报价，即评审报价=最后报价×（1-6%）；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 1%的扣除，用扣除后的价格参加评审，扣除后的价格为评审报价，即评审报价=最后报价×（1-1%）。</w:t>
            </w:r>
          </w:p>
          <w:p w14:paraId="78BC0BDE">
            <w:pPr>
              <w:pStyle w:val="22"/>
              <w:spacing w:line="360" w:lineRule="auto"/>
              <w:ind w:firstLine="420" w:firstLineChars="200"/>
              <w:rPr>
                <w:rFonts w:hint="eastAsia" w:hAnsi="宋体" w:cs="宋体"/>
                <w:bCs/>
                <w:color w:val="auto"/>
              </w:rPr>
            </w:pPr>
            <w:r>
              <w:rPr>
                <w:rFonts w:hint="eastAsia" w:hAnsi="宋体" w:cs="宋体"/>
                <w:bCs/>
                <w:color w:val="auto"/>
              </w:rPr>
              <w:t>3.价格分计算公式：</w:t>
            </w:r>
          </w:p>
          <w:p w14:paraId="6BFD0D7D">
            <w:pPr>
              <w:pStyle w:val="22"/>
              <w:spacing w:line="360" w:lineRule="auto"/>
              <w:ind w:firstLine="420" w:firstLineChars="200"/>
              <w:rPr>
                <w:rFonts w:hint="eastAsia" w:hAnsi="宋体" w:cs="宋体"/>
                <w:bCs/>
                <w:color w:val="auto"/>
                <w:highlight w:val="none"/>
              </w:rPr>
            </w:pPr>
            <w:r>
              <w:rPr>
                <w:rFonts w:hint="eastAsia" w:hAnsi="宋体" w:cs="宋体"/>
                <w:bCs/>
                <w:color w:val="auto"/>
              </w:rPr>
              <w:t>（</w:t>
            </w:r>
            <w:r>
              <w:rPr>
                <w:rFonts w:hint="eastAsia" w:hAnsi="宋体" w:cs="宋体"/>
                <w:bCs/>
                <w:color w:val="auto"/>
                <w:highlight w:val="none"/>
              </w:rPr>
              <w:t>1）以进入比较与评价环节的最低的评审价为基准价，基准价得分为</w:t>
            </w:r>
            <w:r>
              <w:rPr>
                <w:rFonts w:hint="eastAsia" w:hAnsi="宋体" w:cs="宋体"/>
                <w:bCs/>
                <w:color w:val="auto"/>
                <w:highlight w:val="none"/>
                <w:u w:val="single"/>
              </w:rPr>
              <w:t xml:space="preserve"> 20 分</w:t>
            </w:r>
            <w:r>
              <w:rPr>
                <w:rFonts w:hint="eastAsia" w:hAnsi="宋体" w:cs="宋体"/>
                <w:bCs/>
                <w:color w:val="auto"/>
                <w:highlight w:val="none"/>
              </w:rPr>
              <w:t>。</w:t>
            </w:r>
          </w:p>
          <w:p w14:paraId="35CDDEC6">
            <w:pPr>
              <w:pStyle w:val="22"/>
              <w:spacing w:line="360" w:lineRule="auto"/>
              <w:ind w:firstLine="420" w:firstLineChars="200"/>
              <w:rPr>
                <w:rFonts w:hint="eastAsia" w:hAnsi="宋体" w:cs="宋体"/>
                <w:bCs/>
                <w:color w:val="auto"/>
              </w:rPr>
            </w:pPr>
            <w:r>
              <w:rPr>
                <w:rFonts w:hint="eastAsia" w:hAnsi="宋体" w:cs="宋体"/>
                <w:bCs/>
                <w:color w:val="auto"/>
                <w:highlight w:val="none"/>
              </w:rPr>
              <w:t>（2）报价得分=（基准价/最后报价）×</w:t>
            </w:r>
            <w:r>
              <w:rPr>
                <w:rFonts w:hint="eastAsia" w:hAnsi="宋体" w:cs="宋体"/>
                <w:bCs/>
                <w:color w:val="auto"/>
                <w:highlight w:val="none"/>
                <w:u w:val="single"/>
              </w:rPr>
              <w:t>20分</w:t>
            </w:r>
          </w:p>
        </w:tc>
        <w:tc>
          <w:tcPr>
            <w:tcW w:w="907" w:type="dxa"/>
            <w:noWrap w:val="0"/>
            <w:vAlign w:val="center"/>
          </w:tcPr>
          <w:p w14:paraId="33D1076E">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highlight w:val="none"/>
              </w:rPr>
              <w:t>20分</w:t>
            </w:r>
          </w:p>
        </w:tc>
      </w:tr>
      <w:tr w14:paraId="535F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67" w:type="dxa"/>
            <w:noWrap w:val="0"/>
            <w:vAlign w:val="center"/>
          </w:tcPr>
          <w:p w14:paraId="63F4D409">
            <w:pPr>
              <w:widowControl/>
              <w:spacing w:line="360" w:lineRule="auto"/>
              <w:jc w:val="center"/>
              <w:rPr>
                <w:rFonts w:hint="eastAsia" w:ascii="宋体" w:hAnsi="宋体" w:cs="宋体"/>
                <w:color w:val="auto"/>
                <w:kern w:val="0"/>
                <w:szCs w:val="21"/>
              </w:rPr>
            </w:pPr>
            <w:r>
              <w:rPr>
                <w:rFonts w:hint="eastAsia" w:ascii="宋体" w:hAnsi="宋体" w:cs="宋体"/>
                <w:bCs/>
                <w:color w:val="auto"/>
                <w:kern w:val="0"/>
                <w:szCs w:val="21"/>
              </w:rPr>
              <w:t>2</w:t>
            </w:r>
          </w:p>
        </w:tc>
        <w:tc>
          <w:tcPr>
            <w:tcW w:w="1728" w:type="dxa"/>
            <w:noWrap w:val="0"/>
            <w:vAlign w:val="center"/>
          </w:tcPr>
          <w:p w14:paraId="135D14E8">
            <w:pPr>
              <w:widowControl/>
              <w:spacing w:line="360" w:lineRule="auto"/>
              <w:jc w:val="center"/>
              <w:rPr>
                <w:rFonts w:hint="eastAsia" w:ascii="宋体" w:hAnsi="宋体" w:cs="宋体"/>
                <w:color w:val="auto"/>
                <w:kern w:val="0"/>
                <w:szCs w:val="21"/>
              </w:rPr>
            </w:pPr>
            <w:r>
              <w:rPr>
                <w:rFonts w:hint="eastAsia" w:ascii="宋体" w:hAnsi="宋体" w:cs="宋体"/>
                <w:bCs/>
                <w:color w:val="auto"/>
                <w:kern w:val="0"/>
                <w:szCs w:val="21"/>
              </w:rPr>
              <w:t>技术分</w:t>
            </w:r>
          </w:p>
        </w:tc>
        <w:tc>
          <w:tcPr>
            <w:tcW w:w="7402" w:type="dxa"/>
            <w:gridSpan w:val="2"/>
            <w:noWrap w:val="0"/>
            <w:vAlign w:val="top"/>
          </w:tcPr>
          <w:p w14:paraId="56606C0A">
            <w:pPr>
              <w:widowControl/>
              <w:spacing w:line="360" w:lineRule="auto"/>
              <w:jc w:val="center"/>
              <w:rPr>
                <w:rFonts w:hint="eastAsia" w:ascii="宋体" w:hAnsi="宋体" w:cs="宋体"/>
                <w:color w:val="auto"/>
                <w:kern w:val="0"/>
                <w:szCs w:val="21"/>
              </w:rPr>
            </w:pPr>
            <w:r>
              <w:rPr>
                <w:rFonts w:hint="eastAsia" w:ascii="宋体" w:hAnsi="宋体" w:cs="宋体"/>
                <w:b/>
                <w:bCs/>
                <w:color w:val="auto"/>
                <w:kern w:val="0"/>
                <w:szCs w:val="21"/>
              </w:rPr>
              <w:t>评审因素具体内容</w:t>
            </w:r>
          </w:p>
        </w:tc>
      </w:tr>
      <w:tr w14:paraId="43868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67" w:type="dxa"/>
            <w:noWrap w:val="0"/>
            <w:vAlign w:val="center"/>
          </w:tcPr>
          <w:p w14:paraId="53B779A8">
            <w:pPr>
              <w:adjustRightInd w:val="0"/>
              <w:spacing w:line="360" w:lineRule="auto"/>
              <w:ind w:left="-105" w:leftChars="-50" w:right="-105" w:rightChars="-50"/>
              <w:jc w:val="center"/>
              <w:textAlignment w:val="baseline"/>
              <w:rPr>
                <w:rFonts w:hint="eastAsia" w:ascii="宋体" w:hAnsi="宋体" w:cs="宋体"/>
                <w:bCs/>
                <w:color w:val="auto"/>
                <w:kern w:val="0"/>
                <w:szCs w:val="21"/>
              </w:rPr>
            </w:pPr>
            <w:r>
              <w:rPr>
                <w:rFonts w:hint="eastAsia" w:ascii="宋体" w:hAnsi="宋体" w:cs="宋体"/>
                <w:bCs/>
                <w:color w:val="auto"/>
                <w:kern w:val="0"/>
                <w:szCs w:val="21"/>
              </w:rPr>
              <w:t>2.2</w:t>
            </w:r>
          </w:p>
        </w:tc>
        <w:tc>
          <w:tcPr>
            <w:tcW w:w="1728" w:type="dxa"/>
            <w:noWrap w:val="0"/>
            <w:vAlign w:val="center"/>
          </w:tcPr>
          <w:p w14:paraId="5645C6AD">
            <w:pPr>
              <w:autoSpaceDE w:val="0"/>
              <w:autoSpaceDN w:val="0"/>
              <w:adjustRightInd w:val="0"/>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服务性能分（满分2</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分）</w:t>
            </w:r>
          </w:p>
        </w:tc>
        <w:tc>
          <w:tcPr>
            <w:tcW w:w="6495" w:type="dxa"/>
            <w:noWrap w:val="0"/>
            <w:vAlign w:val="center"/>
          </w:tcPr>
          <w:p w14:paraId="5915C6C9">
            <w:pPr>
              <w:spacing w:line="380" w:lineRule="exact"/>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所投服务产品标注“●”号的服务条款为重要技术条款，响应文件中能提供满足“●”号参数的具备相关检测资质的第三方检测机构出具的检测报告复印件并加盖供应商公章证明且评标时被磋商小组认可的，每提供一项得1分，满分20分，不提供或所提供材料不符或磋商小组不认可的不得分。</w:t>
            </w:r>
          </w:p>
        </w:tc>
        <w:tc>
          <w:tcPr>
            <w:tcW w:w="907" w:type="dxa"/>
            <w:noWrap w:val="0"/>
            <w:vAlign w:val="center"/>
          </w:tcPr>
          <w:p w14:paraId="7327D9FD">
            <w:pPr>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分</w:t>
            </w:r>
          </w:p>
        </w:tc>
      </w:tr>
      <w:tr w14:paraId="259AB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567" w:type="dxa"/>
            <w:noWrap w:val="0"/>
            <w:vAlign w:val="center"/>
          </w:tcPr>
          <w:p w14:paraId="58969C3D">
            <w:pPr>
              <w:adjustRightInd w:val="0"/>
              <w:spacing w:line="360" w:lineRule="auto"/>
              <w:ind w:left="-105" w:leftChars="-50" w:right="-105" w:rightChars="-50"/>
              <w:jc w:val="center"/>
              <w:textAlignment w:val="baseline"/>
              <w:rPr>
                <w:rFonts w:hint="eastAsia" w:ascii="宋体" w:hAnsi="宋体" w:cs="宋体"/>
                <w:bCs/>
                <w:color w:val="auto"/>
                <w:kern w:val="0"/>
                <w:szCs w:val="21"/>
              </w:rPr>
            </w:pPr>
            <w:r>
              <w:rPr>
                <w:rFonts w:hint="eastAsia" w:ascii="宋体" w:hAnsi="宋体" w:cs="宋体"/>
                <w:bCs/>
                <w:color w:val="auto"/>
                <w:kern w:val="0"/>
                <w:szCs w:val="21"/>
              </w:rPr>
              <w:t>2.3</w:t>
            </w:r>
          </w:p>
        </w:tc>
        <w:tc>
          <w:tcPr>
            <w:tcW w:w="1728" w:type="dxa"/>
            <w:noWrap w:val="0"/>
            <w:vAlign w:val="center"/>
          </w:tcPr>
          <w:p w14:paraId="23C478C6">
            <w:pPr>
              <w:autoSpaceDE w:val="0"/>
              <w:autoSpaceDN w:val="0"/>
              <w:adjustRightInd w:val="0"/>
              <w:spacing w:line="460" w:lineRule="exact"/>
              <w:jc w:val="center"/>
              <w:rPr>
                <w:rFonts w:hint="eastAsia" w:ascii="宋体" w:hAnsi="宋体" w:cs="宋体"/>
                <w:color w:val="auto"/>
                <w:szCs w:val="21"/>
              </w:rPr>
            </w:pPr>
            <w:r>
              <w:rPr>
                <w:rFonts w:hint="eastAsia" w:ascii="宋体" w:hAnsi="宋体" w:cs="宋体"/>
                <w:color w:val="auto"/>
                <w:szCs w:val="21"/>
              </w:rPr>
              <w:t>室内改造设计方案分（满分</w:t>
            </w:r>
            <w:r>
              <w:rPr>
                <w:rFonts w:hint="eastAsia" w:ascii="宋体" w:hAnsi="宋体" w:cs="宋体"/>
                <w:color w:val="auto"/>
                <w:szCs w:val="21"/>
                <w:lang w:val="en-US" w:eastAsia="zh-CN"/>
              </w:rPr>
              <w:t>30</w:t>
            </w:r>
            <w:r>
              <w:rPr>
                <w:rFonts w:hint="eastAsia" w:ascii="宋体" w:hAnsi="宋体" w:cs="宋体"/>
                <w:color w:val="auto"/>
                <w:szCs w:val="21"/>
              </w:rPr>
              <w:t>分）</w:t>
            </w:r>
          </w:p>
        </w:tc>
        <w:tc>
          <w:tcPr>
            <w:tcW w:w="6495" w:type="dxa"/>
            <w:noWrap w:val="0"/>
            <w:vAlign w:val="center"/>
          </w:tcPr>
          <w:p w14:paraId="4D29F718">
            <w:pPr>
              <w:spacing w:line="380" w:lineRule="exact"/>
              <w:ind w:firstLine="420" w:firstLineChars="200"/>
              <w:rPr>
                <w:rFonts w:hint="eastAsia" w:ascii="宋体" w:hAnsi="宋体" w:cs="宋体"/>
                <w:bCs/>
                <w:color w:val="auto"/>
                <w:szCs w:val="21"/>
              </w:rPr>
            </w:pPr>
            <w:r>
              <w:rPr>
                <w:rFonts w:hint="eastAsia" w:ascii="宋体" w:hAnsi="宋体" w:cs="宋体"/>
                <w:bCs/>
                <w:color w:val="auto"/>
                <w:szCs w:val="21"/>
              </w:rPr>
              <w:t>一档（</w:t>
            </w:r>
            <w:r>
              <w:rPr>
                <w:rFonts w:hint="eastAsia" w:ascii="宋体" w:hAnsi="宋体" w:cs="宋体"/>
                <w:bCs/>
                <w:color w:val="auto"/>
                <w:szCs w:val="21"/>
                <w:lang w:val="en-US" w:eastAsia="zh-CN"/>
              </w:rPr>
              <w:t>10</w:t>
            </w:r>
            <w:r>
              <w:rPr>
                <w:rFonts w:hint="eastAsia" w:ascii="宋体" w:hAnsi="宋体" w:cs="宋体"/>
                <w:bCs/>
                <w:color w:val="auto"/>
                <w:szCs w:val="21"/>
              </w:rPr>
              <w:t>分）：设计方案构思与创意基本能反映采购人建设功能性要求，内容描述一般，总体把握准不高，设计创意欠缺。</w:t>
            </w:r>
          </w:p>
          <w:p w14:paraId="3A2D1FC1">
            <w:pPr>
              <w:spacing w:line="380" w:lineRule="exact"/>
              <w:ind w:firstLine="420" w:firstLineChars="200"/>
              <w:rPr>
                <w:rFonts w:hint="eastAsia" w:ascii="宋体" w:hAnsi="宋体" w:cs="宋体"/>
                <w:bCs/>
                <w:color w:val="auto"/>
                <w:szCs w:val="21"/>
              </w:rPr>
            </w:pPr>
            <w:r>
              <w:rPr>
                <w:rFonts w:hint="eastAsia" w:ascii="宋体" w:hAnsi="宋体" w:cs="宋体"/>
                <w:bCs/>
                <w:color w:val="auto"/>
                <w:szCs w:val="21"/>
              </w:rPr>
              <w:t>二档（</w:t>
            </w:r>
            <w:r>
              <w:rPr>
                <w:rFonts w:hint="eastAsia" w:ascii="宋体" w:hAnsi="宋体" w:cs="宋体"/>
                <w:bCs/>
                <w:color w:val="auto"/>
                <w:szCs w:val="21"/>
                <w:lang w:val="en-US" w:eastAsia="zh-CN"/>
              </w:rPr>
              <w:t>20</w:t>
            </w:r>
            <w:r>
              <w:rPr>
                <w:rFonts w:hint="eastAsia" w:ascii="宋体" w:hAnsi="宋体" w:cs="宋体"/>
                <w:bCs/>
                <w:color w:val="auto"/>
                <w:szCs w:val="21"/>
              </w:rPr>
              <w:t>分）：设计方案构思与创意基本能反映采购人建设功能性要求，内容详尽、描述清晰，总体把握准确、到位，设计创意新颖，符合项目的构想，空间布局及设计方案效果比较符合采购文件规定，编制有比较详细、具体的设计说明文件，提供的设计效果图质量一般，仅能够体现有部分相关设计元素，空间布局分区较合理、功能配置基本齐全、利用率较高，基本能满足采购人的建设需求。</w:t>
            </w:r>
          </w:p>
          <w:p w14:paraId="425BA05B">
            <w:pPr>
              <w:spacing w:line="380" w:lineRule="exact"/>
              <w:ind w:firstLine="420" w:firstLineChars="200"/>
              <w:rPr>
                <w:rFonts w:hint="eastAsia" w:ascii="宋体" w:hAnsi="宋体" w:cs="宋体"/>
                <w:bCs/>
                <w:color w:val="auto"/>
                <w:szCs w:val="21"/>
              </w:rPr>
            </w:pPr>
            <w:r>
              <w:rPr>
                <w:rFonts w:hint="eastAsia" w:ascii="宋体" w:hAnsi="宋体" w:cs="宋体"/>
                <w:bCs/>
                <w:color w:val="auto"/>
                <w:szCs w:val="21"/>
              </w:rPr>
              <w:t>三档（</w:t>
            </w:r>
            <w:r>
              <w:rPr>
                <w:rFonts w:hint="eastAsia" w:ascii="宋体" w:hAnsi="宋体" w:cs="宋体"/>
                <w:bCs/>
                <w:color w:val="auto"/>
                <w:szCs w:val="21"/>
                <w:lang w:val="en-US" w:eastAsia="zh-CN"/>
              </w:rPr>
              <w:t>30</w:t>
            </w:r>
            <w:r>
              <w:rPr>
                <w:rFonts w:hint="eastAsia" w:ascii="宋体" w:hAnsi="宋体" w:cs="宋体"/>
                <w:bCs/>
                <w:color w:val="auto"/>
                <w:szCs w:val="21"/>
              </w:rPr>
              <w:t>分）：设计方案构思与创意能反映采购人建设功能性要求，内容详尽、描述清晰，总体把握准确、到位，设计创意新颖，符合项目的构想。空间布局及设计方案效果符合采购文件规定，编制有详细、具体的设计说明文件，提供的设计效果图完整、清晰，完全能够体现有相关设计元素，空间布局分区合理、功能配置完善、利用率高，能充分满足采购人的建设需求，方案有很强的针对性，可行性高且能提供整体装修效果图的。</w:t>
            </w:r>
          </w:p>
        </w:tc>
        <w:tc>
          <w:tcPr>
            <w:tcW w:w="907" w:type="dxa"/>
            <w:noWrap w:val="0"/>
            <w:vAlign w:val="center"/>
          </w:tcPr>
          <w:p w14:paraId="29740BFA">
            <w:pPr>
              <w:spacing w:line="360" w:lineRule="auto"/>
              <w:jc w:val="center"/>
              <w:rPr>
                <w:rFonts w:hint="eastAsia" w:ascii="宋体" w:hAnsi="宋体" w:cs="宋体"/>
                <w:color w:val="auto"/>
                <w:kern w:val="0"/>
                <w:szCs w:val="21"/>
              </w:rPr>
            </w:pPr>
            <w:r>
              <w:rPr>
                <w:rFonts w:hint="eastAsia" w:ascii="宋体" w:hAnsi="宋体" w:cs="宋体"/>
                <w:color w:val="auto"/>
                <w:kern w:val="0"/>
                <w:szCs w:val="21"/>
                <w:lang w:val="en-US" w:eastAsia="zh-CN"/>
              </w:rPr>
              <w:t>30</w:t>
            </w:r>
            <w:r>
              <w:rPr>
                <w:rFonts w:hint="eastAsia" w:ascii="宋体" w:hAnsi="宋体" w:cs="宋体"/>
                <w:color w:val="auto"/>
                <w:kern w:val="0"/>
                <w:szCs w:val="21"/>
              </w:rPr>
              <w:t>分</w:t>
            </w:r>
          </w:p>
        </w:tc>
      </w:tr>
      <w:tr w14:paraId="0D39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9" w:hRule="atLeast"/>
          <w:jc w:val="center"/>
        </w:trPr>
        <w:tc>
          <w:tcPr>
            <w:tcW w:w="567" w:type="dxa"/>
            <w:noWrap w:val="0"/>
            <w:vAlign w:val="center"/>
          </w:tcPr>
          <w:p w14:paraId="36A39BA6">
            <w:pPr>
              <w:adjustRightInd w:val="0"/>
              <w:spacing w:line="360" w:lineRule="auto"/>
              <w:ind w:left="-105" w:leftChars="-50" w:right="-105" w:rightChars="-50"/>
              <w:jc w:val="center"/>
              <w:textAlignment w:val="baseline"/>
              <w:rPr>
                <w:rFonts w:hint="eastAsia" w:ascii="宋体" w:hAnsi="宋体" w:cs="宋体"/>
                <w:bCs/>
                <w:color w:val="auto"/>
                <w:kern w:val="0"/>
                <w:szCs w:val="21"/>
              </w:rPr>
            </w:pPr>
            <w:r>
              <w:rPr>
                <w:rFonts w:hint="eastAsia" w:ascii="宋体" w:hAnsi="宋体" w:cs="宋体"/>
                <w:bCs/>
                <w:color w:val="auto"/>
                <w:kern w:val="0"/>
                <w:szCs w:val="21"/>
              </w:rPr>
              <w:t>2.4</w:t>
            </w:r>
          </w:p>
        </w:tc>
        <w:tc>
          <w:tcPr>
            <w:tcW w:w="1728" w:type="dxa"/>
            <w:noWrap w:val="0"/>
            <w:vAlign w:val="center"/>
          </w:tcPr>
          <w:p w14:paraId="6549C0DF">
            <w:pPr>
              <w:autoSpaceDE w:val="0"/>
              <w:autoSpaceDN w:val="0"/>
              <w:adjustRightInd w:val="0"/>
              <w:spacing w:line="460" w:lineRule="exact"/>
              <w:jc w:val="center"/>
              <w:rPr>
                <w:rFonts w:hint="eastAsia" w:ascii="宋体" w:hAnsi="宋体" w:cs="宋体"/>
                <w:color w:val="auto"/>
                <w:szCs w:val="21"/>
              </w:rPr>
            </w:pPr>
            <w:r>
              <w:rPr>
                <w:rFonts w:hint="eastAsia" w:ascii="宋体" w:hAnsi="宋体" w:cs="宋体"/>
                <w:color w:val="auto"/>
                <w:szCs w:val="21"/>
              </w:rPr>
              <w:t>项目施工方案分（满分15分）</w:t>
            </w:r>
          </w:p>
        </w:tc>
        <w:tc>
          <w:tcPr>
            <w:tcW w:w="6495" w:type="dxa"/>
            <w:noWrap w:val="0"/>
            <w:vAlign w:val="center"/>
          </w:tcPr>
          <w:p w14:paraId="5E97274B">
            <w:pPr>
              <w:spacing w:line="380" w:lineRule="exact"/>
              <w:ind w:firstLine="420" w:firstLineChars="200"/>
              <w:rPr>
                <w:rFonts w:hint="eastAsia" w:ascii="宋体" w:hAnsi="宋体" w:cs="宋体"/>
                <w:bCs/>
                <w:color w:val="auto"/>
                <w:szCs w:val="21"/>
              </w:rPr>
            </w:pPr>
            <w:r>
              <w:rPr>
                <w:rFonts w:hint="eastAsia" w:ascii="宋体" w:hAnsi="宋体" w:cs="宋体"/>
                <w:bCs/>
                <w:color w:val="auto"/>
                <w:szCs w:val="21"/>
              </w:rPr>
              <w:t>一档（5分）：有基本的施工进度计划、工期保证措施、质量保证措施、安装调试方案、验收措施的。</w:t>
            </w:r>
          </w:p>
          <w:p w14:paraId="750ED6F7">
            <w:pPr>
              <w:spacing w:line="380" w:lineRule="exact"/>
              <w:ind w:firstLine="420" w:firstLineChars="200"/>
              <w:rPr>
                <w:rFonts w:hint="eastAsia" w:ascii="宋体" w:hAnsi="宋体" w:cs="宋体"/>
                <w:bCs/>
                <w:color w:val="auto"/>
                <w:szCs w:val="21"/>
              </w:rPr>
            </w:pPr>
            <w:r>
              <w:rPr>
                <w:rFonts w:hint="eastAsia" w:ascii="宋体" w:hAnsi="宋体" w:cs="宋体"/>
                <w:bCs/>
                <w:color w:val="auto"/>
                <w:szCs w:val="21"/>
              </w:rPr>
              <w:t>二档（10分）：在满足一档的基础上，有完整的人员配备、施工进度计划、供货措施、项目人员组织管理、施工实施流程、施工实施布置及说明、到货验收计划、质量保证措施、安全措施、应急服务方案、拟投入器材、安全管理体系及文明施工措施、备品备件、合理化建议、培训方案、验收方案等。</w:t>
            </w:r>
          </w:p>
          <w:p w14:paraId="263A994B">
            <w:pPr>
              <w:spacing w:line="380" w:lineRule="exact"/>
              <w:ind w:firstLine="420" w:firstLineChars="200"/>
              <w:rPr>
                <w:rFonts w:hint="eastAsia" w:ascii="宋体" w:hAnsi="宋体" w:cs="宋体"/>
                <w:bCs/>
                <w:color w:val="auto"/>
                <w:szCs w:val="21"/>
              </w:rPr>
            </w:pPr>
            <w:r>
              <w:rPr>
                <w:rFonts w:hint="eastAsia" w:ascii="宋体" w:hAnsi="宋体" w:cs="宋体"/>
                <w:bCs/>
                <w:color w:val="auto"/>
                <w:szCs w:val="21"/>
              </w:rPr>
              <w:t>三档（15分）：有完整的施工组织设计，包含完整的人员配备、施工进度计划、供货措施、项目人员组织管理、施工实施流程、施工实施布置及说明、到货验收计划、质量保证措施、安全措施、应急服务方案、拟投入器材、安全管理体系及文明施工措施、备品备件、合理化建议、培训方案、验收方案、主要施工方法、拟投入的主要物资计划、劳动力安排计划、确保工程质量的技术组织措施、确保安全生产、文明施工的技术组织措施、工程施工的重点和难点及保证措施、确保工期的技术组织措施等。</w:t>
            </w:r>
          </w:p>
        </w:tc>
        <w:tc>
          <w:tcPr>
            <w:tcW w:w="907" w:type="dxa"/>
            <w:noWrap w:val="0"/>
            <w:vAlign w:val="center"/>
          </w:tcPr>
          <w:p w14:paraId="3F1CE27C">
            <w:pPr>
              <w:spacing w:line="360" w:lineRule="auto"/>
              <w:jc w:val="center"/>
              <w:rPr>
                <w:rFonts w:hint="eastAsia" w:ascii="宋体" w:hAnsi="宋体" w:cs="宋体"/>
                <w:color w:val="auto"/>
                <w:kern w:val="0"/>
                <w:szCs w:val="21"/>
              </w:rPr>
            </w:pPr>
            <w:r>
              <w:rPr>
                <w:rFonts w:hint="eastAsia" w:ascii="宋体" w:hAnsi="宋体" w:cs="宋体"/>
                <w:color w:val="auto"/>
                <w:kern w:val="0"/>
                <w:szCs w:val="21"/>
              </w:rPr>
              <w:t>15分</w:t>
            </w:r>
          </w:p>
        </w:tc>
      </w:tr>
      <w:tr w14:paraId="1C825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9" w:hRule="atLeast"/>
          <w:jc w:val="center"/>
        </w:trPr>
        <w:tc>
          <w:tcPr>
            <w:tcW w:w="567" w:type="dxa"/>
            <w:noWrap w:val="0"/>
            <w:vAlign w:val="center"/>
          </w:tcPr>
          <w:p w14:paraId="68BC6F91">
            <w:pPr>
              <w:adjustRightInd w:val="0"/>
              <w:spacing w:line="360" w:lineRule="auto"/>
              <w:ind w:left="-105" w:leftChars="-50" w:right="-105" w:rightChars="-50"/>
              <w:jc w:val="center"/>
              <w:textAlignment w:val="baseline"/>
              <w:rPr>
                <w:rFonts w:ascii="宋体" w:hAnsi="宋体" w:cs="宋体"/>
                <w:bCs/>
                <w:color w:val="auto"/>
                <w:kern w:val="0"/>
                <w:szCs w:val="21"/>
              </w:rPr>
            </w:pPr>
            <w:r>
              <w:rPr>
                <w:rFonts w:hint="eastAsia" w:ascii="宋体" w:hAnsi="宋体" w:cs="宋体"/>
                <w:bCs/>
                <w:color w:val="auto"/>
                <w:kern w:val="0"/>
                <w:szCs w:val="21"/>
              </w:rPr>
              <w:t>2.5</w:t>
            </w:r>
          </w:p>
        </w:tc>
        <w:tc>
          <w:tcPr>
            <w:tcW w:w="1728" w:type="dxa"/>
            <w:noWrap w:val="0"/>
            <w:vAlign w:val="center"/>
          </w:tcPr>
          <w:p w14:paraId="08B6CA1F">
            <w:pPr>
              <w:autoSpaceDE w:val="0"/>
              <w:autoSpaceDN w:val="0"/>
              <w:adjustRightInd w:val="0"/>
              <w:spacing w:line="460" w:lineRule="exact"/>
              <w:jc w:val="center"/>
              <w:rPr>
                <w:rFonts w:hint="eastAsia" w:ascii="宋体" w:hAnsi="宋体" w:cs="宋体"/>
                <w:color w:val="auto"/>
                <w:szCs w:val="21"/>
              </w:rPr>
            </w:pPr>
            <w:r>
              <w:rPr>
                <w:rFonts w:hint="eastAsia" w:ascii="宋体" w:hAnsi="宋体" w:cs="宋体"/>
                <w:color w:val="auto"/>
                <w:szCs w:val="21"/>
              </w:rPr>
              <w:t>售后服务方案分（满分12分）</w:t>
            </w:r>
          </w:p>
        </w:tc>
        <w:tc>
          <w:tcPr>
            <w:tcW w:w="6495" w:type="dxa"/>
            <w:noWrap w:val="0"/>
            <w:vAlign w:val="center"/>
          </w:tcPr>
          <w:p w14:paraId="0726A470">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 xml:space="preserve">一档（4分）：售后服务方案基本合理，售后服务承诺书内容的完整，故障响应时间、到达故障现场时间安排优于采购文件要求，提供本地化服务。 </w:t>
            </w:r>
          </w:p>
          <w:p w14:paraId="60646B3C">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二档（8 分）：售后服务方案内容有针对性，故障响应时间、到达现场维护时间、修复时间优于采购文件要求；有项目售后实施计划；培训方案内容应包括培训的对象、培训内容。有售后服务流程图，且流程图清晰，有售后服务热线电话、有服务规定完成时效、有定期回访（注明时间），有保修期外维修方案、其他优惠措施，培训方案思路清晰。</w:t>
            </w:r>
          </w:p>
          <w:p w14:paraId="5B13F960">
            <w:pPr>
              <w:spacing w:line="360" w:lineRule="exact"/>
              <w:ind w:firstLine="420" w:firstLineChars="200"/>
              <w:rPr>
                <w:rFonts w:hint="eastAsia" w:ascii="宋体" w:hAnsi="宋体" w:cs="宋体"/>
                <w:bCs/>
                <w:color w:val="auto"/>
                <w:szCs w:val="21"/>
              </w:rPr>
            </w:pPr>
            <w:r>
              <w:rPr>
                <w:rFonts w:hint="eastAsia" w:ascii="宋体" w:hAnsi="宋体" w:cs="宋体"/>
                <w:color w:val="auto"/>
                <w:szCs w:val="21"/>
              </w:rPr>
              <w:t xml:space="preserve">三档（12分）：在满足二档的基础上，提供故障处理流程、维护保障流程及组织架构，售后服务方案表述清晰、合理，措施有效可行，故障响应时间、到达故障现场时间安排合理，具有详细的故障维护方案、技术培训方案、应急方案、备品备件方案、验收方案等。 </w:t>
            </w:r>
          </w:p>
        </w:tc>
        <w:tc>
          <w:tcPr>
            <w:tcW w:w="907" w:type="dxa"/>
            <w:noWrap w:val="0"/>
            <w:vAlign w:val="center"/>
          </w:tcPr>
          <w:p w14:paraId="71E2AE3E">
            <w:pPr>
              <w:spacing w:line="360" w:lineRule="auto"/>
              <w:jc w:val="center"/>
              <w:rPr>
                <w:rFonts w:ascii="宋体" w:hAnsi="宋体" w:cs="宋体"/>
                <w:color w:val="auto"/>
                <w:kern w:val="0"/>
                <w:szCs w:val="21"/>
              </w:rPr>
            </w:pPr>
            <w:r>
              <w:rPr>
                <w:rFonts w:hint="eastAsia" w:ascii="宋体" w:hAnsi="宋体" w:cs="宋体"/>
                <w:color w:val="auto"/>
                <w:kern w:val="0"/>
                <w:szCs w:val="21"/>
              </w:rPr>
              <w:t>12分</w:t>
            </w:r>
          </w:p>
        </w:tc>
      </w:tr>
      <w:tr w14:paraId="01B3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567" w:type="dxa"/>
            <w:noWrap w:val="0"/>
            <w:vAlign w:val="center"/>
          </w:tcPr>
          <w:p w14:paraId="1D96FFEF">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3</w:t>
            </w:r>
          </w:p>
        </w:tc>
        <w:tc>
          <w:tcPr>
            <w:tcW w:w="1728" w:type="dxa"/>
            <w:noWrap w:val="0"/>
            <w:vAlign w:val="center"/>
          </w:tcPr>
          <w:p w14:paraId="0334F3EE">
            <w:pPr>
              <w:widowControl/>
              <w:spacing w:line="360" w:lineRule="auto"/>
              <w:jc w:val="center"/>
              <w:rPr>
                <w:rFonts w:hint="eastAsia" w:ascii="宋体" w:hAnsi="宋体" w:cs="宋体"/>
                <w:bCs/>
                <w:color w:val="auto"/>
                <w:szCs w:val="21"/>
              </w:rPr>
            </w:pPr>
            <w:r>
              <w:rPr>
                <w:rFonts w:hint="eastAsia" w:ascii="宋体" w:hAnsi="宋体" w:cs="宋体"/>
                <w:bCs/>
                <w:color w:val="auto"/>
                <w:szCs w:val="21"/>
              </w:rPr>
              <w:t>商务分</w:t>
            </w:r>
          </w:p>
        </w:tc>
        <w:tc>
          <w:tcPr>
            <w:tcW w:w="7402" w:type="dxa"/>
            <w:gridSpan w:val="2"/>
            <w:noWrap w:val="0"/>
            <w:vAlign w:val="center"/>
          </w:tcPr>
          <w:p w14:paraId="5AC7EBA9">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评审因素具体内容</w:t>
            </w:r>
          </w:p>
        </w:tc>
      </w:tr>
      <w:tr w14:paraId="15B04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7" w:type="dxa"/>
            <w:noWrap w:val="0"/>
            <w:vAlign w:val="center"/>
          </w:tcPr>
          <w:p w14:paraId="650CAEAA">
            <w:pPr>
              <w:spacing w:line="360" w:lineRule="auto"/>
              <w:jc w:val="center"/>
              <w:rPr>
                <w:rFonts w:hint="eastAsia" w:ascii="宋体" w:hAnsi="宋体" w:cs="宋体"/>
                <w:color w:val="auto"/>
                <w:kern w:val="0"/>
                <w:szCs w:val="21"/>
              </w:rPr>
            </w:pPr>
            <w:r>
              <w:rPr>
                <w:rFonts w:hint="eastAsia" w:ascii="宋体" w:hAnsi="宋体" w:cs="宋体"/>
                <w:color w:val="auto"/>
                <w:kern w:val="0"/>
                <w:szCs w:val="21"/>
              </w:rPr>
              <w:t>3.1</w:t>
            </w:r>
          </w:p>
        </w:tc>
        <w:tc>
          <w:tcPr>
            <w:tcW w:w="1728" w:type="dxa"/>
            <w:noWrap w:val="0"/>
            <w:vAlign w:val="center"/>
          </w:tcPr>
          <w:p w14:paraId="697C0B23">
            <w:pPr>
              <w:spacing w:line="400" w:lineRule="exact"/>
              <w:jc w:val="center"/>
              <w:rPr>
                <w:rFonts w:hint="eastAsia" w:ascii="宋体" w:hAnsi="宋体" w:cs="宋体"/>
                <w:color w:val="auto"/>
                <w:kern w:val="0"/>
                <w:szCs w:val="21"/>
              </w:rPr>
            </w:pPr>
            <w:r>
              <w:rPr>
                <w:rFonts w:hint="eastAsia" w:ascii="宋体" w:hAnsi="宋体" w:cs="宋体"/>
                <w:color w:val="auto"/>
                <w:szCs w:val="21"/>
              </w:rPr>
              <w:t>业绩分（满分3分）</w:t>
            </w:r>
          </w:p>
        </w:tc>
        <w:tc>
          <w:tcPr>
            <w:tcW w:w="6495" w:type="dxa"/>
            <w:noWrap w:val="0"/>
            <w:vAlign w:val="top"/>
          </w:tcPr>
          <w:p w14:paraId="68875E1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2022年至今以来至响应文件递交截止日期止，供应商具有承担同类项目业绩，每个得1分，满分3分。[以合同或中标（成交）通知书为准，并加盖供应商公章]。</w:t>
            </w:r>
          </w:p>
        </w:tc>
        <w:tc>
          <w:tcPr>
            <w:tcW w:w="907" w:type="dxa"/>
            <w:noWrap w:val="0"/>
            <w:vAlign w:val="center"/>
          </w:tcPr>
          <w:p w14:paraId="39CBDD4A">
            <w:pPr>
              <w:spacing w:line="360" w:lineRule="auto"/>
              <w:jc w:val="center"/>
              <w:rPr>
                <w:rFonts w:hint="eastAsia" w:ascii="宋体" w:hAnsi="宋体" w:cs="宋体"/>
                <w:color w:val="auto"/>
                <w:kern w:val="0"/>
                <w:szCs w:val="21"/>
              </w:rPr>
            </w:pPr>
            <w:r>
              <w:rPr>
                <w:rFonts w:hint="eastAsia" w:ascii="宋体" w:hAnsi="宋体" w:cs="宋体"/>
                <w:color w:val="auto"/>
                <w:kern w:val="0"/>
                <w:szCs w:val="21"/>
              </w:rPr>
              <w:t>3分</w:t>
            </w:r>
          </w:p>
        </w:tc>
      </w:tr>
      <w:tr w14:paraId="54BA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8790" w:type="dxa"/>
            <w:gridSpan w:val="3"/>
            <w:noWrap w:val="0"/>
            <w:vAlign w:val="top"/>
          </w:tcPr>
          <w:p w14:paraId="6FE3D482">
            <w:pPr>
              <w:pStyle w:val="22"/>
              <w:spacing w:line="360" w:lineRule="auto"/>
              <w:ind w:firstLine="420" w:firstLineChars="200"/>
              <w:rPr>
                <w:rFonts w:hint="eastAsia" w:hAnsi="宋体" w:cs="宋体"/>
                <w:bCs/>
                <w:color w:val="auto"/>
              </w:rPr>
            </w:pPr>
            <w:r>
              <w:rPr>
                <w:rFonts w:hint="eastAsia" w:hAnsi="宋体" w:cs="宋体"/>
                <w:bCs/>
                <w:color w:val="auto"/>
              </w:rPr>
              <w:t>总得分＝1＋2＋3</w:t>
            </w:r>
          </w:p>
        </w:tc>
        <w:tc>
          <w:tcPr>
            <w:tcW w:w="907" w:type="dxa"/>
            <w:noWrap w:val="0"/>
            <w:vAlign w:val="center"/>
          </w:tcPr>
          <w:p w14:paraId="0FEE54BF">
            <w:pPr>
              <w:widowControl/>
              <w:spacing w:line="360" w:lineRule="auto"/>
              <w:jc w:val="center"/>
              <w:rPr>
                <w:rFonts w:hint="eastAsia" w:ascii="宋体" w:hAnsi="宋体" w:cs="宋体"/>
                <w:color w:val="auto"/>
                <w:kern w:val="0"/>
                <w:szCs w:val="21"/>
              </w:rPr>
            </w:pPr>
          </w:p>
        </w:tc>
      </w:tr>
    </w:tbl>
    <w:p w14:paraId="7C927FDD">
      <w:pPr>
        <w:pStyle w:val="32"/>
        <w:spacing w:line="360" w:lineRule="auto"/>
        <w:ind w:left="0"/>
        <w:rPr>
          <w:rFonts w:hint="eastAsia" w:ascii="宋体" w:hAnsi="宋体" w:cs="宋体"/>
          <w:b/>
          <w:bCs/>
          <w:color w:val="auto"/>
          <w:szCs w:val="21"/>
        </w:rPr>
      </w:pPr>
      <w:r>
        <w:rPr>
          <w:rFonts w:hint="eastAsia" w:ascii="宋体" w:hAnsi="宋体" w:cs="宋体"/>
          <w:b/>
          <w:bCs/>
          <w:color w:val="auto"/>
          <w:szCs w:val="21"/>
        </w:rPr>
        <w:t>三、成交候选供应商推荐原则</w:t>
      </w:r>
    </w:p>
    <w:p w14:paraId="409BCCA6">
      <w:pPr>
        <w:pStyle w:val="22"/>
        <w:spacing w:line="360" w:lineRule="auto"/>
        <w:rPr>
          <w:rFonts w:hint="eastAsia" w:hAnsi="宋体" w:cs="宋体"/>
          <w:color w:val="auto"/>
        </w:rPr>
      </w:pPr>
      <w:r>
        <w:rPr>
          <w:rFonts w:hint="eastAsia" w:hAnsi="宋体" w:cs="宋体"/>
          <w:b/>
          <w:color w:val="auto"/>
        </w:rPr>
        <w:t xml:space="preserve">    </w:t>
      </w:r>
      <w:r>
        <w:rPr>
          <w:rFonts w:hint="eastAsia" w:hAnsi="宋体" w:cs="宋体"/>
          <w:color w:val="auto"/>
        </w:rPr>
        <w:t>（一）磋商小组将根据得分由高到低排列次序（得分相同时，以磋商报价</w:t>
      </w:r>
      <w:r>
        <w:rPr>
          <w:rFonts w:hint="eastAsia" w:hAnsi="宋体" w:cs="宋体"/>
          <w:b/>
          <w:color w:val="auto"/>
        </w:rPr>
        <w:t>由低到高</w:t>
      </w:r>
      <w:r>
        <w:rPr>
          <w:rFonts w:hint="eastAsia" w:hAnsi="宋体" w:cs="宋体"/>
          <w:color w:val="auto"/>
        </w:rPr>
        <w:t>顺序排列；得分相同且磋商报价相同的，按技术指标优劣顺序排列）并推荐成交候选供应商。采购单位应当确定磋商小组推荐排名第一的成交候选人为成交人。排名第一的成交候选人放弃成交、因不可抗力提出不能履行合同，采购单位可以确定排名第二的成交候选人为成交人。排名第二的成交候选人因前款规定的同样原因不能签订合同的，采购单位可以确定排名第三的成交候选人为成交人。采购人也可以决定重新采购。对采购过程、成交结果提出的质疑成立后取消成交资格，合格供应商符合法定数量时，可以从合格的成交候选人中另行确定成交供应商的，应当依法另行确定成交供应商；否则应当重新开展采购活动。</w:t>
      </w:r>
    </w:p>
    <w:p w14:paraId="03529537">
      <w:pPr>
        <w:spacing w:line="360" w:lineRule="auto"/>
        <w:ind w:firstLine="420"/>
        <w:rPr>
          <w:rFonts w:hint="eastAsia" w:ascii="宋体" w:hAnsi="宋体" w:cs="宋体"/>
          <w:color w:val="auto"/>
          <w:szCs w:val="21"/>
        </w:rPr>
      </w:pPr>
      <w:r>
        <w:rPr>
          <w:rFonts w:hint="eastAsia" w:ascii="宋体" w:hAnsi="宋体" w:cs="宋体"/>
          <w:color w:val="auto"/>
          <w:szCs w:val="21"/>
        </w:rPr>
        <w:t>（二）磋商小组认为供应商的报价明显低于其他通过符合性审查供应商的报价，有可能影响服务质量或者不能诚信履约的，应当要求其在评审现场合理的时间内提供书面说明，必要时提交相关证明材料；供应商不能证明其报价合理性的，磋商小组将其作为无效竞标处理。</w:t>
      </w:r>
    </w:p>
    <w:p w14:paraId="2963752E">
      <w:pPr>
        <w:pStyle w:val="22"/>
        <w:spacing w:line="360" w:lineRule="auto"/>
        <w:jc w:val="center"/>
        <w:rPr>
          <w:rFonts w:hint="eastAsia" w:hAnsi="宋体" w:cs="宋体"/>
          <w:color w:val="auto"/>
        </w:rPr>
      </w:pPr>
    </w:p>
    <w:bookmarkEnd w:id="41"/>
    <w:p w14:paraId="7AF7E720">
      <w:pPr>
        <w:pStyle w:val="36"/>
        <w:spacing w:line="360" w:lineRule="auto"/>
        <w:outlineLvl w:val="9"/>
        <w:rPr>
          <w:rFonts w:hint="eastAsia" w:ascii="宋体" w:hAnsi="宋体" w:cs="宋体"/>
          <w:color w:val="auto"/>
          <w:kern w:val="0"/>
          <w:sz w:val="44"/>
          <w:szCs w:val="44"/>
        </w:rPr>
      </w:pPr>
      <w:bookmarkStart w:id="44" w:name="_Toc476258672"/>
      <w:r>
        <w:rPr>
          <w:rFonts w:hint="eastAsia" w:ascii="宋体" w:hAnsi="宋体" w:cs="宋体"/>
          <w:color w:val="auto"/>
          <w:kern w:val="0"/>
          <w:sz w:val="44"/>
          <w:szCs w:val="44"/>
        </w:rPr>
        <w:br w:type="page"/>
      </w:r>
    </w:p>
    <w:p w14:paraId="03FBBF6C">
      <w:pPr>
        <w:pStyle w:val="36"/>
        <w:spacing w:line="360" w:lineRule="auto"/>
        <w:outlineLvl w:val="9"/>
        <w:rPr>
          <w:rFonts w:hint="eastAsia" w:ascii="宋体" w:hAnsi="宋体" w:cs="宋体"/>
          <w:color w:val="auto"/>
          <w:kern w:val="0"/>
          <w:sz w:val="44"/>
          <w:szCs w:val="44"/>
        </w:rPr>
      </w:pPr>
    </w:p>
    <w:p w14:paraId="12812E68">
      <w:pPr>
        <w:pStyle w:val="36"/>
        <w:spacing w:line="360" w:lineRule="auto"/>
        <w:outlineLvl w:val="9"/>
        <w:rPr>
          <w:rFonts w:hint="eastAsia" w:ascii="宋体" w:hAnsi="宋体" w:cs="宋体"/>
          <w:color w:val="auto"/>
          <w:kern w:val="0"/>
          <w:sz w:val="44"/>
          <w:szCs w:val="44"/>
        </w:rPr>
      </w:pPr>
    </w:p>
    <w:p w14:paraId="619CD8A8">
      <w:pPr>
        <w:pStyle w:val="36"/>
        <w:spacing w:line="360" w:lineRule="auto"/>
        <w:outlineLvl w:val="9"/>
        <w:rPr>
          <w:rFonts w:hint="eastAsia" w:ascii="宋体" w:hAnsi="宋体" w:cs="宋体"/>
          <w:color w:val="auto"/>
          <w:kern w:val="0"/>
          <w:sz w:val="44"/>
          <w:szCs w:val="44"/>
        </w:rPr>
      </w:pPr>
    </w:p>
    <w:p w14:paraId="0E2D9F78">
      <w:pPr>
        <w:pStyle w:val="36"/>
        <w:spacing w:line="360" w:lineRule="auto"/>
        <w:rPr>
          <w:rFonts w:hint="eastAsia" w:ascii="宋体" w:hAnsi="宋体" w:cs="宋体"/>
          <w:color w:val="auto"/>
          <w:kern w:val="0"/>
          <w:sz w:val="44"/>
          <w:szCs w:val="44"/>
        </w:rPr>
      </w:pPr>
      <w:bookmarkStart w:id="45" w:name="_Toc17336"/>
      <w:r>
        <w:rPr>
          <w:rFonts w:hint="eastAsia" w:ascii="宋体" w:hAnsi="宋体" w:cs="宋体"/>
          <w:color w:val="auto"/>
          <w:kern w:val="0"/>
          <w:sz w:val="44"/>
          <w:szCs w:val="44"/>
        </w:rPr>
        <w:t>第五章  合同主要条款</w:t>
      </w:r>
      <w:bookmarkEnd w:id="44"/>
      <w:bookmarkEnd w:id="45"/>
    </w:p>
    <w:p w14:paraId="129AF2A8">
      <w:pPr>
        <w:spacing w:line="360" w:lineRule="auto"/>
        <w:ind w:left="420" w:hanging="420"/>
        <w:jc w:val="center"/>
        <w:rPr>
          <w:rFonts w:hint="eastAsia" w:ascii="宋体" w:hAnsi="宋体" w:cs="宋体"/>
          <w:b/>
          <w:color w:val="auto"/>
          <w:kern w:val="0"/>
          <w:sz w:val="32"/>
          <w:szCs w:val="32"/>
        </w:rPr>
      </w:pPr>
    </w:p>
    <w:p w14:paraId="2DCFEABD">
      <w:pPr>
        <w:spacing w:line="360" w:lineRule="auto"/>
        <w:ind w:left="420" w:hanging="420"/>
        <w:jc w:val="center"/>
        <w:rPr>
          <w:rFonts w:hint="eastAsia" w:ascii="宋体" w:hAnsi="宋体" w:cs="宋体"/>
          <w:b/>
          <w:color w:val="auto"/>
          <w:kern w:val="0"/>
          <w:sz w:val="32"/>
          <w:szCs w:val="32"/>
        </w:rPr>
      </w:pPr>
    </w:p>
    <w:p w14:paraId="74B02FC9">
      <w:pPr>
        <w:spacing w:line="360" w:lineRule="auto"/>
        <w:ind w:left="420" w:hanging="420"/>
        <w:jc w:val="center"/>
        <w:rPr>
          <w:rFonts w:hint="eastAsia" w:ascii="宋体" w:hAnsi="宋体" w:cs="宋体"/>
          <w:b/>
          <w:color w:val="auto"/>
          <w:kern w:val="0"/>
          <w:sz w:val="32"/>
          <w:szCs w:val="32"/>
        </w:rPr>
      </w:pPr>
    </w:p>
    <w:p w14:paraId="00533FA7">
      <w:pPr>
        <w:spacing w:line="360" w:lineRule="auto"/>
        <w:ind w:left="420" w:hanging="420"/>
        <w:jc w:val="center"/>
        <w:rPr>
          <w:rFonts w:hint="eastAsia" w:ascii="宋体" w:hAnsi="宋体" w:cs="宋体"/>
          <w:b/>
          <w:color w:val="auto"/>
          <w:kern w:val="0"/>
          <w:sz w:val="32"/>
          <w:szCs w:val="32"/>
        </w:rPr>
      </w:pPr>
    </w:p>
    <w:p w14:paraId="0E12161B">
      <w:pPr>
        <w:spacing w:line="360" w:lineRule="auto"/>
        <w:ind w:left="420" w:hanging="420"/>
        <w:jc w:val="center"/>
        <w:rPr>
          <w:rFonts w:hint="eastAsia" w:ascii="宋体" w:hAnsi="宋体" w:cs="宋体"/>
          <w:b/>
          <w:color w:val="auto"/>
          <w:kern w:val="0"/>
          <w:sz w:val="32"/>
          <w:szCs w:val="32"/>
        </w:rPr>
      </w:pPr>
    </w:p>
    <w:p w14:paraId="1136A062">
      <w:pPr>
        <w:spacing w:line="360" w:lineRule="auto"/>
        <w:ind w:left="420" w:hanging="420"/>
        <w:jc w:val="center"/>
        <w:rPr>
          <w:rFonts w:hint="eastAsia" w:ascii="宋体" w:hAnsi="宋体" w:cs="宋体"/>
          <w:b/>
          <w:color w:val="auto"/>
          <w:kern w:val="0"/>
          <w:sz w:val="32"/>
          <w:szCs w:val="32"/>
        </w:rPr>
      </w:pPr>
    </w:p>
    <w:p w14:paraId="37D3B3BE">
      <w:pPr>
        <w:pStyle w:val="22"/>
        <w:spacing w:line="360" w:lineRule="auto"/>
        <w:ind w:right="420"/>
        <w:jc w:val="center"/>
        <w:rPr>
          <w:rFonts w:hint="eastAsia" w:hAnsi="宋体" w:cs="宋体"/>
          <w:b/>
          <w:bCs/>
          <w:color w:val="auto"/>
          <w:sz w:val="32"/>
          <w:szCs w:val="32"/>
        </w:rPr>
      </w:pPr>
      <w:r>
        <w:rPr>
          <w:rFonts w:hint="eastAsia" w:hAnsi="宋体" w:cs="宋体"/>
          <w:b/>
          <w:bCs/>
          <w:color w:val="auto"/>
          <w:sz w:val="32"/>
          <w:szCs w:val="32"/>
        </w:rPr>
        <w:br w:type="page"/>
      </w:r>
      <w:r>
        <w:rPr>
          <w:rFonts w:hint="eastAsia" w:hAnsi="宋体" w:cs="宋体"/>
          <w:b/>
          <w:bCs/>
          <w:color w:val="auto"/>
          <w:sz w:val="32"/>
          <w:szCs w:val="32"/>
        </w:rPr>
        <w:t>广西壮族自治区政府采购合同</w:t>
      </w:r>
    </w:p>
    <w:p w14:paraId="76DEE63B">
      <w:pPr>
        <w:snapToGrid w:val="0"/>
        <w:spacing w:line="360" w:lineRule="auto"/>
        <w:ind w:right="480" w:firstLine="5985" w:firstLineChars="2850"/>
        <w:rPr>
          <w:rFonts w:hint="eastAsia" w:ascii="宋体" w:hAnsi="宋体" w:cs="宋体"/>
          <w:bCs/>
          <w:color w:val="auto"/>
          <w:szCs w:val="21"/>
          <w:u w:val="single"/>
        </w:rPr>
      </w:pPr>
      <w:r>
        <w:rPr>
          <w:rFonts w:hint="eastAsia" w:ascii="宋体" w:hAnsi="宋体" w:cs="宋体"/>
          <w:bCs/>
          <w:color w:val="auto"/>
          <w:szCs w:val="21"/>
        </w:rPr>
        <w:t>合同编号：</w:t>
      </w:r>
    </w:p>
    <w:p w14:paraId="1712CC9F">
      <w:pPr>
        <w:snapToGrid w:val="0"/>
        <w:spacing w:line="360" w:lineRule="auto"/>
        <w:rPr>
          <w:rFonts w:hint="eastAsia" w:ascii="宋体" w:hAnsi="宋体" w:cs="宋体"/>
          <w:color w:val="auto"/>
          <w:szCs w:val="21"/>
        </w:rPr>
      </w:pPr>
    </w:p>
    <w:p w14:paraId="404F4E5A">
      <w:pPr>
        <w:snapToGrid w:val="0"/>
        <w:spacing w:line="360" w:lineRule="auto"/>
        <w:rPr>
          <w:rFonts w:hint="eastAsia" w:ascii="宋体" w:hAnsi="宋体" w:cs="宋体"/>
          <w:color w:val="auto"/>
          <w:szCs w:val="21"/>
          <w:u w:val="single"/>
        </w:rPr>
      </w:pPr>
      <w:r>
        <w:rPr>
          <w:rFonts w:hint="eastAsia" w:ascii="宋体" w:hAnsi="宋体" w:cs="宋体"/>
          <w:color w:val="auto"/>
          <w:szCs w:val="21"/>
        </w:rPr>
        <w:t>采购人（甲方）：</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pacing w:val="-20"/>
          <w:szCs w:val="21"/>
        </w:rPr>
        <w:t>采 购 计 划 号：</w:t>
      </w:r>
      <w:r>
        <w:rPr>
          <w:rFonts w:hint="eastAsia" w:ascii="宋体" w:hAnsi="宋体" w:cs="宋体"/>
          <w:color w:val="auto"/>
          <w:szCs w:val="21"/>
          <w:u w:val="single"/>
        </w:rPr>
        <w:t xml:space="preserve">                         </w:t>
      </w:r>
    </w:p>
    <w:p w14:paraId="163F8CD3">
      <w:pPr>
        <w:snapToGrid w:val="0"/>
        <w:spacing w:line="360" w:lineRule="auto"/>
        <w:rPr>
          <w:rFonts w:hint="eastAsia" w:ascii="宋体" w:hAnsi="宋体" w:cs="宋体"/>
          <w:color w:val="auto"/>
          <w:szCs w:val="21"/>
          <w:u w:val="single"/>
        </w:rPr>
      </w:pPr>
      <w:r>
        <w:rPr>
          <w:rFonts w:hint="eastAsia" w:ascii="宋体" w:hAnsi="宋体" w:cs="宋体"/>
          <w:color w:val="auto"/>
          <w:szCs w:val="21"/>
        </w:rPr>
        <w:t>供应商（乙方）：</w:t>
      </w:r>
      <w:r>
        <w:rPr>
          <w:rFonts w:hint="eastAsia" w:ascii="宋体" w:hAnsi="宋体" w:cs="宋体"/>
          <w:color w:val="auto"/>
          <w:szCs w:val="21"/>
          <w:u w:val="single"/>
        </w:rPr>
        <w:t xml:space="preserve">                          </w:t>
      </w:r>
      <w:r>
        <w:rPr>
          <w:rFonts w:hint="eastAsia" w:ascii="宋体" w:hAnsi="宋体" w:cs="宋体"/>
          <w:color w:val="auto"/>
          <w:szCs w:val="21"/>
        </w:rPr>
        <w:t xml:space="preserve">        采购项目名称和</w:t>
      </w:r>
      <w:r>
        <w:rPr>
          <w:rFonts w:hint="eastAsia" w:ascii="宋体" w:hAnsi="宋体" w:cs="宋体"/>
          <w:color w:val="auto"/>
          <w:spacing w:val="-20"/>
          <w:szCs w:val="21"/>
        </w:rPr>
        <w:t>编号：</w:t>
      </w:r>
      <w:r>
        <w:rPr>
          <w:rFonts w:hint="eastAsia" w:ascii="宋体" w:hAnsi="宋体" w:cs="宋体"/>
          <w:color w:val="auto"/>
          <w:szCs w:val="21"/>
          <w:u w:val="single"/>
        </w:rPr>
        <w:t xml:space="preserve">                       </w:t>
      </w:r>
    </w:p>
    <w:p w14:paraId="7650F5EF">
      <w:pPr>
        <w:snapToGrid w:val="0"/>
        <w:spacing w:line="360" w:lineRule="auto"/>
        <w:rPr>
          <w:rFonts w:hint="eastAsia" w:ascii="宋体" w:hAnsi="宋体" w:cs="宋体"/>
          <w:color w:val="auto"/>
          <w:szCs w:val="21"/>
          <w:u w:val="single"/>
        </w:rPr>
      </w:pPr>
      <w:r>
        <w:rPr>
          <w:rFonts w:hint="eastAsia" w:ascii="宋体" w:hAnsi="宋体" w:cs="宋体"/>
          <w:color w:val="auto"/>
          <w:szCs w:val="21"/>
        </w:rPr>
        <w:t>签  订  地  点：</w:t>
      </w:r>
      <w:r>
        <w:rPr>
          <w:rFonts w:hint="eastAsia" w:ascii="宋体" w:hAnsi="宋体" w:cs="宋体"/>
          <w:color w:val="auto"/>
          <w:szCs w:val="21"/>
          <w:u w:val="single"/>
        </w:rPr>
        <w:t xml:space="preserve">                        </w:t>
      </w:r>
      <w:r>
        <w:rPr>
          <w:rFonts w:hint="eastAsia" w:ascii="宋体" w:hAnsi="宋体" w:cs="宋体"/>
          <w:color w:val="auto"/>
          <w:szCs w:val="21"/>
        </w:rPr>
        <w:t xml:space="preserve">         签 订 时 间：</w:t>
      </w:r>
      <w:r>
        <w:rPr>
          <w:rFonts w:hint="eastAsia" w:ascii="宋体" w:hAnsi="宋体" w:cs="宋体"/>
          <w:color w:val="auto"/>
          <w:szCs w:val="21"/>
          <w:u w:val="single"/>
        </w:rPr>
        <w:t xml:space="preserve">                       </w:t>
      </w:r>
    </w:p>
    <w:p w14:paraId="5252DA96">
      <w:pPr>
        <w:snapToGrid w:val="0"/>
        <w:spacing w:line="360" w:lineRule="auto"/>
        <w:ind w:firstLine="420" w:firstLineChars="200"/>
        <w:rPr>
          <w:rFonts w:hint="eastAsia" w:ascii="宋体" w:hAnsi="宋体" w:cs="宋体"/>
          <w:color w:val="auto"/>
          <w:szCs w:val="21"/>
        </w:rPr>
      </w:pPr>
    </w:p>
    <w:p w14:paraId="52EB05F6">
      <w:pPr>
        <w:snapToGrid w:val="0"/>
        <w:spacing w:line="360" w:lineRule="auto"/>
        <w:rPr>
          <w:rFonts w:hint="eastAsia" w:ascii="宋体" w:hAnsi="宋体" w:cs="宋体"/>
          <w:color w:val="auto"/>
          <w:szCs w:val="21"/>
        </w:rPr>
      </w:pPr>
      <w:r>
        <w:rPr>
          <w:rFonts w:hint="eastAsia" w:ascii="宋体" w:hAnsi="宋体" w:cs="宋体"/>
          <w:color w:val="auto"/>
          <w:szCs w:val="21"/>
        </w:rPr>
        <w:t xml:space="preserve">    根据《中华人民共和国政府采购法》、《中华人民共和国民法典》等法律、法规规定，按照竞争性磋商文件（以下简称“磋商文件”）规定条款和成交供应商竞争性磋商响应文件（以下简称“响应文件”）及其承诺，甲乙双方签订本合同。</w:t>
      </w:r>
    </w:p>
    <w:p w14:paraId="4070F2AA">
      <w:pPr>
        <w:snapToGrid w:val="0"/>
        <w:spacing w:line="360" w:lineRule="auto"/>
        <w:rPr>
          <w:rFonts w:hint="eastAsia" w:ascii="宋体" w:hAnsi="宋体" w:cs="宋体"/>
          <w:b/>
          <w:color w:val="auto"/>
          <w:szCs w:val="21"/>
        </w:rPr>
      </w:pPr>
      <w:r>
        <w:rPr>
          <w:rFonts w:hint="eastAsia" w:ascii="宋体" w:hAnsi="宋体" w:cs="宋体"/>
          <w:color w:val="auto"/>
          <w:szCs w:val="21"/>
        </w:rPr>
        <w:t xml:space="preserve">    </w:t>
      </w:r>
      <w:r>
        <w:rPr>
          <w:rFonts w:hint="eastAsia" w:ascii="宋体" w:hAnsi="宋体" w:cs="宋体"/>
          <w:b/>
          <w:color w:val="auto"/>
          <w:szCs w:val="21"/>
        </w:rPr>
        <w:t>第一条　合同标的</w:t>
      </w:r>
    </w:p>
    <w:p w14:paraId="5A027D36">
      <w:pPr>
        <w:numPr>
          <w:ilvl w:val="0"/>
          <w:numId w:val="4"/>
        </w:numPr>
        <w:snapToGrid w:val="0"/>
        <w:spacing w:line="360" w:lineRule="auto"/>
        <w:rPr>
          <w:rFonts w:hint="eastAsia" w:ascii="宋体" w:hAnsi="宋体" w:cs="宋体"/>
          <w:color w:val="auto"/>
          <w:szCs w:val="21"/>
        </w:rPr>
      </w:pPr>
      <w:r>
        <w:rPr>
          <w:rFonts w:hint="eastAsia" w:ascii="宋体" w:hAnsi="宋体" w:cs="宋体"/>
          <w:color w:val="auto"/>
          <w:szCs w:val="21"/>
        </w:rPr>
        <w:t>服务一览表</w:t>
      </w:r>
    </w:p>
    <w:tbl>
      <w:tblPr>
        <w:tblStyle w:val="40"/>
        <w:tblW w:w="10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89"/>
        <w:gridCol w:w="5340"/>
        <w:gridCol w:w="645"/>
        <w:gridCol w:w="660"/>
        <w:gridCol w:w="915"/>
        <w:gridCol w:w="888"/>
      </w:tblGrid>
      <w:tr w14:paraId="55FBB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959" w:type="dxa"/>
            <w:noWrap w:val="0"/>
            <w:vAlign w:val="center"/>
          </w:tcPr>
          <w:p w14:paraId="3551BAB2">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序号</w:t>
            </w:r>
          </w:p>
        </w:tc>
        <w:tc>
          <w:tcPr>
            <w:tcW w:w="989" w:type="dxa"/>
            <w:noWrap w:val="0"/>
            <w:vAlign w:val="center"/>
          </w:tcPr>
          <w:p w14:paraId="19A386E4">
            <w:pPr>
              <w:widowControl/>
              <w:jc w:val="center"/>
              <w:textAlignment w:val="center"/>
              <w:rPr>
                <w:rFonts w:ascii="宋体" w:hAnsi="宋体" w:cs="宋体"/>
                <w:color w:val="auto"/>
                <w:szCs w:val="21"/>
              </w:rPr>
            </w:pPr>
            <w:r>
              <w:rPr>
                <w:rFonts w:hint="eastAsia" w:ascii="宋体" w:hAnsi="宋体" w:cs="宋体"/>
                <w:color w:val="auto"/>
                <w:kern w:val="0"/>
                <w:szCs w:val="21"/>
                <w:lang w:bidi="ar"/>
              </w:rPr>
              <w:t>服务名称</w:t>
            </w:r>
          </w:p>
        </w:tc>
        <w:tc>
          <w:tcPr>
            <w:tcW w:w="5340" w:type="dxa"/>
            <w:noWrap w:val="0"/>
            <w:vAlign w:val="center"/>
          </w:tcPr>
          <w:p w14:paraId="2A5B64E9">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服务参数</w:t>
            </w:r>
          </w:p>
        </w:tc>
        <w:tc>
          <w:tcPr>
            <w:tcW w:w="645" w:type="dxa"/>
            <w:noWrap w:val="0"/>
            <w:vAlign w:val="center"/>
          </w:tcPr>
          <w:p w14:paraId="459551EE">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单位</w:t>
            </w:r>
          </w:p>
        </w:tc>
        <w:tc>
          <w:tcPr>
            <w:tcW w:w="660" w:type="dxa"/>
            <w:noWrap w:val="0"/>
            <w:vAlign w:val="center"/>
          </w:tcPr>
          <w:p w14:paraId="0CFF7D60">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数量</w:t>
            </w:r>
          </w:p>
        </w:tc>
        <w:tc>
          <w:tcPr>
            <w:tcW w:w="915" w:type="dxa"/>
            <w:noWrap w:val="0"/>
            <w:vAlign w:val="center"/>
          </w:tcPr>
          <w:p w14:paraId="1588EB46">
            <w:pPr>
              <w:snapToGrid w:val="0"/>
              <w:spacing w:line="360" w:lineRule="auto"/>
              <w:jc w:val="center"/>
              <w:rPr>
                <w:rFonts w:hint="eastAsia" w:ascii="宋体" w:hAnsi="宋体" w:cs="宋体"/>
                <w:color w:val="auto"/>
                <w:szCs w:val="21"/>
              </w:rPr>
            </w:pPr>
            <w:r>
              <w:rPr>
                <w:rFonts w:hint="eastAsia" w:ascii="宋体" w:hAnsi="宋体" w:cs="宋体"/>
                <w:color w:val="auto"/>
                <w:szCs w:val="21"/>
              </w:rPr>
              <w:t>单价</w:t>
            </w:r>
          </w:p>
          <w:p w14:paraId="6A565246">
            <w:pPr>
              <w:snapToGrid w:val="0"/>
              <w:spacing w:line="360" w:lineRule="auto"/>
              <w:jc w:val="center"/>
              <w:rPr>
                <w:rFonts w:hint="eastAsia" w:ascii="宋体" w:hAnsi="宋体" w:cs="宋体"/>
                <w:color w:val="auto"/>
                <w:szCs w:val="21"/>
              </w:rPr>
            </w:pPr>
            <w:r>
              <w:rPr>
                <w:rFonts w:hint="eastAsia" w:ascii="宋体" w:hAnsi="宋体" w:cs="宋体"/>
                <w:color w:val="auto"/>
                <w:szCs w:val="21"/>
              </w:rPr>
              <w:t>（元）</w:t>
            </w:r>
          </w:p>
        </w:tc>
        <w:tc>
          <w:tcPr>
            <w:tcW w:w="888" w:type="dxa"/>
            <w:noWrap w:val="0"/>
            <w:vAlign w:val="center"/>
          </w:tcPr>
          <w:p w14:paraId="2CE05D5C">
            <w:pPr>
              <w:snapToGrid w:val="0"/>
              <w:spacing w:line="360" w:lineRule="auto"/>
              <w:jc w:val="center"/>
              <w:rPr>
                <w:rFonts w:hint="eastAsia" w:ascii="宋体" w:hAnsi="宋体" w:cs="宋体"/>
                <w:color w:val="auto"/>
                <w:szCs w:val="21"/>
              </w:rPr>
            </w:pPr>
            <w:r>
              <w:rPr>
                <w:rFonts w:hint="eastAsia" w:ascii="宋体" w:hAnsi="宋体" w:cs="宋体"/>
                <w:color w:val="auto"/>
                <w:szCs w:val="21"/>
              </w:rPr>
              <w:t>金额</w:t>
            </w:r>
          </w:p>
          <w:p w14:paraId="5DC826A4">
            <w:pPr>
              <w:snapToGrid w:val="0"/>
              <w:spacing w:line="360" w:lineRule="auto"/>
              <w:jc w:val="center"/>
              <w:rPr>
                <w:rFonts w:hint="eastAsia" w:ascii="宋体" w:hAnsi="宋体" w:cs="宋体"/>
                <w:color w:val="auto"/>
                <w:szCs w:val="21"/>
              </w:rPr>
            </w:pPr>
            <w:r>
              <w:rPr>
                <w:rFonts w:hint="eastAsia" w:ascii="宋体" w:hAnsi="宋体" w:cs="宋体"/>
                <w:color w:val="auto"/>
                <w:szCs w:val="21"/>
              </w:rPr>
              <w:t>（元）</w:t>
            </w:r>
          </w:p>
        </w:tc>
      </w:tr>
      <w:tr w14:paraId="613DF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959" w:type="dxa"/>
            <w:noWrap w:val="0"/>
            <w:vAlign w:val="center"/>
          </w:tcPr>
          <w:p w14:paraId="03F22F19">
            <w:pPr>
              <w:snapToGrid w:val="0"/>
              <w:spacing w:line="360" w:lineRule="auto"/>
              <w:jc w:val="center"/>
              <w:rPr>
                <w:rFonts w:hint="eastAsia" w:ascii="宋体" w:hAnsi="宋体" w:cs="宋体"/>
                <w:color w:val="auto"/>
                <w:szCs w:val="21"/>
              </w:rPr>
            </w:pPr>
          </w:p>
        </w:tc>
        <w:tc>
          <w:tcPr>
            <w:tcW w:w="989" w:type="dxa"/>
            <w:noWrap w:val="0"/>
            <w:vAlign w:val="center"/>
          </w:tcPr>
          <w:p w14:paraId="484CE88A">
            <w:pPr>
              <w:snapToGrid w:val="0"/>
              <w:spacing w:line="360" w:lineRule="auto"/>
              <w:jc w:val="center"/>
              <w:rPr>
                <w:rFonts w:hint="eastAsia" w:ascii="宋体" w:hAnsi="宋体" w:cs="宋体"/>
                <w:color w:val="auto"/>
                <w:szCs w:val="21"/>
              </w:rPr>
            </w:pPr>
          </w:p>
        </w:tc>
        <w:tc>
          <w:tcPr>
            <w:tcW w:w="5340" w:type="dxa"/>
            <w:noWrap w:val="0"/>
            <w:vAlign w:val="center"/>
          </w:tcPr>
          <w:p w14:paraId="0DACE7A8">
            <w:pPr>
              <w:snapToGrid w:val="0"/>
              <w:spacing w:line="360" w:lineRule="auto"/>
              <w:jc w:val="center"/>
              <w:rPr>
                <w:rFonts w:hint="eastAsia" w:ascii="宋体" w:hAnsi="宋体" w:cs="宋体"/>
                <w:color w:val="auto"/>
                <w:szCs w:val="21"/>
              </w:rPr>
            </w:pPr>
          </w:p>
        </w:tc>
        <w:tc>
          <w:tcPr>
            <w:tcW w:w="645" w:type="dxa"/>
            <w:noWrap w:val="0"/>
            <w:vAlign w:val="center"/>
          </w:tcPr>
          <w:p w14:paraId="20B5837A">
            <w:pPr>
              <w:snapToGrid w:val="0"/>
              <w:spacing w:line="360" w:lineRule="auto"/>
              <w:jc w:val="center"/>
              <w:rPr>
                <w:rFonts w:hint="eastAsia" w:ascii="宋体" w:hAnsi="宋体" w:cs="宋体"/>
                <w:color w:val="auto"/>
                <w:szCs w:val="21"/>
              </w:rPr>
            </w:pPr>
          </w:p>
        </w:tc>
        <w:tc>
          <w:tcPr>
            <w:tcW w:w="660" w:type="dxa"/>
            <w:noWrap w:val="0"/>
            <w:vAlign w:val="center"/>
          </w:tcPr>
          <w:p w14:paraId="3166AB7E">
            <w:pPr>
              <w:snapToGrid w:val="0"/>
              <w:spacing w:line="360" w:lineRule="auto"/>
              <w:jc w:val="center"/>
              <w:rPr>
                <w:rFonts w:hint="eastAsia" w:ascii="宋体" w:hAnsi="宋体" w:cs="宋体"/>
                <w:color w:val="auto"/>
                <w:szCs w:val="21"/>
              </w:rPr>
            </w:pPr>
          </w:p>
        </w:tc>
        <w:tc>
          <w:tcPr>
            <w:tcW w:w="915" w:type="dxa"/>
            <w:noWrap w:val="0"/>
            <w:vAlign w:val="center"/>
          </w:tcPr>
          <w:p w14:paraId="1FB95B35">
            <w:pPr>
              <w:snapToGrid w:val="0"/>
              <w:spacing w:line="360" w:lineRule="auto"/>
              <w:jc w:val="center"/>
              <w:rPr>
                <w:rFonts w:hint="eastAsia" w:ascii="宋体" w:hAnsi="宋体" w:cs="宋体"/>
                <w:color w:val="auto"/>
                <w:szCs w:val="21"/>
              </w:rPr>
            </w:pPr>
          </w:p>
        </w:tc>
        <w:tc>
          <w:tcPr>
            <w:tcW w:w="888" w:type="dxa"/>
            <w:noWrap w:val="0"/>
            <w:vAlign w:val="center"/>
          </w:tcPr>
          <w:p w14:paraId="720A1B26">
            <w:pPr>
              <w:snapToGrid w:val="0"/>
              <w:spacing w:line="360" w:lineRule="auto"/>
              <w:jc w:val="center"/>
              <w:rPr>
                <w:rFonts w:hint="eastAsia" w:ascii="宋体" w:hAnsi="宋体" w:cs="宋体"/>
                <w:color w:val="auto"/>
                <w:szCs w:val="21"/>
              </w:rPr>
            </w:pPr>
          </w:p>
        </w:tc>
      </w:tr>
      <w:tr w14:paraId="2A44A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959" w:type="dxa"/>
            <w:noWrap w:val="0"/>
            <w:vAlign w:val="center"/>
          </w:tcPr>
          <w:p w14:paraId="7741EF02">
            <w:pPr>
              <w:snapToGrid w:val="0"/>
              <w:spacing w:line="360" w:lineRule="auto"/>
              <w:jc w:val="center"/>
              <w:rPr>
                <w:rFonts w:ascii="宋体" w:hAnsi="宋体" w:cs="宋体"/>
                <w:color w:val="auto"/>
                <w:szCs w:val="21"/>
              </w:rPr>
            </w:pPr>
            <w:r>
              <w:rPr>
                <w:rFonts w:hint="eastAsia" w:ascii="宋体" w:hAnsi="宋体" w:cs="宋体"/>
                <w:color w:val="auto"/>
                <w:szCs w:val="21"/>
              </w:rPr>
              <w:t>...</w:t>
            </w:r>
          </w:p>
        </w:tc>
        <w:tc>
          <w:tcPr>
            <w:tcW w:w="989" w:type="dxa"/>
            <w:noWrap w:val="0"/>
            <w:vAlign w:val="center"/>
          </w:tcPr>
          <w:p w14:paraId="01FF0360">
            <w:pPr>
              <w:snapToGrid w:val="0"/>
              <w:spacing w:line="360" w:lineRule="auto"/>
              <w:jc w:val="center"/>
              <w:rPr>
                <w:rFonts w:hint="eastAsia" w:ascii="宋体" w:hAnsi="宋体" w:cs="宋体"/>
                <w:color w:val="auto"/>
                <w:szCs w:val="21"/>
              </w:rPr>
            </w:pPr>
          </w:p>
        </w:tc>
        <w:tc>
          <w:tcPr>
            <w:tcW w:w="5340" w:type="dxa"/>
            <w:noWrap w:val="0"/>
            <w:vAlign w:val="center"/>
          </w:tcPr>
          <w:p w14:paraId="000B9F3D">
            <w:pPr>
              <w:snapToGrid w:val="0"/>
              <w:spacing w:line="360" w:lineRule="auto"/>
              <w:jc w:val="center"/>
              <w:rPr>
                <w:rFonts w:hint="eastAsia" w:ascii="宋体" w:hAnsi="宋体" w:cs="宋体"/>
                <w:color w:val="auto"/>
                <w:szCs w:val="21"/>
              </w:rPr>
            </w:pPr>
          </w:p>
        </w:tc>
        <w:tc>
          <w:tcPr>
            <w:tcW w:w="645" w:type="dxa"/>
            <w:noWrap w:val="0"/>
            <w:vAlign w:val="center"/>
          </w:tcPr>
          <w:p w14:paraId="0E493593">
            <w:pPr>
              <w:snapToGrid w:val="0"/>
              <w:spacing w:line="360" w:lineRule="auto"/>
              <w:jc w:val="center"/>
              <w:rPr>
                <w:rFonts w:hint="eastAsia" w:ascii="宋体" w:hAnsi="宋体" w:cs="宋体"/>
                <w:color w:val="auto"/>
                <w:szCs w:val="21"/>
              </w:rPr>
            </w:pPr>
          </w:p>
        </w:tc>
        <w:tc>
          <w:tcPr>
            <w:tcW w:w="660" w:type="dxa"/>
            <w:noWrap w:val="0"/>
            <w:vAlign w:val="center"/>
          </w:tcPr>
          <w:p w14:paraId="08D02159">
            <w:pPr>
              <w:snapToGrid w:val="0"/>
              <w:spacing w:line="360" w:lineRule="auto"/>
              <w:jc w:val="center"/>
              <w:rPr>
                <w:rFonts w:hint="eastAsia" w:ascii="宋体" w:hAnsi="宋体" w:cs="宋体"/>
                <w:color w:val="auto"/>
                <w:szCs w:val="21"/>
              </w:rPr>
            </w:pPr>
          </w:p>
        </w:tc>
        <w:tc>
          <w:tcPr>
            <w:tcW w:w="915" w:type="dxa"/>
            <w:noWrap w:val="0"/>
            <w:vAlign w:val="center"/>
          </w:tcPr>
          <w:p w14:paraId="348FDB27">
            <w:pPr>
              <w:snapToGrid w:val="0"/>
              <w:spacing w:line="360" w:lineRule="auto"/>
              <w:jc w:val="center"/>
              <w:rPr>
                <w:rFonts w:hint="eastAsia" w:ascii="宋体" w:hAnsi="宋体" w:cs="宋体"/>
                <w:color w:val="auto"/>
                <w:szCs w:val="21"/>
              </w:rPr>
            </w:pPr>
          </w:p>
        </w:tc>
        <w:tc>
          <w:tcPr>
            <w:tcW w:w="888" w:type="dxa"/>
            <w:noWrap w:val="0"/>
            <w:vAlign w:val="center"/>
          </w:tcPr>
          <w:p w14:paraId="1DACCD88">
            <w:pPr>
              <w:snapToGrid w:val="0"/>
              <w:spacing w:line="360" w:lineRule="auto"/>
              <w:jc w:val="center"/>
              <w:rPr>
                <w:rFonts w:hint="eastAsia" w:ascii="宋体" w:hAnsi="宋体" w:cs="宋体"/>
                <w:color w:val="auto"/>
                <w:szCs w:val="21"/>
              </w:rPr>
            </w:pPr>
          </w:p>
        </w:tc>
      </w:tr>
      <w:tr w14:paraId="40ED1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0396" w:type="dxa"/>
            <w:gridSpan w:val="7"/>
            <w:noWrap w:val="0"/>
            <w:vAlign w:val="center"/>
          </w:tcPr>
          <w:p w14:paraId="1453FB4F">
            <w:pPr>
              <w:snapToGrid w:val="0"/>
              <w:spacing w:line="360" w:lineRule="auto"/>
              <w:jc w:val="left"/>
              <w:rPr>
                <w:rFonts w:hint="eastAsia" w:ascii="宋体" w:hAnsi="宋体" w:cs="宋体"/>
                <w:color w:val="auto"/>
                <w:szCs w:val="21"/>
              </w:rPr>
            </w:pPr>
            <w:r>
              <w:rPr>
                <w:rFonts w:hint="eastAsia" w:hAnsi="宋体" w:cs="宋体"/>
                <w:color w:val="auto"/>
                <w:spacing w:val="-6"/>
              </w:rPr>
              <w:t>人民币大写金额：</w:t>
            </w:r>
            <w:r>
              <w:rPr>
                <w:rFonts w:hint="eastAsia" w:hAnsi="宋体" w:cs="宋体"/>
                <w:color w:val="auto"/>
                <w:spacing w:val="-6"/>
                <w:u w:val="single"/>
              </w:rPr>
              <w:t xml:space="preserve">                                       </w:t>
            </w:r>
            <w:r>
              <w:rPr>
                <w:rFonts w:hint="eastAsia" w:hAnsi="宋体" w:cs="宋体"/>
                <w:color w:val="auto"/>
                <w:spacing w:val="-6"/>
              </w:rPr>
              <w:t>（¥</w:t>
            </w:r>
            <w:r>
              <w:rPr>
                <w:rFonts w:hint="eastAsia" w:hAnsi="宋体" w:cs="宋体"/>
                <w:color w:val="auto"/>
                <w:spacing w:val="-6"/>
                <w:u w:val="single"/>
              </w:rPr>
              <w:t xml:space="preserve">                </w:t>
            </w:r>
            <w:r>
              <w:rPr>
                <w:rFonts w:hint="eastAsia" w:hAnsi="宋体" w:cs="宋体"/>
                <w:color w:val="auto"/>
                <w:spacing w:val="-6"/>
              </w:rPr>
              <w:t>元）</w:t>
            </w:r>
          </w:p>
        </w:tc>
      </w:tr>
    </w:tbl>
    <w:p w14:paraId="7BD7D2EE">
      <w:pPr>
        <w:spacing w:line="360" w:lineRule="auto"/>
        <w:rPr>
          <w:rFonts w:hint="eastAsia" w:ascii="宋体" w:hAnsi="宋体" w:cs="宋体"/>
          <w:color w:val="auto"/>
        </w:rPr>
      </w:pPr>
      <w:r>
        <w:rPr>
          <w:rFonts w:hint="eastAsia" w:ascii="宋体" w:hAnsi="宋体" w:cs="宋体"/>
          <w:color w:val="auto"/>
        </w:rPr>
        <w:t xml:space="preserve">    </w:t>
      </w:r>
      <w:r>
        <w:rPr>
          <w:rFonts w:hint="eastAsia" w:ascii="宋体" w:hAnsi="宋体" w:cs="宋体"/>
          <w:color w:val="auto"/>
          <w:szCs w:val="21"/>
        </w:rPr>
        <w:t>2、</w:t>
      </w:r>
      <w:r>
        <w:rPr>
          <w:rFonts w:hint="eastAsia" w:ascii="宋体" w:hAnsi="宋体" w:cs="宋体"/>
          <w:color w:val="auto"/>
        </w:rPr>
        <w:t>合同合计金额包括货物价款，备件、专用工具、安装、调试、检验、技术培训及技术资料和包装、运输等全部费用。如磋商文件、响应文件对其另有规定的，从其规定。</w:t>
      </w:r>
    </w:p>
    <w:p w14:paraId="3FE34819">
      <w:pPr>
        <w:spacing w:line="360" w:lineRule="auto"/>
        <w:rPr>
          <w:rFonts w:hint="eastAsia" w:ascii="宋体" w:hAnsi="宋体" w:cs="宋体"/>
          <w:b/>
          <w:color w:val="auto"/>
          <w:szCs w:val="21"/>
        </w:rPr>
      </w:pPr>
      <w:r>
        <w:rPr>
          <w:rFonts w:hint="eastAsia" w:ascii="宋体" w:hAnsi="宋体" w:cs="宋体"/>
          <w:color w:val="auto"/>
        </w:rPr>
        <w:t xml:space="preserve">    </w:t>
      </w:r>
      <w:r>
        <w:rPr>
          <w:rFonts w:hint="eastAsia" w:ascii="宋体" w:hAnsi="宋体" w:cs="宋体"/>
          <w:b/>
          <w:color w:val="auto"/>
          <w:szCs w:val="21"/>
        </w:rPr>
        <w:t>第二条　质量保证</w:t>
      </w:r>
    </w:p>
    <w:p w14:paraId="3A0C8D04">
      <w:pPr>
        <w:spacing w:line="360" w:lineRule="auto"/>
        <w:rPr>
          <w:rFonts w:hint="eastAsia" w:ascii="宋体" w:hAnsi="宋体" w:cs="宋体"/>
          <w:color w:val="auto"/>
          <w:szCs w:val="21"/>
        </w:rPr>
      </w:pPr>
      <w:r>
        <w:rPr>
          <w:rFonts w:hint="eastAsia" w:ascii="宋体" w:hAnsi="宋体" w:cs="宋体"/>
          <w:b/>
          <w:color w:val="auto"/>
          <w:szCs w:val="21"/>
        </w:rPr>
        <w:t xml:space="preserve">    </w:t>
      </w:r>
      <w:r>
        <w:rPr>
          <w:rFonts w:hint="eastAsia" w:ascii="宋体" w:hAnsi="宋体" w:cs="宋体"/>
          <w:color w:val="auto"/>
          <w:szCs w:val="21"/>
        </w:rPr>
        <w:t>1、乙方所提供的货物型号、技术规格、技术参数等质量必须与磋商文件、响应文件和承诺相一致。乙方提供的节能和环保产品必须是列入品目清单的产品。</w:t>
      </w:r>
    </w:p>
    <w:p w14:paraId="43FA5952">
      <w:pPr>
        <w:spacing w:line="360" w:lineRule="auto"/>
        <w:rPr>
          <w:rFonts w:hint="eastAsia" w:ascii="宋体" w:hAnsi="宋体" w:cs="宋体"/>
          <w:color w:val="auto"/>
          <w:szCs w:val="21"/>
        </w:rPr>
      </w:pPr>
      <w:r>
        <w:rPr>
          <w:rFonts w:hint="eastAsia" w:ascii="宋体" w:hAnsi="宋体" w:cs="宋体"/>
          <w:color w:val="auto"/>
          <w:szCs w:val="21"/>
        </w:rPr>
        <w:t xml:space="preserve">    2、乙方所提供的货物必须是全新、未经使用的原装产品，且在正常安装、使用和保养条件下，其使用寿命期内各项指标均达到质量要求。</w:t>
      </w:r>
    </w:p>
    <w:p w14:paraId="26C872B0">
      <w:pPr>
        <w:spacing w:line="360" w:lineRule="auto"/>
        <w:rPr>
          <w:rFonts w:hint="eastAsia" w:ascii="宋体" w:hAnsi="宋体" w:cs="宋体"/>
          <w:b/>
          <w:color w:val="auto"/>
          <w:szCs w:val="21"/>
        </w:rPr>
      </w:pPr>
      <w:r>
        <w:rPr>
          <w:rFonts w:hint="eastAsia" w:ascii="宋体" w:hAnsi="宋体" w:cs="宋体"/>
          <w:color w:val="auto"/>
          <w:szCs w:val="21"/>
        </w:rPr>
        <w:t xml:space="preserve">    </w:t>
      </w:r>
      <w:r>
        <w:rPr>
          <w:rFonts w:hint="eastAsia" w:ascii="宋体" w:hAnsi="宋体" w:cs="宋体"/>
          <w:b/>
          <w:color w:val="auto"/>
          <w:szCs w:val="21"/>
        </w:rPr>
        <w:t>第三条　权利保证</w:t>
      </w:r>
    </w:p>
    <w:p w14:paraId="44A217B2">
      <w:pPr>
        <w:spacing w:line="360" w:lineRule="auto"/>
        <w:rPr>
          <w:rFonts w:hint="eastAsia" w:ascii="宋体" w:hAnsi="宋体" w:cs="宋体"/>
          <w:color w:val="auto"/>
          <w:szCs w:val="21"/>
        </w:rPr>
      </w:pPr>
      <w:r>
        <w:rPr>
          <w:rFonts w:hint="eastAsia" w:ascii="宋体" w:hAnsi="宋体" w:cs="宋体"/>
          <w:b/>
          <w:color w:val="auto"/>
          <w:szCs w:val="21"/>
        </w:rPr>
        <w:t xml:space="preserve">    </w:t>
      </w:r>
      <w:r>
        <w:rPr>
          <w:rFonts w:hint="eastAsia" w:ascii="宋体" w:hAnsi="宋体" w:cs="宋体"/>
          <w:color w:val="auto"/>
          <w:szCs w:val="21"/>
        </w:rPr>
        <w:t>乙方应保证所提供货物在使用时不会侵犯任何第三方的专利权、商标权、工业设计权或其他权利。</w:t>
      </w:r>
    </w:p>
    <w:p w14:paraId="40FDAB8B">
      <w:pPr>
        <w:spacing w:line="360" w:lineRule="auto"/>
        <w:rPr>
          <w:rFonts w:hint="eastAsia" w:ascii="宋体" w:hAnsi="宋体" w:cs="宋体"/>
          <w:color w:val="auto"/>
          <w:szCs w:val="21"/>
        </w:rPr>
      </w:pPr>
      <w:r>
        <w:rPr>
          <w:rFonts w:hint="eastAsia" w:ascii="宋体" w:hAnsi="宋体" w:cs="宋体"/>
          <w:color w:val="auto"/>
          <w:szCs w:val="21"/>
        </w:rPr>
        <w:t xml:space="preserve">    乙方应按磋商文件规定的时间或响应文件承诺的时间向甲方提供使用货物的有关技术资料。</w:t>
      </w:r>
    </w:p>
    <w:p w14:paraId="604971BC">
      <w:pPr>
        <w:spacing w:line="360" w:lineRule="auto"/>
        <w:rPr>
          <w:rFonts w:hint="eastAsia" w:ascii="宋体" w:hAnsi="宋体" w:cs="宋体"/>
          <w:color w:val="auto"/>
          <w:szCs w:val="21"/>
        </w:rPr>
      </w:pPr>
      <w:r>
        <w:rPr>
          <w:rFonts w:hint="eastAsia" w:ascii="宋体" w:hAnsi="宋体" w:cs="宋体"/>
          <w:color w:val="auto"/>
          <w:szCs w:val="21"/>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BBEC777">
      <w:pPr>
        <w:spacing w:line="360" w:lineRule="auto"/>
        <w:rPr>
          <w:rFonts w:hint="eastAsia" w:ascii="宋体" w:hAnsi="宋体" w:cs="宋体"/>
          <w:color w:val="auto"/>
          <w:szCs w:val="21"/>
        </w:rPr>
      </w:pPr>
      <w:r>
        <w:rPr>
          <w:rFonts w:hint="eastAsia" w:ascii="宋体" w:hAnsi="宋体" w:cs="宋体"/>
          <w:color w:val="auto"/>
          <w:szCs w:val="21"/>
        </w:rPr>
        <w:t xml:space="preserve">    乙方保证所交付的货物的所有权完全属于乙方且无任何抵押、质押、查封等产权瑕疵。</w:t>
      </w:r>
    </w:p>
    <w:p w14:paraId="3D215BAC">
      <w:pPr>
        <w:spacing w:line="360" w:lineRule="auto"/>
        <w:rPr>
          <w:rFonts w:hint="eastAsia" w:ascii="宋体" w:hAnsi="宋体" w:cs="宋体"/>
          <w:b/>
          <w:color w:val="auto"/>
          <w:szCs w:val="21"/>
        </w:rPr>
      </w:pPr>
      <w:r>
        <w:rPr>
          <w:rFonts w:hint="eastAsia" w:ascii="宋体" w:hAnsi="宋体" w:cs="宋体"/>
          <w:color w:val="auto"/>
          <w:szCs w:val="21"/>
        </w:rPr>
        <w:t xml:space="preserve">    </w:t>
      </w:r>
      <w:r>
        <w:rPr>
          <w:rFonts w:hint="eastAsia" w:ascii="宋体" w:hAnsi="宋体" w:cs="宋体"/>
          <w:b/>
          <w:color w:val="auto"/>
          <w:szCs w:val="21"/>
        </w:rPr>
        <w:t>第四条　包装和运输</w:t>
      </w:r>
    </w:p>
    <w:p w14:paraId="3D3DCF96">
      <w:pPr>
        <w:spacing w:line="360" w:lineRule="auto"/>
        <w:rPr>
          <w:rFonts w:hint="eastAsia" w:ascii="宋体" w:hAnsi="宋体" w:cs="宋体"/>
          <w:color w:val="auto"/>
          <w:szCs w:val="21"/>
        </w:rPr>
      </w:pPr>
      <w:r>
        <w:rPr>
          <w:rFonts w:hint="eastAsia" w:ascii="宋体" w:hAnsi="宋体" w:cs="宋体"/>
          <w:b/>
          <w:color w:val="auto"/>
          <w:szCs w:val="21"/>
        </w:rPr>
        <w:t xml:space="preserve">    </w:t>
      </w:r>
      <w:r>
        <w:rPr>
          <w:rFonts w:hint="eastAsia" w:ascii="宋体" w:hAnsi="宋体" w:cs="宋体"/>
          <w:color w:val="auto"/>
          <w:szCs w:val="21"/>
        </w:rPr>
        <w:t>1、乙方提供的货物均应按磋商文件、响应文件要求的包装材料、包装标准、包装方式进行包装，每一包装单元内应附详细的装箱单和质量合格证。</w:t>
      </w:r>
    </w:p>
    <w:p w14:paraId="0AD93070">
      <w:pPr>
        <w:spacing w:line="360" w:lineRule="auto"/>
        <w:rPr>
          <w:rFonts w:hint="eastAsia" w:ascii="宋体" w:hAnsi="宋体" w:cs="宋体"/>
          <w:color w:val="auto"/>
          <w:szCs w:val="21"/>
        </w:rPr>
      </w:pPr>
      <w:r>
        <w:rPr>
          <w:rFonts w:hint="eastAsia" w:ascii="宋体" w:hAnsi="宋体" w:cs="宋体"/>
          <w:color w:val="auto"/>
          <w:szCs w:val="21"/>
        </w:rPr>
        <w:t xml:space="preserve">    2、货物的运输方式：</w:t>
      </w:r>
      <w:r>
        <w:rPr>
          <w:rFonts w:hint="eastAsia" w:ascii="宋体" w:hAnsi="宋体" w:cs="宋体"/>
          <w:color w:val="auto"/>
          <w:szCs w:val="21"/>
          <w:u w:val="single"/>
        </w:rPr>
        <w:t>由乙方负责</w:t>
      </w:r>
      <w:r>
        <w:rPr>
          <w:rFonts w:hint="eastAsia" w:ascii="宋体" w:hAnsi="宋体" w:cs="宋体"/>
          <w:color w:val="auto"/>
          <w:szCs w:val="21"/>
        </w:rPr>
        <w:t>。</w:t>
      </w:r>
    </w:p>
    <w:p w14:paraId="35F5288E">
      <w:pPr>
        <w:spacing w:line="360" w:lineRule="auto"/>
        <w:rPr>
          <w:rFonts w:hint="eastAsia" w:ascii="宋体" w:hAnsi="宋体" w:cs="宋体"/>
          <w:color w:val="auto"/>
          <w:szCs w:val="21"/>
        </w:rPr>
      </w:pPr>
      <w:r>
        <w:rPr>
          <w:rFonts w:hint="eastAsia" w:ascii="宋体" w:hAnsi="宋体" w:cs="宋体"/>
          <w:color w:val="auto"/>
          <w:szCs w:val="21"/>
        </w:rPr>
        <w:t xml:space="preserve">    3、乙方负责货物运输，货物运输合理损耗及计算方法：</w:t>
      </w:r>
      <w:r>
        <w:rPr>
          <w:rFonts w:hint="eastAsia" w:ascii="宋体" w:hAnsi="宋体" w:cs="宋体"/>
          <w:color w:val="auto"/>
          <w:szCs w:val="21"/>
          <w:u w:val="single"/>
        </w:rPr>
        <w:t>不接受损耗</w:t>
      </w:r>
      <w:r>
        <w:rPr>
          <w:rFonts w:hint="eastAsia" w:ascii="宋体" w:hAnsi="宋体" w:cs="宋体"/>
          <w:color w:val="auto"/>
          <w:szCs w:val="21"/>
        </w:rPr>
        <w:t>。</w:t>
      </w:r>
    </w:p>
    <w:p w14:paraId="5767FA1D">
      <w:pPr>
        <w:spacing w:line="360" w:lineRule="auto"/>
        <w:rPr>
          <w:rFonts w:hint="eastAsia" w:ascii="宋体" w:hAnsi="宋体" w:cs="宋体"/>
          <w:b/>
          <w:color w:val="auto"/>
          <w:szCs w:val="21"/>
        </w:rPr>
      </w:pPr>
      <w:r>
        <w:rPr>
          <w:rFonts w:hint="eastAsia" w:ascii="宋体" w:hAnsi="宋体" w:cs="宋体"/>
          <w:color w:val="auto"/>
          <w:szCs w:val="21"/>
        </w:rPr>
        <w:t xml:space="preserve">    </w:t>
      </w:r>
      <w:r>
        <w:rPr>
          <w:rFonts w:hint="eastAsia" w:ascii="宋体" w:hAnsi="宋体" w:cs="宋体"/>
          <w:b/>
          <w:color w:val="auto"/>
          <w:szCs w:val="21"/>
        </w:rPr>
        <w:t>第五条　交付和验收</w:t>
      </w:r>
    </w:p>
    <w:p w14:paraId="40D31FFB">
      <w:pPr>
        <w:spacing w:line="360" w:lineRule="auto"/>
        <w:rPr>
          <w:rFonts w:hint="eastAsia" w:ascii="宋体" w:hAnsi="宋体" w:cs="宋体"/>
          <w:color w:val="auto"/>
          <w:szCs w:val="21"/>
        </w:rPr>
      </w:pPr>
      <w:r>
        <w:rPr>
          <w:rFonts w:hint="eastAsia" w:ascii="宋体" w:hAnsi="宋体" w:cs="宋体"/>
          <w:b/>
          <w:color w:val="auto"/>
          <w:szCs w:val="21"/>
        </w:rPr>
        <w:t xml:space="preserve">    </w:t>
      </w:r>
      <w:r>
        <w:rPr>
          <w:rFonts w:hint="eastAsia" w:ascii="宋体" w:hAnsi="宋体" w:cs="宋体"/>
          <w:color w:val="auto"/>
          <w:szCs w:val="21"/>
        </w:rPr>
        <w:t>1、交货时间：</w:t>
      </w:r>
      <w:r>
        <w:rPr>
          <w:rFonts w:hint="eastAsia" w:ascii="宋体" w:hAnsi="宋体" w:cs="宋体"/>
          <w:color w:val="auto"/>
          <w:szCs w:val="21"/>
          <w:u w:val="single"/>
        </w:rPr>
        <w:t xml:space="preserve">   按乙方响应文件中所承诺的时间   </w:t>
      </w:r>
      <w:r>
        <w:rPr>
          <w:rFonts w:hint="eastAsia" w:ascii="宋体" w:hAnsi="宋体" w:cs="宋体"/>
          <w:color w:val="auto"/>
          <w:szCs w:val="21"/>
        </w:rPr>
        <w:t>、地点：</w:t>
      </w:r>
      <w:r>
        <w:rPr>
          <w:rFonts w:hint="eastAsia" w:ascii="宋体" w:hAnsi="宋体" w:cs="宋体"/>
          <w:color w:val="auto"/>
          <w:szCs w:val="21"/>
          <w:u w:val="single"/>
        </w:rPr>
        <w:t xml:space="preserve">   采购人指定地点   </w:t>
      </w:r>
      <w:r>
        <w:rPr>
          <w:rFonts w:hint="eastAsia" w:ascii="宋体" w:hAnsi="宋体" w:cs="宋体"/>
          <w:color w:val="auto"/>
          <w:szCs w:val="21"/>
        </w:rPr>
        <w:t>。</w:t>
      </w:r>
    </w:p>
    <w:p w14:paraId="6EBEA6AB">
      <w:pPr>
        <w:spacing w:line="360" w:lineRule="auto"/>
        <w:rPr>
          <w:rFonts w:hint="eastAsia" w:ascii="宋体" w:hAnsi="宋体" w:cs="宋体"/>
          <w:color w:val="auto"/>
          <w:szCs w:val="21"/>
        </w:rPr>
      </w:pPr>
      <w:r>
        <w:rPr>
          <w:rFonts w:hint="eastAsia" w:ascii="宋体" w:hAnsi="宋体" w:cs="宋体"/>
          <w:color w:val="auto"/>
          <w:szCs w:val="21"/>
        </w:rPr>
        <w:t xml:space="preserve">    2、乙方提供不符合磋商文件、响应文件和本合同规定的货物，甲方有权拒绝接受。</w:t>
      </w:r>
    </w:p>
    <w:p w14:paraId="292C24F0">
      <w:pPr>
        <w:spacing w:line="360" w:lineRule="auto"/>
        <w:rPr>
          <w:rFonts w:hint="eastAsia" w:ascii="宋体" w:hAnsi="宋体" w:cs="宋体"/>
          <w:color w:val="auto"/>
          <w:szCs w:val="21"/>
        </w:rPr>
      </w:pPr>
      <w:r>
        <w:rPr>
          <w:rFonts w:hint="eastAsia" w:ascii="宋体" w:hAnsi="宋体" w:cs="宋体"/>
          <w:color w:val="auto"/>
          <w:szCs w:val="21"/>
        </w:rPr>
        <w:t xml:space="preserve">    3、乙方应将所提供货物的装箱清单、用户手册、原厂保修卡、随机资料、工具和备品、备件等交付给甲方，如有缺失应及时补齐，否则视为逾期交货。</w:t>
      </w:r>
    </w:p>
    <w:p w14:paraId="171E6D90">
      <w:pPr>
        <w:spacing w:line="360" w:lineRule="auto"/>
        <w:rPr>
          <w:rFonts w:hint="eastAsia" w:ascii="宋体" w:hAnsi="宋体" w:cs="宋体"/>
          <w:color w:val="auto"/>
          <w:szCs w:val="21"/>
        </w:rPr>
      </w:pPr>
      <w:r>
        <w:rPr>
          <w:rFonts w:hint="eastAsia" w:ascii="宋体" w:hAnsi="宋体" w:cs="宋体"/>
          <w:color w:val="auto"/>
          <w:szCs w:val="21"/>
        </w:rPr>
        <w:t xml:space="preserve">    4、甲方应当在到货（安装、调试完）后七个工作日内进行验收，逾期不验收的，乙方可视同验收合格。验收合格后由甲乙双方签署货物验收单并加盖采购人公章，甲乙双方各执一份。</w:t>
      </w:r>
    </w:p>
    <w:p w14:paraId="6DC3237A">
      <w:pPr>
        <w:spacing w:line="360" w:lineRule="auto"/>
        <w:rPr>
          <w:rFonts w:hint="eastAsia" w:ascii="宋体" w:hAnsi="宋体" w:cs="宋体"/>
          <w:color w:val="auto"/>
          <w:szCs w:val="21"/>
        </w:rPr>
      </w:pPr>
      <w:r>
        <w:rPr>
          <w:rFonts w:hint="eastAsia" w:ascii="宋体" w:hAnsi="宋体" w:cs="宋体"/>
          <w:color w:val="auto"/>
          <w:szCs w:val="21"/>
        </w:rPr>
        <w:t xml:space="preserve">    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262A6E9D">
      <w:pPr>
        <w:spacing w:line="360" w:lineRule="auto"/>
        <w:rPr>
          <w:rFonts w:hint="eastAsia" w:ascii="宋体" w:hAnsi="宋体" w:cs="宋体"/>
          <w:color w:val="auto"/>
          <w:szCs w:val="21"/>
        </w:rPr>
      </w:pPr>
      <w:r>
        <w:rPr>
          <w:rFonts w:hint="eastAsia" w:ascii="宋体" w:hAnsi="宋体" w:cs="宋体"/>
          <w:color w:val="auto"/>
          <w:szCs w:val="21"/>
        </w:rPr>
        <w:t xml:space="preserve">    6、甲方对验收有异议的，在验收后五个工作日内以书面形式向乙方提出，乙方应自收到甲方书面异议后</w:t>
      </w:r>
      <w:r>
        <w:rPr>
          <w:rFonts w:hint="eastAsia" w:ascii="宋体" w:hAnsi="宋体" w:cs="宋体"/>
          <w:color w:val="auto"/>
          <w:szCs w:val="21"/>
          <w:u w:val="single"/>
        </w:rPr>
        <w:t xml:space="preserve"> 30 </w:t>
      </w:r>
      <w:r>
        <w:rPr>
          <w:rFonts w:hint="eastAsia" w:ascii="宋体" w:hAnsi="宋体" w:cs="宋体"/>
          <w:color w:val="auto"/>
          <w:szCs w:val="21"/>
        </w:rPr>
        <w:t>日内及时予以解决。</w:t>
      </w:r>
    </w:p>
    <w:p w14:paraId="3209E0A7">
      <w:pPr>
        <w:spacing w:line="360" w:lineRule="auto"/>
        <w:rPr>
          <w:rFonts w:hint="eastAsia" w:ascii="宋体" w:hAnsi="宋体" w:cs="宋体"/>
          <w:b/>
          <w:color w:val="auto"/>
          <w:szCs w:val="21"/>
        </w:rPr>
      </w:pPr>
      <w:r>
        <w:rPr>
          <w:rFonts w:hint="eastAsia" w:ascii="宋体" w:hAnsi="宋体" w:cs="宋体"/>
          <w:color w:val="auto"/>
          <w:szCs w:val="21"/>
        </w:rPr>
        <w:t xml:space="preserve">    </w:t>
      </w:r>
      <w:r>
        <w:rPr>
          <w:rFonts w:hint="eastAsia" w:ascii="宋体" w:hAnsi="宋体" w:cs="宋体"/>
          <w:b/>
          <w:color w:val="auto"/>
          <w:szCs w:val="21"/>
        </w:rPr>
        <w:t>第六条　安装和培训</w:t>
      </w:r>
    </w:p>
    <w:p w14:paraId="0FC0AA16">
      <w:pPr>
        <w:spacing w:line="360" w:lineRule="auto"/>
        <w:rPr>
          <w:rFonts w:hint="eastAsia" w:ascii="宋体" w:hAnsi="宋体" w:cs="宋体"/>
          <w:color w:val="auto"/>
          <w:szCs w:val="21"/>
        </w:rPr>
      </w:pPr>
      <w:r>
        <w:rPr>
          <w:rFonts w:hint="eastAsia" w:ascii="宋体" w:hAnsi="宋体" w:cs="宋体"/>
          <w:b/>
          <w:color w:val="auto"/>
          <w:szCs w:val="21"/>
        </w:rPr>
        <w:t xml:space="preserve">    </w:t>
      </w:r>
      <w:r>
        <w:rPr>
          <w:rFonts w:hint="eastAsia" w:ascii="宋体" w:hAnsi="宋体" w:cs="宋体"/>
          <w:color w:val="auto"/>
          <w:szCs w:val="21"/>
        </w:rPr>
        <w:t>1、甲方应提供必要安装条件（如场地、电源、水源等）。</w:t>
      </w:r>
    </w:p>
    <w:p w14:paraId="353B533C">
      <w:pPr>
        <w:spacing w:line="360" w:lineRule="auto"/>
        <w:rPr>
          <w:rFonts w:hint="eastAsia" w:ascii="宋体" w:hAnsi="宋体" w:cs="宋体"/>
          <w:color w:val="auto"/>
          <w:szCs w:val="21"/>
        </w:rPr>
      </w:pPr>
      <w:r>
        <w:rPr>
          <w:rFonts w:hint="eastAsia" w:ascii="宋体" w:hAnsi="宋体" w:cs="宋体"/>
          <w:color w:val="auto"/>
          <w:szCs w:val="21"/>
        </w:rPr>
        <w:t xml:space="preserve">    2、乙方负责甲方有关人员的培训。培训时间、地点：</w:t>
      </w:r>
      <w:r>
        <w:rPr>
          <w:rFonts w:hint="eastAsia" w:ascii="宋体" w:hAnsi="宋体" w:cs="宋体"/>
          <w:color w:val="auto"/>
          <w:szCs w:val="21"/>
          <w:u w:val="single"/>
        </w:rPr>
        <w:t xml:space="preserve">   由甲方根据情况合理安排  </w:t>
      </w:r>
      <w:r>
        <w:rPr>
          <w:rFonts w:hint="eastAsia" w:ascii="宋体" w:hAnsi="宋体" w:cs="宋体"/>
          <w:color w:val="auto"/>
          <w:szCs w:val="21"/>
        </w:rPr>
        <w:t>。</w:t>
      </w:r>
    </w:p>
    <w:p w14:paraId="5C95F1DF">
      <w:pPr>
        <w:spacing w:line="360" w:lineRule="auto"/>
        <w:rPr>
          <w:rFonts w:hint="eastAsia" w:ascii="宋体" w:hAnsi="宋体" w:cs="宋体"/>
          <w:b/>
          <w:color w:val="auto"/>
          <w:szCs w:val="21"/>
        </w:rPr>
      </w:pPr>
      <w:r>
        <w:rPr>
          <w:rFonts w:hint="eastAsia" w:ascii="宋体" w:hAnsi="宋体" w:cs="宋体"/>
          <w:color w:val="auto"/>
          <w:szCs w:val="21"/>
        </w:rPr>
        <w:t xml:space="preserve">    </w:t>
      </w:r>
      <w:r>
        <w:rPr>
          <w:rFonts w:hint="eastAsia" w:ascii="宋体" w:hAnsi="宋体" w:cs="宋体"/>
          <w:b/>
          <w:color w:val="auto"/>
          <w:szCs w:val="21"/>
        </w:rPr>
        <w:t>第七条  售后服务、保修期</w:t>
      </w:r>
    </w:p>
    <w:p w14:paraId="3B3F4F4C">
      <w:pPr>
        <w:spacing w:line="360" w:lineRule="auto"/>
        <w:rPr>
          <w:rFonts w:hint="eastAsia" w:ascii="宋体" w:hAnsi="宋体" w:cs="宋体"/>
          <w:color w:val="auto"/>
          <w:szCs w:val="21"/>
        </w:rPr>
      </w:pPr>
      <w:r>
        <w:rPr>
          <w:rFonts w:hint="eastAsia" w:ascii="宋体" w:hAnsi="宋体" w:cs="宋体"/>
          <w:b/>
          <w:color w:val="auto"/>
          <w:szCs w:val="21"/>
        </w:rPr>
        <w:t xml:space="preserve">    </w:t>
      </w:r>
      <w:r>
        <w:rPr>
          <w:rFonts w:hint="eastAsia" w:ascii="宋体" w:hAnsi="宋体" w:cs="宋体"/>
          <w:color w:val="auto"/>
          <w:szCs w:val="21"/>
        </w:rPr>
        <w:t>1、乙方应按照国家有关法律法规和“三包”规定以及磋商文件、响应文件和本合同所附的《服务承诺》，为甲方提供售后服务。</w:t>
      </w:r>
    </w:p>
    <w:p w14:paraId="097A88DA">
      <w:pPr>
        <w:spacing w:line="360" w:lineRule="auto"/>
        <w:rPr>
          <w:rFonts w:hint="eastAsia" w:ascii="宋体" w:hAnsi="宋体" w:cs="宋体"/>
          <w:color w:val="auto"/>
          <w:szCs w:val="21"/>
        </w:rPr>
      </w:pPr>
      <w:r>
        <w:rPr>
          <w:rFonts w:hint="eastAsia" w:ascii="宋体" w:hAnsi="宋体" w:cs="宋体"/>
          <w:color w:val="auto"/>
          <w:szCs w:val="21"/>
        </w:rPr>
        <w:t xml:space="preserve">    2、货物保修期：</w:t>
      </w:r>
      <w:r>
        <w:rPr>
          <w:rFonts w:hint="eastAsia" w:ascii="宋体" w:hAnsi="宋体" w:cs="宋体"/>
          <w:color w:val="auto"/>
          <w:szCs w:val="21"/>
          <w:u w:val="single"/>
        </w:rPr>
        <w:t xml:space="preserve">      按响应文件的承诺      </w:t>
      </w:r>
      <w:r>
        <w:rPr>
          <w:rFonts w:hint="eastAsia" w:ascii="宋体" w:hAnsi="宋体" w:cs="宋体"/>
          <w:color w:val="auto"/>
          <w:szCs w:val="21"/>
        </w:rPr>
        <w:t>。</w:t>
      </w:r>
    </w:p>
    <w:p w14:paraId="512CC74E">
      <w:pPr>
        <w:spacing w:line="360" w:lineRule="auto"/>
        <w:rPr>
          <w:rFonts w:hint="eastAsia" w:ascii="宋体" w:hAnsi="宋体" w:cs="宋体"/>
          <w:b/>
          <w:color w:val="auto"/>
          <w:szCs w:val="21"/>
        </w:rPr>
      </w:pPr>
      <w:r>
        <w:rPr>
          <w:rFonts w:hint="eastAsia" w:ascii="宋体" w:hAnsi="宋体" w:cs="宋体"/>
          <w:color w:val="auto"/>
          <w:szCs w:val="21"/>
        </w:rPr>
        <w:t xml:space="preserve">    </w:t>
      </w:r>
      <w:r>
        <w:rPr>
          <w:rFonts w:hint="eastAsia" w:ascii="宋体" w:hAnsi="宋体" w:cs="宋体"/>
          <w:b/>
          <w:color w:val="auto"/>
          <w:szCs w:val="21"/>
        </w:rPr>
        <w:t>第八条　付款方式</w:t>
      </w:r>
    </w:p>
    <w:p w14:paraId="0A8F6E6D">
      <w:pPr>
        <w:spacing w:line="360" w:lineRule="auto"/>
        <w:rPr>
          <w:rFonts w:hint="eastAsia" w:ascii="宋体" w:hAnsi="宋体" w:cs="宋体"/>
          <w:color w:val="auto"/>
        </w:rPr>
      </w:pPr>
      <w:r>
        <w:rPr>
          <w:rFonts w:hint="eastAsia" w:ascii="宋体" w:hAnsi="宋体" w:cs="宋体"/>
          <w:b/>
          <w:color w:val="auto"/>
          <w:szCs w:val="21"/>
        </w:rPr>
        <w:t xml:space="preserve">    </w:t>
      </w:r>
      <w:r>
        <w:rPr>
          <w:rFonts w:hint="eastAsia" w:ascii="宋体" w:hAnsi="宋体" w:cs="宋体"/>
          <w:color w:val="auto"/>
        </w:rPr>
        <w:t>1、当采购数量与实际使用数量不一致时，乙方应根据实际使用量供货，合同的最终结算金额按实</w:t>
      </w:r>
    </w:p>
    <w:p w14:paraId="3342A090">
      <w:pPr>
        <w:spacing w:line="360" w:lineRule="auto"/>
        <w:rPr>
          <w:rFonts w:hint="eastAsia" w:ascii="宋体" w:hAnsi="宋体" w:cs="宋体"/>
          <w:color w:val="auto"/>
        </w:rPr>
      </w:pPr>
      <w:r>
        <w:rPr>
          <w:rFonts w:hint="eastAsia" w:ascii="宋体" w:hAnsi="宋体" w:cs="宋体"/>
          <w:color w:val="auto"/>
        </w:rPr>
        <w:t>际使用量乘以成交单价进行计算。</w:t>
      </w:r>
    </w:p>
    <w:p w14:paraId="64A7BC7C">
      <w:pPr>
        <w:spacing w:line="360" w:lineRule="auto"/>
        <w:rPr>
          <w:rFonts w:hint="eastAsia" w:ascii="宋体" w:hAnsi="宋体" w:cs="宋体"/>
          <w:color w:val="auto"/>
        </w:rPr>
      </w:pPr>
      <w:r>
        <w:rPr>
          <w:rFonts w:hint="eastAsia" w:ascii="宋体" w:hAnsi="宋体" w:cs="宋体"/>
          <w:color w:val="auto"/>
        </w:rPr>
        <w:t xml:space="preserve">    2、资金性质：</w:t>
      </w:r>
      <w:r>
        <w:rPr>
          <w:rFonts w:hint="eastAsia" w:ascii="宋体" w:hAnsi="宋体" w:cs="宋体"/>
          <w:color w:val="auto"/>
          <w:u w:val="single"/>
        </w:rPr>
        <w:t xml:space="preserve">   财政资金  </w:t>
      </w:r>
      <w:r>
        <w:rPr>
          <w:rFonts w:hint="eastAsia" w:ascii="宋体" w:hAnsi="宋体" w:cs="宋体"/>
          <w:color w:val="auto"/>
        </w:rPr>
        <w:t>。</w:t>
      </w:r>
    </w:p>
    <w:p w14:paraId="0365A508">
      <w:pPr>
        <w:pStyle w:val="16"/>
        <w:rPr>
          <w:rFonts w:hint="eastAsia"/>
          <w:color w:val="auto"/>
        </w:rPr>
      </w:pPr>
      <w:r>
        <w:rPr>
          <w:rFonts w:hint="eastAsia" w:ascii="宋体" w:hAnsi="宋体" w:cs="宋体"/>
          <w:color w:val="auto"/>
        </w:rPr>
        <w:t xml:space="preserve">    3、付款方式：</w:t>
      </w:r>
      <w:r>
        <w:rPr>
          <w:rFonts w:hint="eastAsia"/>
          <w:color w:val="auto"/>
        </w:rPr>
        <w:t>1、合同签订后5个工作日内采购人向供应商预付50%合同款，供应商安装调试完毕并经采购人验收合格后，一年内采购人向供应商支付50%合同款。</w:t>
      </w:r>
    </w:p>
    <w:p w14:paraId="45E07F77">
      <w:pPr>
        <w:pStyle w:val="16"/>
        <w:rPr>
          <w:color w:val="auto"/>
        </w:rPr>
      </w:pPr>
      <w:r>
        <w:rPr>
          <w:rFonts w:hint="eastAsia"/>
          <w:color w:val="auto"/>
        </w:rPr>
        <w:t>2、 采购人付款前，成交人应向采购人开具等额有效的增值税发票，采购人未收到发票的，有权不予支付相应款项直至成交人提供合格发票，并不承担延迟付款责任。发票认证通过是付款的必要前提之一。</w:t>
      </w:r>
    </w:p>
    <w:p w14:paraId="1656B472">
      <w:pPr>
        <w:spacing w:line="360" w:lineRule="auto"/>
        <w:rPr>
          <w:rFonts w:hint="eastAsia" w:ascii="宋体" w:hAnsi="宋体" w:cs="宋体"/>
          <w:b/>
          <w:color w:val="auto"/>
          <w:szCs w:val="21"/>
        </w:rPr>
      </w:pPr>
      <w:r>
        <w:rPr>
          <w:rFonts w:hint="eastAsia" w:ascii="宋体" w:hAnsi="宋体" w:cs="宋体"/>
          <w:color w:val="auto"/>
        </w:rPr>
        <w:t xml:space="preserve">    </w:t>
      </w:r>
      <w:r>
        <w:rPr>
          <w:rFonts w:hint="eastAsia" w:ascii="宋体" w:hAnsi="宋体" w:cs="宋体"/>
          <w:b/>
          <w:color w:val="auto"/>
          <w:szCs w:val="21"/>
        </w:rPr>
        <w:t>第九条　</w:t>
      </w:r>
      <w:r>
        <w:rPr>
          <w:rFonts w:hint="eastAsia" w:ascii="宋体" w:hAnsi="宋体" w:cs="宋体"/>
          <w:b/>
          <w:color w:val="auto"/>
        </w:rPr>
        <w:t>履约</w:t>
      </w:r>
      <w:r>
        <w:rPr>
          <w:rFonts w:hint="eastAsia" w:ascii="宋体" w:hAnsi="宋体" w:cs="宋体"/>
          <w:b/>
          <w:color w:val="auto"/>
          <w:szCs w:val="21"/>
        </w:rPr>
        <w:t>保证金</w:t>
      </w:r>
    </w:p>
    <w:p w14:paraId="2BBF6538">
      <w:pPr>
        <w:spacing w:line="360" w:lineRule="auto"/>
        <w:rPr>
          <w:rFonts w:hint="eastAsia" w:ascii="宋体" w:hAnsi="宋体" w:cs="宋体"/>
          <w:color w:val="auto"/>
        </w:rPr>
      </w:pPr>
      <w:r>
        <w:rPr>
          <w:rFonts w:hint="eastAsia" w:ascii="宋体" w:hAnsi="宋体" w:cs="宋体"/>
          <w:color w:val="auto"/>
          <w:szCs w:val="21"/>
        </w:rPr>
        <w:t xml:space="preserve">    按本项目履约保证金规定比例缴纳。</w:t>
      </w:r>
    </w:p>
    <w:p w14:paraId="614E77D0">
      <w:pPr>
        <w:spacing w:line="360" w:lineRule="auto"/>
        <w:rPr>
          <w:rFonts w:hint="eastAsia" w:ascii="宋体" w:hAnsi="宋体" w:cs="宋体"/>
          <w:b/>
          <w:color w:val="auto"/>
          <w:szCs w:val="21"/>
        </w:rPr>
      </w:pPr>
      <w:r>
        <w:rPr>
          <w:rFonts w:hint="eastAsia" w:ascii="宋体" w:hAnsi="宋体" w:cs="宋体"/>
          <w:color w:val="auto"/>
        </w:rPr>
        <w:t xml:space="preserve">    </w:t>
      </w:r>
      <w:r>
        <w:rPr>
          <w:rFonts w:hint="eastAsia" w:ascii="宋体" w:hAnsi="宋体" w:cs="宋体"/>
          <w:b/>
          <w:color w:val="auto"/>
          <w:szCs w:val="21"/>
        </w:rPr>
        <w:t>第十条  税费</w:t>
      </w:r>
    </w:p>
    <w:p w14:paraId="303D3B44">
      <w:pPr>
        <w:spacing w:line="360" w:lineRule="auto"/>
        <w:rPr>
          <w:rFonts w:hint="eastAsia" w:ascii="宋体" w:hAnsi="宋体" w:cs="宋体"/>
          <w:color w:val="auto"/>
          <w:szCs w:val="21"/>
        </w:rPr>
      </w:pPr>
      <w:r>
        <w:rPr>
          <w:rFonts w:hint="eastAsia" w:ascii="宋体" w:hAnsi="宋体" w:cs="宋体"/>
          <w:b/>
          <w:color w:val="auto"/>
          <w:szCs w:val="21"/>
        </w:rPr>
        <w:t xml:space="preserve">    </w:t>
      </w:r>
      <w:r>
        <w:rPr>
          <w:rFonts w:hint="eastAsia" w:ascii="宋体" w:hAnsi="宋体" w:cs="宋体"/>
          <w:color w:val="auto"/>
          <w:szCs w:val="21"/>
        </w:rPr>
        <w:t>本合同执行中相关的一切税费均由乙方负担。</w:t>
      </w:r>
    </w:p>
    <w:p w14:paraId="1D345D6D">
      <w:pPr>
        <w:spacing w:line="360" w:lineRule="auto"/>
        <w:rPr>
          <w:rFonts w:hint="eastAsia" w:ascii="宋体" w:hAnsi="宋体" w:cs="宋体"/>
          <w:b/>
          <w:color w:val="auto"/>
          <w:szCs w:val="21"/>
        </w:rPr>
      </w:pPr>
      <w:r>
        <w:rPr>
          <w:rFonts w:hint="eastAsia" w:ascii="宋体" w:hAnsi="宋体" w:cs="宋体"/>
          <w:color w:val="auto"/>
          <w:szCs w:val="21"/>
        </w:rPr>
        <w:t xml:space="preserve">    </w:t>
      </w:r>
      <w:r>
        <w:rPr>
          <w:rFonts w:hint="eastAsia" w:ascii="宋体" w:hAnsi="宋体" w:cs="宋体"/>
          <w:b/>
          <w:color w:val="auto"/>
          <w:szCs w:val="21"/>
        </w:rPr>
        <w:t>第十一条  质量保证及售后服务</w:t>
      </w:r>
    </w:p>
    <w:p w14:paraId="480752D3">
      <w:pPr>
        <w:spacing w:line="360" w:lineRule="auto"/>
        <w:rPr>
          <w:rFonts w:hint="eastAsia" w:ascii="宋体" w:hAnsi="宋体" w:cs="宋体"/>
          <w:color w:val="auto"/>
        </w:rPr>
      </w:pPr>
      <w:r>
        <w:rPr>
          <w:rFonts w:hint="eastAsia" w:ascii="宋体" w:hAnsi="宋体" w:cs="宋体"/>
          <w:b/>
          <w:color w:val="auto"/>
          <w:szCs w:val="21"/>
        </w:rPr>
        <w:t xml:space="preserve">    </w:t>
      </w:r>
      <w:r>
        <w:rPr>
          <w:rFonts w:hint="eastAsia" w:ascii="宋体" w:hAnsi="宋体" w:cs="宋体"/>
          <w:color w:val="auto"/>
          <w:szCs w:val="21"/>
        </w:rPr>
        <w:t>1、乙方应按磋商文件规定及响应文件承诺的货物性能、技术要求、质量标准向甲方提供未经使用的全新产品。</w:t>
      </w:r>
      <w:r>
        <w:rPr>
          <w:rFonts w:hint="eastAsia" w:ascii="宋体" w:hAnsi="宋体" w:cs="宋体"/>
          <w:color w:val="auto"/>
        </w:rPr>
        <w:t>乙方提供货物的质量保证期按交货验收合格之日起计（期限见《采购需求》中的要求）。在保证期内因货物本身的质量问题发生故障，乙方应负责免费修理和更换零部件。对达不到技术要求者，根据实际情况，经双方协商，可按以下办法处理：</w:t>
      </w:r>
    </w:p>
    <w:p w14:paraId="2714B43A">
      <w:pPr>
        <w:spacing w:line="360" w:lineRule="auto"/>
        <w:rPr>
          <w:rFonts w:hint="eastAsia" w:ascii="宋体" w:hAnsi="宋体" w:cs="宋体"/>
          <w:color w:val="auto"/>
        </w:rPr>
      </w:pPr>
      <w:r>
        <w:rPr>
          <w:rFonts w:hint="eastAsia" w:ascii="宋体" w:hAnsi="宋体" w:cs="宋体"/>
          <w:color w:val="auto"/>
        </w:rPr>
        <w:t xml:space="preserve">    （1）更换：由乙方承担所发生的全部费用。</w:t>
      </w:r>
    </w:p>
    <w:p w14:paraId="58E5FDE4">
      <w:pPr>
        <w:spacing w:line="360" w:lineRule="auto"/>
        <w:rPr>
          <w:rFonts w:hint="eastAsia" w:ascii="宋体" w:hAnsi="宋体" w:cs="宋体"/>
          <w:color w:val="auto"/>
        </w:rPr>
      </w:pPr>
      <w:r>
        <w:rPr>
          <w:rFonts w:hint="eastAsia" w:ascii="宋体" w:hAnsi="宋体" w:cs="宋体"/>
          <w:color w:val="auto"/>
        </w:rPr>
        <w:t xml:space="preserve">    （2）贬值处理：由甲乙双方合议定价。</w:t>
      </w:r>
    </w:p>
    <w:p w14:paraId="5D7437AC">
      <w:pPr>
        <w:spacing w:line="360" w:lineRule="auto"/>
        <w:rPr>
          <w:rFonts w:hint="eastAsia" w:ascii="宋体" w:hAnsi="宋体" w:cs="宋体"/>
          <w:color w:val="auto"/>
        </w:rPr>
      </w:pPr>
      <w:r>
        <w:rPr>
          <w:rFonts w:hint="eastAsia" w:ascii="宋体" w:hAnsi="宋体" w:cs="宋体"/>
          <w:color w:val="auto"/>
        </w:rPr>
        <w:t xml:space="preserve">    （3）退货处理：乙方应退还甲方支付的合同款，同时应承担该货物的直接费用（运输、保险、检验、</w:t>
      </w:r>
    </w:p>
    <w:p w14:paraId="4B8D8E30">
      <w:pPr>
        <w:spacing w:line="360" w:lineRule="auto"/>
        <w:rPr>
          <w:rFonts w:hint="eastAsia" w:ascii="宋体" w:hAnsi="宋体" w:cs="宋体"/>
          <w:color w:val="auto"/>
        </w:rPr>
      </w:pPr>
      <w:r>
        <w:rPr>
          <w:rFonts w:hint="eastAsia" w:ascii="宋体" w:hAnsi="宋体" w:cs="宋体"/>
          <w:color w:val="auto"/>
        </w:rPr>
        <w:t>货款利息及银行手续费等）。</w:t>
      </w:r>
    </w:p>
    <w:p w14:paraId="6EEBEEFE">
      <w:pPr>
        <w:spacing w:line="360" w:lineRule="auto"/>
        <w:rPr>
          <w:rFonts w:hint="eastAsia" w:ascii="宋体" w:hAnsi="宋体" w:cs="宋体"/>
          <w:color w:val="auto"/>
        </w:rPr>
      </w:pPr>
      <w:r>
        <w:rPr>
          <w:rFonts w:hint="eastAsia" w:ascii="宋体" w:hAnsi="宋体" w:cs="宋体"/>
          <w:color w:val="auto"/>
        </w:rPr>
        <w:t xml:space="preserve">    2、如在使用过程中发生质量问题，乙方在接到甲方通知后在</w:t>
      </w:r>
      <w:r>
        <w:rPr>
          <w:rFonts w:hint="eastAsia" w:ascii="宋体" w:hAnsi="宋体" w:cs="宋体"/>
          <w:color w:val="auto"/>
          <w:szCs w:val="21"/>
          <w:u w:val="single"/>
        </w:rPr>
        <w:t xml:space="preserve">   </w:t>
      </w:r>
      <w:r>
        <w:rPr>
          <w:rFonts w:hint="eastAsia" w:ascii="宋体" w:hAnsi="宋体" w:cs="宋体"/>
          <w:color w:val="auto"/>
        </w:rPr>
        <w:t>小时内到达甲方现场。</w:t>
      </w:r>
    </w:p>
    <w:p w14:paraId="2262572F">
      <w:pPr>
        <w:spacing w:line="360" w:lineRule="auto"/>
        <w:rPr>
          <w:rFonts w:hint="eastAsia" w:ascii="宋体" w:hAnsi="宋体" w:cs="宋体"/>
          <w:color w:val="auto"/>
        </w:rPr>
      </w:pPr>
      <w:r>
        <w:rPr>
          <w:rFonts w:hint="eastAsia" w:ascii="宋体" w:hAnsi="宋体" w:cs="宋体"/>
          <w:color w:val="auto"/>
        </w:rPr>
        <w:t xml:space="preserve">    3、在质保期内，乙方应对货物出现的质量及安全问题负责处理解决并承担一切费用。</w:t>
      </w:r>
    </w:p>
    <w:p w14:paraId="07937556">
      <w:pPr>
        <w:spacing w:line="360" w:lineRule="auto"/>
        <w:rPr>
          <w:rFonts w:hint="eastAsia" w:ascii="宋体" w:hAnsi="宋体" w:cs="宋体"/>
          <w:color w:val="auto"/>
        </w:rPr>
      </w:pPr>
      <w:r>
        <w:rPr>
          <w:rFonts w:hint="eastAsia" w:ascii="宋体" w:hAnsi="宋体" w:cs="宋体"/>
          <w:color w:val="auto"/>
        </w:rPr>
        <w:t xml:space="preserve">    4、在货物免费保修期内，因人为因素出现的故障不在免费保修范围内。超过保修期的机器设备，终生维修，维修时只收部件成本费。</w:t>
      </w:r>
    </w:p>
    <w:p w14:paraId="236B6266">
      <w:pPr>
        <w:spacing w:line="360" w:lineRule="auto"/>
        <w:rPr>
          <w:rFonts w:hint="eastAsia" w:ascii="宋体" w:hAnsi="宋体" w:cs="宋体"/>
          <w:b/>
          <w:color w:val="auto"/>
        </w:rPr>
      </w:pPr>
      <w:r>
        <w:rPr>
          <w:rFonts w:hint="eastAsia" w:ascii="宋体" w:hAnsi="宋体" w:cs="宋体"/>
          <w:color w:val="auto"/>
        </w:rPr>
        <w:t xml:space="preserve">    </w:t>
      </w:r>
      <w:r>
        <w:rPr>
          <w:rFonts w:hint="eastAsia" w:ascii="宋体" w:hAnsi="宋体" w:cs="宋体"/>
          <w:b/>
          <w:color w:val="auto"/>
        </w:rPr>
        <w:t>第十二条  调试和验收</w:t>
      </w:r>
    </w:p>
    <w:p w14:paraId="4D0B4CA4">
      <w:pPr>
        <w:spacing w:line="360" w:lineRule="auto"/>
        <w:rPr>
          <w:rFonts w:hint="eastAsia" w:ascii="宋体" w:hAnsi="宋体" w:cs="宋体"/>
          <w:color w:val="auto"/>
        </w:rPr>
      </w:pPr>
      <w:r>
        <w:rPr>
          <w:rFonts w:hint="eastAsia" w:ascii="宋体" w:hAnsi="宋体" w:cs="宋体"/>
          <w:b/>
          <w:color w:val="auto"/>
        </w:rPr>
        <w:t xml:space="preserve">   </w:t>
      </w:r>
      <w:r>
        <w:rPr>
          <w:rFonts w:hint="eastAsia" w:ascii="宋体" w:hAnsi="宋体" w:cs="宋体"/>
          <w:color w:val="auto"/>
        </w:rPr>
        <w:t xml:space="preserve"> 1、甲方对乙方提交的货物依据磋商文件上的技术规格要求和国家有关质量标准进行现场初步验收，外观、说明书符合磋商文件技术要求的，给予签收，初步验收不合格的不予签收。货到后，</w:t>
      </w:r>
      <w:r>
        <w:rPr>
          <w:rFonts w:hint="eastAsia" w:ascii="宋体" w:hAnsi="宋体" w:cs="宋体"/>
          <w:bCs/>
          <w:color w:val="auto"/>
        </w:rPr>
        <w:t>甲方应当在到货（安装、调试完）后七个工作日内进行验收</w:t>
      </w:r>
      <w:r>
        <w:rPr>
          <w:rFonts w:hint="eastAsia" w:ascii="宋体" w:hAnsi="宋体" w:cs="宋体"/>
          <w:color w:val="auto"/>
        </w:rPr>
        <w:t>。</w:t>
      </w:r>
    </w:p>
    <w:p w14:paraId="216A865F">
      <w:pPr>
        <w:spacing w:line="360" w:lineRule="auto"/>
        <w:rPr>
          <w:rFonts w:hint="eastAsia" w:ascii="宋体" w:hAnsi="宋体" w:cs="宋体"/>
          <w:color w:val="auto"/>
        </w:rPr>
      </w:pPr>
      <w:r>
        <w:rPr>
          <w:rFonts w:hint="eastAsia" w:ascii="宋体" w:hAnsi="宋体" w:cs="宋体"/>
          <w:color w:val="auto"/>
        </w:rPr>
        <w:t xml:space="preserve">    2、乙方交货前应对产品作出全面检查和对验收文件进行整理，并列出清单，作为甲方收货验收和使用的技术条件依据，检验的结果应随货物交甲方。</w:t>
      </w:r>
    </w:p>
    <w:p w14:paraId="1FC7EE21">
      <w:pPr>
        <w:spacing w:line="360" w:lineRule="auto"/>
        <w:rPr>
          <w:rFonts w:hint="eastAsia" w:ascii="宋体" w:hAnsi="宋体" w:cs="宋体"/>
          <w:color w:val="auto"/>
        </w:rPr>
      </w:pPr>
      <w:r>
        <w:rPr>
          <w:rFonts w:hint="eastAsia" w:ascii="宋体" w:hAnsi="宋体" w:cs="宋体"/>
          <w:color w:val="auto"/>
        </w:rPr>
        <w:t xml:space="preserve">    3、甲方对乙方提供的货物在使用前进行调试时，乙方需负责安装并培训甲方的使用操作人员，并协助甲方一起调试，直到符合技术要求，甲方才做最终验收。</w:t>
      </w:r>
    </w:p>
    <w:p w14:paraId="63C2FBE0">
      <w:pPr>
        <w:spacing w:line="360" w:lineRule="auto"/>
        <w:rPr>
          <w:rFonts w:hint="eastAsia" w:ascii="宋体" w:hAnsi="宋体" w:cs="宋体"/>
          <w:color w:val="auto"/>
        </w:rPr>
      </w:pPr>
      <w:r>
        <w:rPr>
          <w:rFonts w:hint="eastAsia" w:ascii="宋体" w:hAnsi="宋体" w:cs="宋体"/>
          <w:color w:val="auto"/>
        </w:rPr>
        <w:t xml:space="preserve">    4、对技术复杂的货物，甲方应请国家认可的专业检测机构参与初步验收及最终验收，并由其出具质量检测报告。</w:t>
      </w:r>
    </w:p>
    <w:p w14:paraId="28DD0A4A">
      <w:pPr>
        <w:spacing w:line="360" w:lineRule="auto"/>
        <w:rPr>
          <w:rFonts w:hint="eastAsia" w:ascii="宋体" w:hAnsi="宋体" w:cs="宋体"/>
          <w:color w:val="auto"/>
        </w:rPr>
      </w:pPr>
      <w:r>
        <w:rPr>
          <w:rFonts w:hint="eastAsia" w:ascii="宋体" w:hAnsi="宋体" w:cs="宋体"/>
          <w:color w:val="auto"/>
        </w:rPr>
        <w:t xml:space="preserve">    5、验收时乙方必须在现场，验收完毕后作出验收结果报告；验收费用由乙方负责。</w:t>
      </w:r>
    </w:p>
    <w:p w14:paraId="43CE327B">
      <w:pPr>
        <w:spacing w:line="360" w:lineRule="auto"/>
        <w:rPr>
          <w:rFonts w:hint="eastAsia" w:ascii="宋体" w:hAnsi="宋体" w:cs="宋体"/>
          <w:b/>
          <w:color w:val="auto"/>
        </w:rPr>
      </w:pPr>
      <w:r>
        <w:rPr>
          <w:rFonts w:hint="eastAsia" w:ascii="宋体" w:hAnsi="宋体" w:cs="宋体"/>
          <w:color w:val="auto"/>
        </w:rPr>
        <w:t xml:space="preserve">    </w:t>
      </w:r>
      <w:r>
        <w:rPr>
          <w:rFonts w:hint="eastAsia" w:ascii="宋体" w:hAnsi="宋体" w:cs="宋体"/>
          <w:b/>
          <w:color w:val="auto"/>
        </w:rPr>
        <w:t>第十三条  货物包装、发运及运输</w:t>
      </w:r>
    </w:p>
    <w:p w14:paraId="1ABAA89A">
      <w:pPr>
        <w:spacing w:line="360" w:lineRule="auto"/>
        <w:rPr>
          <w:rFonts w:hint="eastAsia" w:ascii="宋体" w:hAnsi="宋体" w:cs="宋体"/>
          <w:color w:val="auto"/>
        </w:rPr>
      </w:pPr>
      <w:r>
        <w:rPr>
          <w:rFonts w:hint="eastAsia" w:ascii="宋体" w:hAnsi="宋体" w:cs="宋体"/>
          <w:b/>
          <w:color w:val="auto"/>
        </w:rPr>
        <w:t xml:space="preserve"> </w:t>
      </w:r>
      <w:r>
        <w:rPr>
          <w:rFonts w:hint="eastAsia" w:ascii="宋体" w:hAnsi="宋体" w:cs="宋体"/>
          <w:color w:val="auto"/>
        </w:rPr>
        <w:t xml:space="preserve">   1、乙方应在货物发运前对其进行满足运输距离、防潮、防震、防锈和防破损装卸等要求包装，以</w:t>
      </w:r>
    </w:p>
    <w:p w14:paraId="20926D08">
      <w:pPr>
        <w:spacing w:line="360" w:lineRule="auto"/>
        <w:rPr>
          <w:rFonts w:hint="eastAsia" w:ascii="宋体" w:hAnsi="宋体" w:cs="宋体"/>
          <w:color w:val="auto"/>
        </w:rPr>
      </w:pPr>
      <w:r>
        <w:rPr>
          <w:rFonts w:hint="eastAsia" w:ascii="宋体" w:hAnsi="宋体" w:cs="宋体"/>
          <w:color w:val="auto"/>
        </w:rPr>
        <w:t>保证货物安全运达甲方指定地点。</w:t>
      </w:r>
    </w:p>
    <w:p w14:paraId="4A09675B">
      <w:pPr>
        <w:spacing w:line="360" w:lineRule="auto"/>
        <w:rPr>
          <w:rFonts w:hint="eastAsia" w:ascii="宋体" w:hAnsi="宋体" w:cs="宋体"/>
          <w:color w:val="auto"/>
        </w:rPr>
      </w:pPr>
      <w:r>
        <w:rPr>
          <w:rFonts w:hint="eastAsia" w:ascii="宋体" w:hAnsi="宋体" w:cs="宋体"/>
          <w:color w:val="auto"/>
        </w:rPr>
        <w:t xml:space="preserve">    2、使用说明书、质量检验证明书、随配附件和工具以及清单一并附于货物内。</w:t>
      </w:r>
    </w:p>
    <w:p w14:paraId="4835565E">
      <w:pPr>
        <w:spacing w:line="360" w:lineRule="auto"/>
        <w:rPr>
          <w:rFonts w:hint="eastAsia" w:ascii="宋体" w:hAnsi="宋体" w:cs="宋体"/>
          <w:color w:val="auto"/>
        </w:rPr>
      </w:pPr>
      <w:r>
        <w:rPr>
          <w:rFonts w:hint="eastAsia" w:ascii="宋体" w:hAnsi="宋体" w:cs="宋体"/>
          <w:color w:val="auto"/>
        </w:rPr>
        <w:t xml:space="preserve">    3、乙方在货物发运手续办理完毕后二十四小时内或货到甲方四十八小时前通知甲方，以准备接货。</w:t>
      </w:r>
    </w:p>
    <w:p w14:paraId="72F1B8FC">
      <w:pPr>
        <w:spacing w:line="360" w:lineRule="auto"/>
        <w:rPr>
          <w:rFonts w:hint="eastAsia" w:ascii="宋体" w:hAnsi="宋体" w:cs="宋体"/>
          <w:color w:val="auto"/>
        </w:rPr>
      </w:pPr>
      <w:r>
        <w:rPr>
          <w:rFonts w:hint="eastAsia" w:ascii="宋体" w:hAnsi="宋体" w:cs="宋体"/>
          <w:color w:val="auto"/>
        </w:rPr>
        <w:t xml:space="preserve">    4、货物在交付甲方前发生的风险均由乙方负责。</w:t>
      </w:r>
    </w:p>
    <w:p w14:paraId="5206564D">
      <w:pPr>
        <w:spacing w:line="360" w:lineRule="auto"/>
        <w:rPr>
          <w:rFonts w:hint="eastAsia" w:ascii="宋体" w:hAnsi="宋体" w:cs="宋体"/>
          <w:color w:val="auto"/>
        </w:rPr>
      </w:pPr>
      <w:r>
        <w:rPr>
          <w:rFonts w:hint="eastAsia" w:ascii="宋体" w:hAnsi="宋体" w:cs="宋体"/>
          <w:color w:val="auto"/>
        </w:rPr>
        <w:t xml:space="preserve">    5、货物在规定的交付期限内由乙方送达甲方指定的地点视为交付，乙方同时需通知甲方货物已送达。</w:t>
      </w:r>
    </w:p>
    <w:p w14:paraId="4574CBB2">
      <w:pPr>
        <w:spacing w:line="360" w:lineRule="auto"/>
        <w:rPr>
          <w:rFonts w:hint="eastAsia" w:ascii="宋体" w:hAnsi="宋体" w:cs="宋体"/>
          <w:b/>
          <w:color w:val="auto"/>
          <w:szCs w:val="21"/>
        </w:rPr>
      </w:pPr>
      <w:r>
        <w:rPr>
          <w:rFonts w:hint="eastAsia" w:ascii="宋体" w:hAnsi="宋体" w:cs="宋体"/>
          <w:color w:val="auto"/>
        </w:rPr>
        <w:t xml:space="preserve">    </w:t>
      </w:r>
      <w:r>
        <w:rPr>
          <w:rFonts w:hint="eastAsia" w:ascii="宋体" w:hAnsi="宋体" w:cs="宋体"/>
          <w:b/>
          <w:color w:val="auto"/>
          <w:szCs w:val="21"/>
        </w:rPr>
        <w:t>第十四条　 违约责任</w:t>
      </w:r>
    </w:p>
    <w:p w14:paraId="7A5DB040">
      <w:pPr>
        <w:spacing w:line="360" w:lineRule="auto"/>
        <w:rPr>
          <w:rFonts w:hint="eastAsia" w:ascii="宋体" w:hAnsi="宋体" w:cs="宋体"/>
          <w:color w:val="auto"/>
          <w:szCs w:val="21"/>
        </w:rPr>
      </w:pPr>
      <w:r>
        <w:rPr>
          <w:rFonts w:hint="eastAsia" w:ascii="宋体" w:hAnsi="宋体" w:cs="宋体"/>
          <w:b/>
          <w:color w:val="auto"/>
          <w:szCs w:val="21"/>
        </w:rPr>
        <w:t xml:space="preserve">    </w:t>
      </w:r>
      <w:r>
        <w:rPr>
          <w:rFonts w:hint="eastAsia" w:ascii="宋体" w:hAnsi="宋体" w:cs="宋体"/>
          <w:color w:val="auto"/>
          <w:szCs w:val="21"/>
        </w:rPr>
        <w:t>1、乙方所提供的货物规格、技术标准、材料等质量不合格的，应及时更换，更换不及时的按逾期交货处理；因质量问题甲方不同意接收的或特殊情况甲方同意接收的，乙方应向甲方支付违约货款额 5%违约金并赔偿甲方经济损失。</w:t>
      </w:r>
    </w:p>
    <w:p w14:paraId="2B8C5771">
      <w:pPr>
        <w:spacing w:line="360" w:lineRule="auto"/>
        <w:rPr>
          <w:rFonts w:hint="eastAsia" w:ascii="宋体" w:hAnsi="宋体" w:cs="宋体"/>
          <w:color w:val="auto"/>
          <w:szCs w:val="21"/>
        </w:rPr>
      </w:pPr>
      <w:r>
        <w:rPr>
          <w:rFonts w:hint="eastAsia" w:ascii="宋体" w:hAnsi="宋体" w:cs="宋体"/>
          <w:color w:val="auto"/>
          <w:szCs w:val="21"/>
        </w:rPr>
        <w:t xml:space="preserve">    2、乙方提供的货物如侵犯了第三方合法权益而引发的任何纠纷或诉讼，均由乙方负责交涉并承担全部责任。</w:t>
      </w:r>
    </w:p>
    <w:p w14:paraId="4A6E1E44">
      <w:pPr>
        <w:spacing w:line="360" w:lineRule="auto"/>
        <w:rPr>
          <w:rFonts w:hint="eastAsia" w:ascii="宋体" w:hAnsi="宋体" w:cs="宋体"/>
          <w:color w:val="auto"/>
          <w:szCs w:val="21"/>
        </w:rPr>
      </w:pPr>
      <w:r>
        <w:rPr>
          <w:rFonts w:hint="eastAsia" w:ascii="宋体" w:hAnsi="宋体" w:cs="宋体"/>
          <w:color w:val="auto"/>
          <w:szCs w:val="21"/>
        </w:rPr>
        <w:t xml:space="preserve">    3、因包装、运输引起的货物损坏，按质量不合格处理。</w:t>
      </w:r>
    </w:p>
    <w:p w14:paraId="606E24A7">
      <w:pPr>
        <w:spacing w:line="360" w:lineRule="auto"/>
        <w:rPr>
          <w:rFonts w:hint="eastAsia" w:ascii="宋体" w:hAnsi="宋体" w:cs="宋体"/>
          <w:color w:val="auto"/>
          <w:szCs w:val="21"/>
        </w:rPr>
      </w:pPr>
      <w:r>
        <w:rPr>
          <w:rFonts w:hint="eastAsia" w:ascii="宋体" w:hAnsi="宋体" w:cs="宋体"/>
          <w:color w:val="auto"/>
          <w:szCs w:val="21"/>
        </w:rPr>
        <w:t xml:space="preserve">    4、甲方无故延期接收货物、乙方逾期交货的，每天向对方偿付违约货款额3‰违约金，但违约金累计不得超过违约货款额</w:t>
      </w:r>
      <w:r>
        <w:rPr>
          <w:rFonts w:hint="eastAsia" w:ascii="宋体" w:hAnsi="宋体" w:cs="宋体"/>
          <w:color w:val="auto"/>
          <w:szCs w:val="21"/>
          <w:u w:val="single"/>
        </w:rPr>
        <w:t>5%</w:t>
      </w:r>
      <w:r>
        <w:rPr>
          <w:rFonts w:hint="eastAsia" w:ascii="宋体" w:hAnsi="宋体" w:cs="宋体"/>
          <w:color w:val="auto"/>
          <w:szCs w:val="21"/>
        </w:rPr>
        <w:t>，超过</w:t>
      </w:r>
      <w:r>
        <w:rPr>
          <w:rFonts w:hint="eastAsia" w:ascii="宋体" w:hAnsi="宋体" w:cs="宋体"/>
          <w:color w:val="auto"/>
          <w:szCs w:val="21"/>
          <w:u w:val="single"/>
        </w:rPr>
        <w:t xml:space="preserve"> 60 </w:t>
      </w:r>
      <w:r>
        <w:rPr>
          <w:rFonts w:hint="eastAsia" w:ascii="宋体" w:hAnsi="宋体" w:cs="宋体"/>
          <w:color w:val="auto"/>
          <w:szCs w:val="21"/>
        </w:rPr>
        <w:t>天对方有权解除合同，违约方承担因此给对方造成经济损失；甲方延期付货款的，每天向乙方偿付延期货款额</w:t>
      </w:r>
      <w:r>
        <w:rPr>
          <w:rFonts w:hint="eastAsia" w:ascii="宋体" w:hAnsi="宋体" w:cs="宋体"/>
          <w:color w:val="auto"/>
          <w:szCs w:val="21"/>
          <w:u w:val="single"/>
        </w:rPr>
        <w:t xml:space="preserve">3‰ </w:t>
      </w:r>
      <w:r>
        <w:rPr>
          <w:rFonts w:hint="eastAsia" w:ascii="宋体" w:hAnsi="宋体" w:cs="宋体"/>
          <w:color w:val="auto"/>
          <w:szCs w:val="21"/>
        </w:rPr>
        <w:t>违约金，但违约金累计不得超过延期货款额</w:t>
      </w:r>
      <w:r>
        <w:rPr>
          <w:rFonts w:hint="eastAsia" w:ascii="宋体" w:hAnsi="宋体" w:cs="宋体"/>
          <w:color w:val="auto"/>
          <w:szCs w:val="21"/>
          <w:u w:val="single"/>
        </w:rPr>
        <w:t>5%</w:t>
      </w:r>
      <w:r>
        <w:rPr>
          <w:rFonts w:hint="eastAsia" w:ascii="宋体" w:hAnsi="宋体" w:cs="宋体"/>
          <w:color w:val="auto"/>
          <w:szCs w:val="21"/>
        </w:rPr>
        <w:t>。</w:t>
      </w:r>
    </w:p>
    <w:p w14:paraId="74C6A0A6">
      <w:pPr>
        <w:spacing w:line="360" w:lineRule="auto"/>
        <w:rPr>
          <w:rFonts w:hint="eastAsia" w:ascii="宋体" w:hAnsi="宋体" w:cs="宋体"/>
          <w:color w:val="auto"/>
          <w:szCs w:val="21"/>
        </w:rPr>
      </w:pPr>
      <w:r>
        <w:rPr>
          <w:rFonts w:hint="eastAsia" w:ascii="宋体" w:hAnsi="宋体" w:cs="宋体"/>
          <w:color w:val="auto"/>
          <w:szCs w:val="21"/>
        </w:rPr>
        <w:t xml:space="preserve">    5、乙方未按本合同和响应文件中规定的服务承诺提供售后服务的，乙方应按本合同合计金额</w:t>
      </w:r>
      <w:r>
        <w:rPr>
          <w:rFonts w:hint="eastAsia" w:ascii="宋体" w:hAnsi="宋体" w:cs="宋体"/>
          <w:color w:val="auto"/>
          <w:szCs w:val="21"/>
          <w:u w:val="single"/>
        </w:rPr>
        <w:t xml:space="preserve"> 5%</w:t>
      </w:r>
      <w:r>
        <w:rPr>
          <w:rFonts w:hint="eastAsia" w:ascii="宋体" w:hAnsi="宋体" w:cs="宋体"/>
          <w:color w:val="auto"/>
          <w:szCs w:val="21"/>
        </w:rPr>
        <w:t>向甲方支付违约金。</w:t>
      </w:r>
    </w:p>
    <w:p w14:paraId="6A2DC038">
      <w:pPr>
        <w:spacing w:line="360" w:lineRule="auto"/>
        <w:rPr>
          <w:rFonts w:hint="eastAsia" w:ascii="宋体" w:hAnsi="宋体" w:cs="宋体"/>
          <w:color w:val="auto"/>
          <w:szCs w:val="21"/>
        </w:rPr>
      </w:pPr>
      <w:r>
        <w:rPr>
          <w:rFonts w:hint="eastAsia" w:ascii="宋体" w:hAnsi="宋体" w:cs="宋体"/>
          <w:color w:val="auto"/>
          <w:szCs w:val="21"/>
        </w:rPr>
        <w:t xml:space="preserve">    6、乙方提供的货物在质量保证期内，因设计、工艺或材料的缺陷和其它质量原因造成的问题，由乙方负责。</w:t>
      </w:r>
    </w:p>
    <w:p w14:paraId="4A33F351">
      <w:pPr>
        <w:spacing w:line="360" w:lineRule="auto"/>
        <w:ind w:firstLine="420"/>
        <w:rPr>
          <w:rFonts w:hint="eastAsia" w:ascii="宋体" w:hAnsi="宋体" w:cs="宋体"/>
          <w:color w:val="auto"/>
          <w:szCs w:val="21"/>
        </w:rPr>
      </w:pPr>
      <w:r>
        <w:rPr>
          <w:rFonts w:hint="eastAsia" w:ascii="宋体" w:hAnsi="宋体" w:cs="宋体"/>
          <w:color w:val="auto"/>
          <w:szCs w:val="21"/>
        </w:rPr>
        <w:t>7、其它违约行为按违约货款额5%收取违约金。违约方应承担守约方为实现债权而支出的差旅费、鉴定费、诉讼费、律师费、财产保全费等费用。</w:t>
      </w:r>
    </w:p>
    <w:p w14:paraId="4CA909C6">
      <w:pPr>
        <w:spacing w:line="360" w:lineRule="auto"/>
        <w:ind w:firstLine="420"/>
        <w:rPr>
          <w:rFonts w:hint="eastAsia" w:ascii="宋体" w:hAnsi="宋体" w:cs="宋体"/>
          <w:color w:val="auto"/>
          <w:szCs w:val="21"/>
        </w:rPr>
      </w:pPr>
      <w:r>
        <w:rPr>
          <w:rFonts w:hint="eastAsia" w:ascii="宋体" w:hAnsi="宋体" w:cs="宋体"/>
          <w:color w:val="auto"/>
          <w:szCs w:val="21"/>
        </w:rPr>
        <w:t>8、乙方支付的违约金不足以弥补甲方损失的，还应承担赔偿责任。</w:t>
      </w:r>
    </w:p>
    <w:p w14:paraId="116C0B59">
      <w:pPr>
        <w:spacing w:line="360" w:lineRule="auto"/>
        <w:rPr>
          <w:rFonts w:hint="eastAsia" w:ascii="宋体" w:hAnsi="宋体" w:cs="宋体"/>
          <w:b/>
          <w:color w:val="auto"/>
        </w:rPr>
      </w:pPr>
      <w:r>
        <w:rPr>
          <w:rFonts w:hint="eastAsia" w:ascii="宋体" w:hAnsi="宋体" w:cs="宋体"/>
          <w:color w:val="auto"/>
          <w:szCs w:val="21"/>
        </w:rPr>
        <w:t xml:space="preserve">    </w:t>
      </w:r>
      <w:r>
        <w:rPr>
          <w:rFonts w:hint="eastAsia" w:ascii="宋体" w:hAnsi="宋体" w:cs="宋体"/>
          <w:b/>
          <w:color w:val="auto"/>
        </w:rPr>
        <w:t>第十五条  不可抗力事件处理</w:t>
      </w:r>
    </w:p>
    <w:p w14:paraId="50490DEE">
      <w:pPr>
        <w:spacing w:line="360" w:lineRule="auto"/>
        <w:rPr>
          <w:rFonts w:hint="eastAsia" w:ascii="宋体" w:hAnsi="宋体" w:cs="宋体"/>
          <w:color w:val="auto"/>
        </w:rPr>
      </w:pPr>
      <w:r>
        <w:rPr>
          <w:rFonts w:hint="eastAsia" w:ascii="宋体" w:hAnsi="宋体" w:cs="宋体"/>
          <w:color w:val="auto"/>
        </w:rPr>
        <w:t xml:space="preserve">    1、在合同有效期内，任何一方因不可抗力事件导致不能履行合同，则合同履行期可延长，其延长期与不可抗力影响期相同。</w:t>
      </w:r>
    </w:p>
    <w:p w14:paraId="130C58F6">
      <w:pPr>
        <w:spacing w:line="360" w:lineRule="auto"/>
        <w:rPr>
          <w:rFonts w:hint="eastAsia" w:ascii="宋体" w:hAnsi="宋体" w:cs="宋体"/>
          <w:color w:val="auto"/>
        </w:rPr>
      </w:pPr>
      <w:r>
        <w:rPr>
          <w:rFonts w:hint="eastAsia" w:ascii="宋体" w:hAnsi="宋体" w:cs="宋体"/>
          <w:color w:val="auto"/>
        </w:rPr>
        <w:t xml:space="preserve">    2、不可抗力事件发生后，应立即通知对方，并寄送有关权威机构出具的证明。</w:t>
      </w:r>
    </w:p>
    <w:p w14:paraId="29989DE7">
      <w:pPr>
        <w:spacing w:line="360" w:lineRule="auto"/>
        <w:rPr>
          <w:rFonts w:hint="eastAsia" w:ascii="宋体" w:hAnsi="宋体" w:cs="宋体"/>
          <w:color w:val="auto"/>
        </w:rPr>
      </w:pPr>
      <w:r>
        <w:rPr>
          <w:rFonts w:hint="eastAsia" w:ascii="宋体" w:hAnsi="宋体" w:cs="宋体"/>
          <w:color w:val="auto"/>
        </w:rPr>
        <w:t xml:space="preserve">    3、不可抗力事件延续一百二十天以上，双方应通过友好协商，确定是否继续履行合同。</w:t>
      </w:r>
    </w:p>
    <w:p w14:paraId="1D9593D4">
      <w:pPr>
        <w:spacing w:line="360" w:lineRule="auto"/>
        <w:rPr>
          <w:rFonts w:hint="eastAsia" w:ascii="宋体" w:hAnsi="宋体" w:cs="宋体"/>
          <w:b/>
          <w:color w:val="auto"/>
          <w:szCs w:val="21"/>
        </w:rPr>
      </w:pPr>
      <w:r>
        <w:rPr>
          <w:rFonts w:hint="eastAsia" w:ascii="宋体" w:hAnsi="宋体" w:cs="宋体"/>
          <w:color w:val="auto"/>
        </w:rPr>
        <w:t xml:space="preserve">    </w:t>
      </w:r>
      <w:r>
        <w:rPr>
          <w:rFonts w:hint="eastAsia" w:ascii="宋体" w:hAnsi="宋体" w:cs="宋体"/>
          <w:b/>
          <w:color w:val="auto"/>
          <w:szCs w:val="21"/>
        </w:rPr>
        <w:t>第十六条  合同争议解决</w:t>
      </w:r>
    </w:p>
    <w:p w14:paraId="6C7FF59E">
      <w:pPr>
        <w:spacing w:line="360" w:lineRule="auto"/>
        <w:rPr>
          <w:rFonts w:hint="eastAsia" w:ascii="宋体" w:hAnsi="宋体" w:cs="宋体"/>
          <w:color w:val="auto"/>
          <w:szCs w:val="21"/>
        </w:rPr>
      </w:pPr>
      <w:r>
        <w:rPr>
          <w:rFonts w:hint="eastAsia" w:ascii="宋体" w:hAnsi="宋体" w:cs="宋体"/>
          <w:b/>
          <w:color w:val="auto"/>
          <w:szCs w:val="21"/>
        </w:rPr>
        <w:t xml:space="preserve">    </w:t>
      </w:r>
      <w:r>
        <w:rPr>
          <w:rFonts w:hint="eastAsia" w:ascii="宋体" w:hAnsi="宋体" w:cs="宋体"/>
          <w:color w:val="auto"/>
          <w:szCs w:val="21"/>
        </w:rPr>
        <w:t>1、因货物质量问题发生争议的，应邀请国家认可的质量检测机构对货物质量进行鉴定。货物符合标准的，鉴定费由甲方承担；货物不符合标准的，鉴定费由乙方承担。</w:t>
      </w:r>
    </w:p>
    <w:p w14:paraId="74A2EB30">
      <w:pPr>
        <w:spacing w:line="360" w:lineRule="auto"/>
        <w:rPr>
          <w:rFonts w:hint="eastAsia" w:ascii="宋体" w:hAnsi="宋体" w:cs="宋体"/>
          <w:color w:val="auto"/>
          <w:szCs w:val="21"/>
        </w:rPr>
      </w:pPr>
      <w:r>
        <w:rPr>
          <w:rFonts w:hint="eastAsia" w:ascii="宋体" w:hAnsi="宋体" w:cs="宋体"/>
          <w:color w:val="auto"/>
          <w:szCs w:val="21"/>
        </w:rPr>
        <w:t xml:space="preserve">    2、因履行本合同引起的或与本合同有关的争议，甲乙双方应首先通过友好协商解决，如果协商不能解决，可向甲方所在地人民法院提起诉讼。</w:t>
      </w:r>
    </w:p>
    <w:p w14:paraId="4A6751E5">
      <w:pPr>
        <w:spacing w:line="360" w:lineRule="auto"/>
        <w:rPr>
          <w:rFonts w:hint="eastAsia" w:ascii="宋体" w:hAnsi="宋体" w:cs="宋体"/>
          <w:color w:val="auto"/>
          <w:szCs w:val="21"/>
        </w:rPr>
      </w:pPr>
      <w:r>
        <w:rPr>
          <w:rFonts w:hint="eastAsia" w:ascii="宋体" w:hAnsi="宋体" w:cs="宋体"/>
          <w:color w:val="auto"/>
          <w:szCs w:val="21"/>
        </w:rPr>
        <w:t xml:space="preserve">    3、诉讼期间，本合同继续履行。</w:t>
      </w:r>
    </w:p>
    <w:p w14:paraId="1322C5B8">
      <w:pPr>
        <w:spacing w:line="360" w:lineRule="auto"/>
        <w:rPr>
          <w:rFonts w:hint="eastAsia" w:ascii="宋体" w:hAnsi="宋体" w:cs="宋体"/>
          <w:b/>
          <w:color w:val="auto"/>
        </w:rPr>
      </w:pPr>
      <w:r>
        <w:rPr>
          <w:rFonts w:hint="eastAsia" w:ascii="宋体" w:hAnsi="宋体" w:cs="宋体"/>
          <w:color w:val="auto"/>
          <w:szCs w:val="21"/>
        </w:rPr>
        <w:t xml:space="preserve"> </w:t>
      </w:r>
      <w:r>
        <w:rPr>
          <w:rFonts w:hint="eastAsia" w:ascii="宋体" w:hAnsi="宋体" w:cs="宋体"/>
          <w:color w:val="auto"/>
        </w:rPr>
        <w:t xml:space="preserve">   </w:t>
      </w:r>
      <w:r>
        <w:rPr>
          <w:rFonts w:hint="eastAsia" w:ascii="宋体" w:hAnsi="宋体" w:cs="宋体"/>
          <w:b/>
          <w:color w:val="auto"/>
        </w:rPr>
        <w:t>第十七条  合同生效及其它</w:t>
      </w:r>
    </w:p>
    <w:p w14:paraId="4F7E34B2">
      <w:pPr>
        <w:spacing w:line="360" w:lineRule="auto"/>
        <w:rPr>
          <w:rFonts w:hint="eastAsia" w:ascii="宋体" w:hAnsi="宋体" w:cs="宋体"/>
          <w:b/>
          <w:color w:val="auto"/>
        </w:rPr>
      </w:pPr>
      <w:r>
        <w:rPr>
          <w:rFonts w:hint="eastAsia" w:ascii="宋体" w:hAnsi="宋体" w:cs="宋体"/>
          <w:b/>
          <w:color w:val="auto"/>
        </w:rPr>
        <w:t xml:space="preserve">    1、合同经双方法定代表人(负责人)或授权代表（委托代理人）签字并加盖单位公章后生效。</w:t>
      </w:r>
    </w:p>
    <w:p w14:paraId="1449BF99">
      <w:pPr>
        <w:spacing w:line="360" w:lineRule="auto"/>
        <w:rPr>
          <w:rFonts w:hint="eastAsia" w:ascii="宋体" w:hAnsi="宋体" w:cs="宋体"/>
          <w:b/>
          <w:color w:val="auto"/>
        </w:rPr>
      </w:pPr>
      <w:r>
        <w:rPr>
          <w:rFonts w:hint="eastAsia" w:ascii="宋体" w:hAnsi="宋体" w:cs="宋体"/>
          <w:b/>
          <w:color w:val="auto"/>
        </w:rPr>
        <w:t xml:space="preserve">    2、合同执行中涉及采购资金和采购内容修改或补充的，须签书面补充协议报广西壮族自治区财政厅政府采购监督管理处备案，方可作为主合同不可分割的一部分。</w:t>
      </w:r>
    </w:p>
    <w:p w14:paraId="1EB404C3">
      <w:pPr>
        <w:spacing w:line="360" w:lineRule="auto"/>
        <w:rPr>
          <w:rFonts w:hint="eastAsia" w:ascii="宋体" w:hAnsi="宋体" w:cs="宋体"/>
          <w:b/>
          <w:color w:val="auto"/>
        </w:rPr>
      </w:pPr>
      <w:r>
        <w:rPr>
          <w:rFonts w:hint="eastAsia" w:ascii="宋体" w:hAnsi="宋体" w:cs="宋体"/>
          <w:b/>
          <w:color w:val="auto"/>
        </w:rPr>
        <w:t xml:space="preserve">    3、本合同未尽事宜，遵照《中华人民共和国民法典》有关条文执行。</w:t>
      </w:r>
    </w:p>
    <w:p w14:paraId="674DE24B">
      <w:pPr>
        <w:spacing w:line="360" w:lineRule="auto"/>
        <w:rPr>
          <w:rFonts w:hint="eastAsia" w:ascii="宋体" w:hAnsi="宋体" w:cs="宋体"/>
          <w:b/>
          <w:color w:val="auto"/>
          <w:szCs w:val="21"/>
        </w:rPr>
      </w:pPr>
      <w:r>
        <w:rPr>
          <w:rFonts w:hint="eastAsia" w:ascii="宋体" w:hAnsi="宋体" w:cs="宋体"/>
          <w:b/>
          <w:color w:val="auto"/>
        </w:rPr>
        <w:t xml:space="preserve">    </w:t>
      </w:r>
      <w:r>
        <w:rPr>
          <w:rFonts w:hint="eastAsia" w:ascii="宋体" w:hAnsi="宋体" w:cs="宋体"/>
          <w:b/>
          <w:color w:val="auto"/>
          <w:szCs w:val="21"/>
        </w:rPr>
        <w:t>第十八条　 合同的变更、终止与转让</w:t>
      </w:r>
    </w:p>
    <w:p w14:paraId="4FAD25D8">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1、除《中华人民共和国政府采购法》第五十条规定的情形外，本合同一经签订，甲乙双方不得擅自变更、中止或终止。</w:t>
      </w:r>
    </w:p>
    <w:p w14:paraId="537142B2">
      <w:pPr>
        <w:snapToGrid w:val="0"/>
        <w:spacing w:line="360" w:lineRule="auto"/>
        <w:ind w:firstLine="420" w:firstLineChars="200"/>
        <w:rPr>
          <w:rFonts w:hint="eastAsia" w:ascii="宋体" w:hAnsi="宋体" w:cs="宋体"/>
          <w:color w:val="auto"/>
        </w:rPr>
      </w:pPr>
      <w:r>
        <w:rPr>
          <w:rFonts w:hint="eastAsia" w:ascii="宋体" w:hAnsi="宋体" w:cs="宋体"/>
          <w:color w:val="auto"/>
        </w:rPr>
        <w:t>2、乙方不得擅自转让其应履行的合同义务。</w:t>
      </w:r>
    </w:p>
    <w:p w14:paraId="0898C242">
      <w:pPr>
        <w:snapToGrid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第十九条　 签订本合同依据</w:t>
      </w:r>
    </w:p>
    <w:p w14:paraId="0C3AC14E">
      <w:pPr>
        <w:snapToGrid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（1）成交通知书；</w:t>
      </w:r>
    </w:p>
    <w:p w14:paraId="50F26537">
      <w:pPr>
        <w:snapToGrid w:val="0"/>
        <w:spacing w:line="360" w:lineRule="auto"/>
        <w:ind w:firstLine="420" w:firstLineChars="200"/>
        <w:rPr>
          <w:rFonts w:ascii="宋体" w:hAnsi="宋体" w:cs="宋体"/>
          <w:bCs/>
          <w:color w:val="auto"/>
          <w:szCs w:val="21"/>
        </w:rPr>
      </w:pPr>
      <w:r>
        <w:rPr>
          <w:rFonts w:hint="eastAsia" w:ascii="宋体" w:hAnsi="宋体" w:cs="宋体"/>
          <w:bCs/>
          <w:color w:val="auto"/>
          <w:szCs w:val="21"/>
        </w:rPr>
        <w:t>（2）磋商声明书；</w:t>
      </w:r>
    </w:p>
    <w:p w14:paraId="3F73DFE4">
      <w:pPr>
        <w:snapToGrid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（3）竞争性磋商采购文件的澄清和修改；（如有）</w:t>
      </w:r>
    </w:p>
    <w:p w14:paraId="6D7FF8B6">
      <w:pPr>
        <w:snapToGrid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（5）响应文件中的最后报价明细表；</w:t>
      </w:r>
    </w:p>
    <w:p w14:paraId="01DE27BB">
      <w:pPr>
        <w:snapToGrid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（6）响应文件中的商务、技术响应、偏离情况说明表；</w:t>
      </w:r>
    </w:p>
    <w:p w14:paraId="4B21F2E0">
      <w:pPr>
        <w:snapToGrid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（7）中小企业声明函；（如有）</w:t>
      </w:r>
    </w:p>
    <w:p w14:paraId="33C028D3">
      <w:pPr>
        <w:snapToGrid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（8）成交供应商澄清函；（如有）</w:t>
      </w:r>
    </w:p>
    <w:p w14:paraId="5E8C5715">
      <w:pPr>
        <w:snapToGrid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（9）其他与本合同相关的资料。（如有）</w:t>
      </w:r>
    </w:p>
    <w:p w14:paraId="1F9A18E5">
      <w:pPr>
        <w:snapToGrid w:val="0"/>
        <w:spacing w:line="360" w:lineRule="auto"/>
        <w:ind w:firstLine="422" w:firstLineChars="200"/>
        <w:rPr>
          <w:rFonts w:hint="eastAsia" w:ascii="宋体" w:hAnsi="宋体" w:cs="宋体"/>
          <w:color w:val="auto"/>
          <w:szCs w:val="21"/>
        </w:rPr>
      </w:pPr>
      <w:r>
        <w:rPr>
          <w:rFonts w:hint="eastAsia" w:ascii="宋体" w:hAnsi="宋体" w:cs="宋体"/>
          <w:b/>
          <w:color w:val="auto"/>
          <w:szCs w:val="21"/>
        </w:rPr>
        <w:t>第二十条　</w:t>
      </w:r>
      <w:r>
        <w:rPr>
          <w:rFonts w:hint="eastAsia" w:ascii="宋体" w:hAnsi="宋体" w:cs="宋体"/>
          <w:color w:val="auto"/>
          <w:szCs w:val="21"/>
        </w:rPr>
        <w:t xml:space="preserve"> 本合同一式伍份，具有同等法律效力，甲乙双方各贰份，采购代理机构各壹份。</w:t>
      </w:r>
    </w:p>
    <w:p w14:paraId="7C6B59A6">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本合同甲乙双方签字盖章后生效，自签订之日起7个工作日内，采购人应当将合同副本报同级政府采购监督管理部门和有关部门备案，并应当自签订之日起2个工作日内，将政府采购合同在省级以上人民政府财政部门指定的媒体上公告。</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8"/>
        <w:gridCol w:w="4826"/>
      </w:tblGrid>
      <w:tr w14:paraId="20A37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4568" w:type="dxa"/>
            <w:noWrap w:val="0"/>
            <w:vAlign w:val="top"/>
          </w:tcPr>
          <w:p w14:paraId="69C36738">
            <w:pPr>
              <w:snapToGrid w:val="0"/>
              <w:spacing w:line="360" w:lineRule="auto"/>
              <w:rPr>
                <w:rFonts w:hint="eastAsia" w:ascii="宋体" w:hAnsi="宋体" w:cs="宋体"/>
                <w:color w:val="auto"/>
                <w:szCs w:val="21"/>
              </w:rPr>
            </w:pPr>
            <w:r>
              <w:rPr>
                <w:rFonts w:hint="eastAsia" w:ascii="宋体" w:hAnsi="宋体" w:cs="宋体"/>
                <w:color w:val="auto"/>
                <w:szCs w:val="21"/>
              </w:rPr>
              <w:t xml:space="preserve">甲方（章）           </w:t>
            </w:r>
          </w:p>
          <w:p w14:paraId="6F18B6C5">
            <w:pPr>
              <w:snapToGrid w:val="0"/>
              <w:spacing w:line="360" w:lineRule="auto"/>
              <w:rPr>
                <w:rFonts w:hint="eastAsia" w:ascii="宋体" w:hAnsi="宋体" w:cs="宋体"/>
                <w:color w:val="auto"/>
                <w:szCs w:val="21"/>
              </w:rPr>
            </w:pPr>
          </w:p>
          <w:p w14:paraId="58EEA01C">
            <w:pPr>
              <w:snapToGrid w:val="0"/>
              <w:spacing w:line="360" w:lineRule="auto"/>
              <w:ind w:firstLine="945" w:firstLineChars="450"/>
              <w:rPr>
                <w:rFonts w:hint="eastAsia" w:ascii="宋体" w:hAnsi="宋体" w:cs="宋体"/>
                <w:color w:val="auto"/>
                <w:szCs w:val="21"/>
              </w:rPr>
            </w:pPr>
            <w:r>
              <w:rPr>
                <w:rFonts w:hint="eastAsia" w:ascii="宋体" w:hAnsi="宋体" w:cs="宋体"/>
                <w:color w:val="auto"/>
                <w:szCs w:val="21"/>
              </w:rPr>
              <w:t xml:space="preserve">                 年   月   日</w:t>
            </w:r>
          </w:p>
        </w:tc>
        <w:tc>
          <w:tcPr>
            <w:tcW w:w="4826" w:type="dxa"/>
            <w:noWrap w:val="0"/>
            <w:vAlign w:val="top"/>
          </w:tcPr>
          <w:p w14:paraId="5D584062">
            <w:pPr>
              <w:snapToGrid w:val="0"/>
              <w:spacing w:line="360" w:lineRule="auto"/>
              <w:rPr>
                <w:rFonts w:hint="eastAsia" w:ascii="宋体" w:hAnsi="宋体" w:cs="宋体"/>
                <w:color w:val="auto"/>
                <w:szCs w:val="21"/>
              </w:rPr>
            </w:pPr>
            <w:r>
              <w:rPr>
                <w:rFonts w:hint="eastAsia" w:ascii="宋体" w:hAnsi="宋体" w:cs="宋体"/>
                <w:color w:val="auto"/>
                <w:szCs w:val="21"/>
              </w:rPr>
              <w:t xml:space="preserve">乙方（章）              </w:t>
            </w:r>
          </w:p>
          <w:p w14:paraId="58C02273">
            <w:pPr>
              <w:snapToGrid w:val="0"/>
              <w:spacing w:line="360" w:lineRule="auto"/>
              <w:rPr>
                <w:rFonts w:hint="eastAsia" w:ascii="宋体" w:hAnsi="宋体" w:cs="宋体"/>
                <w:color w:val="auto"/>
                <w:szCs w:val="21"/>
              </w:rPr>
            </w:pPr>
          </w:p>
          <w:p w14:paraId="47FF5BE7">
            <w:pPr>
              <w:snapToGrid w:val="0"/>
              <w:spacing w:line="360" w:lineRule="auto"/>
              <w:rPr>
                <w:rFonts w:hint="eastAsia" w:ascii="宋体" w:hAnsi="宋体" w:cs="宋体"/>
                <w:color w:val="auto"/>
                <w:szCs w:val="21"/>
              </w:rPr>
            </w:pPr>
            <w:r>
              <w:rPr>
                <w:rFonts w:hint="eastAsia" w:ascii="宋体" w:hAnsi="宋体" w:cs="宋体"/>
                <w:color w:val="auto"/>
                <w:szCs w:val="21"/>
              </w:rPr>
              <w:t xml:space="preserve">                             年   月   日</w:t>
            </w:r>
          </w:p>
        </w:tc>
      </w:tr>
      <w:tr w14:paraId="05C1E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568" w:type="dxa"/>
            <w:noWrap w:val="0"/>
            <w:vAlign w:val="top"/>
          </w:tcPr>
          <w:p w14:paraId="0BAFBD9E">
            <w:pPr>
              <w:snapToGrid w:val="0"/>
              <w:spacing w:line="360" w:lineRule="auto"/>
              <w:rPr>
                <w:rFonts w:hint="eastAsia" w:ascii="宋体" w:hAnsi="宋体" w:cs="宋体"/>
                <w:color w:val="auto"/>
                <w:szCs w:val="21"/>
              </w:rPr>
            </w:pPr>
            <w:r>
              <w:rPr>
                <w:rFonts w:hint="eastAsia" w:ascii="宋体" w:hAnsi="宋体" w:cs="宋体"/>
                <w:color w:val="auto"/>
                <w:szCs w:val="21"/>
              </w:rPr>
              <w:t>单位地址：</w:t>
            </w:r>
          </w:p>
        </w:tc>
        <w:tc>
          <w:tcPr>
            <w:tcW w:w="4826" w:type="dxa"/>
            <w:noWrap w:val="0"/>
            <w:vAlign w:val="top"/>
          </w:tcPr>
          <w:p w14:paraId="3441C8D4">
            <w:pPr>
              <w:snapToGrid w:val="0"/>
              <w:spacing w:line="360" w:lineRule="auto"/>
              <w:rPr>
                <w:rFonts w:hint="eastAsia" w:ascii="宋体" w:hAnsi="宋体" w:cs="宋体"/>
                <w:color w:val="auto"/>
                <w:szCs w:val="21"/>
              </w:rPr>
            </w:pPr>
            <w:r>
              <w:rPr>
                <w:rFonts w:hint="eastAsia" w:ascii="宋体" w:hAnsi="宋体" w:cs="宋体"/>
                <w:color w:val="auto"/>
                <w:szCs w:val="21"/>
              </w:rPr>
              <w:t>单位地址：</w:t>
            </w:r>
          </w:p>
        </w:tc>
      </w:tr>
      <w:tr w14:paraId="4D74C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568" w:type="dxa"/>
            <w:noWrap w:val="0"/>
            <w:vAlign w:val="top"/>
          </w:tcPr>
          <w:p w14:paraId="20CC2C61">
            <w:pPr>
              <w:snapToGrid w:val="0"/>
              <w:spacing w:line="360" w:lineRule="auto"/>
              <w:rPr>
                <w:rFonts w:hint="eastAsia" w:ascii="宋体" w:hAnsi="宋体" w:cs="宋体"/>
                <w:color w:val="auto"/>
                <w:szCs w:val="21"/>
              </w:rPr>
            </w:pPr>
            <w:r>
              <w:rPr>
                <w:rFonts w:hint="eastAsia" w:ascii="宋体" w:hAnsi="宋体" w:cs="宋体"/>
                <w:color w:val="auto"/>
                <w:szCs w:val="21"/>
              </w:rPr>
              <w:t>法定代表人(负责人)：</w:t>
            </w:r>
          </w:p>
        </w:tc>
        <w:tc>
          <w:tcPr>
            <w:tcW w:w="4826" w:type="dxa"/>
            <w:noWrap w:val="0"/>
            <w:vAlign w:val="top"/>
          </w:tcPr>
          <w:p w14:paraId="47E91A11">
            <w:pPr>
              <w:snapToGrid w:val="0"/>
              <w:spacing w:line="360" w:lineRule="auto"/>
              <w:rPr>
                <w:rFonts w:hint="eastAsia" w:ascii="宋体" w:hAnsi="宋体" w:cs="宋体"/>
                <w:color w:val="auto"/>
                <w:szCs w:val="21"/>
              </w:rPr>
            </w:pPr>
            <w:r>
              <w:rPr>
                <w:rFonts w:hint="eastAsia" w:ascii="宋体" w:hAnsi="宋体" w:cs="宋体"/>
                <w:color w:val="auto"/>
                <w:szCs w:val="21"/>
              </w:rPr>
              <w:t>法定代表人(负责人)：</w:t>
            </w:r>
          </w:p>
        </w:tc>
      </w:tr>
      <w:tr w14:paraId="0FDE8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568" w:type="dxa"/>
            <w:noWrap w:val="0"/>
            <w:vAlign w:val="top"/>
          </w:tcPr>
          <w:p w14:paraId="4F9CC6B1">
            <w:pPr>
              <w:snapToGrid w:val="0"/>
              <w:spacing w:line="360" w:lineRule="auto"/>
              <w:rPr>
                <w:rFonts w:hint="eastAsia" w:ascii="宋体" w:hAnsi="宋体" w:cs="宋体"/>
                <w:color w:val="auto"/>
                <w:szCs w:val="21"/>
              </w:rPr>
            </w:pPr>
            <w:r>
              <w:rPr>
                <w:rFonts w:hint="eastAsia" w:ascii="宋体" w:hAnsi="宋体" w:cs="宋体"/>
                <w:color w:val="auto"/>
                <w:szCs w:val="21"/>
              </w:rPr>
              <w:t>委托代理人：</w:t>
            </w:r>
          </w:p>
        </w:tc>
        <w:tc>
          <w:tcPr>
            <w:tcW w:w="4826" w:type="dxa"/>
            <w:noWrap w:val="0"/>
            <w:vAlign w:val="top"/>
          </w:tcPr>
          <w:p w14:paraId="7A47C23F">
            <w:pPr>
              <w:snapToGrid w:val="0"/>
              <w:spacing w:line="360" w:lineRule="auto"/>
              <w:rPr>
                <w:rFonts w:hint="eastAsia" w:ascii="宋体" w:hAnsi="宋体" w:cs="宋体"/>
                <w:color w:val="auto"/>
                <w:szCs w:val="21"/>
              </w:rPr>
            </w:pPr>
            <w:r>
              <w:rPr>
                <w:rFonts w:hint="eastAsia" w:ascii="宋体" w:hAnsi="宋体" w:cs="宋体"/>
                <w:color w:val="auto"/>
                <w:szCs w:val="21"/>
              </w:rPr>
              <w:t>委托代理人：</w:t>
            </w:r>
          </w:p>
        </w:tc>
      </w:tr>
      <w:tr w14:paraId="53BE0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568" w:type="dxa"/>
            <w:noWrap w:val="0"/>
            <w:vAlign w:val="top"/>
          </w:tcPr>
          <w:p w14:paraId="03A5A2C9">
            <w:pPr>
              <w:snapToGrid w:val="0"/>
              <w:spacing w:line="360" w:lineRule="auto"/>
              <w:rPr>
                <w:rFonts w:hint="eastAsia" w:ascii="宋体" w:hAnsi="宋体" w:cs="宋体"/>
                <w:color w:val="auto"/>
                <w:szCs w:val="21"/>
              </w:rPr>
            </w:pPr>
            <w:r>
              <w:rPr>
                <w:rFonts w:hint="eastAsia" w:ascii="宋体" w:hAnsi="宋体" w:cs="宋体"/>
                <w:color w:val="auto"/>
                <w:szCs w:val="21"/>
              </w:rPr>
              <w:t>电话：</w:t>
            </w:r>
          </w:p>
        </w:tc>
        <w:tc>
          <w:tcPr>
            <w:tcW w:w="4826" w:type="dxa"/>
            <w:noWrap w:val="0"/>
            <w:vAlign w:val="top"/>
          </w:tcPr>
          <w:p w14:paraId="1D0FB621">
            <w:pPr>
              <w:snapToGrid w:val="0"/>
              <w:spacing w:line="360" w:lineRule="auto"/>
              <w:rPr>
                <w:rFonts w:hint="eastAsia" w:ascii="宋体" w:hAnsi="宋体" w:cs="宋体"/>
                <w:color w:val="auto"/>
                <w:szCs w:val="21"/>
              </w:rPr>
            </w:pPr>
            <w:r>
              <w:rPr>
                <w:rFonts w:hint="eastAsia" w:ascii="宋体" w:hAnsi="宋体" w:cs="宋体"/>
                <w:color w:val="auto"/>
                <w:szCs w:val="21"/>
              </w:rPr>
              <w:t>电话：</w:t>
            </w:r>
          </w:p>
        </w:tc>
      </w:tr>
      <w:tr w14:paraId="68F7F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568" w:type="dxa"/>
            <w:noWrap w:val="0"/>
            <w:vAlign w:val="top"/>
          </w:tcPr>
          <w:p w14:paraId="3D6AAE42">
            <w:pPr>
              <w:snapToGrid w:val="0"/>
              <w:spacing w:line="360" w:lineRule="auto"/>
              <w:rPr>
                <w:rFonts w:hint="eastAsia" w:ascii="宋体" w:hAnsi="宋体" w:cs="宋体"/>
                <w:color w:val="auto"/>
                <w:szCs w:val="21"/>
              </w:rPr>
            </w:pPr>
            <w:r>
              <w:rPr>
                <w:rFonts w:hint="eastAsia" w:ascii="宋体" w:hAnsi="宋体" w:cs="宋体"/>
                <w:color w:val="auto"/>
                <w:szCs w:val="21"/>
              </w:rPr>
              <w:t>电子邮箱：</w:t>
            </w:r>
          </w:p>
        </w:tc>
        <w:tc>
          <w:tcPr>
            <w:tcW w:w="4826" w:type="dxa"/>
            <w:noWrap w:val="0"/>
            <w:vAlign w:val="top"/>
          </w:tcPr>
          <w:p w14:paraId="40D4DEF3">
            <w:pPr>
              <w:snapToGrid w:val="0"/>
              <w:spacing w:line="360" w:lineRule="auto"/>
              <w:rPr>
                <w:rFonts w:hint="eastAsia" w:ascii="宋体" w:hAnsi="宋体" w:cs="宋体"/>
                <w:color w:val="auto"/>
                <w:szCs w:val="21"/>
              </w:rPr>
            </w:pPr>
            <w:r>
              <w:rPr>
                <w:rFonts w:hint="eastAsia" w:ascii="宋体" w:hAnsi="宋体" w:cs="宋体"/>
                <w:color w:val="auto"/>
                <w:szCs w:val="21"/>
              </w:rPr>
              <w:t>电子邮箱：</w:t>
            </w:r>
          </w:p>
        </w:tc>
      </w:tr>
      <w:tr w14:paraId="16A18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568" w:type="dxa"/>
            <w:noWrap w:val="0"/>
            <w:vAlign w:val="top"/>
          </w:tcPr>
          <w:p w14:paraId="2EF41614">
            <w:pPr>
              <w:snapToGrid w:val="0"/>
              <w:spacing w:line="360" w:lineRule="auto"/>
              <w:rPr>
                <w:rFonts w:hint="eastAsia" w:ascii="宋体" w:hAnsi="宋体" w:cs="宋体"/>
                <w:color w:val="auto"/>
                <w:szCs w:val="21"/>
              </w:rPr>
            </w:pPr>
            <w:r>
              <w:rPr>
                <w:rFonts w:hint="eastAsia" w:ascii="宋体" w:hAnsi="宋体" w:cs="宋体"/>
                <w:color w:val="auto"/>
                <w:szCs w:val="21"/>
              </w:rPr>
              <w:t>开户银行：</w:t>
            </w:r>
          </w:p>
        </w:tc>
        <w:tc>
          <w:tcPr>
            <w:tcW w:w="4826" w:type="dxa"/>
            <w:noWrap w:val="0"/>
            <w:vAlign w:val="top"/>
          </w:tcPr>
          <w:p w14:paraId="20805160">
            <w:pPr>
              <w:snapToGrid w:val="0"/>
              <w:spacing w:line="360" w:lineRule="auto"/>
              <w:rPr>
                <w:rFonts w:hint="eastAsia" w:ascii="宋体" w:hAnsi="宋体" w:cs="宋体"/>
                <w:color w:val="auto"/>
                <w:szCs w:val="21"/>
              </w:rPr>
            </w:pPr>
            <w:r>
              <w:rPr>
                <w:rFonts w:hint="eastAsia" w:ascii="宋体" w:hAnsi="宋体" w:cs="宋体"/>
                <w:color w:val="auto"/>
                <w:szCs w:val="21"/>
              </w:rPr>
              <w:t>开户银行：</w:t>
            </w:r>
          </w:p>
        </w:tc>
      </w:tr>
      <w:tr w14:paraId="0DB33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568" w:type="dxa"/>
            <w:noWrap w:val="0"/>
            <w:vAlign w:val="top"/>
          </w:tcPr>
          <w:p w14:paraId="1AD4A30E">
            <w:pPr>
              <w:snapToGrid w:val="0"/>
              <w:spacing w:line="360" w:lineRule="auto"/>
              <w:rPr>
                <w:rFonts w:hint="eastAsia" w:ascii="宋体" w:hAnsi="宋体" w:cs="宋体"/>
                <w:color w:val="auto"/>
                <w:szCs w:val="21"/>
              </w:rPr>
            </w:pPr>
            <w:r>
              <w:rPr>
                <w:rFonts w:hint="eastAsia" w:ascii="宋体" w:hAnsi="宋体" w:cs="宋体"/>
                <w:color w:val="auto"/>
                <w:szCs w:val="21"/>
              </w:rPr>
              <w:t>账号：</w:t>
            </w:r>
          </w:p>
        </w:tc>
        <w:tc>
          <w:tcPr>
            <w:tcW w:w="4826" w:type="dxa"/>
            <w:noWrap w:val="0"/>
            <w:vAlign w:val="top"/>
          </w:tcPr>
          <w:p w14:paraId="225CF204">
            <w:pPr>
              <w:snapToGrid w:val="0"/>
              <w:spacing w:line="360" w:lineRule="auto"/>
              <w:rPr>
                <w:rFonts w:hint="eastAsia" w:ascii="宋体" w:hAnsi="宋体" w:cs="宋体"/>
                <w:color w:val="auto"/>
                <w:szCs w:val="21"/>
              </w:rPr>
            </w:pPr>
            <w:r>
              <w:rPr>
                <w:rFonts w:hint="eastAsia" w:ascii="宋体" w:hAnsi="宋体" w:cs="宋体"/>
                <w:color w:val="auto"/>
                <w:szCs w:val="21"/>
              </w:rPr>
              <w:t>账号：</w:t>
            </w:r>
          </w:p>
        </w:tc>
      </w:tr>
      <w:tr w14:paraId="00AEE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568" w:type="dxa"/>
            <w:noWrap w:val="0"/>
            <w:vAlign w:val="top"/>
          </w:tcPr>
          <w:p w14:paraId="751AD1BF">
            <w:pPr>
              <w:snapToGrid w:val="0"/>
              <w:spacing w:line="360" w:lineRule="auto"/>
              <w:rPr>
                <w:rFonts w:hint="eastAsia" w:ascii="宋体" w:hAnsi="宋体" w:cs="宋体"/>
                <w:color w:val="auto"/>
                <w:szCs w:val="21"/>
              </w:rPr>
            </w:pPr>
            <w:r>
              <w:rPr>
                <w:rFonts w:hint="eastAsia" w:ascii="宋体" w:hAnsi="宋体" w:cs="宋体"/>
                <w:color w:val="auto"/>
              </w:rPr>
              <w:t>纳税人识别号或统一社会信用代码：</w:t>
            </w:r>
          </w:p>
        </w:tc>
        <w:tc>
          <w:tcPr>
            <w:tcW w:w="4826" w:type="dxa"/>
            <w:noWrap w:val="0"/>
            <w:vAlign w:val="top"/>
          </w:tcPr>
          <w:p w14:paraId="58D77873">
            <w:pPr>
              <w:snapToGrid w:val="0"/>
              <w:spacing w:line="360" w:lineRule="auto"/>
              <w:rPr>
                <w:rFonts w:hint="eastAsia" w:ascii="宋体" w:hAnsi="宋体" w:cs="宋体"/>
                <w:color w:val="auto"/>
                <w:szCs w:val="21"/>
              </w:rPr>
            </w:pPr>
            <w:r>
              <w:rPr>
                <w:rFonts w:hint="eastAsia" w:ascii="宋体" w:hAnsi="宋体" w:cs="宋体"/>
                <w:color w:val="auto"/>
              </w:rPr>
              <w:t>纳税人识别号或统一社会信用代码：</w:t>
            </w:r>
          </w:p>
        </w:tc>
      </w:tr>
      <w:tr w14:paraId="50457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568" w:type="dxa"/>
            <w:noWrap w:val="0"/>
            <w:vAlign w:val="top"/>
          </w:tcPr>
          <w:p w14:paraId="1A95D698">
            <w:pPr>
              <w:snapToGrid w:val="0"/>
              <w:spacing w:line="360" w:lineRule="auto"/>
              <w:rPr>
                <w:rFonts w:hint="eastAsia" w:ascii="宋体" w:hAnsi="宋体" w:cs="宋体"/>
                <w:color w:val="auto"/>
                <w:szCs w:val="21"/>
              </w:rPr>
            </w:pPr>
            <w:r>
              <w:rPr>
                <w:rFonts w:hint="eastAsia" w:ascii="宋体" w:hAnsi="宋体" w:cs="宋体"/>
                <w:color w:val="auto"/>
                <w:szCs w:val="21"/>
              </w:rPr>
              <w:t>邮政编码：</w:t>
            </w:r>
          </w:p>
        </w:tc>
        <w:tc>
          <w:tcPr>
            <w:tcW w:w="4826" w:type="dxa"/>
            <w:noWrap w:val="0"/>
            <w:vAlign w:val="top"/>
          </w:tcPr>
          <w:p w14:paraId="6E829903">
            <w:pPr>
              <w:snapToGrid w:val="0"/>
              <w:spacing w:line="360" w:lineRule="auto"/>
              <w:rPr>
                <w:rFonts w:hint="eastAsia" w:ascii="宋体" w:hAnsi="宋体" w:cs="宋体"/>
                <w:color w:val="auto"/>
                <w:szCs w:val="21"/>
              </w:rPr>
            </w:pPr>
            <w:r>
              <w:rPr>
                <w:rFonts w:hint="eastAsia" w:ascii="宋体" w:hAnsi="宋体" w:cs="宋体"/>
                <w:color w:val="auto"/>
                <w:szCs w:val="21"/>
              </w:rPr>
              <w:t>邮政编码：</w:t>
            </w:r>
          </w:p>
        </w:tc>
      </w:tr>
    </w:tbl>
    <w:p w14:paraId="23DD9445">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 xml:space="preserve"> </w:t>
      </w:r>
    </w:p>
    <w:p w14:paraId="33759C17">
      <w:pPr>
        <w:spacing w:line="360" w:lineRule="auto"/>
        <w:jc w:val="center"/>
        <w:rPr>
          <w:rFonts w:hint="eastAsia" w:ascii="宋体" w:hAnsi="宋体" w:cs="宋体"/>
          <w:b/>
          <w:color w:val="auto"/>
          <w:kern w:val="1"/>
          <w:sz w:val="28"/>
          <w:szCs w:val="28"/>
        </w:rPr>
      </w:pPr>
      <w:r>
        <w:rPr>
          <w:rFonts w:hint="eastAsia" w:ascii="宋体" w:hAnsi="宋体" w:cs="宋体"/>
          <w:b/>
          <w:color w:val="auto"/>
        </w:rPr>
        <w:br w:type="page"/>
      </w:r>
      <w:r>
        <w:rPr>
          <w:rFonts w:hint="eastAsia" w:ascii="宋体" w:hAnsi="宋体" w:cs="宋体"/>
          <w:b/>
          <w:color w:val="auto"/>
          <w:kern w:val="1"/>
          <w:sz w:val="28"/>
          <w:szCs w:val="28"/>
        </w:rPr>
        <w:t>合 同 附 件</w:t>
      </w:r>
    </w:p>
    <w:tbl>
      <w:tblPr>
        <w:tblStyle w:val="40"/>
        <w:tblW w:w="0" w:type="auto"/>
        <w:jc w:val="center"/>
        <w:tblLayout w:type="fixed"/>
        <w:tblCellMar>
          <w:top w:w="0" w:type="dxa"/>
          <w:left w:w="108" w:type="dxa"/>
          <w:bottom w:w="0" w:type="dxa"/>
          <w:right w:w="108" w:type="dxa"/>
        </w:tblCellMar>
      </w:tblPr>
      <w:tblGrid>
        <w:gridCol w:w="4742"/>
        <w:gridCol w:w="4634"/>
      </w:tblGrid>
      <w:tr w14:paraId="400B12EF">
        <w:tblPrEx>
          <w:tblCellMar>
            <w:top w:w="0" w:type="dxa"/>
            <w:left w:w="108" w:type="dxa"/>
            <w:bottom w:w="0" w:type="dxa"/>
            <w:right w:w="108" w:type="dxa"/>
          </w:tblCellMar>
        </w:tblPrEx>
        <w:trPr>
          <w:trHeight w:val="1021" w:hRule="atLeast"/>
          <w:jc w:val="center"/>
        </w:trPr>
        <w:tc>
          <w:tcPr>
            <w:tcW w:w="9376" w:type="dxa"/>
            <w:gridSpan w:val="2"/>
            <w:tcBorders>
              <w:top w:val="single" w:color="000000" w:sz="4" w:space="0"/>
              <w:left w:val="single" w:color="000000" w:sz="4" w:space="0"/>
              <w:bottom w:val="single" w:color="000000" w:sz="4" w:space="0"/>
              <w:right w:val="single" w:color="000000" w:sz="4" w:space="0"/>
            </w:tcBorders>
            <w:noWrap w:val="0"/>
            <w:vAlign w:val="top"/>
          </w:tcPr>
          <w:p w14:paraId="583A7623">
            <w:pPr>
              <w:spacing w:line="360" w:lineRule="auto"/>
              <w:rPr>
                <w:rFonts w:hint="eastAsia" w:ascii="宋体" w:hAnsi="宋体" w:cs="宋体"/>
                <w:color w:val="auto"/>
                <w:kern w:val="1"/>
                <w:szCs w:val="21"/>
              </w:rPr>
            </w:pPr>
            <w:r>
              <w:rPr>
                <w:rFonts w:hint="eastAsia" w:ascii="宋体" w:hAnsi="宋体" w:cs="宋体"/>
                <w:color w:val="auto"/>
                <w:kern w:val="1"/>
                <w:szCs w:val="21"/>
              </w:rPr>
              <w:t>1、供应商承诺具体事项：详见响应文件。</w:t>
            </w:r>
          </w:p>
        </w:tc>
      </w:tr>
      <w:tr w14:paraId="054A0950">
        <w:tblPrEx>
          <w:tblCellMar>
            <w:top w:w="0" w:type="dxa"/>
            <w:left w:w="108" w:type="dxa"/>
            <w:bottom w:w="0" w:type="dxa"/>
            <w:right w:w="108" w:type="dxa"/>
          </w:tblCellMar>
        </w:tblPrEx>
        <w:trPr>
          <w:trHeight w:val="969" w:hRule="atLeast"/>
          <w:jc w:val="center"/>
        </w:trPr>
        <w:tc>
          <w:tcPr>
            <w:tcW w:w="9376" w:type="dxa"/>
            <w:gridSpan w:val="2"/>
            <w:tcBorders>
              <w:top w:val="single" w:color="000000" w:sz="4" w:space="0"/>
              <w:left w:val="single" w:color="000000" w:sz="4" w:space="0"/>
              <w:bottom w:val="single" w:color="000000" w:sz="4" w:space="0"/>
              <w:right w:val="single" w:color="000000" w:sz="4" w:space="0"/>
            </w:tcBorders>
            <w:noWrap w:val="0"/>
            <w:vAlign w:val="top"/>
          </w:tcPr>
          <w:p w14:paraId="05EE049C">
            <w:pPr>
              <w:spacing w:line="360" w:lineRule="auto"/>
              <w:rPr>
                <w:rFonts w:hint="eastAsia" w:ascii="宋体" w:hAnsi="宋体" w:cs="宋体"/>
                <w:color w:val="auto"/>
                <w:kern w:val="1"/>
                <w:szCs w:val="21"/>
              </w:rPr>
            </w:pPr>
            <w:r>
              <w:rPr>
                <w:rFonts w:hint="eastAsia" w:ascii="宋体" w:hAnsi="宋体" w:cs="宋体"/>
                <w:color w:val="auto"/>
                <w:kern w:val="1"/>
                <w:szCs w:val="21"/>
              </w:rPr>
              <w:t>2、售后服务具体事项：详见响应文件。</w:t>
            </w:r>
          </w:p>
        </w:tc>
      </w:tr>
      <w:tr w14:paraId="101094A5">
        <w:tblPrEx>
          <w:tblCellMar>
            <w:top w:w="0" w:type="dxa"/>
            <w:left w:w="108" w:type="dxa"/>
            <w:bottom w:w="0" w:type="dxa"/>
            <w:right w:w="108" w:type="dxa"/>
          </w:tblCellMar>
        </w:tblPrEx>
        <w:trPr>
          <w:trHeight w:val="1024" w:hRule="atLeast"/>
          <w:jc w:val="center"/>
        </w:trPr>
        <w:tc>
          <w:tcPr>
            <w:tcW w:w="9376" w:type="dxa"/>
            <w:gridSpan w:val="2"/>
            <w:tcBorders>
              <w:top w:val="single" w:color="000000" w:sz="4" w:space="0"/>
              <w:left w:val="single" w:color="000000" w:sz="4" w:space="0"/>
              <w:bottom w:val="single" w:color="000000" w:sz="4" w:space="0"/>
              <w:right w:val="single" w:color="000000" w:sz="4" w:space="0"/>
            </w:tcBorders>
            <w:noWrap w:val="0"/>
            <w:vAlign w:val="top"/>
          </w:tcPr>
          <w:p w14:paraId="25E327C8">
            <w:pPr>
              <w:spacing w:line="360" w:lineRule="auto"/>
              <w:rPr>
                <w:rFonts w:hint="eastAsia" w:ascii="宋体" w:hAnsi="宋体" w:cs="宋体"/>
                <w:color w:val="auto"/>
                <w:kern w:val="1"/>
                <w:szCs w:val="21"/>
              </w:rPr>
            </w:pPr>
            <w:r>
              <w:rPr>
                <w:rFonts w:hint="eastAsia" w:ascii="宋体" w:hAnsi="宋体" w:cs="宋体"/>
                <w:color w:val="auto"/>
                <w:kern w:val="1"/>
                <w:szCs w:val="21"/>
              </w:rPr>
              <w:t>3、服务期责任：详见响应文件。</w:t>
            </w:r>
          </w:p>
        </w:tc>
      </w:tr>
      <w:tr w14:paraId="51B8AF79">
        <w:tblPrEx>
          <w:tblCellMar>
            <w:top w:w="0" w:type="dxa"/>
            <w:left w:w="108" w:type="dxa"/>
            <w:bottom w:w="0" w:type="dxa"/>
            <w:right w:w="108" w:type="dxa"/>
          </w:tblCellMar>
        </w:tblPrEx>
        <w:trPr>
          <w:trHeight w:val="931" w:hRule="atLeast"/>
          <w:jc w:val="center"/>
        </w:trPr>
        <w:tc>
          <w:tcPr>
            <w:tcW w:w="9376" w:type="dxa"/>
            <w:gridSpan w:val="2"/>
            <w:tcBorders>
              <w:top w:val="single" w:color="000000" w:sz="4" w:space="0"/>
              <w:left w:val="single" w:color="000000" w:sz="4" w:space="0"/>
              <w:bottom w:val="single" w:color="000000" w:sz="4" w:space="0"/>
              <w:right w:val="single" w:color="000000" w:sz="4" w:space="0"/>
            </w:tcBorders>
            <w:noWrap w:val="0"/>
            <w:vAlign w:val="top"/>
          </w:tcPr>
          <w:p w14:paraId="146ED11E">
            <w:pPr>
              <w:spacing w:line="360" w:lineRule="auto"/>
              <w:rPr>
                <w:rFonts w:hint="eastAsia" w:ascii="宋体" w:hAnsi="宋体" w:cs="宋体"/>
                <w:color w:val="auto"/>
                <w:kern w:val="1"/>
                <w:szCs w:val="21"/>
              </w:rPr>
            </w:pPr>
            <w:r>
              <w:rPr>
                <w:rFonts w:hint="eastAsia" w:ascii="宋体" w:hAnsi="宋体" w:cs="宋体"/>
                <w:color w:val="auto"/>
                <w:kern w:val="1"/>
                <w:szCs w:val="21"/>
              </w:rPr>
              <w:t>4、其他具体事项：详见响应文件。</w:t>
            </w:r>
          </w:p>
        </w:tc>
      </w:tr>
      <w:tr w14:paraId="2A572082">
        <w:tblPrEx>
          <w:tblCellMar>
            <w:top w:w="0" w:type="dxa"/>
            <w:left w:w="108" w:type="dxa"/>
            <w:bottom w:w="0" w:type="dxa"/>
            <w:right w:w="108" w:type="dxa"/>
          </w:tblCellMar>
        </w:tblPrEx>
        <w:trPr>
          <w:trHeight w:val="1164" w:hRule="atLeast"/>
          <w:jc w:val="center"/>
        </w:trPr>
        <w:tc>
          <w:tcPr>
            <w:tcW w:w="4742" w:type="dxa"/>
            <w:tcBorders>
              <w:top w:val="single" w:color="000000" w:sz="4" w:space="0"/>
              <w:left w:val="single" w:color="000000" w:sz="4" w:space="0"/>
              <w:bottom w:val="single" w:color="000000" w:sz="4" w:space="0"/>
              <w:right w:val="single" w:color="000000" w:sz="4" w:space="0"/>
            </w:tcBorders>
            <w:noWrap w:val="0"/>
            <w:vAlign w:val="center"/>
          </w:tcPr>
          <w:p w14:paraId="67AD149E">
            <w:pPr>
              <w:spacing w:line="360" w:lineRule="auto"/>
              <w:rPr>
                <w:rFonts w:hint="eastAsia" w:ascii="宋体" w:hAnsi="宋体" w:cs="宋体"/>
                <w:color w:val="auto"/>
                <w:kern w:val="1"/>
                <w:szCs w:val="21"/>
              </w:rPr>
            </w:pPr>
            <w:r>
              <w:rPr>
                <w:rFonts w:hint="eastAsia" w:ascii="宋体" w:hAnsi="宋体" w:cs="宋体"/>
                <w:color w:val="auto"/>
                <w:kern w:val="1"/>
                <w:szCs w:val="21"/>
              </w:rPr>
              <w:t>甲方（章）</w:t>
            </w:r>
          </w:p>
          <w:p w14:paraId="17AE3E4F">
            <w:pPr>
              <w:spacing w:line="360" w:lineRule="auto"/>
              <w:ind w:firstLine="422"/>
              <w:rPr>
                <w:rFonts w:hint="eastAsia" w:ascii="宋体" w:hAnsi="宋体" w:cs="宋体"/>
                <w:color w:val="auto"/>
                <w:kern w:val="1"/>
                <w:szCs w:val="21"/>
              </w:rPr>
            </w:pPr>
          </w:p>
          <w:p w14:paraId="3EC895B5">
            <w:pPr>
              <w:spacing w:line="360" w:lineRule="auto"/>
              <w:ind w:firstLine="422"/>
              <w:rPr>
                <w:rFonts w:hint="eastAsia" w:ascii="宋体" w:hAnsi="宋体" w:cs="宋体"/>
                <w:color w:val="auto"/>
                <w:kern w:val="1"/>
                <w:szCs w:val="21"/>
              </w:rPr>
            </w:pPr>
          </w:p>
          <w:p w14:paraId="7F1DF9AC">
            <w:pPr>
              <w:spacing w:line="360" w:lineRule="auto"/>
              <w:ind w:firstLine="422"/>
              <w:rPr>
                <w:rFonts w:hint="eastAsia" w:ascii="宋体" w:hAnsi="宋体" w:cs="宋体"/>
                <w:color w:val="auto"/>
                <w:kern w:val="1"/>
                <w:szCs w:val="21"/>
              </w:rPr>
            </w:pPr>
          </w:p>
          <w:p w14:paraId="2C11BC37">
            <w:pPr>
              <w:spacing w:line="360" w:lineRule="auto"/>
              <w:ind w:firstLine="422"/>
              <w:rPr>
                <w:rFonts w:hint="eastAsia" w:ascii="宋体" w:hAnsi="宋体" w:cs="宋体"/>
                <w:color w:val="auto"/>
                <w:kern w:val="1"/>
                <w:szCs w:val="21"/>
              </w:rPr>
            </w:pPr>
            <w:r>
              <w:rPr>
                <w:rFonts w:hint="eastAsia" w:ascii="宋体" w:hAnsi="宋体" w:cs="宋体"/>
                <w:color w:val="auto"/>
                <w:kern w:val="1"/>
                <w:szCs w:val="21"/>
              </w:rPr>
              <w:t xml:space="preserve">                      年   月   日 </w:t>
            </w:r>
          </w:p>
        </w:tc>
        <w:tc>
          <w:tcPr>
            <w:tcW w:w="4634" w:type="dxa"/>
            <w:tcBorders>
              <w:top w:val="single" w:color="000000" w:sz="4" w:space="0"/>
              <w:left w:val="single" w:color="000000" w:sz="4" w:space="0"/>
              <w:bottom w:val="single" w:color="000000" w:sz="4" w:space="0"/>
              <w:right w:val="single" w:color="000000" w:sz="4" w:space="0"/>
            </w:tcBorders>
            <w:noWrap w:val="0"/>
            <w:vAlign w:val="center"/>
          </w:tcPr>
          <w:p w14:paraId="4298449A">
            <w:pPr>
              <w:spacing w:line="360" w:lineRule="auto"/>
              <w:rPr>
                <w:rFonts w:hint="eastAsia" w:ascii="宋体" w:hAnsi="宋体" w:cs="宋体"/>
                <w:color w:val="auto"/>
                <w:kern w:val="1"/>
                <w:szCs w:val="21"/>
              </w:rPr>
            </w:pPr>
            <w:r>
              <w:rPr>
                <w:rFonts w:hint="eastAsia" w:ascii="宋体" w:hAnsi="宋体" w:cs="宋体"/>
                <w:color w:val="auto"/>
                <w:kern w:val="1"/>
                <w:szCs w:val="21"/>
              </w:rPr>
              <w:t>乙方（章）</w:t>
            </w:r>
          </w:p>
          <w:p w14:paraId="4234F364">
            <w:pPr>
              <w:spacing w:line="360" w:lineRule="auto"/>
              <w:ind w:firstLine="422"/>
              <w:rPr>
                <w:rFonts w:hint="eastAsia" w:ascii="宋体" w:hAnsi="宋体" w:cs="宋体"/>
                <w:color w:val="auto"/>
                <w:kern w:val="1"/>
                <w:szCs w:val="21"/>
              </w:rPr>
            </w:pPr>
          </w:p>
          <w:p w14:paraId="6A52E11B">
            <w:pPr>
              <w:spacing w:line="360" w:lineRule="auto"/>
              <w:ind w:firstLine="422"/>
              <w:rPr>
                <w:rFonts w:hint="eastAsia" w:ascii="宋体" w:hAnsi="宋体" w:cs="宋体"/>
                <w:color w:val="auto"/>
                <w:kern w:val="1"/>
                <w:szCs w:val="21"/>
              </w:rPr>
            </w:pPr>
          </w:p>
          <w:p w14:paraId="4D55D0A9">
            <w:pPr>
              <w:spacing w:line="360" w:lineRule="auto"/>
              <w:ind w:firstLine="422"/>
              <w:rPr>
                <w:rFonts w:hint="eastAsia" w:ascii="宋体" w:hAnsi="宋体" w:cs="宋体"/>
                <w:color w:val="auto"/>
                <w:kern w:val="1"/>
                <w:szCs w:val="21"/>
              </w:rPr>
            </w:pPr>
          </w:p>
          <w:p w14:paraId="6629BFD1">
            <w:pPr>
              <w:spacing w:line="360" w:lineRule="auto"/>
              <w:ind w:firstLine="422"/>
              <w:rPr>
                <w:rFonts w:hint="eastAsia" w:ascii="宋体" w:hAnsi="宋体" w:cs="宋体"/>
                <w:color w:val="auto"/>
                <w:kern w:val="1"/>
                <w:szCs w:val="21"/>
              </w:rPr>
            </w:pPr>
            <w:r>
              <w:rPr>
                <w:rFonts w:hint="eastAsia" w:ascii="宋体" w:hAnsi="宋体" w:cs="宋体"/>
                <w:color w:val="auto"/>
                <w:kern w:val="1"/>
                <w:szCs w:val="21"/>
              </w:rPr>
              <w:t xml:space="preserve">                       年   月   日</w:t>
            </w:r>
          </w:p>
        </w:tc>
      </w:tr>
    </w:tbl>
    <w:p w14:paraId="5D39C4F3">
      <w:pPr>
        <w:spacing w:line="360" w:lineRule="auto"/>
        <w:rPr>
          <w:rFonts w:hint="eastAsia" w:ascii="宋体" w:hAnsi="宋体" w:cs="宋体"/>
          <w:color w:val="auto"/>
          <w:kern w:val="1"/>
          <w:szCs w:val="21"/>
        </w:rPr>
      </w:pPr>
      <w:r>
        <w:rPr>
          <w:rFonts w:hint="eastAsia" w:ascii="宋体" w:hAnsi="宋体" w:cs="宋体"/>
          <w:color w:val="auto"/>
          <w:kern w:val="1"/>
          <w:szCs w:val="21"/>
        </w:rPr>
        <w:t xml:space="preserve">  注：售后服务事项填不下时可另加附页。</w:t>
      </w:r>
    </w:p>
    <w:p w14:paraId="7EA012BC">
      <w:pPr>
        <w:pStyle w:val="22"/>
        <w:spacing w:line="360" w:lineRule="auto"/>
        <w:rPr>
          <w:rFonts w:hint="eastAsia" w:hAnsi="宋体" w:cs="宋体"/>
          <w:color w:val="auto"/>
          <w:kern w:val="0"/>
          <w:sz w:val="32"/>
          <w:szCs w:val="32"/>
        </w:rPr>
      </w:pPr>
      <w:r>
        <w:rPr>
          <w:rFonts w:hint="eastAsia" w:hAnsi="宋体" w:cs="宋体"/>
          <w:color w:val="auto"/>
          <w:kern w:val="0"/>
          <w:sz w:val="32"/>
          <w:szCs w:val="32"/>
        </w:rPr>
        <w:br w:type="page"/>
      </w:r>
      <w:r>
        <w:rPr>
          <w:rFonts w:hint="eastAsia" w:hAnsi="宋体" w:cs="宋体"/>
          <w:color w:val="auto"/>
          <w:kern w:val="0"/>
          <w:sz w:val="32"/>
          <w:szCs w:val="32"/>
        </w:rPr>
        <w:t>附件1：</w:t>
      </w:r>
    </w:p>
    <w:p w14:paraId="03BFA95D">
      <w:pPr>
        <w:widowControl/>
        <w:shd w:val="clear" w:color="auto" w:fill="FFFFFF"/>
        <w:spacing w:line="360" w:lineRule="auto"/>
        <w:jc w:val="center"/>
        <w:rPr>
          <w:rFonts w:hint="eastAsia" w:ascii="宋体" w:hAnsi="宋体" w:cs="宋体"/>
          <w:color w:val="auto"/>
          <w:kern w:val="0"/>
          <w:sz w:val="32"/>
          <w:szCs w:val="32"/>
        </w:rPr>
      </w:pPr>
      <w:r>
        <w:rPr>
          <w:rFonts w:hint="eastAsia" w:ascii="宋体" w:hAnsi="宋体" w:cs="宋体"/>
          <w:color w:val="auto"/>
          <w:kern w:val="0"/>
          <w:sz w:val="32"/>
          <w:szCs w:val="32"/>
        </w:rPr>
        <w:t>广西壮族自治区政府采购项目合同验收书（如有格式）</w:t>
      </w:r>
    </w:p>
    <w:p w14:paraId="33644E70">
      <w:pPr>
        <w:widowControl/>
        <w:shd w:val="clear" w:color="auto" w:fill="FFFFFF"/>
        <w:snapToGrid w:val="0"/>
        <w:spacing w:line="360" w:lineRule="auto"/>
        <w:jc w:val="left"/>
        <w:rPr>
          <w:rFonts w:hint="eastAsia" w:ascii="宋体" w:hAnsi="宋体" w:cs="宋体"/>
          <w:color w:val="auto"/>
          <w:kern w:val="0"/>
          <w:szCs w:val="21"/>
        </w:rPr>
      </w:pPr>
      <w:r>
        <w:rPr>
          <w:rFonts w:hint="eastAsia" w:ascii="宋体" w:hAnsi="宋体" w:cs="宋体"/>
          <w:color w:val="auto"/>
          <w:kern w:val="0"/>
          <w:szCs w:val="21"/>
        </w:rPr>
        <w:t xml:space="preserve">    根据政府采购项目（</w:t>
      </w:r>
      <w:r>
        <w:rPr>
          <w:rFonts w:hint="eastAsia" w:ascii="宋体" w:hAnsi="宋体" w:cs="宋体"/>
          <w:color w:val="auto"/>
          <w:kern w:val="0"/>
          <w:szCs w:val="21"/>
          <w:u w:val="single"/>
        </w:rPr>
        <w:t>采购合同编号：</w:t>
      </w:r>
      <w:r>
        <w:rPr>
          <w:rFonts w:hint="eastAsia" w:ascii="宋体" w:hAnsi="宋体" w:cs="宋体"/>
          <w:color w:val="auto"/>
          <w:kern w:val="0"/>
          <w:szCs w:val="21"/>
          <w:u w:val="single"/>
        </w:rPr>
        <w:softHyphen/>
      </w:r>
      <w:r>
        <w:rPr>
          <w:rFonts w:hint="eastAsia" w:ascii="宋体" w:hAnsi="宋体" w:cs="宋体"/>
          <w:color w:val="auto"/>
          <w:kern w:val="0"/>
          <w:szCs w:val="21"/>
          <w:u w:val="single"/>
        </w:rPr>
        <w:t xml:space="preserve"> </w:t>
      </w:r>
      <w:r>
        <w:rPr>
          <w:rFonts w:hint="eastAsia" w:ascii="宋体" w:hAnsi="宋体" w:cs="宋体"/>
          <w:color w:val="auto"/>
          <w:kern w:val="0"/>
          <w:szCs w:val="21"/>
        </w:rPr>
        <w:t>）的约定，我单位对（</w:t>
      </w:r>
      <w:r>
        <w:rPr>
          <w:rFonts w:hint="eastAsia" w:ascii="宋体" w:hAnsi="宋体" w:cs="宋体"/>
          <w:color w:val="auto"/>
          <w:kern w:val="0"/>
          <w:szCs w:val="21"/>
          <w:u w:val="single"/>
        </w:rPr>
        <w:t xml:space="preserve"> 项目名称 </w:t>
      </w:r>
      <w:r>
        <w:rPr>
          <w:rFonts w:hint="eastAsia" w:ascii="宋体" w:hAnsi="宋体" w:cs="宋体"/>
          <w:color w:val="auto"/>
          <w:kern w:val="0"/>
          <w:szCs w:val="21"/>
        </w:rPr>
        <w:t>） 政府采购项目</w:t>
      </w:r>
      <w:r>
        <w:rPr>
          <w:rFonts w:hint="eastAsia" w:ascii="宋体" w:hAnsi="宋体" w:cs="宋体"/>
          <w:color w:val="auto"/>
          <w:kern w:val="0"/>
          <w:szCs w:val="21"/>
          <w:u w:val="single"/>
        </w:rPr>
        <w:t xml:space="preserve">    </w:t>
      </w:r>
      <w:r>
        <w:rPr>
          <w:rFonts w:hint="eastAsia" w:ascii="宋体" w:hAnsi="宋体" w:cs="宋体"/>
          <w:color w:val="auto"/>
          <w:kern w:val="0"/>
          <w:szCs w:val="21"/>
        </w:rPr>
        <w:t>分标中标（或成交）供应商（</w:t>
      </w:r>
      <w:r>
        <w:rPr>
          <w:rFonts w:hint="eastAsia" w:ascii="宋体" w:hAnsi="宋体" w:cs="宋体"/>
          <w:color w:val="auto"/>
          <w:kern w:val="0"/>
          <w:szCs w:val="21"/>
          <w:u w:val="single"/>
        </w:rPr>
        <w:t xml:space="preserve"> 公司名称 </w:t>
      </w:r>
      <w:r>
        <w:rPr>
          <w:rFonts w:hint="eastAsia" w:ascii="宋体" w:hAnsi="宋体" w:cs="宋体"/>
          <w:color w:val="auto"/>
          <w:kern w:val="0"/>
          <w:szCs w:val="21"/>
        </w:rPr>
        <w:t>） 提供的货物（或工程、服务）进行了验收，验收情况如下：</w:t>
      </w:r>
    </w:p>
    <w:tbl>
      <w:tblPr>
        <w:tblStyle w:val="40"/>
        <w:tblW w:w="0" w:type="auto"/>
        <w:jc w:val="center"/>
        <w:tblLayout w:type="fixed"/>
        <w:tblCellMar>
          <w:top w:w="0" w:type="dxa"/>
          <w:left w:w="0" w:type="dxa"/>
          <w:bottom w:w="0" w:type="dxa"/>
          <w:right w:w="0" w:type="dxa"/>
        </w:tblCellMar>
      </w:tblPr>
      <w:tblGrid>
        <w:gridCol w:w="1497"/>
        <w:gridCol w:w="2159"/>
        <w:gridCol w:w="897"/>
        <w:gridCol w:w="114"/>
        <w:gridCol w:w="2251"/>
        <w:gridCol w:w="200"/>
        <w:gridCol w:w="770"/>
        <w:gridCol w:w="1606"/>
      </w:tblGrid>
      <w:tr w14:paraId="343405AE">
        <w:tblPrEx>
          <w:tblCellMar>
            <w:top w:w="0" w:type="dxa"/>
            <w:left w:w="0" w:type="dxa"/>
            <w:bottom w:w="0" w:type="dxa"/>
            <w:right w:w="0" w:type="dxa"/>
          </w:tblCellMar>
        </w:tblPrEx>
        <w:trPr>
          <w:trHeight w:val="523" w:hRule="atLeast"/>
          <w:jc w:val="center"/>
        </w:trPr>
        <w:tc>
          <w:tcPr>
            <w:tcW w:w="3656" w:type="dxa"/>
            <w:gridSpan w:val="2"/>
            <w:tcBorders>
              <w:top w:val="single" w:color="auto" w:sz="8" w:space="0"/>
              <w:left w:val="single" w:color="auto" w:sz="8" w:space="0"/>
              <w:bottom w:val="single" w:color="auto" w:sz="8" w:space="0"/>
              <w:right w:val="single" w:color="auto" w:sz="8" w:space="0"/>
            </w:tcBorders>
            <w:noWrap w:val="0"/>
            <w:vAlign w:val="center"/>
          </w:tcPr>
          <w:p w14:paraId="334C96F0">
            <w:pPr>
              <w:widowControl/>
              <w:snapToGrid w:val="0"/>
              <w:spacing w:before="100" w:beforeAutospacing="1" w:after="100" w:afterAutospacing="1" w:line="360" w:lineRule="auto"/>
              <w:ind w:firstLine="5"/>
              <w:jc w:val="center"/>
              <w:rPr>
                <w:rFonts w:hint="eastAsia" w:ascii="宋体" w:hAnsi="宋体" w:cs="宋体"/>
                <w:color w:val="auto"/>
                <w:kern w:val="0"/>
                <w:szCs w:val="21"/>
              </w:rPr>
            </w:pPr>
            <w:r>
              <w:rPr>
                <w:rFonts w:hint="eastAsia" w:ascii="宋体" w:hAnsi="宋体" w:cs="宋体"/>
                <w:color w:val="auto"/>
                <w:kern w:val="0"/>
                <w:szCs w:val="21"/>
              </w:rPr>
              <w:t>验收方式：</w:t>
            </w:r>
          </w:p>
        </w:tc>
        <w:tc>
          <w:tcPr>
            <w:tcW w:w="5838" w:type="dxa"/>
            <w:gridSpan w:val="6"/>
            <w:tcBorders>
              <w:top w:val="single" w:color="auto" w:sz="8" w:space="0"/>
              <w:left w:val="nil"/>
              <w:bottom w:val="single" w:color="auto" w:sz="8" w:space="0"/>
              <w:right w:val="single" w:color="auto" w:sz="8" w:space="0"/>
            </w:tcBorders>
            <w:noWrap w:val="0"/>
            <w:vAlign w:val="center"/>
          </w:tcPr>
          <w:p w14:paraId="20C65EF4">
            <w:pPr>
              <w:widowControl/>
              <w:snapToGrid w:val="0"/>
              <w:spacing w:before="100" w:beforeAutospacing="1" w:after="100" w:afterAutospacing="1" w:line="360" w:lineRule="auto"/>
              <w:ind w:firstLine="480"/>
              <w:jc w:val="center"/>
              <w:rPr>
                <w:rFonts w:hint="eastAsia" w:ascii="宋体" w:hAnsi="宋体" w:cs="宋体"/>
                <w:color w:val="auto"/>
                <w:kern w:val="0"/>
                <w:szCs w:val="21"/>
              </w:rPr>
            </w:pPr>
            <w:r>
              <w:rPr>
                <w:rFonts w:hint="eastAsia" w:ascii="宋体" w:hAnsi="宋体" w:cs="宋体"/>
                <w:color w:val="auto"/>
                <w:kern w:val="0"/>
                <w:szCs w:val="21"/>
              </w:rPr>
              <w:t>□自行验收 □委托验收</w:t>
            </w:r>
          </w:p>
        </w:tc>
      </w:tr>
      <w:tr w14:paraId="169CBFFB">
        <w:tblPrEx>
          <w:tblCellMar>
            <w:top w:w="0" w:type="dxa"/>
            <w:left w:w="0" w:type="dxa"/>
            <w:bottom w:w="0" w:type="dxa"/>
            <w:right w:w="0" w:type="dxa"/>
          </w:tblCellMar>
        </w:tblPrEx>
        <w:trPr>
          <w:trHeight w:val="654" w:hRule="atLeast"/>
          <w:jc w:val="center"/>
        </w:trPr>
        <w:tc>
          <w:tcPr>
            <w:tcW w:w="1497" w:type="dxa"/>
            <w:tcBorders>
              <w:top w:val="nil"/>
              <w:left w:val="single" w:color="auto" w:sz="8" w:space="0"/>
              <w:bottom w:val="single" w:color="auto" w:sz="8" w:space="0"/>
              <w:right w:val="single" w:color="auto" w:sz="8" w:space="0"/>
            </w:tcBorders>
            <w:noWrap w:val="0"/>
            <w:vAlign w:val="center"/>
          </w:tcPr>
          <w:p w14:paraId="0899A3B7">
            <w:pPr>
              <w:widowControl/>
              <w:snapToGrid w:val="0"/>
              <w:spacing w:before="100" w:beforeAutospacing="1" w:after="100" w:afterAutospacing="1" w:line="360" w:lineRule="auto"/>
              <w:ind w:firstLine="2"/>
              <w:jc w:val="center"/>
              <w:rPr>
                <w:rFonts w:hint="eastAsia" w:ascii="宋体" w:hAnsi="宋体" w:cs="宋体"/>
                <w:color w:val="auto"/>
                <w:kern w:val="0"/>
                <w:szCs w:val="21"/>
              </w:rPr>
            </w:pPr>
            <w:r>
              <w:rPr>
                <w:rFonts w:hint="eastAsia" w:ascii="宋体" w:hAnsi="宋体" w:cs="宋体"/>
                <w:color w:val="auto"/>
                <w:kern w:val="0"/>
                <w:szCs w:val="21"/>
              </w:rPr>
              <w:t>序号</w:t>
            </w:r>
          </w:p>
        </w:tc>
        <w:tc>
          <w:tcPr>
            <w:tcW w:w="2159" w:type="dxa"/>
            <w:tcBorders>
              <w:top w:val="nil"/>
              <w:left w:val="nil"/>
              <w:bottom w:val="single" w:color="auto" w:sz="8" w:space="0"/>
              <w:right w:val="single" w:color="auto" w:sz="8" w:space="0"/>
            </w:tcBorders>
            <w:noWrap w:val="0"/>
            <w:vAlign w:val="center"/>
          </w:tcPr>
          <w:p w14:paraId="74A6CFA6">
            <w:pPr>
              <w:widowControl/>
              <w:snapToGrid w:val="0"/>
              <w:spacing w:before="100" w:beforeAutospacing="1" w:after="100" w:afterAutospacing="1" w:line="360" w:lineRule="auto"/>
              <w:ind w:firstLine="2"/>
              <w:jc w:val="center"/>
              <w:rPr>
                <w:rFonts w:hint="eastAsia" w:ascii="宋体" w:hAnsi="宋体" w:cs="宋体"/>
                <w:color w:val="auto"/>
                <w:kern w:val="0"/>
                <w:szCs w:val="21"/>
              </w:rPr>
            </w:pPr>
            <w:r>
              <w:rPr>
                <w:rFonts w:hint="eastAsia" w:ascii="宋体" w:hAnsi="宋体" w:cs="宋体"/>
                <w:color w:val="auto"/>
                <w:kern w:val="0"/>
                <w:szCs w:val="21"/>
              </w:rPr>
              <w:t>名 称</w:t>
            </w:r>
          </w:p>
        </w:tc>
        <w:tc>
          <w:tcPr>
            <w:tcW w:w="3262" w:type="dxa"/>
            <w:gridSpan w:val="3"/>
            <w:tcBorders>
              <w:top w:val="nil"/>
              <w:left w:val="nil"/>
              <w:bottom w:val="single" w:color="auto" w:sz="8" w:space="0"/>
              <w:right w:val="single" w:color="auto" w:sz="8" w:space="0"/>
            </w:tcBorders>
            <w:noWrap w:val="0"/>
            <w:vAlign w:val="center"/>
          </w:tcPr>
          <w:p w14:paraId="2894D83F">
            <w:pPr>
              <w:widowControl/>
              <w:snapToGrid w:val="0"/>
              <w:spacing w:before="100" w:beforeAutospacing="1" w:after="100" w:afterAutospacing="1" w:line="360" w:lineRule="auto"/>
              <w:ind w:firstLine="2"/>
              <w:jc w:val="center"/>
              <w:rPr>
                <w:rFonts w:hint="eastAsia" w:ascii="宋体" w:hAnsi="宋体" w:cs="宋体"/>
                <w:color w:val="auto"/>
                <w:kern w:val="0"/>
                <w:szCs w:val="21"/>
              </w:rPr>
            </w:pPr>
            <w:r>
              <w:rPr>
                <w:rFonts w:hint="eastAsia" w:ascii="宋体" w:hAnsi="宋体" w:cs="宋体"/>
                <w:color w:val="auto"/>
                <w:kern w:val="0"/>
                <w:szCs w:val="21"/>
              </w:rPr>
              <w:t>货物型号规格、标准及配置等（或服务内容、标准）</w:t>
            </w:r>
          </w:p>
        </w:tc>
        <w:tc>
          <w:tcPr>
            <w:tcW w:w="970" w:type="dxa"/>
            <w:gridSpan w:val="2"/>
            <w:tcBorders>
              <w:top w:val="nil"/>
              <w:left w:val="nil"/>
              <w:bottom w:val="single" w:color="auto" w:sz="8" w:space="0"/>
              <w:right w:val="single" w:color="auto" w:sz="8" w:space="0"/>
            </w:tcBorders>
            <w:noWrap w:val="0"/>
            <w:vAlign w:val="center"/>
          </w:tcPr>
          <w:p w14:paraId="0E3831CE">
            <w:pPr>
              <w:widowControl/>
              <w:snapToGrid w:val="0"/>
              <w:spacing w:before="100" w:beforeAutospacing="1" w:after="100" w:afterAutospacing="1" w:line="360" w:lineRule="auto"/>
              <w:jc w:val="center"/>
              <w:rPr>
                <w:rFonts w:hint="eastAsia" w:ascii="宋体" w:hAnsi="宋体" w:cs="宋体"/>
                <w:color w:val="auto"/>
                <w:kern w:val="0"/>
                <w:szCs w:val="21"/>
              </w:rPr>
            </w:pPr>
            <w:r>
              <w:rPr>
                <w:rFonts w:hint="eastAsia" w:ascii="宋体" w:hAnsi="宋体" w:cs="宋体"/>
                <w:color w:val="auto"/>
                <w:kern w:val="0"/>
                <w:szCs w:val="21"/>
              </w:rPr>
              <w:t>数量</w:t>
            </w:r>
          </w:p>
        </w:tc>
        <w:tc>
          <w:tcPr>
            <w:tcW w:w="1606" w:type="dxa"/>
            <w:tcBorders>
              <w:top w:val="nil"/>
              <w:left w:val="nil"/>
              <w:bottom w:val="single" w:color="auto" w:sz="8" w:space="0"/>
              <w:right w:val="single" w:color="auto" w:sz="8" w:space="0"/>
            </w:tcBorders>
            <w:noWrap w:val="0"/>
            <w:vAlign w:val="center"/>
          </w:tcPr>
          <w:p w14:paraId="2F960AE7">
            <w:pPr>
              <w:widowControl/>
              <w:snapToGrid w:val="0"/>
              <w:spacing w:before="100" w:beforeAutospacing="1" w:after="100" w:afterAutospacing="1" w:line="360" w:lineRule="auto"/>
              <w:ind w:firstLine="2"/>
              <w:jc w:val="center"/>
              <w:rPr>
                <w:rFonts w:hint="eastAsia" w:ascii="宋体" w:hAnsi="宋体" w:cs="宋体"/>
                <w:color w:val="auto"/>
                <w:kern w:val="0"/>
                <w:szCs w:val="21"/>
              </w:rPr>
            </w:pPr>
            <w:r>
              <w:rPr>
                <w:rFonts w:hint="eastAsia" w:ascii="宋体" w:hAnsi="宋体" w:cs="宋体"/>
                <w:color w:val="auto"/>
                <w:kern w:val="0"/>
                <w:szCs w:val="21"/>
              </w:rPr>
              <w:t>金 额</w:t>
            </w:r>
          </w:p>
        </w:tc>
      </w:tr>
      <w:tr w14:paraId="6EBF7BC9">
        <w:tblPrEx>
          <w:tblCellMar>
            <w:top w:w="0" w:type="dxa"/>
            <w:left w:w="0" w:type="dxa"/>
            <w:bottom w:w="0" w:type="dxa"/>
            <w:right w:w="0" w:type="dxa"/>
          </w:tblCellMar>
        </w:tblPrEx>
        <w:trPr>
          <w:trHeight w:val="513" w:hRule="atLeast"/>
          <w:jc w:val="center"/>
        </w:trPr>
        <w:tc>
          <w:tcPr>
            <w:tcW w:w="1497" w:type="dxa"/>
            <w:tcBorders>
              <w:top w:val="nil"/>
              <w:left w:val="single" w:color="auto" w:sz="8" w:space="0"/>
              <w:bottom w:val="single" w:color="auto" w:sz="8" w:space="0"/>
              <w:right w:val="single" w:color="auto" w:sz="8" w:space="0"/>
            </w:tcBorders>
            <w:noWrap w:val="0"/>
            <w:vAlign w:val="center"/>
          </w:tcPr>
          <w:p w14:paraId="4F118B62">
            <w:pPr>
              <w:widowControl/>
              <w:spacing w:before="100" w:beforeAutospacing="1" w:after="100" w:afterAutospacing="1" w:line="360" w:lineRule="auto"/>
              <w:jc w:val="center"/>
              <w:rPr>
                <w:rFonts w:hint="eastAsia" w:ascii="宋体" w:hAnsi="宋体" w:cs="宋体"/>
                <w:color w:val="auto"/>
                <w:kern w:val="0"/>
                <w:szCs w:val="21"/>
              </w:rPr>
            </w:pPr>
          </w:p>
        </w:tc>
        <w:tc>
          <w:tcPr>
            <w:tcW w:w="2159" w:type="dxa"/>
            <w:tcBorders>
              <w:top w:val="nil"/>
              <w:left w:val="nil"/>
              <w:bottom w:val="single" w:color="auto" w:sz="8" w:space="0"/>
              <w:right w:val="single" w:color="auto" w:sz="8" w:space="0"/>
            </w:tcBorders>
            <w:noWrap w:val="0"/>
            <w:vAlign w:val="center"/>
          </w:tcPr>
          <w:p w14:paraId="45E51CF2">
            <w:pPr>
              <w:widowControl/>
              <w:spacing w:before="100" w:beforeAutospacing="1" w:after="100" w:afterAutospacing="1" w:line="360" w:lineRule="auto"/>
              <w:jc w:val="center"/>
              <w:rPr>
                <w:rFonts w:hint="eastAsia" w:ascii="宋体" w:hAnsi="宋体" w:cs="宋体"/>
                <w:color w:val="auto"/>
                <w:kern w:val="0"/>
                <w:szCs w:val="21"/>
              </w:rPr>
            </w:pPr>
          </w:p>
        </w:tc>
        <w:tc>
          <w:tcPr>
            <w:tcW w:w="3262" w:type="dxa"/>
            <w:gridSpan w:val="3"/>
            <w:tcBorders>
              <w:top w:val="nil"/>
              <w:left w:val="nil"/>
              <w:bottom w:val="single" w:color="auto" w:sz="8" w:space="0"/>
              <w:right w:val="single" w:color="auto" w:sz="8" w:space="0"/>
            </w:tcBorders>
            <w:noWrap w:val="0"/>
            <w:vAlign w:val="center"/>
          </w:tcPr>
          <w:p w14:paraId="3EC324B3">
            <w:pPr>
              <w:widowControl/>
              <w:spacing w:before="100" w:beforeAutospacing="1" w:after="100" w:afterAutospacing="1" w:line="360" w:lineRule="auto"/>
              <w:jc w:val="center"/>
              <w:rPr>
                <w:rFonts w:hint="eastAsia" w:ascii="宋体" w:hAnsi="宋体" w:cs="宋体"/>
                <w:color w:val="auto"/>
                <w:kern w:val="0"/>
                <w:szCs w:val="21"/>
              </w:rPr>
            </w:pPr>
          </w:p>
        </w:tc>
        <w:tc>
          <w:tcPr>
            <w:tcW w:w="970" w:type="dxa"/>
            <w:gridSpan w:val="2"/>
            <w:tcBorders>
              <w:top w:val="nil"/>
              <w:left w:val="nil"/>
              <w:bottom w:val="single" w:color="auto" w:sz="8" w:space="0"/>
              <w:right w:val="single" w:color="auto" w:sz="8" w:space="0"/>
            </w:tcBorders>
            <w:noWrap w:val="0"/>
            <w:vAlign w:val="center"/>
          </w:tcPr>
          <w:p w14:paraId="016E210F">
            <w:pPr>
              <w:widowControl/>
              <w:spacing w:before="100" w:beforeAutospacing="1" w:after="100" w:afterAutospacing="1" w:line="360" w:lineRule="auto"/>
              <w:jc w:val="center"/>
              <w:rPr>
                <w:rFonts w:hint="eastAsia" w:ascii="宋体" w:hAnsi="宋体" w:cs="宋体"/>
                <w:color w:val="auto"/>
                <w:kern w:val="0"/>
                <w:szCs w:val="21"/>
              </w:rPr>
            </w:pPr>
          </w:p>
        </w:tc>
        <w:tc>
          <w:tcPr>
            <w:tcW w:w="1606" w:type="dxa"/>
            <w:tcBorders>
              <w:top w:val="nil"/>
              <w:left w:val="nil"/>
              <w:bottom w:val="single" w:color="auto" w:sz="8" w:space="0"/>
              <w:right w:val="single" w:color="auto" w:sz="8" w:space="0"/>
            </w:tcBorders>
            <w:noWrap w:val="0"/>
            <w:vAlign w:val="center"/>
          </w:tcPr>
          <w:p w14:paraId="29C6C0DD">
            <w:pPr>
              <w:widowControl/>
              <w:spacing w:before="100" w:beforeAutospacing="1" w:after="100" w:afterAutospacing="1" w:line="360" w:lineRule="auto"/>
              <w:jc w:val="center"/>
              <w:rPr>
                <w:rFonts w:hint="eastAsia" w:ascii="宋体" w:hAnsi="宋体" w:cs="宋体"/>
                <w:color w:val="auto"/>
                <w:kern w:val="0"/>
                <w:szCs w:val="21"/>
              </w:rPr>
            </w:pPr>
          </w:p>
        </w:tc>
      </w:tr>
      <w:tr w14:paraId="63C72A63">
        <w:tblPrEx>
          <w:tblCellMar>
            <w:top w:w="0" w:type="dxa"/>
            <w:left w:w="0" w:type="dxa"/>
            <w:bottom w:w="0" w:type="dxa"/>
            <w:right w:w="0" w:type="dxa"/>
          </w:tblCellMar>
        </w:tblPrEx>
        <w:trPr>
          <w:trHeight w:val="513" w:hRule="atLeast"/>
          <w:jc w:val="center"/>
        </w:trPr>
        <w:tc>
          <w:tcPr>
            <w:tcW w:w="1497" w:type="dxa"/>
            <w:tcBorders>
              <w:top w:val="nil"/>
              <w:left w:val="single" w:color="auto" w:sz="8" w:space="0"/>
              <w:bottom w:val="single" w:color="auto" w:sz="8" w:space="0"/>
              <w:right w:val="single" w:color="auto" w:sz="8" w:space="0"/>
            </w:tcBorders>
            <w:noWrap w:val="0"/>
            <w:vAlign w:val="center"/>
          </w:tcPr>
          <w:p w14:paraId="71532B8F">
            <w:pPr>
              <w:widowControl/>
              <w:spacing w:before="100" w:beforeAutospacing="1" w:after="100" w:afterAutospacing="1" w:line="360" w:lineRule="auto"/>
              <w:jc w:val="center"/>
              <w:rPr>
                <w:rFonts w:hint="eastAsia" w:ascii="宋体" w:hAnsi="宋体" w:cs="宋体"/>
                <w:color w:val="auto"/>
                <w:kern w:val="0"/>
                <w:szCs w:val="21"/>
              </w:rPr>
            </w:pPr>
          </w:p>
        </w:tc>
        <w:tc>
          <w:tcPr>
            <w:tcW w:w="2159" w:type="dxa"/>
            <w:tcBorders>
              <w:top w:val="nil"/>
              <w:left w:val="nil"/>
              <w:bottom w:val="single" w:color="auto" w:sz="8" w:space="0"/>
              <w:right w:val="single" w:color="auto" w:sz="8" w:space="0"/>
            </w:tcBorders>
            <w:noWrap w:val="0"/>
            <w:vAlign w:val="center"/>
          </w:tcPr>
          <w:p w14:paraId="2C8588B6">
            <w:pPr>
              <w:widowControl/>
              <w:spacing w:before="100" w:beforeAutospacing="1" w:after="100" w:afterAutospacing="1" w:line="360" w:lineRule="auto"/>
              <w:jc w:val="center"/>
              <w:rPr>
                <w:rFonts w:hint="eastAsia" w:ascii="宋体" w:hAnsi="宋体" w:cs="宋体"/>
                <w:color w:val="auto"/>
                <w:kern w:val="0"/>
                <w:szCs w:val="21"/>
              </w:rPr>
            </w:pPr>
          </w:p>
        </w:tc>
        <w:tc>
          <w:tcPr>
            <w:tcW w:w="3262" w:type="dxa"/>
            <w:gridSpan w:val="3"/>
            <w:tcBorders>
              <w:top w:val="nil"/>
              <w:left w:val="nil"/>
              <w:bottom w:val="single" w:color="auto" w:sz="8" w:space="0"/>
              <w:right w:val="single" w:color="auto" w:sz="8" w:space="0"/>
            </w:tcBorders>
            <w:noWrap w:val="0"/>
            <w:vAlign w:val="center"/>
          </w:tcPr>
          <w:p w14:paraId="5A410E91">
            <w:pPr>
              <w:widowControl/>
              <w:spacing w:before="100" w:beforeAutospacing="1" w:after="100" w:afterAutospacing="1" w:line="360" w:lineRule="auto"/>
              <w:jc w:val="center"/>
              <w:rPr>
                <w:rFonts w:hint="eastAsia" w:ascii="宋体" w:hAnsi="宋体" w:cs="宋体"/>
                <w:color w:val="auto"/>
                <w:kern w:val="0"/>
                <w:szCs w:val="21"/>
              </w:rPr>
            </w:pPr>
          </w:p>
        </w:tc>
        <w:tc>
          <w:tcPr>
            <w:tcW w:w="970" w:type="dxa"/>
            <w:gridSpan w:val="2"/>
            <w:tcBorders>
              <w:top w:val="nil"/>
              <w:left w:val="nil"/>
              <w:bottom w:val="single" w:color="auto" w:sz="8" w:space="0"/>
              <w:right w:val="single" w:color="auto" w:sz="8" w:space="0"/>
            </w:tcBorders>
            <w:noWrap w:val="0"/>
            <w:vAlign w:val="center"/>
          </w:tcPr>
          <w:p w14:paraId="404F6A1B">
            <w:pPr>
              <w:widowControl/>
              <w:spacing w:before="100" w:beforeAutospacing="1" w:after="100" w:afterAutospacing="1" w:line="360" w:lineRule="auto"/>
              <w:jc w:val="center"/>
              <w:rPr>
                <w:rFonts w:hint="eastAsia" w:ascii="宋体" w:hAnsi="宋体" w:cs="宋体"/>
                <w:color w:val="auto"/>
                <w:kern w:val="0"/>
                <w:szCs w:val="21"/>
              </w:rPr>
            </w:pPr>
          </w:p>
        </w:tc>
        <w:tc>
          <w:tcPr>
            <w:tcW w:w="1606" w:type="dxa"/>
            <w:tcBorders>
              <w:top w:val="nil"/>
              <w:left w:val="nil"/>
              <w:bottom w:val="single" w:color="auto" w:sz="8" w:space="0"/>
              <w:right w:val="single" w:color="auto" w:sz="8" w:space="0"/>
            </w:tcBorders>
            <w:noWrap w:val="0"/>
            <w:vAlign w:val="center"/>
          </w:tcPr>
          <w:p w14:paraId="789FCEF0">
            <w:pPr>
              <w:widowControl/>
              <w:spacing w:before="100" w:beforeAutospacing="1" w:after="100" w:afterAutospacing="1" w:line="360" w:lineRule="auto"/>
              <w:jc w:val="center"/>
              <w:rPr>
                <w:rFonts w:hint="eastAsia" w:ascii="宋体" w:hAnsi="宋体" w:cs="宋体"/>
                <w:color w:val="auto"/>
                <w:kern w:val="0"/>
                <w:szCs w:val="21"/>
              </w:rPr>
            </w:pPr>
          </w:p>
        </w:tc>
      </w:tr>
      <w:tr w14:paraId="45ED523F">
        <w:tblPrEx>
          <w:tblCellMar>
            <w:top w:w="0" w:type="dxa"/>
            <w:left w:w="0" w:type="dxa"/>
            <w:bottom w:w="0" w:type="dxa"/>
            <w:right w:w="0" w:type="dxa"/>
          </w:tblCellMar>
        </w:tblPrEx>
        <w:trPr>
          <w:trHeight w:val="513" w:hRule="atLeast"/>
          <w:jc w:val="center"/>
        </w:trPr>
        <w:tc>
          <w:tcPr>
            <w:tcW w:w="1497" w:type="dxa"/>
            <w:tcBorders>
              <w:top w:val="nil"/>
              <w:left w:val="single" w:color="auto" w:sz="8" w:space="0"/>
              <w:bottom w:val="single" w:color="auto" w:sz="8" w:space="0"/>
              <w:right w:val="single" w:color="auto" w:sz="8" w:space="0"/>
            </w:tcBorders>
            <w:noWrap w:val="0"/>
            <w:vAlign w:val="center"/>
          </w:tcPr>
          <w:p w14:paraId="032613CF">
            <w:pPr>
              <w:widowControl/>
              <w:spacing w:before="100" w:beforeAutospacing="1" w:after="100" w:afterAutospacing="1" w:line="360" w:lineRule="auto"/>
              <w:jc w:val="center"/>
              <w:rPr>
                <w:rFonts w:hint="eastAsia" w:ascii="宋体" w:hAnsi="宋体" w:cs="宋体"/>
                <w:color w:val="auto"/>
                <w:kern w:val="0"/>
                <w:szCs w:val="21"/>
              </w:rPr>
            </w:pPr>
          </w:p>
        </w:tc>
        <w:tc>
          <w:tcPr>
            <w:tcW w:w="2159" w:type="dxa"/>
            <w:tcBorders>
              <w:top w:val="nil"/>
              <w:left w:val="nil"/>
              <w:bottom w:val="single" w:color="auto" w:sz="8" w:space="0"/>
              <w:right w:val="single" w:color="auto" w:sz="8" w:space="0"/>
            </w:tcBorders>
            <w:noWrap w:val="0"/>
            <w:vAlign w:val="center"/>
          </w:tcPr>
          <w:p w14:paraId="6CFCD5F5">
            <w:pPr>
              <w:widowControl/>
              <w:spacing w:before="100" w:beforeAutospacing="1" w:after="100" w:afterAutospacing="1" w:line="360" w:lineRule="auto"/>
              <w:jc w:val="center"/>
              <w:rPr>
                <w:rFonts w:hint="eastAsia" w:ascii="宋体" w:hAnsi="宋体" w:cs="宋体"/>
                <w:color w:val="auto"/>
                <w:kern w:val="0"/>
                <w:szCs w:val="21"/>
              </w:rPr>
            </w:pPr>
          </w:p>
        </w:tc>
        <w:tc>
          <w:tcPr>
            <w:tcW w:w="3262" w:type="dxa"/>
            <w:gridSpan w:val="3"/>
            <w:tcBorders>
              <w:top w:val="nil"/>
              <w:left w:val="nil"/>
              <w:bottom w:val="single" w:color="auto" w:sz="8" w:space="0"/>
              <w:right w:val="single" w:color="auto" w:sz="8" w:space="0"/>
            </w:tcBorders>
            <w:noWrap w:val="0"/>
            <w:vAlign w:val="center"/>
          </w:tcPr>
          <w:p w14:paraId="0408DE45">
            <w:pPr>
              <w:widowControl/>
              <w:spacing w:before="100" w:beforeAutospacing="1" w:after="100" w:afterAutospacing="1" w:line="360" w:lineRule="auto"/>
              <w:jc w:val="center"/>
              <w:rPr>
                <w:rFonts w:hint="eastAsia" w:ascii="宋体" w:hAnsi="宋体" w:cs="宋体"/>
                <w:color w:val="auto"/>
                <w:kern w:val="0"/>
                <w:szCs w:val="21"/>
              </w:rPr>
            </w:pPr>
          </w:p>
        </w:tc>
        <w:tc>
          <w:tcPr>
            <w:tcW w:w="970" w:type="dxa"/>
            <w:gridSpan w:val="2"/>
            <w:tcBorders>
              <w:top w:val="nil"/>
              <w:left w:val="nil"/>
              <w:bottom w:val="single" w:color="auto" w:sz="8" w:space="0"/>
              <w:right w:val="single" w:color="auto" w:sz="8" w:space="0"/>
            </w:tcBorders>
            <w:noWrap w:val="0"/>
            <w:vAlign w:val="center"/>
          </w:tcPr>
          <w:p w14:paraId="650F3D91">
            <w:pPr>
              <w:widowControl/>
              <w:spacing w:before="100" w:beforeAutospacing="1" w:after="100" w:afterAutospacing="1" w:line="360" w:lineRule="auto"/>
              <w:jc w:val="center"/>
              <w:rPr>
                <w:rFonts w:hint="eastAsia" w:ascii="宋体" w:hAnsi="宋体" w:cs="宋体"/>
                <w:color w:val="auto"/>
                <w:kern w:val="0"/>
                <w:szCs w:val="21"/>
              </w:rPr>
            </w:pPr>
          </w:p>
        </w:tc>
        <w:tc>
          <w:tcPr>
            <w:tcW w:w="1606" w:type="dxa"/>
            <w:tcBorders>
              <w:top w:val="nil"/>
              <w:left w:val="nil"/>
              <w:bottom w:val="single" w:color="auto" w:sz="8" w:space="0"/>
              <w:right w:val="single" w:color="auto" w:sz="8" w:space="0"/>
            </w:tcBorders>
            <w:noWrap w:val="0"/>
            <w:vAlign w:val="center"/>
          </w:tcPr>
          <w:p w14:paraId="7542CDA1">
            <w:pPr>
              <w:widowControl/>
              <w:spacing w:before="100" w:beforeAutospacing="1" w:after="100" w:afterAutospacing="1" w:line="360" w:lineRule="auto"/>
              <w:jc w:val="center"/>
              <w:rPr>
                <w:rFonts w:hint="eastAsia" w:ascii="宋体" w:hAnsi="宋体" w:cs="宋体"/>
                <w:color w:val="auto"/>
                <w:kern w:val="0"/>
                <w:szCs w:val="21"/>
              </w:rPr>
            </w:pPr>
          </w:p>
        </w:tc>
      </w:tr>
      <w:tr w14:paraId="33C7A748">
        <w:tblPrEx>
          <w:tblCellMar>
            <w:top w:w="0" w:type="dxa"/>
            <w:left w:w="0" w:type="dxa"/>
            <w:bottom w:w="0" w:type="dxa"/>
            <w:right w:w="0" w:type="dxa"/>
          </w:tblCellMar>
        </w:tblPrEx>
        <w:trPr>
          <w:trHeight w:val="513" w:hRule="atLeast"/>
          <w:jc w:val="center"/>
        </w:trPr>
        <w:tc>
          <w:tcPr>
            <w:tcW w:w="6918" w:type="dxa"/>
            <w:gridSpan w:val="5"/>
            <w:tcBorders>
              <w:top w:val="nil"/>
              <w:left w:val="single" w:color="auto" w:sz="8" w:space="0"/>
              <w:bottom w:val="single" w:color="auto" w:sz="8" w:space="0"/>
              <w:right w:val="single" w:color="auto" w:sz="8" w:space="0"/>
            </w:tcBorders>
            <w:noWrap w:val="0"/>
            <w:vAlign w:val="center"/>
          </w:tcPr>
          <w:p w14:paraId="4B9B9E75">
            <w:pPr>
              <w:widowControl/>
              <w:snapToGrid w:val="0"/>
              <w:spacing w:before="100" w:beforeAutospacing="1" w:after="100" w:afterAutospacing="1" w:line="360" w:lineRule="auto"/>
              <w:ind w:firstLine="5"/>
              <w:jc w:val="center"/>
              <w:rPr>
                <w:rFonts w:hint="eastAsia" w:ascii="宋体" w:hAnsi="宋体" w:cs="宋体"/>
                <w:color w:val="auto"/>
                <w:kern w:val="0"/>
                <w:szCs w:val="21"/>
              </w:rPr>
            </w:pPr>
            <w:r>
              <w:rPr>
                <w:rFonts w:hint="eastAsia" w:ascii="宋体" w:hAnsi="宋体" w:cs="宋体"/>
                <w:color w:val="auto"/>
                <w:kern w:val="0"/>
                <w:szCs w:val="21"/>
              </w:rPr>
              <w:t>合 计</w:t>
            </w:r>
          </w:p>
        </w:tc>
        <w:tc>
          <w:tcPr>
            <w:tcW w:w="970" w:type="dxa"/>
            <w:gridSpan w:val="2"/>
            <w:tcBorders>
              <w:top w:val="nil"/>
              <w:left w:val="nil"/>
              <w:bottom w:val="single" w:color="auto" w:sz="8" w:space="0"/>
              <w:right w:val="single" w:color="auto" w:sz="8" w:space="0"/>
            </w:tcBorders>
            <w:noWrap w:val="0"/>
            <w:vAlign w:val="center"/>
          </w:tcPr>
          <w:p w14:paraId="7D1BCD68">
            <w:pPr>
              <w:widowControl/>
              <w:spacing w:before="100" w:beforeAutospacing="1" w:after="100" w:afterAutospacing="1" w:line="360" w:lineRule="auto"/>
              <w:jc w:val="center"/>
              <w:rPr>
                <w:rFonts w:hint="eastAsia" w:ascii="宋体" w:hAnsi="宋体" w:cs="宋体"/>
                <w:color w:val="auto"/>
                <w:kern w:val="0"/>
                <w:szCs w:val="21"/>
              </w:rPr>
            </w:pPr>
          </w:p>
        </w:tc>
        <w:tc>
          <w:tcPr>
            <w:tcW w:w="1606" w:type="dxa"/>
            <w:tcBorders>
              <w:top w:val="nil"/>
              <w:left w:val="nil"/>
              <w:bottom w:val="single" w:color="auto" w:sz="8" w:space="0"/>
              <w:right w:val="single" w:color="auto" w:sz="8" w:space="0"/>
            </w:tcBorders>
            <w:noWrap w:val="0"/>
            <w:vAlign w:val="center"/>
          </w:tcPr>
          <w:p w14:paraId="7A93E8BB">
            <w:pPr>
              <w:widowControl/>
              <w:spacing w:before="100" w:beforeAutospacing="1" w:after="100" w:afterAutospacing="1" w:line="360" w:lineRule="auto"/>
              <w:jc w:val="center"/>
              <w:rPr>
                <w:rFonts w:hint="eastAsia" w:ascii="宋体" w:hAnsi="宋体" w:cs="宋体"/>
                <w:color w:val="auto"/>
                <w:kern w:val="0"/>
                <w:szCs w:val="21"/>
              </w:rPr>
            </w:pPr>
          </w:p>
        </w:tc>
      </w:tr>
      <w:tr w14:paraId="54B6EE6A">
        <w:tblPrEx>
          <w:tblCellMar>
            <w:top w:w="0" w:type="dxa"/>
            <w:left w:w="0" w:type="dxa"/>
            <w:bottom w:w="0" w:type="dxa"/>
            <w:right w:w="0" w:type="dxa"/>
          </w:tblCellMar>
        </w:tblPrEx>
        <w:trPr>
          <w:trHeight w:val="674" w:hRule="atLeast"/>
          <w:jc w:val="center"/>
        </w:trPr>
        <w:tc>
          <w:tcPr>
            <w:tcW w:w="9494" w:type="dxa"/>
            <w:gridSpan w:val="8"/>
            <w:tcBorders>
              <w:top w:val="nil"/>
              <w:left w:val="single" w:color="auto" w:sz="8" w:space="0"/>
              <w:bottom w:val="single" w:color="auto" w:sz="8" w:space="0"/>
              <w:right w:val="single" w:color="auto" w:sz="8" w:space="0"/>
            </w:tcBorders>
            <w:noWrap w:val="0"/>
            <w:vAlign w:val="center"/>
          </w:tcPr>
          <w:p w14:paraId="1B955A05">
            <w:pPr>
              <w:widowControl/>
              <w:snapToGrid w:val="0"/>
              <w:spacing w:before="100" w:beforeAutospacing="1" w:after="100" w:afterAutospacing="1" w:line="360" w:lineRule="auto"/>
              <w:ind w:firstLine="2"/>
              <w:jc w:val="left"/>
              <w:rPr>
                <w:rFonts w:hint="eastAsia" w:ascii="宋体" w:hAnsi="宋体" w:cs="宋体"/>
                <w:color w:val="auto"/>
                <w:kern w:val="0"/>
                <w:szCs w:val="21"/>
              </w:rPr>
            </w:pPr>
            <w:r>
              <w:rPr>
                <w:rFonts w:hint="eastAsia" w:ascii="宋体" w:hAnsi="宋体" w:cs="宋体"/>
                <w:color w:val="auto"/>
                <w:kern w:val="0"/>
                <w:szCs w:val="21"/>
              </w:rPr>
              <w:t>合计大写金额： 仟 佰 拾 万 仟 佰 拾 元</w:t>
            </w:r>
          </w:p>
        </w:tc>
      </w:tr>
      <w:tr w14:paraId="7FF9F758">
        <w:tblPrEx>
          <w:tblCellMar>
            <w:top w:w="0" w:type="dxa"/>
            <w:left w:w="0" w:type="dxa"/>
            <w:bottom w:w="0" w:type="dxa"/>
            <w:right w:w="0" w:type="dxa"/>
          </w:tblCellMar>
        </w:tblPrEx>
        <w:trPr>
          <w:trHeight w:val="674" w:hRule="atLeast"/>
          <w:jc w:val="center"/>
        </w:trPr>
        <w:tc>
          <w:tcPr>
            <w:tcW w:w="1497" w:type="dxa"/>
            <w:tcBorders>
              <w:top w:val="nil"/>
              <w:left w:val="single" w:color="auto" w:sz="8" w:space="0"/>
              <w:bottom w:val="single" w:color="auto" w:sz="8" w:space="0"/>
              <w:right w:val="single" w:color="auto" w:sz="8" w:space="0"/>
            </w:tcBorders>
            <w:noWrap w:val="0"/>
            <w:vAlign w:val="center"/>
          </w:tcPr>
          <w:p w14:paraId="63E5C38B">
            <w:pPr>
              <w:widowControl/>
              <w:snapToGrid w:val="0"/>
              <w:spacing w:before="100" w:beforeAutospacing="1" w:after="100" w:afterAutospacing="1" w:line="360" w:lineRule="auto"/>
              <w:ind w:firstLine="2"/>
              <w:jc w:val="center"/>
              <w:rPr>
                <w:rFonts w:hint="eastAsia" w:ascii="宋体" w:hAnsi="宋体" w:cs="宋体"/>
                <w:color w:val="auto"/>
                <w:kern w:val="0"/>
                <w:szCs w:val="21"/>
              </w:rPr>
            </w:pPr>
            <w:r>
              <w:rPr>
                <w:rFonts w:hint="eastAsia" w:ascii="宋体" w:hAnsi="宋体" w:cs="宋体"/>
                <w:color w:val="auto"/>
                <w:kern w:val="0"/>
                <w:szCs w:val="21"/>
              </w:rPr>
              <w:t>实际供货日期</w:t>
            </w:r>
          </w:p>
        </w:tc>
        <w:tc>
          <w:tcPr>
            <w:tcW w:w="3056" w:type="dxa"/>
            <w:gridSpan w:val="2"/>
            <w:tcBorders>
              <w:top w:val="nil"/>
              <w:left w:val="nil"/>
              <w:bottom w:val="single" w:color="auto" w:sz="8" w:space="0"/>
              <w:right w:val="single" w:color="auto" w:sz="8" w:space="0"/>
            </w:tcBorders>
            <w:noWrap w:val="0"/>
            <w:vAlign w:val="center"/>
          </w:tcPr>
          <w:p w14:paraId="70250DC9">
            <w:pPr>
              <w:widowControl/>
              <w:spacing w:before="100" w:beforeAutospacing="1" w:after="100" w:afterAutospacing="1" w:line="360" w:lineRule="auto"/>
              <w:jc w:val="center"/>
              <w:rPr>
                <w:rFonts w:hint="eastAsia" w:ascii="宋体" w:hAnsi="宋体" w:cs="宋体"/>
                <w:color w:val="auto"/>
                <w:kern w:val="0"/>
                <w:szCs w:val="21"/>
              </w:rPr>
            </w:pPr>
          </w:p>
        </w:tc>
        <w:tc>
          <w:tcPr>
            <w:tcW w:w="2565" w:type="dxa"/>
            <w:gridSpan w:val="3"/>
            <w:tcBorders>
              <w:top w:val="nil"/>
              <w:left w:val="nil"/>
              <w:bottom w:val="single" w:color="auto" w:sz="8" w:space="0"/>
              <w:right w:val="single" w:color="auto" w:sz="8" w:space="0"/>
            </w:tcBorders>
            <w:noWrap w:val="0"/>
            <w:vAlign w:val="center"/>
          </w:tcPr>
          <w:p w14:paraId="2F612AD9">
            <w:pPr>
              <w:widowControl/>
              <w:snapToGrid w:val="0"/>
              <w:spacing w:before="100" w:beforeAutospacing="1" w:after="100" w:afterAutospacing="1" w:line="360" w:lineRule="auto"/>
              <w:ind w:firstLine="46"/>
              <w:jc w:val="center"/>
              <w:rPr>
                <w:rFonts w:hint="eastAsia" w:ascii="宋体" w:hAnsi="宋体" w:cs="宋体"/>
                <w:color w:val="auto"/>
                <w:kern w:val="0"/>
                <w:szCs w:val="21"/>
              </w:rPr>
            </w:pPr>
            <w:r>
              <w:rPr>
                <w:rFonts w:hint="eastAsia" w:ascii="宋体" w:hAnsi="宋体" w:cs="宋体"/>
                <w:color w:val="auto"/>
                <w:kern w:val="0"/>
                <w:szCs w:val="21"/>
              </w:rPr>
              <w:t>合同交货验收日期</w:t>
            </w:r>
          </w:p>
        </w:tc>
        <w:tc>
          <w:tcPr>
            <w:tcW w:w="2376" w:type="dxa"/>
            <w:gridSpan w:val="2"/>
            <w:tcBorders>
              <w:top w:val="nil"/>
              <w:left w:val="nil"/>
              <w:bottom w:val="single" w:color="auto" w:sz="8" w:space="0"/>
              <w:right w:val="single" w:color="auto" w:sz="8" w:space="0"/>
            </w:tcBorders>
            <w:noWrap w:val="0"/>
            <w:vAlign w:val="center"/>
          </w:tcPr>
          <w:p w14:paraId="050F1480">
            <w:pPr>
              <w:widowControl/>
              <w:spacing w:before="100" w:beforeAutospacing="1" w:after="100" w:afterAutospacing="1" w:line="360" w:lineRule="auto"/>
              <w:jc w:val="center"/>
              <w:rPr>
                <w:rFonts w:hint="eastAsia" w:ascii="宋体" w:hAnsi="宋体" w:cs="宋体"/>
                <w:color w:val="auto"/>
                <w:kern w:val="0"/>
                <w:szCs w:val="21"/>
              </w:rPr>
            </w:pPr>
          </w:p>
        </w:tc>
      </w:tr>
      <w:tr w14:paraId="1399E367">
        <w:tblPrEx>
          <w:tblCellMar>
            <w:top w:w="0" w:type="dxa"/>
            <w:left w:w="0" w:type="dxa"/>
            <w:bottom w:w="0" w:type="dxa"/>
            <w:right w:w="0" w:type="dxa"/>
          </w:tblCellMar>
        </w:tblPrEx>
        <w:trPr>
          <w:trHeight w:val="729" w:hRule="atLeast"/>
          <w:jc w:val="center"/>
        </w:trPr>
        <w:tc>
          <w:tcPr>
            <w:tcW w:w="1497"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944BA39">
            <w:pPr>
              <w:widowControl/>
              <w:snapToGrid w:val="0"/>
              <w:spacing w:before="100" w:beforeAutospacing="1" w:after="100" w:afterAutospacing="1" w:line="360" w:lineRule="auto"/>
              <w:jc w:val="left"/>
              <w:rPr>
                <w:rFonts w:hint="eastAsia" w:ascii="宋体" w:hAnsi="宋体" w:cs="宋体"/>
                <w:color w:val="auto"/>
                <w:kern w:val="0"/>
                <w:szCs w:val="21"/>
              </w:rPr>
            </w:pPr>
            <w:r>
              <w:rPr>
                <w:rFonts w:hint="eastAsia" w:ascii="宋体" w:hAnsi="宋体" w:cs="宋体"/>
                <w:color w:val="auto"/>
                <w:kern w:val="0"/>
                <w:szCs w:val="21"/>
              </w:rPr>
              <w:t>验收具体内容</w:t>
            </w:r>
          </w:p>
        </w:tc>
        <w:tc>
          <w:tcPr>
            <w:tcW w:w="7997" w:type="dxa"/>
            <w:gridSpan w:val="7"/>
            <w:tcBorders>
              <w:top w:val="nil"/>
              <w:left w:val="nil"/>
              <w:bottom w:val="single" w:color="auto" w:sz="8" w:space="0"/>
              <w:right w:val="single" w:color="auto" w:sz="8" w:space="0"/>
            </w:tcBorders>
            <w:noWrap w:val="0"/>
            <w:tcMar>
              <w:left w:w="108" w:type="dxa"/>
              <w:right w:w="108" w:type="dxa"/>
            </w:tcMar>
            <w:vAlign w:val="center"/>
          </w:tcPr>
          <w:p w14:paraId="5D60A707">
            <w:pPr>
              <w:widowControl/>
              <w:snapToGrid w:val="0"/>
              <w:spacing w:before="100" w:beforeAutospacing="1" w:after="100" w:afterAutospacing="1" w:line="360" w:lineRule="auto"/>
              <w:jc w:val="left"/>
              <w:rPr>
                <w:rFonts w:hint="eastAsia" w:ascii="宋体" w:hAnsi="宋体" w:cs="宋体"/>
                <w:color w:val="auto"/>
                <w:kern w:val="0"/>
                <w:szCs w:val="21"/>
              </w:rPr>
            </w:pPr>
            <w:r>
              <w:rPr>
                <w:rFonts w:hint="eastAsia" w:ascii="宋体" w:hAnsi="宋体" w:cs="宋体"/>
                <w:color w:val="auto"/>
                <w:kern w:val="0"/>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46D5DA86">
        <w:tblPrEx>
          <w:tblCellMar>
            <w:top w:w="0" w:type="dxa"/>
            <w:left w:w="0" w:type="dxa"/>
            <w:bottom w:w="0" w:type="dxa"/>
            <w:right w:w="0" w:type="dxa"/>
          </w:tblCellMar>
        </w:tblPrEx>
        <w:trPr>
          <w:trHeight w:val="1348" w:hRule="atLeast"/>
          <w:jc w:val="center"/>
        </w:trPr>
        <w:tc>
          <w:tcPr>
            <w:tcW w:w="1497"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5C82D7D6">
            <w:pPr>
              <w:widowControl/>
              <w:spacing w:before="100" w:beforeAutospacing="1" w:after="100" w:afterAutospacing="1" w:line="360" w:lineRule="auto"/>
              <w:jc w:val="left"/>
              <w:rPr>
                <w:rFonts w:hint="eastAsia" w:ascii="宋体" w:hAnsi="宋体" w:cs="宋体"/>
                <w:color w:val="auto"/>
                <w:kern w:val="0"/>
                <w:szCs w:val="21"/>
              </w:rPr>
            </w:pPr>
            <w:r>
              <w:rPr>
                <w:rFonts w:hint="eastAsia" w:ascii="宋体" w:hAnsi="宋体" w:cs="宋体"/>
                <w:color w:val="auto"/>
                <w:kern w:val="0"/>
                <w:szCs w:val="21"/>
              </w:rPr>
              <w:t>验收小组意见</w:t>
            </w:r>
          </w:p>
        </w:tc>
        <w:tc>
          <w:tcPr>
            <w:tcW w:w="7997" w:type="dxa"/>
            <w:gridSpan w:val="7"/>
            <w:tcBorders>
              <w:top w:val="nil"/>
              <w:left w:val="nil"/>
              <w:bottom w:val="single" w:color="auto" w:sz="8" w:space="0"/>
              <w:right w:val="single" w:color="auto" w:sz="8" w:space="0"/>
            </w:tcBorders>
            <w:noWrap w:val="0"/>
            <w:vAlign w:val="center"/>
          </w:tcPr>
          <w:p w14:paraId="7259D495">
            <w:pPr>
              <w:widowControl/>
              <w:spacing w:before="100" w:beforeAutospacing="1" w:after="100" w:afterAutospacing="1" w:line="360" w:lineRule="auto"/>
              <w:jc w:val="left"/>
              <w:rPr>
                <w:rFonts w:hint="eastAsia" w:ascii="宋体" w:hAnsi="宋体" w:cs="宋体"/>
                <w:color w:val="auto"/>
                <w:kern w:val="0"/>
                <w:szCs w:val="21"/>
              </w:rPr>
            </w:pPr>
            <w:r>
              <w:rPr>
                <w:rFonts w:hint="eastAsia" w:ascii="宋体" w:hAnsi="宋体" w:cs="宋体"/>
                <w:color w:val="auto"/>
                <w:kern w:val="0"/>
                <w:szCs w:val="21"/>
              </w:rPr>
              <w:t>验收结论性意见：</w:t>
            </w:r>
          </w:p>
        </w:tc>
      </w:tr>
      <w:tr w14:paraId="78463828">
        <w:tblPrEx>
          <w:tblCellMar>
            <w:top w:w="0" w:type="dxa"/>
            <w:left w:w="0" w:type="dxa"/>
            <w:bottom w:w="0" w:type="dxa"/>
            <w:right w:w="0" w:type="dxa"/>
          </w:tblCellMar>
        </w:tblPrEx>
        <w:trPr>
          <w:trHeight w:val="639" w:hRule="atLeast"/>
          <w:jc w:val="center"/>
        </w:trPr>
        <w:tc>
          <w:tcPr>
            <w:tcW w:w="1497" w:type="dxa"/>
            <w:vMerge w:val="continue"/>
            <w:tcBorders>
              <w:top w:val="nil"/>
              <w:left w:val="single" w:color="auto" w:sz="8" w:space="0"/>
              <w:bottom w:val="single" w:color="auto" w:sz="8" w:space="0"/>
              <w:right w:val="single" w:color="auto" w:sz="8" w:space="0"/>
            </w:tcBorders>
            <w:noWrap w:val="0"/>
            <w:vAlign w:val="center"/>
          </w:tcPr>
          <w:p w14:paraId="1085E7F4">
            <w:pPr>
              <w:spacing w:line="360" w:lineRule="auto"/>
              <w:rPr>
                <w:rFonts w:hint="eastAsia" w:ascii="宋体" w:hAnsi="宋体" w:cs="宋体"/>
                <w:color w:val="auto"/>
              </w:rPr>
            </w:pPr>
          </w:p>
        </w:tc>
        <w:tc>
          <w:tcPr>
            <w:tcW w:w="7997" w:type="dxa"/>
            <w:gridSpan w:val="7"/>
            <w:tcBorders>
              <w:top w:val="nil"/>
              <w:left w:val="nil"/>
              <w:bottom w:val="single" w:color="auto" w:sz="8" w:space="0"/>
              <w:right w:val="single" w:color="auto" w:sz="8" w:space="0"/>
            </w:tcBorders>
            <w:noWrap w:val="0"/>
            <w:vAlign w:val="center"/>
          </w:tcPr>
          <w:p w14:paraId="5420205A">
            <w:pPr>
              <w:widowControl/>
              <w:spacing w:before="100" w:beforeAutospacing="1" w:after="100" w:afterAutospacing="1" w:line="360" w:lineRule="auto"/>
              <w:ind w:firstLine="96"/>
              <w:jc w:val="left"/>
              <w:rPr>
                <w:rFonts w:hint="eastAsia" w:ascii="宋体" w:hAnsi="宋体" w:cs="宋体"/>
                <w:color w:val="auto"/>
                <w:kern w:val="0"/>
                <w:szCs w:val="21"/>
              </w:rPr>
            </w:pPr>
            <w:r>
              <w:rPr>
                <w:rFonts w:hint="eastAsia" w:ascii="宋体" w:hAnsi="宋体" w:cs="宋体"/>
                <w:color w:val="auto"/>
                <w:kern w:val="0"/>
                <w:szCs w:val="21"/>
              </w:rPr>
              <w:t>有异议的意见和说明理由：</w:t>
            </w:r>
          </w:p>
          <w:p w14:paraId="6E3C3634">
            <w:pPr>
              <w:widowControl/>
              <w:spacing w:before="100" w:beforeAutospacing="1" w:after="100" w:afterAutospacing="1" w:line="360" w:lineRule="auto"/>
              <w:jc w:val="left"/>
              <w:rPr>
                <w:rFonts w:hint="eastAsia" w:ascii="宋体" w:hAnsi="宋体" w:cs="宋体"/>
                <w:color w:val="auto"/>
                <w:kern w:val="0"/>
                <w:szCs w:val="21"/>
              </w:rPr>
            </w:pPr>
            <w:r>
              <w:rPr>
                <w:rFonts w:hint="eastAsia" w:ascii="宋体" w:hAnsi="宋体" w:cs="宋体"/>
                <w:color w:val="auto"/>
                <w:kern w:val="0"/>
                <w:szCs w:val="21"/>
              </w:rPr>
              <w:t>签字：</w:t>
            </w:r>
          </w:p>
        </w:tc>
      </w:tr>
      <w:tr w14:paraId="26161395">
        <w:tblPrEx>
          <w:tblCellMar>
            <w:top w:w="0" w:type="dxa"/>
            <w:left w:w="0" w:type="dxa"/>
            <w:bottom w:w="0" w:type="dxa"/>
            <w:right w:w="0" w:type="dxa"/>
          </w:tblCellMar>
        </w:tblPrEx>
        <w:trPr>
          <w:trHeight w:val="534" w:hRule="atLeast"/>
          <w:jc w:val="center"/>
        </w:trPr>
        <w:tc>
          <w:tcPr>
            <w:tcW w:w="9494" w:type="dxa"/>
            <w:gridSpan w:val="8"/>
            <w:tcBorders>
              <w:top w:val="nil"/>
              <w:left w:val="single" w:color="auto" w:sz="8" w:space="0"/>
              <w:bottom w:val="single" w:color="auto" w:sz="8" w:space="0"/>
              <w:right w:val="single" w:color="auto" w:sz="8" w:space="0"/>
            </w:tcBorders>
            <w:noWrap w:val="0"/>
            <w:tcMar>
              <w:left w:w="108" w:type="dxa"/>
              <w:right w:w="108" w:type="dxa"/>
            </w:tcMar>
            <w:vAlign w:val="center"/>
          </w:tcPr>
          <w:p w14:paraId="6EDC39BF">
            <w:pPr>
              <w:widowControl/>
              <w:spacing w:before="100" w:beforeAutospacing="1" w:after="100" w:afterAutospacing="1" w:line="360" w:lineRule="auto"/>
              <w:jc w:val="left"/>
              <w:rPr>
                <w:rFonts w:hint="eastAsia" w:ascii="宋体" w:hAnsi="宋体" w:cs="宋体"/>
                <w:color w:val="auto"/>
                <w:kern w:val="0"/>
                <w:szCs w:val="21"/>
              </w:rPr>
            </w:pPr>
            <w:r>
              <w:rPr>
                <w:rFonts w:hint="eastAsia" w:ascii="宋体" w:hAnsi="宋体" w:cs="宋体"/>
                <w:color w:val="auto"/>
                <w:kern w:val="0"/>
                <w:szCs w:val="21"/>
              </w:rPr>
              <w:t>验收小组成员签字：</w:t>
            </w:r>
          </w:p>
        </w:tc>
      </w:tr>
      <w:tr w14:paraId="5AE345AD">
        <w:tblPrEx>
          <w:tblCellMar>
            <w:top w:w="0" w:type="dxa"/>
            <w:left w:w="0" w:type="dxa"/>
            <w:bottom w:w="0" w:type="dxa"/>
            <w:right w:w="0" w:type="dxa"/>
          </w:tblCellMar>
        </w:tblPrEx>
        <w:trPr>
          <w:trHeight w:val="774" w:hRule="atLeast"/>
          <w:jc w:val="center"/>
        </w:trPr>
        <w:tc>
          <w:tcPr>
            <w:tcW w:w="9494" w:type="dxa"/>
            <w:gridSpan w:val="8"/>
            <w:tcBorders>
              <w:top w:val="nil"/>
              <w:left w:val="single" w:color="auto" w:sz="8" w:space="0"/>
              <w:bottom w:val="single" w:color="auto" w:sz="8" w:space="0"/>
              <w:right w:val="single" w:color="auto" w:sz="8" w:space="0"/>
            </w:tcBorders>
            <w:noWrap w:val="0"/>
            <w:tcMar>
              <w:left w:w="108" w:type="dxa"/>
              <w:right w:w="108" w:type="dxa"/>
            </w:tcMar>
            <w:vAlign w:val="center"/>
          </w:tcPr>
          <w:p w14:paraId="7A67B68F">
            <w:pPr>
              <w:widowControl/>
              <w:spacing w:before="100" w:beforeAutospacing="1" w:after="100" w:afterAutospacing="1" w:line="360" w:lineRule="auto"/>
              <w:jc w:val="left"/>
              <w:rPr>
                <w:rFonts w:hint="eastAsia" w:ascii="宋体" w:hAnsi="宋体" w:cs="宋体"/>
                <w:color w:val="auto"/>
                <w:kern w:val="0"/>
                <w:szCs w:val="21"/>
              </w:rPr>
            </w:pPr>
            <w:r>
              <w:rPr>
                <w:rFonts w:hint="eastAsia" w:ascii="宋体" w:hAnsi="宋体" w:cs="宋体"/>
                <w:color w:val="auto"/>
                <w:kern w:val="0"/>
                <w:szCs w:val="21"/>
              </w:rPr>
              <w:t>监督人员或其他相关人员签字：</w:t>
            </w:r>
          </w:p>
          <w:p w14:paraId="6945334C">
            <w:pPr>
              <w:widowControl/>
              <w:spacing w:before="100" w:beforeAutospacing="1" w:after="100" w:afterAutospacing="1" w:line="360" w:lineRule="auto"/>
              <w:ind w:firstLine="74"/>
              <w:jc w:val="left"/>
              <w:rPr>
                <w:rFonts w:hint="eastAsia" w:ascii="宋体" w:hAnsi="宋体" w:cs="宋体"/>
                <w:color w:val="auto"/>
                <w:kern w:val="0"/>
                <w:szCs w:val="21"/>
              </w:rPr>
            </w:pPr>
            <w:r>
              <w:rPr>
                <w:rFonts w:hint="eastAsia" w:ascii="宋体" w:hAnsi="宋体" w:cs="宋体"/>
                <w:color w:val="auto"/>
                <w:kern w:val="0"/>
                <w:szCs w:val="21"/>
              </w:rPr>
              <w:t>或受邀机构的意见（盖章）：</w:t>
            </w:r>
          </w:p>
        </w:tc>
      </w:tr>
      <w:tr w14:paraId="0356CCDD">
        <w:tblPrEx>
          <w:tblCellMar>
            <w:top w:w="0" w:type="dxa"/>
            <w:left w:w="0" w:type="dxa"/>
            <w:bottom w:w="0" w:type="dxa"/>
            <w:right w:w="0" w:type="dxa"/>
          </w:tblCellMar>
        </w:tblPrEx>
        <w:trPr>
          <w:trHeight w:val="797" w:hRule="atLeast"/>
          <w:jc w:val="center"/>
        </w:trPr>
        <w:tc>
          <w:tcPr>
            <w:tcW w:w="4667" w:type="dxa"/>
            <w:gridSpan w:val="4"/>
            <w:tcBorders>
              <w:top w:val="nil"/>
              <w:left w:val="single" w:color="auto" w:sz="8" w:space="0"/>
              <w:bottom w:val="single" w:color="auto" w:sz="8" w:space="0"/>
              <w:right w:val="nil"/>
            </w:tcBorders>
            <w:noWrap w:val="0"/>
            <w:tcMar>
              <w:left w:w="108" w:type="dxa"/>
              <w:right w:w="108" w:type="dxa"/>
            </w:tcMar>
            <w:vAlign w:val="center"/>
          </w:tcPr>
          <w:p w14:paraId="582DF15C">
            <w:pPr>
              <w:widowControl/>
              <w:spacing w:before="100" w:beforeAutospacing="1" w:after="100" w:afterAutospacing="1" w:line="360" w:lineRule="auto"/>
              <w:ind w:firstLine="74"/>
              <w:jc w:val="left"/>
              <w:rPr>
                <w:rFonts w:hint="eastAsia" w:ascii="宋体" w:hAnsi="宋体" w:cs="宋体"/>
                <w:color w:val="auto"/>
                <w:kern w:val="0"/>
                <w:szCs w:val="21"/>
              </w:rPr>
            </w:pPr>
            <w:r>
              <w:rPr>
                <w:rFonts w:hint="eastAsia" w:ascii="宋体" w:hAnsi="宋体" w:cs="宋体"/>
                <w:color w:val="auto"/>
                <w:kern w:val="0"/>
                <w:szCs w:val="21"/>
              </w:rPr>
              <w:t>中标或者成交供应商负责人签字或盖章：</w:t>
            </w:r>
          </w:p>
          <w:p w14:paraId="065886CE">
            <w:pPr>
              <w:widowControl/>
              <w:spacing w:before="100" w:beforeAutospacing="1" w:after="100" w:afterAutospacing="1" w:line="360" w:lineRule="auto"/>
              <w:jc w:val="left"/>
              <w:rPr>
                <w:rFonts w:hint="eastAsia" w:ascii="宋体" w:hAnsi="宋体" w:cs="宋体"/>
                <w:color w:val="auto"/>
                <w:kern w:val="0"/>
                <w:szCs w:val="21"/>
              </w:rPr>
            </w:pPr>
            <w:r>
              <w:rPr>
                <w:rFonts w:hint="eastAsia" w:ascii="宋体" w:hAnsi="宋体" w:cs="宋体"/>
                <w:color w:val="auto"/>
                <w:kern w:val="0"/>
                <w:szCs w:val="21"/>
              </w:rPr>
              <w:t>联系电话： 年 月 日</w:t>
            </w:r>
          </w:p>
        </w:tc>
        <w:tc>
          <w:tcPr>
            <w:tcW w:w="4827" w:type="dxa"/>
            <w:gridSpan w:val="4"/>
            <w:tcBorders>
              <w:top w:val="nil"/>
              <w:left w:val="nil"/>
              <w:bottom w:val="single" w:color="auto" w:sz="8" w:space="0"/>
              <w:right w:val="single" w:color="auto" w:sz="8" w:space="0"/>
            </w:tcBorders>
            <w:noWrap w:val="0"/>
            <w:vAlign w:val="center"/>
          </w:tcPr>
          <w:p w14:paraId="1B9A3065">
            <w:pPr>
              <w:widowControl/>
              <w:spacing w:before="100" w:beforeAutospacing="1" w:after="100" w:afterAutospacing="1" w:line="360" w:lineRule="auto"/>
              <w:jc w:val="left"/>
              <w:rPr>
                <w:rFonts w:hint="eastAsia" w:ascii="宋体" w:hAnsi="宋体" w:cs="宋体"/>
                <w:color w:val="auto"/>
                <w:kern w:val="0"/>
                <w:szCs w:val="21"/>
              </w:rPr>
            </w:pPr>
            <w:r>
              <w:rPr>
                <w:rFonts w:hint="eastAsia" w:ascii="宋体" w:hAnsi="宋体" w:cs="宋体"/>
                <w:color w:val="auto"/>
                <w:kern w:val="0"/>
                <w:szCs w:val="21"/>
              </w:rPr>
              <w:t>采购人或受托机构的意见（盖章）：</w:t>
            </w:r>
          </w:p>
          <w:p w14:paraId="725CFF22">
            <w:pPr>
              <w:widowControl/>
              <w:spacing w:before="100" w:beforeAutospacing="1" w:after="100" w:afterAutospacing="1" w:line="360" w:lineRule="auto"/>
              <w:jc w:val="left"/>
              <w:rPr>
                <w:rFonts w:hint="eastAsia" w:ascii="宋体" w:hAnsi="宋体" w:cs="宋体"/>
                <w:color w:val="auto"/>
                <w:kern w:val="0"/>
                <w:szCs w:val="21"/>
              </w:rPr>
            </w:pPr>
            <w:r>
              <w:rPr>
                <w:rFonts w:hint="eastAsia" w:ascii="宋体" w:hAnsi="宋体" w:cs="宋体"/>
                <w:color w:val="auto"/>
                <w:kern w:val="0"/>
                <w:szCs w:val="21"/>
              </w:rPr>
              <w:t>联系电话： 年 月 日</w:t>
            </w:r>
          </w:p>
        </w:tc>
      </w:tr>
    </w:tbl>
    <w:p w14:paraId="40099780">
      <w:pPr>
        <w:spacing w:line="360" w:lineRule="auto"/>
        <w:jc w:val="left"/>
        <w:rPr>
          <w:rFonts w:hint="eastAsia" w:ascii="宋体" w:hAnsi="宋体" w:cs="宋体"/>
          <w:color w:val="auto"/>
        </w:rPr>
      </w:pPr>
    </w:p>
    <w:p w14:paraId="20E17CD0">
      <w:pPr>
        <w:spacing w:line="360" w:lineRule="auto"/>
        <w:jc w:val="left"/>
        <w:rPr>
          <w:rFonts w:hint="eastAsia" w:ascii="宋体" w:hAnsi="宋体" w:cs="宋体"/>
          <w:color w:val="auto"/>
        </w:rPr>
      </w:pPr>
      <w:r>
        <w:rPr>
          <w:rFonts w:hint="eastAsia" w:ascii="宋体" w:hAnsi="宋体" w:cs="宋体"/>
          <w:color w:val="auto"/>
        </w:rPr>
        <w:br w:type="page"/>
      </w:r>
      <w:r>
        <w:rPr>
          <w:rFonts w:hint="eastAsia" w:ascii="宋体" w:hAnsi="宋体" w:cs="宋体"/>
          <w:color w:val="auto"/>
          <w:kern w:val="0"/>
          <w:sz w:val="32"/>
          <w:szCs w:val="32"/>
        </w:rPr>
        <w:t>附件2：</w:t>
      </w:r>
    </w:p>
    <w:p w14:paraId="4ABCAC14">
      <w:pPr>
        <w:spacing w:line="360" w:lineRule="auto"/>
        <w:jc w:val="center"/>
        <w:rPr>
          <w:rFonts w:hint="eastAsia" w:ascii="宋体" w:hAnsi="宋体" w:cs="宋体"/>
          <w:color w:val="auto"/>
          <w:sz w:val="32"/>
          <w:szCs w:val="32"/>
        </w:rPr>
      </w:pPr>
      <w:r>
        <w:rPr>
          <w:rFonts w:hint="eastAsia" w:ascii="宋体" w:hAnsi="宋体" w:cs="宋体"/>
          <w:color w:val="auto"/>
          <w:sz w:val="32"/>
          <w:szCs w:val="32"/>
        </w:rPr>
        <w:t>政府采购项目履约保证金退付意见书</w:t>
      </w:r>
      <w:r>
        <w:rPr>
          <w:rFonts w:hint="eastAsia" w:ascii="宋体" w:hAnsi="宋体" w:cs="宋体"/>
          <w:color w:val="auto"/>
          <w:kern w:val="0"/>
          <w:sz w:val="32"/>
          <w:szCs w:val="32"/>
        </w:rPr>
        <w:t>（如有格式）</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640"/>
      </w:tblGrid>
      <w:tr w14:paraId="1BFB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noWrap w:val="0"/>
            <w:vAlign w:val="center"/>
          </w:tcPr>
          <w:p w14:paraId="73CCEF0C">
            <w:pPr>
              <w:spacing w:line="360" w:lineRule="auto"/>
              <w:jc w:val="center"/>
              <w:rPr>
                <w:rFonts w:hint="eastAsia" w:ascii="宋体" w:hAnsi="宋体" w:cs="宋体"/>
                <w:color w:val="auto"/>
                <w:szCs w:val="21"/>
              </w:rPr>
            </w:pPr>
            <w:r>
              <w:rPr>
                <w:rFonts w:hint="eastAsia" w:ascii="宋体" w:hAnsi="宋体" w:cs="宋体"/>
                <w:color w:val="auto"/>
                <w:szCs w:val="21"/>
              </w:rPr>
              <w:t>供</w:t>
            </w:r>
          </w:p>
          <w:p w14:paraId="677C6EFA">
            <w:pPr>
              <w:spacing w:line="360" w:lineRule="auto"/>
              <w:jc w:val="center"/>
              <w:rPr>
                <w:rFonts w:hint="eastAsia" w:ascii="宋体" w:hAnsi="宋体" w:cs="宋体"/>
                <w:color w:val="auto"/>
                <w:szCs w:val="21"/>
              </w:rPr>
            </w:pPr>
            <w:r>
              <w:rPr>
                <w:rFonts w:hint="eastAsia" w:ascii="宋体" w:hAnsi="宋体" w:cs="宋体"/>
                <w:color w:val="auto"/>
                <w:szCs w:val="21"/>
              </w:rPr>
              <w:t>应</w:t>
            </w:r>
          </w:p>
          <w:p w14:paraId="6408510C">
            <w:pPr>
              <w:spacing w:line="360" w:lineRule="auto"/>
              <w:jc w:val="center"/>
              <w:rPr>
                <w:rFonts w:hint="eastAsia" w:ascii="宋体" w:hAnsi="宋体" w:cs="宋体"/>
                <w:color w:val="auto"/>
                <w:szCs w:val="21"/>
              </w:rPr>
            </w:pPr>
            <w:r>
              <w:rPr>
                <w:rFonts w:hint="eastAsia" w:ascii="宋体" w:hAnsi="宋体" w:cs="宋体"/>
                <w:color w:val="auto"/>
                <w:szCs w:val="21"/>
              </w:rPr>
              <w:t>商</w:t>
            </w:r>
          </w:p>
          <w:p w14:paraId="7B1F21AF">
            <w:pPr>
              <w:spacing w:line="360" w:lineRule="auto"/>
              <w:jc w:val="center"/>
              <w:rPr>
                <w:rFonts w:hint="eastAsia" w:ascii="宋体" w:hAnsi="宋体" w:cs="宋体"/>
                <w:color w:val="auto"/>
                <w:szCs w:val="21"/>
              </w:rPr>
            </w:pPr>
            <w:r>
              <w:rPr>
                <w:rFonts w:hint="eastAsia" w:ascii="宋体" w:hAnsi="宋体" w:cs="宋体"/>
                <w:color w:val="auto"/>
                <w:szCs w:val="21"/>
              </w:rPr>
              <w:t>申</w:t>
            </w:r>
          </w:p>
          <w:p w14:paraId="1E92E9F8">
            <w:pPr>
              <w:spacing w:line="360" w:lineRule="auto"/>
              <w:jc w:val="center"/>
              <w:rPr>
                <w:rFonts w:hint="eastAsia" w:ascii="宋体" w:hAnsi="宋体" w:cs="宋体"/>
                <w:color w:val="auto"/>
                <w:szCs w:val="21"/>
              </w:rPr>
            </w:pPr>
            <w:r>
              <w:rPr>
                <w:rFonts w:hint="eastAsia" w:ascii="宋体" w:hAnsi="宋体" w:cs="宋体"/>
                <w:color w:val="auto"/>
                <w:szCs w:val="21"/>
              </w:rPr>
              <w:t>请</w:t>
            </w:r>
          </w:p>
        </w:tc>
        <w:tc>
          <w:tcPr>
            <w:tcW w:w="8640" w:type="dxa"/>
            <w:noWrap w:val="0"/>
            <w:vAlign w:val="center"/>
          </w:tcPr>
          <w:p w14:paraId="01C6E344">
            <w:pPr>
              <w:spacing w:line="360" w:lineRule="auto"/>
              <w:rPr>
                <w:rFonts w:hint="eastAsia" w:ascii="宋体" w:hAnsi="宋体" w:cs="宋体"/>
                <w:color w:val="auto"/>
                <w:szCs w:val="21"/>
              </w:rPr>
            </w:pPr>
            <w:r>
              <w:rPr>
                <w:rFonts w:hint="eastAsia" w:ascii="宋体" w:hAnsi="宋体" w:cs="宋体"/>
                <w:color w:val="auto"/>
                <w:szCs w:val="21"/>
              </w:rPr>
              <w:t>项目编号：</w:t>
            </w:r>
          </w:p>
        </w:tc>
      </w:tr>
      <w:tr w14:paraId="7264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noWrap w:val="0"/>
            <w:vAlign w:val="center"/>
          </w:tcPr>
          <w:p w14:paraId="7FDEC2EB">
            <w:pPr>
              <w:spacing w:line="360" w:lineRule="auto"/>
              <w:rPr>
                <w:rFonts w:hint="eastAsia" w:ascii="宋体" w:hAnsi="宋体" w:cs="宋体"/>
                <w:color w:val="auto"/>
              </w:rPr>
            </w:pPr>
          </w:p>
        </w:tc>
        <w:tc>
          <w:tcPr>
            <w:tcW w:w="8640" w:type="dxa"/>
            <w:noWrap w:val="0"/>
            <w:vAlign w:val="center"/>
          </w:tcPr>
          <w:p w14:paraId="331F81BA">
            <w:pPr>
              <w:spacing w:line="360" w:lineRule="auto"/>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广西农业工程职业技术学院“一站式”学生社区物理空间建设项目</w:t>
            </w:r>
          </w:p>
        </w:tc>
      </w:tr>
      <w:tr w14:paraId="685B0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noWrap w:val="0"/>
            <w:vAlign w:val="top"/>
          </w:tcPr>
          <w:p w14:paraId="2367B475">
            <w:pPr>
              <w:spacing w:line="360" w:lineRule="auto"/>
              <w:rPr>
                <w:rFonts w:hint="eastAsia" w:ascii="宋体" w:hAnsi="宋体" w:cs="宋体"/>
                <w:color w:val="auto"/>
              </w:rPr>
            </w:pPr>
          </w:p>
        </w:tc>
        <w:tc>
          <w:tcPr>
            <w:tcW w:w="8640" w:type="dxa"/>
            <w:noWrap w:val="0"/>
            <w:vAlign w:val="top"/>
          </w:tcPr>
          <w:p w14:paraId="15B56486">
            <w:pPr>
              <w:spacing w:line="360" w:lineRule="auto"/>
              <w:rPr>
                <w:rFonts w:hint="eastAsia" w:ascii="宋体" w:hAnsi="宋体" w:cs="宋体"/>
                <w:color w:val="auto"/>
                <w:szCs w:val="21"/>
              </w:rPr>
            </w:pPr>
            <w:r>
              <w:rPr>
                <w:rFonts w:hint="eastAsia" w:ascii="宋体" w:hAnsi="宋体" w:cs="宋体"/>
                <w:color w:val="auto"/>
                <w:szCs w:val="21"/>
              </w:rPr>
              <w:t xml:space="preserve">  </w:t>
            </w:r>
          </w:p>
          <w:p w14:paraId="3E2585C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该项目已于</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日验收并交付使用。根据合同规定，该项目的履约保证金期限于</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日已满，请将履约保证金</w:t>
            </w:r>
          </w:p>
          <w:p w14:paraId="7282034B">
            <w:pPr>
              <w:spacing w:line="360" w:lineRule="auto"/>
              <w:rPr>
                <w:rFonts w:hint="eastAsia"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（大写）¥</w:t>
            </w:r>
            <w:r>
              <w:rPr>
                <w:rFonts w:hint="eastAsia" w:ascii="宋体" w:hAnsi="宋体" w:cs="宋体"/>
                <w:color w:val="auto"/>
                <w:szCs w:val="21"/>
                <w:u w:val="single"/>
              </w:rPr>
              <w:t xml:space="preserve">          </w:t>
            </w:r>
            <w:r>
              <w:rPr>
                <w:rFonts w:hint="eastAsia" w:ascii="宋体" w:hAnsi="宋体" w:cs="宋体"/>
                <w:color w:val="auto"/>
                <w:szCs w:val="21"/>
              </w:rPr>
              <w:t>（小写）退付到达以下账户。</w:t>
            </w:r>
          </w:p>
          <w:p w14:paraId="6B906F9B">
            <w:pPr>
              <w:spacing w:line="360" w:lineRule="auto"/>
              <w:ind w:firstLine="705"/>
              <w:rPr>
                <w:rFonts w:hint="eastAsia" w:ascii="宋体" w:hAnsi="宋体" w:cs="宋体"/>
                <w:color w:val="auto"/>
                <w:szCs w:val="21"/>
              </w:rPr>
            </w:pPr>
            <w:r>
              <w:rPr>
                <w:rFonts w:hint="eastAsia" w:ascii="宋体" w:hAnsi="宋体" w:cs="宋体"/>
                <w:color w:val="auto"/>
                <w:szCs w:val="21"/>
              </w:rPr>
              <w:t>单位名称：</w:t>
            </w:r>
          </w:p>
          <w:p w14:paraId="5EA2ADC8">
            <w:pPr>
              <w:spacing w:line="360" w:lineRule="auto"/>
              <w:ind w:firstLine="705"/>
              <w:rPr>
                <w:rFonts w:hint="eastAsia" w:ascii="宋体" w:hAnsi="宋体" w:cs="宋体"/>
                <w:color w:val="auto"/>
                <w:szCs w:val="21"/>
              </w:rPr>
            </w:pPr>
            <w:r>
              <w:rPr>
                <w:rFonts w:hint="eastAsia" w:ascii="宋体" w:hAnsi="宋体" w:cs="宋体"/>
                <w:color w:val="auto"/>
                <w:szCs w:val="21"/>
              </w:rPr>
              <w:t>开户银行：</w:t>
            </w:r>
          </w:p>
          <w:p w14:paraId="75417641">
            <w:pPr>
              <w:spacing w:line="360" w:lineRule="auto"/>
              <w:ind w:firstLine="705"/>
              <w:rPr>
                <w:rFonts w:hint="eastAsia" w:ascii="宋体" w:hAnsi="宋体" w:cs="宋体"/>
                <w:color w:val="auto"/>
                <w:szCs w:val="21"/>
              </w:rPr>
            </w:pPr>
            <w:r>
              <w:rPr>
                <w:rFonts w:hint="eastAsia" w:ascii="宋体" w:hAnsi="宋体" w:cs="宋体"/>
                <w:color w:val="auto"/>
                <w:szCs w:val="21"/>
              </w:rPr>
              <w:t>帐   号：</w:t>
            </w:r>
          </w:p>
          <w:p w14:paraId="7EC9435A">
            <w:pPr>
              <w:spacing w:line="360" w:lineRule="auto"/>
              <w:rPr>
                <w:rFonts w:hint="eastAsia" w:ascii="宋体" w:hAnsi="宋体" w:cs="宋体"/>
                <w:color w:val="auto"/>
                <w:szCs w:val="21"/>
              </w:rPr>
            </w:pPr>
            <w:r>
              <w:rPr>
                <w:rFonts w:hint="eastAsia" w:ascii="宋体" w:hAnsi="宋体" w:cs="宋体"/>
                <w:color w:val="auto"/>
                <w:szCs w:val="21"/>
              </w:rPr>
              <w:t>联系人及电话：</w:t>
            </w:r>
          </w:p>
          <w:p w14:paraId="0F35A01C">
            <w:pPr>
              <w:spacing w:line="360" w:lineRule="auto"/>
              <w:rPr>
                <w:rFonts w:hint="eastAsia" w:ascii="宋体" w:hAnsi="宋体" w:cs="宋体"/>
                <w:color w:val="auto"/>
                <w:szCs w:val="21"/>
              </w:rPr>
            </w:pPr>
          </w:p>
          <w:p w14:paraId="1536AB74">
            <w:pPr>
              <w:spacing w:line="360" w:lineRule="auto"/>
              <w:jc w:val="center"/>
              <w:rPr>
                <w:rFonts w:hint="eastAsia" w:ascii="宋体" w:hAnsi="宋体" w:cs="宋体"/>
                <w:color w:val="auto"/>
                <w:szCs w:val="21"/>
              </w:rPr>
            </w:pPr>
            <w:r>
              <w:rPr>
                <w:rFonts w:hint="eastAsia" w:ascii="宋体" w:hAnsi="宋体" w:cs="宋体"/>
                <w:color w:val="auto"/>
                <w:szCs w:val="21"/>
              </w:rPr>
              <w:t xml:space="preserve">                                     供应商签章：</w:t>
            </w:r>
          </w:p>
          <w:p w14:paraId="4EEE0957">
            <w:pPr>
              <w:spacing w:line="360" w:lineRule="auto"/>
              <w:jc w:val="center"/>
              <w:rPr>
                <w:rFonts w:hint="eastAsia" w:ascii="宋体" w:hAnsi="宋体" w:cs="宋体"/>
                <w:color w:val="auto"/>
                <w:szCs w:val="21"/>
              </w:rPr>
            </w:pPr>
            <w:r>
              <w:rPr>
                <w:rFonts w:hint="eastAsia" w:ascii="宋体" w:hAnsi="宋体" w:cs="宋体"/>
                <w:color w:val="auto"/>
                <w:szCs w:val="21"/>
              </w:rPr>
              <w:t xml:space="preserve">                           年    月     日</w:t>
            </w:r>
          </w:p>
        </w:tc>
      </w:tr>
      <w:tr w14:paraId="0723D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14:paraId="0DED77A7">
            <w:pPr>
              <w:spacing w:line="360" w:lineRule="auto"/>
              <w:jc w:val="center"/>
              <w:rPr>
                <w:rFonts w:hint="eastAsia" w:ascii="宋体" w:hAnsi="宋体" w:cs="宋体"/>
                <w:color w:val="auto"/>
                <w:szCs w:val="21"/>
              </w:rPr>
            </w:pPr>
            <w:r>
              <w:rPr>
                <w:rFonts w:hint="eastAsia" w:ascii="宋体" w:hAnsi="宋体" w:cs="宋体"/>
                <w:color w:val="auto"/>
                <w:szCs w:val="21"/>
              </w:rPr>
              <w:t>采</w:t>
            </w:r>
          </w:p>
          <w:p w14:paraId="0C8B4EB5">
            <w:pPr>
              <w:spacing w:line="360" w:lineRule="auto"/>
              <w:jc w:val="center"/>
              <w:rPr>
                <w:rFonts w:hint="eastAsia" w:ascii="宋体" w:hAnsi="宋体" w:cs="宋体"/>
                <w:color w:val="auto"/>
                <w:szCs w:val="21"/>
              </w:rPr>
            </w:pPr>
            <w:r>
              <w:rPr>
                <w:rFonts w:hint="eastAsia" w:ascii="宋体" w:hAnsi="宋体" w:cs="宋体"/>
                <w:color w:val="auto"/>
                <w:szCs w:val="21"/>
              </w:rPr>
              <w:t>购</w:t>
            </w:r>
          </w:p>
          <w:p w14:paraId="0BF65EB5">
            <w:pPr>
              <w:spacing w:line="360" w:lineRule="auto"/>
              <w:jc w:val="center"/>
              <w:rPr>
                <w:rFonts w:hint="eastAsia" w:ascii="宋体" w:hAnsi="宋体" w:cs="宋体"/>
                <w:color w:val="auto"/>
                <w:szCs w:val="21"/>
              </w:rPr>
            </w:pPr>
            <w:r>
              <w:rPr>
                <w:rFonts w:hint="eastAsia" w:ascii="宋体" w:hAnsi="宋体" w:cs="宋体"/>
                <w:color w:val="auto"/>
                <w:szCs w:val="21"/>
              </w:rPr>
              <w:t>单</w:t>
            </w:r>
          </w:p>
          <w:p w14:paraId="46458D13">
            <w:pPr>
              <w:spacing w:line="360" w:lineRule="auto"/>
              <w:jc w:val="center"/>
              <w:rPr>
                <w:rFonts w:hint="eastAsia" w:ascii="宋体" w:hAnsi="宋体" w:cs="宋体"/>
                <w:color w:val="auto"/>
                <w:szCs w:val="21"/>
              </w:rPr>
            </w:pPr>
            <w:r>
              <w:rPr>
                <w:rFonts w:hint="eastAsia" w:ascii="宋体" w:hAnsi="宋体" w:cs="宋体"/>
                <w:color w:val="auto"/>
                <w:szCs w:val="21"/>
              </w:rPr>
              <w:t>位</w:t>
            </w:r>
          </w:p>
          <w:p w14:paraId="21355114">
            <w:pPr>
              <w:spacing w:line="360" w:lineRule="auto"/>
              <w:jc w:val="center"/>
              <w:rPr>
                <w:rFonts w:hint="eastAsia" w:ascii="宋体" w:hAnsi="宋体" w:cs="宋体"/>
                <w:color w:val="auto"/>
                <w:szCs w:val="21"/>
              </w:rPr>
            </w:pPr>
            <w:r>
              <w:rPr>
                <w:rFonts w:hint="eastAsia" w:ascii="宋体" w:hAnsi="宋体" w:cs="宋体"/>
                <w:color w:val="auto"/>
                <w:szCs w:val="21"/>
              </w:rPr>
              <w:t>意</w:t>
            </w:r>
          </w:p>
          <w:p w14:paraId="5F42C69E">
            <w:pPr>
              <w:spacing w:line="360" w:lineRule="auto"/>
              <w:jc w:val="center"/>
              <w:rPr>
                <w:rFonts w:hint="eastAsia" w:ascii="宋体" w:hAnsi="宋体" w:cs="宋体"/>
                <w:color w:val="auto"/>
                <w:szCs w:val="21"/>
              </w:rPr>
            </w:pPr>
            <w:r>
              <w:rPr>
                <w:rFonts w:hint="eastAsia" w:ascii="宋体" w:hAnsi="宋体" w:cs="宋体"/>
                <w:color w:val="auto"/>
                <w:szCs w:val="21"/>
              </w:rPr>
              <w:t>见</w:t>
            </w:r>
          </w:p>
        </w:tc>
        <w:tc>
          <w:tcPr>
            <w:tcW w:w="8640" w:type="dxa"/>
            <w:noWrap w:val="0"/>
            <w:vAlign w:val="top"/>
          </w:tcPr>
          <w:p w14:paraId="22F4E06E">
            <w:pPr>
              <w:spacing w:line="360" w:lineRule="auto"/>
              <w:rPr>
                <w:rFonts w:hint="eastAsia" w:ascii="宋体" w:hAnsi="宋体" w:cs="宋体"/>
                <w:color w:val="auto"/>
                <w:szCs w:val="21"/>
              </w:rPr>
            </w:pPr>
          </w:p>
          <w:p w14:paraId="1F176352">
            <w:pPr>
              <w:spacing w:line="360" w:lineRule="auto"/>
              <w:rPr>
                <w:rFonts w:hint="eastAsia" w:ascii="宋体" w:hAnsi="宋体" w:cs="宋体"/>
                <w:color w:val="auto"/>
                <w:szCs w:val="21"/>
              </w:rPr>
            </w:pPr>
            <w:r>
              <w:rPr>
                <w:rFonts w:hint="eastAsia" w:ascii="宋体" w:hAnsi="宋体" w:cs="宋体"/>
                <w:color w:val="auto"/>
                <w:szCs w:val="21"/>
              </w:rPr>
              <w:t>退付意见：是否同意退付履约保证金及退付金额：</w:t>
            </w:r>
          </w:p>
          <w:p w14:paraId="59A6FD0C">
            <w:pPr>
              <w:spacing w:line="360" w:lineRule="auto"/>
              <w:rPr>
                <w:rFonts w:hint="eastAsia" w:ascii="宋体" w:hAnsi="宋体" w:cs="宋体"/>
                <w:color w:val="auto"/>
                <w:szCs w:val="21"/>
              </w:rPr>
            </w:pPr>
          </w:p>
          <w:p w14:paraId="61849449">
            <w:pPr>
              <w:spacing w:line="360" w:lineRule="auto"/>
              <w:rPr>
                <w:rFonts w:hint="eastAsia" w:ascii="宋体" w:hAnsi="宋体" w:cs="宋体"/>
                <w:color w:val="auto"/>
                <w:szCs w:val="21"/>
              </w:rPr>
            </w:pPr>
          </w:p>
          <w:p w14:paraId="25DE15F7">
            <w:pPr>
              <w:spacing w:line="360" w:lineRule="auto"/>
              <w:rPr>
                <w:rFonts w:hint="eastAsia" w:ascii="宋体" w:hAnsi="宋体" w:cs="宋体"/>
                <w:color w:val="auto"/>
                <w:szCs w:val="21"/>
              </w:rPr>
            </w:pPr>
            <w:r>
              <w:rPr>
                <w:rFonts w:hint="eastAsia" w:ascii="宋体" w:hAnsi="宋体" w:cs="宋体"/>
                <w:color w:val="auto"/>
                <w:szCs w:val="21"/>
              </w:rPr>
              <w:t>联系人及电话：                                 采购单位签章</w:t>
            </w:r>
          </w:p>
          <w:p w14:paraId="6674965A">
            <w:pPr>
              <w:spacing w:line="360" w:lineRule="auto"/>
              <w:jc w:val="center"/>
              <w:rPr>
                <w:rFonts w:hint="eastAsia" w:ascii="宋体" w:hAnsi="宋体" w:cs="宋体"/>
                <w:color w:val="auto"/>
                <w:szCs w:val="21"/>
              </w:rPr>
            </w:pPr>
            <w:r>
              <w:rPr>
                <w:rFonts w:hint="eastAsia" w:ascii="宋体" w:hAnsi="宋体" w:cs="宋体"/>
                <w:color w:val="auto"/>
                <w:szCs w:val="21"/>
              </w:rPr>
              <w:t xml:space="preserve">                                        年    月     日</w:t>
            </w:r>
          </w:p>
        </w:tc>
      </w:tr>
      <w:tr w14:paraId="33090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14:paraId="42172FE1">
            <w:pPr>
              <w:spacing w:line="360" w:lineRule="auto"/>
              <w:jc w:val="center"/>
              <w:rPr>
                <w:rFonts w:hint="eastAsia" w:ascii="宋体" w:hAnsi="宋体" w:cs="宋体"/>
                <w:color w:val="auto"/>
                <w:szCs w:val="21"/>
              </w:rPr>
            </w:pPr>
            <w:r>
              <w:rPr>
                <w:rFonts w:hint="eastAsia" w:ascii="宋体" w:hAnsi="宋体" w:cs="宋体"/>
                <w:color w:val="auto"/>
                <w:szCs w:val="21"/>
              </w:rPr>
              <w:t>财</w:t>
            </w:r>
          </w:p>
          <w:p w14:paraId="2880149A">
            <w:pPr>
              <w:spacing w:line="360" w:lineRule="auto"/>
              <w:jc w:val="center"/>
              <w:rPr>
                <w:rFonts w:hint="eastAsia" w:ascii="宋体" w:hAnsi="宋体" w:cs="宋体"/>
                <w:color w:val="auto"/>
                <w:szCs w:val="21"/>
              </w:rPr>
            </w:pPr>
            <w:r>
              <w:rPr>
                <w:rFonts w:hint="eastAsia" w:ascii="宋体" w:hAnsi="宋体" w:cs="宋体"/>
                <w:color w:val="auto"/>
                <w:szCs w:val="21"/>
              </w:rPr>
              <w:t>务</w:t>
            </w:r>
          </w:p>
          <w:p w14:paraId="2CBD165E">
            <w:pPr>
              <w:spacing w:line="360" w:lineRule="auto"/>
              <w:jc w:val="center"/>
              <w:rPr>
                <w:rFonts w:hint="eastAsia" w:ascii="宋体" w:hAnsi="宋体" w:cs="宋体"/>
                <w:color w:val="auto"/>
                <w:szCs w:val="21"/>
              </w:rPr>
            </w:pPr>
            <w:r>
              <w:rPr>
                <w:rFonts w:hint="eastAsia" w:ascii="宋体" w:hAnsi="宋体" w:cs="宋体"/>
                <w:color w:val="auto"/>
                <w:szCs w:val="21"/>
              </w:rPr>
              <w:t>部</w:t>
            </w:r>
          </w:p>
          <w:p w14:paraId="1B044FF3">
            <w:pPr>
              <w:spacing w:line="360" w:lineRule="auto"/>
              <w:jc w:val="center"/>
              <w:rPr>
                <w:rFonts w:hint="eastAsia" w:ascii="宋体" w:hAnsi="宋体" w:cs="宋体"/>
                <w:color w:val="auto"/>
                <w:szCs w:val="21"/>
              </w:rPr>
            </w:pPr>
            <w:r>
              <w:rPr>
                <w:rFonts w:hint="eastAsia" w:ascii="宋体" w:hAnsi="宋体" w:cs="宋体"/>
                <w:color w:val="auto"/>
                <w:szCs w:val="21"/>
              </w:rPr>
              <w:t>门</w:t>
            </w:r>
          </w:p>
          <w:p w14:paraId="4CC28CAB">
            <w:pPr>
              <w:spacing w:line="360" w:lineRule="auto"/>
              <w:jc w:val="center"/>
              <w:rPr>
                <w:rFonts w:hint="eastAsia" w:ascii="宋体" w:hAnsi="宋体" w:cs="宋体"/>
                <w:color w:val="auto"/>
                <w:szCs w:val="21"/>
              </w:rPr>
            </w:pPr>
            <w:r>
              <w:rPr>
                <w:rFonts w:hint="eastAsia" w:ascii="宋体" w:hAnsi="宋体" w:cs="宋体"/>
                <w:color w:val="auto"/>
                <w:szCs w:val="21"/>
              </w:rPr>
              <w:t>意</w:t>
            </w:r>
          </w:p>
          <w:p w14:paraId="45BCF508">
            <w:pPr>
              <w:spacing w:line="360" w:lineRule="auto"/>
              <w:jc w:val="center"/>
              <w:rPr>
                <w:rFonts w:hint="eastAsia" w:ascii="宋体" w:hAnsi="宋体" w:cs="宋体"/>
                <w:color w:val="auto"/>
                <w:szCs w:val="21"/>
              </w:rPr>
            </w:pPr>
            <w:r>
              <w:rPr>
                <w:rFonts w:hint="eastAsia" w:ascii="宋体" w:hAnsi="宋体" w:cs="宋体"/>
                <w:color w:val="auto"/>
                <w:szCs w:val="21"/>
              </w:rPr>
              <w:t>见</w:t>
            </w:r>
          </w:p>
        </w:tc>
        <w:tc>
          <w:tcPr>
            <w:tcW w:w="8640" w:type="dxa"/>
            <w:noWrap w:val="0"/>
            <w:vAlign w:val="top"/>
          </w:tcPr>
          <w:p w14:paraId="49B017C2">
            <w:pPr>
              <w:spacing w:line="360" w:lineRule="auto"/>
              <w:rPr>
                <w:rFonts w:hint="eastAsia" w:ascii="宋体" w:hAnsi="宋体" w:cs="宋体"/>
                <w:color w:val="auto"/>
                <w:szCs w:val="21"/>
              </w:rPr>
            </w:pPr>
            <w:r>
              <w:rPr>
                <w:rFonts w:hint="eastAsia" w:ascii="宋体" w:hAnsi="宋体" w:cs="宋体"/>
                <w:color w:val="auto"/>
                <w:szCs w:val="21"/>
              </w:rPr>
              <w:t>此表于</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 xml:space="preserve"> 月 </w:t>
            </w:r>
            <w:r>
              <w:rPr>
                <w:rFonts w:hint="eastAsia" w:ascii="宋体" w:hAnsi="宋体" w:cs="宋体"/>
                <w:color w:val="auto"/>
                <w:szCs w:val="21"/>
                <w:u w:val="single"/>
              </w:rPr>
              <w:t xml:space="preserve">   </w:t>
            </w:r>
            <w:r>
              <w:rPr>
                <w:rFonts w:hint="eastAsia" w:ascii="宋体" w:hAnsi="宋体" w:cs="宋体"/>
                <w:color w:val="auto"/>
                <w:szCs w:val="21"/>
              </w:rPr>
              <w:t xml:space="preserve"> 日收到。</w:t>
            </w:r>
          </w:p>
          <w:p w14:paraId="47094B1E">
            <w:pPr>
              <w:spacing w:line="360" w:lineRule="auto"/>
              <w:rPr>
                <w:rFonts w:hint="eastAsia" w:ascii="宋体" w:hAnsi="宋体" w:cs="宋体"/>
                <w:color w:val="auto"/>
                <w:szCs w:val="21"/>
              </w:rPr>
            </w:pPr>
            <w:r>
              <w:rPr>
                <w:rFonts w:hint="eastAsia" w:ascii="宋体" w:hAnsi="宋体" w:cs="宋体"/>
                <w:color w:val="auto"/>
                <w:szCs w:val="21"/>
              </w:rPr>
              <w:t>会计审核：</w:t>
            </w:r>
          </w:p>
          <w:p w14:paraId="3EB22B7B">
            <w:pPr>
              <w:spacing w:line="360" w:lineRule="auto"/>
              <w:rPr>
                <w:rFonts w:hint="eastAsia" w:ascii="宋体" w:hAnsi="宋体" w:cs="宋体"/>
                <w:color w:val="auto"/>
                <w:szCs w:val="21"/>
              </w:rPr>
            </w:pPr>
            <w:r>
              <w:rPr>
                <w:rFonts w:hint="eastAsia" w:ascii="宋体" w:hAnsi="宋体" w:cs="宋体"/>
                <w:color w:val="auto"/>
                <w:szCs w:val="21"/>
              </w:rPr>
              <w:t>财务负责人审核：</w:t>
            </w:r>
          </w:p>
          <w:p w14:paraId="41AB004F">
            <w:pPr>
              <w:spacing w:line="360" w:lineRule="auto"/>
              <w:rPr>
                <w:rFonts w:hint="eastAsia" w:ascii="宋体" w:hAnsi="宋体" w:cs="宋体"/>
                <w:color w:val="auto"/>
                <w:szCs w:val="21"/>
              </w:rPr>
            </w:pPr>
            <w:r>
              <w:rPr>
                <w:rFonts w:hint="eastAsia" w:ascii="宋体" w:hAnsi="宋体" w:cs="宋体"/>
                <w:color w:val="auto"/>
                <w:szCs w:val="21"/>
              </w:rPr>
              <w:t>单位负责人签字：</w:t>
            </w:r>
          </w:p>
          <w:p w14:paraId="5D666431">
            <w:pPr>
              <w:spacing w:line="360" w:lineRule="auto"/>
              <w:rPr>
                <w:rFonts w:hint="eastAsia" w:ascii="宋体" w:hAnsi="宋体" w:cs="宋体"/>
                <w:color w:val="auto"/>
                <w:szCs w:val="21"/>
              </w:rPr>
            </w:pPr>
            <w:r>
              <w:rPr>
                <w:rFonts w:hint="eastAsia" w:ascii="宋体" w:hAnsi="宋体" w:cs="宋体"/>
                <w:color w:val="auto"/>
                <w:szCs w:val="21"/>
              </w:rPr>
              <w:t>出纳办理转帐日期：</w:t>
            </w:r>
          </w:p>
        </w:tc>
      </w:tr>
    </w:tbl>
    <w:p w14:paraId="004B7568">
      <w:pPr>
        <w:spacing w:line="360" w:lineRule="auto"/>
        <w:ind w:left="420" w:leftChars="114" w:hanging="181" w:hangingChars="100"/>
        <w:rPr>
          <w:rFonts w:hint="eastAsia" w:ascii="宋体" w:hAnsi="宋体" w:cs="宋体"/>
          <w:color w:val="auto"/>
        </w:rPr>
      </w:pPr>
      <w:r>
        <w:rPr>
          <w:rFonts w:hint="eastAsia" w:ascii="宋体" w:hAnsi="宋体" w:cs="宋体"/>
          <w:b/>
          <w:bCs/>
          <w:color w:val="auto"/>
          <w:kern w:val="0"/>
          <w:sz w:val="18"/>
        </w:rPr>
        <w:t>注：供应商凭经采购单位审批的退付意见书办理履约保证金退付事宜。</w:t>
      </w:r>
    </w:p>
    <w:p w14:paraId="7DBAC588">
      <w:pPr>
        <w:pStyle w:val="36"/>
        <w:spacing w:line="360" w:lineRule="auto"/>
        <w:outlineLvl w:val="9"/>
        <w:rPr>
          <w:rFonts w:hint="eastAsia" w:ascii="宋体" w:hAnsi="宋体" w:cs="宋体"/>
          <w:color w:val="auto"/>
        </w:rPr>
      </w:pPr>
      <w:r>
        <w:rPr>
          <w:rFonts w:hint="eastAsia" w:ascii="宋体" w:hAnsi="宋体" w:cs="宋体"/>
          <w:color w:val="auto"/>
        </w:rPr>
        <w:br w:type="page"/>
      </w:r>
      <w:bookmarkStart w:id="46" w:name="_Toc2085"/>
    </w:p>
    <w:p w14:paraId="74BC6953">
      <w:pPr>
        <w:pStyle w:val="36"/>
        <w:spacing w:line="360" w:lineRule="auto"/>
        <w:outlineLvl w:val="9"/>
        <w:rPr>
          <w:rFonts w:hint="eastAsia" w:ascii="宋体" w:hAnsi="宋体" w:cs="宋体"/>
          <w:color w:val="auto"/>
        </w:rPr>
      </w:pPr>
    </w:p>
    <w:p w14:paraId="34A72A9B">
      <w:pPr>
        <w:pStyle w:val="36"/>
        <w:spacing w:line="360" w:lineRule="auto"/>
        <w:outlineLvl w:val="9"/>
        <w:rPr>
          <w:rFonts w:hint="eastAsia" w:ascii="宋体" w:hAnsi="宋体" w:cs="宋体"/>
          <w:color w:val="auto"/>
        </w:rPr>
      </w:pPr>
    </w:p>
    <w:p w14:paraId="21A4C4D5">
      <w:pPr>
        <w:pStyle w:val="36"/>
        <w:spacing w:line="360" w:lineRule="auto"/>
        <w:outlineLvl w:val="9"/>
        <w:rPr>
          <w:rFonts w:hint="eastAsia" w:ascii="宋体" w:hAnsi="宋体" w:cs="宋体"/>
          <w:color w:val="auto"/>
        </w:rPr>
      </w:pPr>
    </w:p>
    <w:p w14:paraId="7EDD209A">
      <w:pPr>
        <w:pStyle w:val="36"/>
        <w:spacing w:line="360" w:lineRule="auto"/>
        <w:outlineLvl w:val="9"/>
        <w:rPr>
          <w:rFonts w:hint="eastAsia" w:ascii="宋体" w:hAnsi="宋体" w:cs="宋体"/>
          <w:color w:val="auto"/>
        </w:rPr>
      </w:pPr>
    </w:p>
    <w:p w14:paraId="3C2A818B">
      <w:pPr>
        <w:pStyle w:val="36"/>
        <w:spacing w:line="360" w:lineRule="auto"/>
        <w:rPr>
          <w:rFonts w:hint="eastAsia" w:ascii="宋体" w:hAnsi="宋体" w:cs="宋体"/>
          <w:color w:val="auto"/>
          <w:sz w:val="44"/>
          <w:szCs w:val="44"/>
        </w:rPr>
      </w:pPr>
      <w:r>
        <w:rPr>
          <w:rFonts w:hint="eastAsia" w:ascii="宋体" w:hAnsi="宋体" w:cs="宋体"/>
          <w:color w:val="auto"/>
          <w:sz w:val="44"/>
          <w:szCs w:val="44"/>
        </w:rPr>
        <w:t>第六章  竞争性磋商响应文件格式</w:t>
      </w:r>
      <w:bookmarkEnd w:id="46"/>
    </w:p>
    <w:p w14:paraId="6E287285">
      <w:pPr>
        <w:spacing w:line="360" w:lineRule="auto"/>
        <w:jc w:val="center"/>
        <w:rPr>
          <w:rFonts w:hint="eastAsia" w:ascii="宋体" w:hAnsi="宋体" w:cs="宋体"/>
          <w:b/>
          <w:color w:val="auto"/>
          <w:sz w:val="32"/>
          <w:szCs w:val="32"/>
        </w:rPr>
      </w:pPr>
    </w:p>
    <w:p w14:paraId="200E9B73">
      <w:pPr>
        <w:spacing w:line="360" w:lineRule="auto"/>
        <w:jc w:val="center"/>
        <w:rPr>
          <w:rFonts w:hint="eastAsia" w:ascii="宋体" w:hAnsi="宋体" w:cs="宋体"/>
          <w:b/>
          <w:bCs/>
          <w:color w:val="auto"/>
          <w:sz w:val="30"/>
          <w:szCs w:val="30"/>
        </w:rPr>
      </w:pPr>
      <w:r>
        <w:rPr>
          <w:rFonts w:hint="eastAsia" w:ascii="宋体" w:hAnsi="宋体" w:cs="宋体"/>
          <w:b/>
          <w:color w:val="auto"/>
          <w:sz w:val="32"/>
          <w:szCs w:val="32"/>
        </w:rPr>
        <w:br w:type="page"/>
      </w:r>
      <w:r>
        <w:rPr>
          <w:rFonts w:hint="eastAsia" w:ascii="宋体" w:hAnsi="宋体" w:cs="宋体"/>
          <w:b/>
          <w:bCs/>
          <w:color w:val="auto"/>
          <w:sz w:val="30"/>
          <w:szCs w:val="30"/>
        </w:rPr>
        <w:t>一、</w:t>
      </w:r>
      <w:r>
        <w:rPr>
          <w:rFonts w:hint="eastAsia" w:ascii="宋体" w:hAnsi="宋体" w:cs="宋体"/>
          <w:b/>
          <w:color w:val="auto"/>
          <w:sz w:val="30"/>
          <w:szCs w:val="30"/>
        </w:rPr>
        <w:t>竞争性磋商响应文件</w:t>
      </w:r>
      <w:r>
        <w:rPr>
          <w:rFonts w:hint="eastAsia" w:ascii="宋体" w:hAnsi="宋体" w:cs="宋体"/>
          <w:b/>
          <w:bCs/>
          <w:color w:val="auto"/>
          <w:sz w:val="30"/>
          <w:szCs w:val="30"/>
        </w:rPr>
        <w:t>格式</w:t>
      </w:r>
    </w:p>
    <w:p w14:paraId="30D52766">
      <w:pPr>
        <w:spacing w:line="360" w:lineRule="auto"/>
        <w:rPr>
          <w:rFonts w:hint="eastAsia" w:ascii="宋体" w:hAnsi="宋体" w:cs="宋体"/>
          <w:b/>
          <w:color w:val="auto"/>
          <w:sz w:val="32"/>
          <w:szCs w:val="32"/>
          <w:u w:val="single"/>
        </w:rPr>
      </w:pPr>
    </w:p>
    <w:p w14:paraId="31A0041D">
      <w:pPr>
        <w:spacing w:line="360" w:lineRule="auto"/>
        <w:rPr>
          <w:rFonts w:hint="eastAsia" w:ascii="宋体" w:hAnsi="宋体" w:cs="宋体"/>
          <w:b/>
          <w:color w:val="auto"/>
          <w:sz w:val="32"/>
          <w:szCs w:val="32"/>
        </w:rPr>
      </w:pPr>
    </w:p>
    <w:p w14:paraId="6FAEA208">
      <w:pPr>
        <w:snapToGrid w:val="0"/>
        <w:spacing w:before="120" w:beforeLines="50" w:after="50" w:line="360" w:lineRule="auto"/>
        <w:ind w:left="8400" w:hanging="8400" w:hangingChars="3000"/>
        <w:rPr>
          <w:rFonts w:hint="eastAsia" w:ascii="宋体" w:hAnsi="宋体" w:cs="宋体"/>
          <w:bCs/>
          <w:color w:val="auto"/>
          <w:sz w:val="28"/>
          <w:szCs w:val="28"/>
        </w:rPr>
      </w:pPr>
    </w:p>
    <w:p w14:paraId="4C1B559B">
      <w:pPr>
        <w:snapToGrid w:val="0"/>
        <w:spacing w:before="120" w:beforeLines="50" w:after="50" w:line="360" w:lineRule="auto"/>
        <w:jc w:val="center"/>
        <w:rPr>
          <w:rFonts w:hint="eastAsia" w:ascii="宋体" w:hAnsi="宋体" w:cs="宋体"/>
          <w:bCs/>
          <w:color w:val="auto"/>
          <w:sz w:val="24"/>
        </w:rPr>
      </w:pPr>
      <w:r>
        <w:rPr>
          <w:rFonts w:hint="eastAsia" w:ascii="宋体" w:hAnsi="宋体" w:cs="宋体"/>
          <w:b/>
          <w:color w:val="auto"/>
          <w:sz w:val="44"/>
          <w:szCs w:val="44"/>
        </w:rPr>
        <w:t>竞争性磋商响应文件</w:t>
      </w:r>
    </w:p>
    <w:p w14:paraId="4003DD0B">
      <w:pPr>
        <w:spacing w:line="360" w:lineRule="auto"/>
        <w:ind w:firstLine="420" w:firstLineChars="200"/>
        <w:rPr>
          <w:rFonts w:hint="eastAsia" w:ascii="宋体" w:hAnsi="宋体" w:cs="宋体"/>
          <w:color w:val="auto"/>
          <w:szCs w:val="21"/>
        </w:rPr>
      </w:pPr>
    </w:p>
    <w:p w14:paraId="5D484801">
      <w:pPr>
        <w:spacing w:line="360" w:lineRule="auto"/>
        <w:ind w:firstLine="420" w:firstLineChars="200"/>
        <w:rPr>
          <w:rFonts w:hint="eastAsia" w:ascii="宋体" w:hAnsi="宋体" w:cs="宋体"/>
          <w:color w:val="auto"/>
          <w:szCs w:val="21"/>
        </w:rPr>
      </w:pPr>
    </w:p>
    <w:p w14:paraId="5709D267">
      <w:pPr>
        <w:spacing w:line="360" w:lineRule="auto"/>
        <w:ind w:firstLine="420" w:firstLineChars="200"/>
        <w:rPr>
          <w:rFonts w:hint="eastAsia" w:ascii="宋体" w:hAnsi="宋体" w:cs="宋体"/>
          <w:color w:val="auto"/>
          <w:szCs w:val="21"/>
        </w:rPr>
      </w:pPr>
    </w:p>
    <w:p w14:paraId="3012EA9B">
      <w:pPr>
        <w:spacing w:line="360" w:lineRule="auto"/>
        <w:ind w:firstLine="420" w:firstLineChars="200"/>
        <w:jc w:val="left"/>
        <w:rPr>
          <w:rFonts w:hint="eastAsia" w:ascii="宋体" w:hAnsi="宋体" w:cs="宋体"/>
          <w:color w:val="auto"/>
          <w:sz w:val="28"/>
          <w:szCs w:val="28"/>
          <w:u w:val="single"/>
        </w:rPr>
      </w:pPr>
      <w:r>
        <w:rPr>
          <w:rFonts w:hint="eastAsia" w:ascii="宋体" w:hAnsi="宋体" w:cs="宋体"/>
          <w:color w:val="auto"/>
          <w:szCs w:val="21"/>
        </w:rPr>
        <w:t xml:space="preserve">        </w:t>
      </w:r>
      <w:r>
        <w:rPr>
          <w:rFonts w:hint="eastAsia" w:ascii="宋体" w:hAnsi="宋体" w:cs="宋体"/>
          <w:color w:val="auto"/>
          <w:sz w:val="28"/>
          <w:szCs w:val="28"/>
        </w:rPr>
        <w:t xml:space="preserve"> 采购项目名称：</w:t>
      </w:r>
      <w:r>
        <w:rPr>
          <w:rFonts w:hint="eastAsia" w:ascii="宋体" w:hAnsi="宋体" w:cs="宋体"/>
          <w:color w:val="auto"/>
          <w:sz w:val="28"/>
          <w:szCs w:val="28"/>
          <w:u w:val="single"/>
        </w:rPr>
        <w:t xml:space="preserve">                          </w:t>
      </w:r>
    </w:p>
    <w:p w14:paraId="2792216B">
      <w:pPr>
        <w:spacing w:line="360" w:lineRule="auto"/>
        <w:rPr>
          <w:rFonts w:hint="eastAsia" w:ascii="宋体" w:hAnsi="宋体" w:cs="宋体"/>
          <w:color w:val="auto"/>
        </w:rPr>
      </w:pPr>
      <w:r>
        <w:rPr>
          <w:rFonts w:hint="eastAsia" w:ascii="宋体" w:hAnsi="宋体" w:cs="宋体"/>
          <w:color w:val="auto"/>
        </w:rPr>
        <w:t xml:space="preserve"> </w:t>
      </w:r>
      <w:r>
        <w:rPr>
          <w:rFonts w:hint="eastAsia" w:ascii="宋体" w:hAnsi="宋体" w:cs="宋体"/>
          <w:color w:val="auto"/>
          <w:sz w:val="28"/>
          <w:szCs w:val="28"/>
        </w:rPr>
        <w:t xml:space="preserve">         采购项目编号：</w:t>
      </w:r>
      <w:r>
        <w:rPr>
          <w:rFonts w:hint="eastAsia" w:ascii="宋体" w:hAnsi="宋体" w:cs="宋体"/>
          <w:color w:val="auto"/>
          <w:sz w:val="28"/>
          <w:szCs w:val="28"/>
          <w:u w:val="single"/>
        </w:rPr>
        <w:t xml:space="preserve">    </w:t>
      </w:r>
      <w:r>
        <w:rPr>
          <w:rFonts w:hint="eastAsia" w:ascii="宋体" w:hAnsi="宋体" w:cs="宋体"/>
          <w:color w:val="auto"/>
          <w:u w:val="single"/>
        </w:rPr>
        <w:t xml:space="preserve">                             </w:t>
      </w:r>
    </w:p>
    <w:p w14:paraId="7AC85C40">
      <w:pPr>
        <w:spacing w:line="360" w:lineRule="auto"/>
        <w:ind w:firstLine="560" w:firstLineChars="200"/>
        <w:rPr>
          <w:rFonts w:hint="eastAsia" w:ascii="宋体" w:hAnsi="宋体" w:cs="宋体"/>
          <w:color w:val="auto"/>
          <w:sz w:val="28"/>
          <w:szCs w:val="28"/>
          <w:u w:val="single"/>
        </w:rPr>
      </w:pPr>
      <w:r>
        <w:rPr>
          <w:rFonts w:hint="eastAsia" w:ascii="宋体" w:hAnsi="宋体" w:cs="宋体"/>
          <w:bCs/>
          <w:color w:val="auto"/>
          <w:sz w:val="28"/>
          <w:szCs w:val="28"/>
        </w:rPr>
        <w:t xml:space="preserve">      分   标  号 </w:t>
      </w:r>
      <w:r>
        <w:rPr>
          <w:rFonts w:hint="eastAsia" w:ascii="宋体" w:hAnsi="宋体" w:cs="宋体"/>
          <w:color w:val="auto"/>
          <w:sz w:val="28"/>
          <w:szCs w:val="28"/>
        </w:rPr>
        <w:t>：</w:t>
      </w:r>
      <w:r>
        <w:rPr>
          <w:rFonts w:hint="eastAsia" w:ascii="宋体" w:hAnsi="宋体" w:cs="宋体"/>
          <w:color w:val="auto"/>
          <w:sz w:val="28"/>
          <w:szCs w:val="28"/>
          <w:u w:val="single"/>
        </w:rPr>
        <w:t xml:space="preserve">                          </w:t>
      </w:r>
    </w:p>
    <w:p w14:paraId="0A0CE870">
      <w:pPr>
        <w:snapToGrid w:val="0"/>
        <w:spacing w:before="120" w:beforeLines="50" w:after="50" w:line="360" w:lineRule="auto"/>
        <w:ind w:firstLine="560" w:firstLineChars="200"/>
        <w:rPr>
          <w:rFonts w:hint="eastAsia" w:ascii="宋体" w:hAnsi="宋体" w:cs="宋体"/>
          <w:bCs/>
          <w:color w:val="auto"/>
          <w:sz w:val="28"/>
          <w:szCs w:val="28"/>
        </w:rPr>
      </w:pPr>
      <w:r>
        <w:rPr>
          <w:rFonts w:hint="eastAsia" w:ascii="宋体" w:hAnsi="宋体" w:cs="宋体"/>
          <w:color w:val="auto"/>
          <w:sz w:val="28"/>
          <w:szCs w:val="28"/>
        </w:rPr>
        <w:t xml:space="preserve">      磋商供应商名称</w:t>
      </w:r>
      <w:r>
        <w:rPr>
          <w:rFonts w:hint="eastAsia" w:ascii="宋体" w:hAnsi="宋体" w:cs="宋体"/>
          <w:bCs/>
          <w:color w:val="auto"/>
          <w:sz w:val="28"/>
          <w:szCs w:val="28"/>
        </w:rPr>
        <w:t>：</w:t>
      </w:r>
      <w:r>
        <w:rPr>
          <w:rFonts w:hint="eastAsia" w:ascii="宋体" w:hAnsi="宋体" w:cs="宋体"/>
          <w:color w:val="auto"/>
          <w:sz w:val="28"/>
          <w:szCs w:val="28"/>
          <w:u w:val="single"/>
        </w:rPr>
        <w:t xml:space="preserve">                        </w:t>
      </w:r>
    </w:p>
    <w:p w14:paraId="1AE3E88F">
      <w:pPr>
        <w:spacing w:line="360" w:lineRule="auto"/>
        <w:jc w:val="center"/>
        <w:rPr>
          <w:rFonts w:hint="eastAsia" w:ascii="宋体" w:hAnsi="宋体" w:cs="宋体"/>
          <w:color w:val="auto"/>
          <w:szCs w:val="21"/>
        </w:rPr>
      </w:pPr>
      <w:r>
        <w:rPr>
          <w:rFonts w:hint="eastAsia" w:ascii="宋体" w:hAnsi="宋体" w:cs="宋体"/>
          <w:color w:val="auto"/>
          <w:sz w:val="24"/>
        </w:rPr>
        <w:t xml:space="preserve">                      </w:t>
      </w:r>
    </w:p>
    <w:p w14:paraId="08A38722">
      <w:pPr>
        <w:spacing w:line="360" w:lineRule="auto"/>
        <w:rPr>
          <w:rFonts w:hint="eastAsia" w:ascii="宋体" w:hAnsi="宋体" w:cs="宋体"/>
          <w:color w:val="auto"/>
          <w:sz w:val="28"/>
          <w:szCs w:val="28"/>
        </w:rPr>
      </w:pPr>
      <w:r>
        <w:rPr>
          <w:rFonts w:hint="eastAsia" w:ascii="宋体" w:hAnsi="宋体" w:cs="宋体"/>
          <w:color w:val="auto"/>
        </w:rPr>
        <w:t xml:space="preserve">                                   </w:t>
      </w:r>
      <w:r>
        <w:rPr>
          <w:rFonts w:hint="eastAsia" w:ascii="宋体" w:hAnsi="宋体" w:cs="宋体"/>
          <w:color w:val="auto"/>
          <w:sz w:val="28"/>
          <w:szCs w:val="28"/>
        </w:rPr>
        <w:t xml:space="preserve">                     年    月    日</w:t>
      </w:r>
    </w:p>
    <w:p w14:paraId="52FC7015">
      <w:pPr>
        <w:spacing w:line="360" w:lineRule="auto"/>
        <w:rPr>
          <w:rFonts w:hint="eastAsia" w:ascii="宋体" w:hAnsi="宋体" w:cs="宋体"/>
          <w:color w:val="auto"/>
          <w:szCs w:val="21"/>
        </w:rPr>
      </w:pPr>
    </w:p>
    <w:p w14:paraId="23783ECD">
      <w:pPr>
        <w:spacing w:line="360" w:lineRule="auto"/>
        <w:ind w:firstLine="3767" w:firstLineChars="1340"/>
        <w:rPr>
          <w:rFonts w:hint="eastAsia" w:ascii="宋体" w:hAnsi="宋体" w:cs="宋体"/>
          <w:b/>
          <w:color w:val="auto"/>
          <w:sz w:val="28"/>
          <w:szCs w:val="28"/>
        </w:rPr>
      </w:pPr>
    </w:p>
    <w:p w14:paraId="73DA0480">
      <w:pPr>
        <w:spacing w:line="360" w:lineRule="auto"/>
        <w:ind w:firstLine="3767" w:firstLineChars="1340"/>
        <w:rPr>
          <w:rFonts w:hint="eastAsia" w:ascii="宋体" w:hAnsi="宋体" w:cs="宋体"/>
          <w:b/>
          <w:color w:val="auto"/>
          <w:sz w:val="28"/>
          <w:szCs w:val="28"/>
        </w:rPr>
      </w:pPr>
    </w:p>
    <w:p w14:paraId="7D4AE5B7">
      <w:pPr>
        <w:spacing w:line="360" w:lineRule="auto"/>
        <w:ind w:firstLine="3767" w:firstLineChars="1340"/>
        <w:rPr>
          <w:rFonts w:hint="eastAsia" w:ascii="宋体" w:hAnsi="宋体" w:cs="宋体"/>
          <w:b/>
          <w:color w:val="auto"/>
          <w:sz w:val="28"/>
          <w:szCs w:val="28"/>
        </w:rPr>
      </w:pPr>
    </w:p>
    <w:p w14:paraId="0BC73FB2">
      <w:pPr>
        <w:spacing w:line="360" w:lineRule="auto"/>
        <w:ind w:firstLine="3767" w:firstLineChars="1340"/>
        <w:rPr>
          <w:rFonts w:hint="eastAsia" w:ascii="宋体" w:hAnsi="宋体" w:cs="宋体"/>
          <w:b/>
          <w:color w:val="auto"/>
          <w:sz w:val="28"/>
          <w:szCs w:val="28"/>
        </w:rPr>
      </w:pPr>
    </w:p>
    <w:p w14:paraId="2D2C88BF">
      <w:pPr>
        <w:spacing w:line="360" w:lineRule="auto"/>
        <w:jc w:val="center"/>
        <w:rPr>
          <w:rFonts w:hint="eastAsia" w:ascii="宋体" w:hAnsi="宋体" w:cs="宋体"/>
          <w:b/>
          <w:color w:val="auto"/>
          <w:sz w:val="44"/>
          <w:szCs w:val="44"/>
        </w:rPr>
      </w:pPr>
      <w:r>
        <w:rPr>
          <w:rFonts w:hint="eastAsia" w:ascii="宋体" w:hAnsi="宋体" w:cs="宋体"/>
          <w:b/>
          <w:color w:val="auto"/>
          <w:sz w:val="30"/>
          <w:szCs w:val="30"/>
        </w:rPr>
        <w:br w:type="page"/>
      </w:r>
      <w:r>
        <w:rPr>
          <w:rFonts w:hint="eastAsia" w:ascii="宋体" w:hAnsi="宋体" w:cs="宋体"/>
          <w:b/>
          <w:color w:val="auto"/>
          <w:sz w:val="44"/>
          <w:szCs w:val="44"/>
        </w:rPr>
        <w:t>目录自拟</w:t>
      </w:r>
    </w:p>
    <w:p w14:paraId="0ADF8E01">
      <w:pPr>
        <w:spacing w:line="360" w:lineRule="auto"/>
        <w:jc w:val="center"/>
        <w:rPr>
          <w:rFonts w:hint="eastAsia" w:ascii="宋体" w:hAnsi="宋体" w:cs="宋体"/>
          <w:b/>
          <w:color w:val="auto"/>
          <w:sz w:val="32"/>
          <w:szCs w:val="32"/>
        </w:rPr>
      </w:pPr>
      <w:r>
        <w:rPr>
          <w:rFonts w:hint="eastAsia" w:ascii="宋体" w:hAnsi="宋体" w:cs="宋体"/>
          <w:b/>
          <w:color w:val="auto"/>
          <w:sz w:val="30"/>
          <w:szCs w:val="30"/>
        </w:rPr>
        <w:t>资格文件</w:t>
      </w:r>
    </w:p>
    <w:p w14:paraId="0F2C3ECD">
      <w:pPr>
        <w:spacing w:line="360" w:lineRule="auto"/>
        <w:jc w:val="left"/>
        <w:rPr>
          <w:rFonts w:hint="eastAsia" w:ascii="宋体" w:hAnsi="宋体" w:cs="宋体"/>
          <w:b/>
          <w:color w:val="auto"/>
          <w:sz w:val="24"/>
        </w:rPr>
      </w:pPr>
      <w:r>
        <w:rPr>
          <w:rFonts w:hint="eastAsia" w:ascii="宋体" w:hAnsi="宋体" w:cs="宋体"/>
          <w:b/>
          <w:color w:val="auto"/>
          <w:sz w:val="24"/>
        </w:rPr>
        <w:t>1.磋商供应商有效的“主体资格证明文件”复印件（如营业执照、事业单位法人证书、执业许可证、自然人身份证等）</w:t>
      </w:r>
    </w:p>
    <w:p w14:paraId="7D570B40">
      <w:pPr>
        <w:spacing w:line="360" w:lineRule="auto"/>
        <w:jc w:val="left"/>
        <w:rPr>
          <w:rFonts w:hint="eastAsia" w:ascii="宋体" w:hAnsi="宋体" w:cs="宋体"/>
          <w:b/>
          <w:color w:val="auto"/>
          <w:sz w:val="24"/>
        </w:rPr>
      </w:pPr>
    </w:p>
    <w:p w14:paraId="6AA06F98">
      <w:pPr>
        <w:spacing w:line="360" w:lineRule="auto"/>
        <w:jc w:val="left"/>
        <w:rPr>
          <w:rFonts w:hint="eastAsia" w:ascii="宋体" w:hAnsi="宋体" w:cs="宋体"/>
          <w:b/>
          <w:color w:val="auto"/>
          <w:sz w:val="24"/>
        </w:rPr>
      </w:pPr>
      <w:r>
        <w:rPr>
          <w:rFonts w:hint="eastAsia" w:ascii="宋体" w:hAnsi="宋体" w:cs="宋体"/>
          <w:b/>
          <w:color w:val="auto"/>
          <w:sz w:val="24"/>
        </w:rPr>
        <w:t>2.法定代表人身份证正反面复印件</w:t>
      </w:r>
    </w:p>
    <w:p w14:paraId="15791652">
      <w:pPr>
        <w:spacing w:line="360" w:lineRule="auto"/>
        <w:jc w:val="left"/>
        <w:rPr>
          <w:rFonts w:hint="eastAsia" w:ascii="宋体" w:hAnsi="宋体" w:cs="宋体"/>
          <w:b/>
          <w:color w:val="auto"/>
          <w:sz w:val="24"/>
        </w:rPr>
      </w:pPr>
    </w:p>
    <w:p w14:paraId="28E1C34A">
      <w:pPr>
        <w:spacing w:line="360" w:lineRule="auto"/>
        <w:jc w:val="left"/>
        <w:rPr>
          <w:rFonts w:hint="eastAsia" w:ascii="宋体" w:hAnsi="宋体" w:cs="宋体"/>
          <w:b/>
          <w:color w:val="auto"/>
          <w:sz w:val="24"/>
        </w:rPr>
      </w:pPr>
      <w:r>
        <w:rPr>
          <w:rFonts w:hint="eastAsia" w:ascii="宋体" w:hAnsi="宋体" w:cs="宋体"/>
          <w:b/>
          <w:color w:val="auto"/>
          <w:sz w:val="24"/>
        </w:rPr>
        <w:t>3.法定代表人授权委托书和委托代理人身份证正、反面复印件；[委托代理时必须提供]</w:t>
      </w:r>
    </w:p>
    <w:p w14:paraId="187CEDBE">
      <w:pPr>
        <w:adjustRightInd w:val="0"/>
        <w:snapToGrid w:val="0"/>
        <w:spacing w:line="360" w:lineRule="auto"/>
        <w:jc w:val="left"/>
        <w:rPr>
          <w:rFonts w:hint="eastAsia" w:ascii="宋体" w:hAnsi="宋体" w:cs="宋体"/>
          <w:b/>
          <w:color w:val="auto"/>
          <w:sz w:val="24"/>
        </w:rPr>
      </w:pPr>
      <w:r>
        <w:rPr>
          <w:rFonts w:hint="eastAsia" w:ascii="宋体" w:hAnsi="宋体" w:cs="宋体"/>
          <w:b/>
          <w:color w:val="auto"/>
          <w:sz w:val="24"/>
        </w:rPr>
        <w:t>法定代表人授权委托书</w:t>
      </w:r>
    </w:p>
    <w:p w14:paraId="045E398D">
      <w:pPr>
        <w:spacing w:line="360" w:lineRule="auto"/>
        <w:jc w:val="left"/>
        <w:rPr>
          <w:rFonts w:hint="eastAsia" w:ascii="宋体" w:hAnsi="宋体" w:cs="宋体"/>
          <w:color w:val="auto"/>
          <w:sz w:val="24"/>
        </w:rPr>
      </w:pPr>
      <w:r>
        <w:rPr>
          <w:rFonts w:hint="eastAsia" w:ascii="宋体" w:hAnsi="宋体" w:cs="宋体"/>
          <w:color w:val="auto"/>
          <w:sz w:val="24"/>
          <w:u w:val="single"/>
        </w:rPr>
        <w:t>广西汉昌工程咨询有限公司</w:t>
      </w:r>
      <w:r>
        <w:rPr>
          <w:rFonts w:hint="eastAsia" w:ascii="宋体" w:hAnsi="宋体" w:cs="宋体"/>
          <w:color w:val="auto"/>
          <w:sz w:val="24"/>
        </w:rPr>
        <w:t>：</w:t>
      </w:r>
    </w:p>
    <w:p w14:paraId="5430421D">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兹授权</w:t>
      </w:r>
      <w:r>
        <w:rPr>
          <w:rFonts w:hint="eastAsia" w:ascii="宋体" w:hAnsi="宋体" w:cs="宋体"/>
          <w:color w:val="auto"/>
          <w:sz w:val="24"/>
          <w:u w:val="single"/>
        </w:rPr>
        <w:t xml:space="preserve">         </w:t>
      </w:r>
      <w:r>
        <w:rPr>
          <w:rFonts w:hint="eastAsia" w:ascii="宋体" w:hAnsi="宋体" w:cs="宋体"/>
          <w:color w:val="auto"/>
          <w:sz w:val="24"/>
        </w:rPr>
        <w:t>同志为我公司参加贵单位组织的</w:t>
      </w:r>
      <w:r>
        <w:rPr>
          <w:rFonts w:hint="eastAsia" w:ascii="宋体" w:hAnsi="宋体" w:cs="宋体"/>
          <w:color w:val="auto"/>
          <w:sz w:val="24"/>
          <w:u w:val="single"/>
        </w:rPr>
        <w:t>（采购项目名称、采购项目编号）竞争性磋商</w:t>
      </w:r>
      <w:r>
        <w:rPr>
          <w:rFonts w:hint="eastAsia" w:ascii="宋体" w:hAnsi="宋体" w:cs="宋体"/>
          <w:color w:val="auto"/>
          <w:sz w:val="24"/>
        </w:rPr>
        <w:t>采购活动的委托代理人，全权代表我公司处理在该项目活动中的一切事宜。代理期限从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日起至</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 xml:space="preserve">日止。 </w:t>
      </w:r>
    </w:p>
    <w:p w14:paraId="5E088375">
      <w:pPr>
        <w:spacing w:line="360" w:lineRule="auto"/>
        <w:jc w:val="left"/>
        <w:rPr>
          <w:rFonts w:hint="eastAsia" w:ascii="宋体" w:hAnsi="宋体" w:cs="宋体"/>
          <w:color w:val="auto"/>
          <w:sz w:val="24"/>
        </w:rPr>
      </w:pPr>
    </w:p>
    <w:p w14:paraId="2377BFF6">
      <w:pPr>
        <w:spacing w:line="360" w:lineRule="auto"/>
        <w:jc w:val="left"/>
        <w:rPr>
          <w:rFonts w:hint="eastAsia" w:ascii="宋体" w:hAnsi="宋体" w:cs="宋体"/>
          <w:color w:val="auto"/>
          <w:sz w:val="24"/>
        </w:rPr>
      </w:pPr>
      <w:r>
        <w:rPr>
          <w:rFonts w:hint="eastAsia" w:ascii="宋体" w:hAnsi="宋体" w:cs="宋体"/>
          <w:color w:val="auto"/>
          <w:sz w:val="24"/>
        </w:rPr>
        <w:t>供应商（</w:t>
      </w:r>
      <w:r>
        <w:rPr>
          <w:rFonts w:hint="eastAsia" w:ascii="宋体" w:hAnsi="宋体" w:cs="宋体"/>
          <w:color w:val="auto"/>
        </w:rPr>
        <w:t>电子签章</w:t>
      </w:r>
      <w:r>
        <w:rPr>
          <w:rFonts w:hint="eastAsia" w:ascii="宋体" w:hAnsi="宋体" w:cs="宋体"/>
          <w:color w:val="auto"/>
          <w:sz w:val="24"/>
        </w:rPr>
        <w:t>）：</w:t>
      </w:r>
      <w:r>
        <w:rPr>
          <w:rFonts w:hint="eastAsia" w:ascii="宋体" w:hAnsi="宋体" w:cs="宋体"/>
          <w:color w:val="auto"/>
          <w:sz w:val="24"/>
          <w:u w:val="single"/>
        </w:rPr>
        <w:t xml:space="preserve">                   </w:t>
      </w:r>
    </w:p>
    <w:p w14:paraId="215E5EE8">
      <w:pPr>
        <w:spacing w:line="360" w:lineRule="auto"/>
        <w:jc w:val="left"/>
        <w:rPr>
          <w:rFonts w:hint="eastAsia" w:ascii="宋体" w:hAnsi="宋体" w:cs="宋体"/>
          <w:color w:val="auto"/>
          <w:sz w:val="24"/>
        </w:rPr>
      </w:pPr>
      <w:r>
        <w:rPr>
          <w:rFonts w:hint="eastAsia" w:ascii="宋体" w:hAnsi="宋体" w:cs="宋体"/>
          <w:color w:val="auto"/>
          <w:sz w:val="24"/>
        </w:rPr>
        <w:t>法定代表人（签字或盖章）：</w:t>
      </w:r>
      <w:r>
        <w:rPr>
          <w:rFonts w:hint="eastAsia" w:ascii="宋体" w:hAnsi="宋体" w:cs="宋体"/>
          <w:color w:val="auto"/>
          <w:sz w:val="24"/>
          <w:u w:val="single"/>
        </w:rPr>
        <w:t xml:space="preserve">             </w:t>
      </w:r>
    </w:p>
    <w:p w14:paraId="1EE57D7B">
      <w:pPr>
        <w:spacing w:line="360" w:lineRule="auto"/>
        <w:jc w:val="left"/>
        <w:rPr>
          <w:rFonts w:hint="eastAsia" w:ascii="宋体" w:hAnsi="宋体" w:cs="宋体"/>
          <w:color w:val="auto"/>
          <w:sz w:val="24"/>
        </w:rPr>
      </w:pPr>
      <w:r>
        <w:rPr>
          <w:rFonts w:hint="eastAsia" w:ascii="宋体" w:hAnsi="宋体" w:cs="宋体"/>
          <w:color w:val="auto"/>
          <w:sz w:val="24"/>
        </w:rPr>
        <w:t>签发日期：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1C183A1E">
      <w:pPr>
        <w:spacing w:line="360" w:lineRule="auto"/>
        <w:jc w:val="left"/>
        <w:rPr>
          <w:rFonts w:hint="eastAsia" w:ascii="宋体" w:hAnsi="宋体" w:cs="宋体"/>
          <w:color w:val="auto"/>
          <w:sz w:val="24"/>
        </w:rPr>
      </w:pPr>
    </w:p>
    <w:p w14:paraId="4EC6DAD4">
      <w:pPr>
        <w:spacing w:line="360" w:lineRule="auto"/>
        <w:jc w:val="left"/>
        <w:rPr>
          <w:rFonts w:hint="eastAsia" w:ascii="宋体" w:hAnsi="宋体" w:cs="宋体"/>
          <w:color w:val="auto"/>
          <w:sz w:val="24"/>
        </w:rPr>
      </w:pPr>
      <w:r>
        <w:rPr>
          <w:rFonts w:hint="eastAsia" w:ascii="宋体" w:hAnsi="宋体" w:cs="宋体"/>
          <w:color w:val="auto"/>
          <w:sz w:val="24"/>
        </w:rPr>
        <w:t>附：委托代理人工作单位：</w:t>
      </w:r>
      <w:r>
        <w:rPr>
          <w:rFonts w:hint="eastAsia" w:ascii="宋体" w:hAnsi="宋体" w:cs="宋体"/>
          <w:color w:val="auto"/>
          <w:sz w:val="24"/>
          <w:u w:val="single"/>
        </w:rPr>
        <w:t xml:space="preserve">                      </w:t>
      </w:r>
    </w:p>
    <w:p w14:paraId="094D593E">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职务：</w:t>
      </w:r>
      <w:r>
        <w:rPr>
          <w:rFonts w:hint="eastAsia" w:ascii="宋体" w:hAnsi="宋体" w:cs="宋体"/>
          <w:color w:val="auto"/>
          <w:sz w:val="24"/>
          <w:u w:val="single"/>
        </w:rPr>
        <w:t xml:space="preserve">                    </w:t>
      </w:r>
      <w:r>
        <w:rPr>
          <w:rFonts w:hint="eastAsia" w:ascii="宋体" w:hAnsi="宋体" w:cs="宋体"/>
          <w:color w:val="auto"/>
          <w:sz w:val="24"/>
        </w:rPr>
        <w:t xml:space="preserve">      性别：</w:t>
      </w:r>
      <w:r>
        <w:rPr>
          <w:rFonts w:hint="eastAsia" w:ascii="宋体" w:hAnsi="宋体" w:cs="宋体"/>
          <w:color w:val="auto"/>
          <w:sz w:val="24"/>
          <w:u w:val="single"/>
        </w:rPr>
        <w:t xml:space="preserve">    </w:t>
      </w:r>
    </w:p>
    <w:p w14:paraId="4D713C76">
      <w:pPr>
        <w:adjustRightInd w:val="0"/>
        <w:snapToGrid w:val="0"/>
        <w:spacing w:line="360" w:lineRule="auto"/>
        <w:ind w:firstLine="480" w:firstLineChars="200"/>
        <w:jc w:val="left"/>
        <w:rPr>
          <w:rFonts w:hint="eastAsia" w:ascii="宋体" w:hAnsi="宋体" w:cs="宋体"/>
          <w:color w:val="auto"/>
          <w:sz w:val="24"/>
          <w:u w:val="single"/>
        </w:rPr>
      </w:pPr>
      <w:r>
        <w:rPr>
          <w:rFonts w:hint="eastAsia" w:ascii="宋体" w:hAnsi="宋体" w:cs="宋体"/>
          <w:color w:val="auto"/>
          <w:sz w:val="24"/>
        </w:rPr>
        <w:t>身份证号码：</w:t>
      </w:r>
      <w:r>
        <w:rPr>
          <w:rFonts w:hint="eastAsia" w:ascii="宋体" w:hAnsi="宋体" w:cs="宋体"/>
          <w:color w:val="auto"/>
          <w:sz w:val="24"/>
          <w:u w:val="single"/>
        </w:rPr>
        <w:t xml:space="preserve">                              </w:t>
      </w:r>
    </w:p>
    <w:tbl>
      <w:tblPr>
        <w:tblStyle w:val="40"/>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0"/>
      </w:tblGrid>
      <w:tr w14:paraId="23F3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trPr>
        <w:tc>
          <w:tcPr>
            <w:tcW w:w="9280" w:type="dxa"/>
            <w:noWrap w:val="0"/>
            <w:vAlign w:val="top"/>
          </w:tcPr>
          <w:p w14:paraId="4C56FE90">
            <w:pPr>
              <w:spacing w:line="360" w:lineRule="auto"/>
              <w:jc w:val="left"/>
              <w:rPr>
                <w:rFonts w:hint="eastAsia" w:ascii="宋体" w:hAnsi="宋体" w:cs="宋体"/>
                <w:color w:val="auto"/>
                <w:sz w:val="24"/>
              </w:rPr>
            </w:pPr>
            <w:r>
              <w:rPr>
                <w:rFonts w:hint="eastAsia" w:ascii="宋体" w:hAnsi="宋体" w:cs="宋体"/>
                <w:color w:val="auto"/>
                <w:sz w:val="24"/>
              </w:rPr>
              <w:t>粘贴委托代理人的有效身份证正面及反面复印件</w:t>
            </w:r>
          </w:p>
        </w:tc>
      </w:tr>
    </w:tbl>
    <w:p w14:paraId="6514DBBB">
      <w:pPr>
        <w:spacing w:line="360" w:lineRule="auto"/>
        <w:jc w:val="left"/>
        <w:rPr>
          <w:rFonts w:hint="eastAsia" w:ascii="宋体" w:hAnsi="宋体" w:cs="宋体"/>
          <w:b/>
          <w:color w:val="auto"/>
          <w:sz w:val="24"/>
        </w:rPr>
      </w:pPr>
      <w:r>
        <w:rPr>
          <w:rFonts w:hint="eastAsia" w:ascii="宋体" w:hAnsi="宋体" w:cs="宋体"/>
          <w:b/>
          <w:color w:val="auto"/>
          <w:sz w:val="24"/>
        </w:rPr>
        <w:t>4.供应商财务状况报告</w:t>
      </w:r>
    </w:p>
    <w:p w14:paraId="21051456">
      <w:pPr>
        <w:spacing w:line="360" w:lineRule="auto"/>
        <w:jc w:val="left"/>
        <w:rPr>
          <w:rFonts w:hint="eastAsia" w:ascii="宋体" w:hAnsi="宋体" w:cs="宋体"/>
          <w:b/>
          <w:color w:val="auto"/>
          <w:sz w:val="24"/>
        </w:rPr>
      </w:pPr>
    </w:p>
    <w:p w14:paraId="6F1B0065">
      <w:pPr>
        <w:spacing w:line="360" w:lineRule="auto"/>
        <w:jc w:val="left"/>
        <w:rPr>
          <w:rFonts w:hint="eastAsia" w:ascii="宋体" w:hAnsi="宋体" w:cs="宋体"/>
          <w:b/>
          <w:color w:val="auto"/>
          <w:sz w:val="24"/>
        </w:rPr>
      </w:pPr>
    </w:p>
    <w:p w14:paraId="3BEF1769">
      <w:pPr>
        <w:spacing w:line="360" w:lineRule="auto"/>
        <w:jc w:val="left"/>
        <w:rPr>
          <w:rFonts w:hint="eastAsia" w:ascii="宋体" w:hAnsi="宋体" w:cs="宋体"/>
          <w:b/>
          <w:color w:val="auto"/>
          <w:sz w:val="24"/>
        </w:rPr>
      </w:pPr>
    </w:p>
    <w:p w14:paraId="7B8C08A9">
      <w:pPr>
        <w:spacing w:line="360" w:lineRule="auto"/>
        <w:jc w:val="left"/>
        <w:rPr>
          <w:rFonts w:hint="eastAsia" w:ascii="宋体" w:hAnsi="宋体" w:cs="宋体"/>
          <w:b/>
          <w:color w:val="auto"/>
          <w:sz w:val="24"/>
        </w:rPr>
      </w:pPr>
    </w:p>
    <w:p w14:paraId="7C99B39C">
      <w:pPr>
        <w:spacing w:line="360" w:lineRule="auto"/>
        <w:jc w:val="left"/>
        <w:rPr>
          <w:rFonts w:hint="eastAsia" w:ascii="宋体" w:hAnsi="宋体" w:cs="宋体"/>
          <w:b/>
          <w:color w:val="auto"/>
          <w:sz w:val="24"/>
        </w:rPr>
      </w:pPr>
    </w:p>
    <w:p w14:paraId="5CDA563B">
      <w:pPr>
        <w:spacing w:line="360" w:lineRule="auto"/>
        <w:jc w:val="left"/>
        <w:rPr>
          <w:rFonts w:hint="eastAsia" w:ascii="宋体" w:hAnsi="宋体" w:cs="宋体"/>
          <w:b/>
          <w:color w:val="auto"/>
          <w:sz w:val="24"/>
        </w:rPr>
      </w:pPr>
    </w:p>
    <w:p w14:paraId="24C03049">
      <w:pPr>
        <w:spacing w:line="360" w:lineRule="auto"/>
        <w:jc w:val="left"/>
        <w:rPr>
          <w:rFonts w:hint="eastAsia" w:ascii="宋体" w:hAnsi="宋体" w:cs="宋体"/>
          <w:b/>
          <w:color w:val="auto"/>
          <w:sz w:val="24"/>
        </w:rPr>
      </w:pPr>
      <w:r>
        <w:rPr>
          <w:rFonts w:hint="eastAsia" w:ascii="宋体" w:hAnsi="宋体" w:cs="宋体"/>
          <w:b/>
          <w:color w:val="auto"/>
          <w:sz w:val="24"/>
        </w:rPr>
        <w:t>5.依法缴纳税费或依法免缴税费的证明</w:t>
      </w:r>
    </w:p>
    <w:p w14:paraId="6F93E26F">
      <w:pPr>
        <w:spacing w:line="360" w:lineRule="auto"/>
        <w:jc w:val="left"/>
        <w:rPr>
          <w:rFonts w:hint="eastAsia" w:ascii="宋体" w:hAnsi="宋体" w:cs="宋体"/>
          <w:b/>
          <w:color w:val="auto"/>
          <w:sz w:val="24"/>
        </w:rPr>
      </w:pPr>
    </w:p>
    <w:p w14:paraId="5DEC4931">
      <w:pPr>
        <w:spacing w:line="360" w:lineRule="auto"/>
        <w:jc w:val="left"/>
        <w:rPr>
          <w:rFonts w:hint="eastAsia" w:ascii="宋体" w:hAnsi="宋体" w:cs="宋体"/>
          <w:b/>
          <w:color w:val="auto"/>
          <w:sz w:val="24"/>
        </w:rPr>
      </w:pPr>
    </w:p>
    <w:p w14:paraId="24C006A4">
      <w:pPr>
        <w:spacing w:line="360" w:lineRule="auto"/>
        <w:jc w:val="left"/>
        <w:rPr>
          <w:rFonts w:hint="eastAsia" w:ascii="宋体" w:hAnsi="宋体" w:cs="宋体"/>
          <w:b/>
          <w:color w:val="auto"/>
          <w:sz w:val="24"/>
        </w:rPr>
      </w:pPr>
    </w:p>
    <w:p w14:paraId="0395B4DA">
      <w:pPr>
        <w:spacing w:line="360" w:lineRule="auto"/>
        <w:jc w:val="left"/>
        <w:rPr>
          <w:rFonts w:hint="eastAsia" w:ascii="宋体" w:hAnsi="宋体" w:cs="宋体"/>
          <w:b/>
          <w:color w:val="auto"/>
          <w:sz w:val="24"/>
        </w:rPr>
      </w:pPr>
    </w:p>
    <w:p w14:paraId="6E43E526">
      <w:pPr>
        <w:spacing w:line="360" w:lineRule="auto"/>
        <w:jc w:val="left"/>
        <w:rPr>
          <w:rFonts w:hint="eastAsia" w:ascii="宋体" w:hAnsi="宋体" w:cs="宋体"/>
          <w:b/>
          <w:color w:val="auto"/>
          <w:sz w:val="24"/>
        </w:rPr>
      </w:pPr>
    </w:p>
    <w:p w14:paraId="7DADE66C">
      <w:pPr>
        <w:spacing w:line="360" w:lineRule="auto"/>
        <w:jc w:val="left"/>
        <w:rPr>
          <w:rFonts w:hint="eastAsia" w:ascii="宋体" w:hAnsi="宋体" w:cs="宋体"/>
          <w:b/>
          <w:color w:val="auto"/>
          <w:sz w:val="24"/>
        </w:rPr>
      </w:pPr>
    </w:p>
    <w:p w14:paraId="718299D6">
      <w:pPr>
        <w:spacing w:line="360" w:lineRule="auto"/>
        <w:jc w:val="left"/>
        <w:rPr>
          <w:rFonts w:hint="eastAsia" w:ascii="宋体" w:hAnsi="宋体" w:cs="宋体"/>
          <w:b/>
          <w:color w:val="auto"/>
          <w:sz w:val="24"/>
        </w:rPr>
      </w:pPr>
      <w:r>
        <w:rPr>
          <w:rFonts w:hint="eastAsia" w:ascii="宋体" w:hAnsi="宋体" w:cs="宋体"/>
          <w:b/>
          <w:color w:val="auto"/>
          <w:sz w:val="24"/>
        </w:rPr>
        <w:t>6.依法缴纳社保费的缴费凭证</w:t>
      </w:r>
    </w:p>
    <w:p w14:paraId="2A133BE8">
      <w:pPr>
        <w:spacing w:line="360" w:lineRule="auto"/>
        <w:jc w:val="left"/>
        <w:rPr>
          <w:rFonts w:hint="eastAsia" w:ascii="宋体" w:hAnsi="宋体" w:cs="宋体"/>
          <w:b/>
          <w:color w:val="auto"/>
          <w:sz w:val="24"/>
        </w:rPr>
      </w:pPr>
    </w:p>
    <w:p w14:paraId="53DC693C">
      <w:pPr>
        <w:spacing w:line="360" w:lineRule="auto"/>
        <w:jc w:val="left"/>
        <w:rPr>
          <w:rFonts w:hint="eastAsia" w:ascii="宋体" w:hAnsi="宋体" w:cs="宋体"/>
          <w:b/>
          <w:color w:val="auto"/>
          <w:sz w:val="24"/>
        </w:rPr>
      </w:pPr>
    </w:p>
    <w:p w14:paraId="625A82F4">
      <w:pPr>
        <w:spacing w:line="360" w:lineRule="auto"/>
        <w:jc w:val="left"/>
        <w:rPr>
          <w:rFonts w:hint="eastAsia" w:ascii="宋体" w:hAnsi="宋体" w:cs="宋体"/>
          <w:b/>
          <w:color w:val="auto"/>
          <w:sz w:val="24"/>
        </w:rPr>
      </w:pPr>
    </w:p>
    <w:p w14:paraId="4EC26E46">
      <w:pPr>
        <w:spacing w:line="360" w:lineRule="auto"/>
        <w:jc w:val="left"/>
        <w:rPr>
          <w:rFonts w:hint="eastAsia" w:ascii="宋体" w:hAnsi="宋体" w:cs="宋体"/>
          <w:b/>
          <w:color w:val="auto"/>
          <w:sz w:val="24"/>
        </w:rPr>
      </w:pPr>
    </w:p>
    <w:p w14:paraId="29A6D33A">
      <w:pPr>
        <w:spacing w:line="360" w:lineRule="auto"/>
        <w:jc w:val="left"/>
        <w:rPr>
          <w:rFonts w:hint="eastAsia" w:ascii="宋体" w:hAnsi="宋体" w:cs="宋体"/>
          <w:b/>
          <w:color w:val="auto"/>
          <w:sz w:val="24"/>
        </w:rPr>
      </w:pPr>
    </w:p>
    <w:p w14:paraId="7DCE27FA">
      <w:pPr>
        <w:spacing w:line="360" w:lineRule="auto"/>
        <w:jc w:val="left"/>
        <w:rPr>
          <w:rFonts w:hint="eastAsia" w:ascii="宋体" w:hAnsi="宋体" w:cs="宋体"/>
          <w:b/>
          <w:color w:val="auto"/>
          <w:sz w:val="24"/>
        </w:rPr>
      </w:pPr>
    </w:p>
    <w:p w14:paraId="79B396ED">
      <w:pPr>
        <w:spacing w:line="360" w:lineRule="auto"/>
        <w:jc w:val="left"/>
        <w:rPr>
          <w:rFonts w:hint="eastAsia" w:ascii="宋体" w:hAnsi="宋体" w:cs="宋体"/>
          <w:b/>
          <w:color w:val="auto"/>
          <w:sz w:val="24"/>
        </w:rPr>
      </w:pPr>
    </w:p>
    <w:p w14:paraId="2D5BAEB4">
      <w:pPr>
        <w:spacing w:line="360" w:lineRule="auto"/>
        <w:jc w:val="left"/>
        <w:rPr>
          <w:rFonts w:hint="eastAsia" w:ascii="宋体" w:hAnsi="宋体" w:cs="宋体"/>
          <w:b/>
          <w:color w:val="auto"/>
          <w:sz w:val="24"/>
        </w:rPr>
      </w:pPr>
      <w:r>
        <w:rPr>
          <w:rFonts w:hint="eastAsia" w:ascii="宋体" w:hAnsi="宋体" w:cs="宋体"/>
          <w:b/>
          <w:color w:val="auto"/>
          <w:sz w:val="24"/>
        </w:rPr>
        <w:t>7.磋商保证金的提交凭证；[如有要求，则必须提供]</w:t>
      </w:r>
    </w:p>
    <w:p w14:paraId="7CC7A180">
      <w:pPr>
        <w:spacing w:line="360" w:lineRule="auto"/>
        <w:jc w:val="left"/>
        <w:rPr>
          <w:rFonts w:hint="eastAsia" w:ascii="宋体" w:hAnsi="宋体" w:cs="宋体"/>
          <w:b/>
          <w:color w:val="auto"/>
          <w:sz w:val="24"/>
        </w:rPr>
      </w:pPr>
    </w:p>
    <w:p w14:paraId="0DCC5417">
      <w:pPr>
        <w:spacing w:line="360" w:lineRule="auto"/>
        <w:jc w:val="left"/>
        <w:rPr>
          <w:rFonts w:hint="eastAsia" w:ascii="宋体" w:hAnsi="宋体" w:cs="宋体"/>
          <w:b/>
          <w:color w:val="auto"/>
          <w:sz w:val="24"/>
          <w:highlight w:val="red"/>
        </w:rPr>
      </w:pPr>
      <w:r>
        <w:rPr>
          <w:rFonts w:hint="eastAsia" w:ascii="宋体" w:hAnsi="宋体" w:cs="宋体"/>
          <w:b/>
          <w:color w:val="auto"/>
          <w:sz w:val="24"/>
        </w:rPr>
        <w:br w:type="page"/>
      </w:r>
      <w:r>
        <w:rPr>
          <w:rFonts w:hint="eastAsia" w:ascii="宋体" w:hAnsi="宋体" w:cs="宋体"/>
          <w:b/>
          <w:color w:val="auto"/>
          <w:sz w:val="24"/>
        </w:rPr>
        <w:t>8.中小企业声明函；</w:t>
      </w:r>
    </w:p>
    <w:p w14:paraId="4D9A6CEB">
      <w:pPr>
        <w:jc w:val="center"/>
        <w:rPr>
          <w:rFonts w:hint="eastAsia" w:hAnsi="宋体"/>
          <w:b/>
          <w:bCs/>
          <w:color w:val="auto"/>
          <w:sz w:val="30"/>
          <w:szCs w:val="30"/>
        </w:rPr>
      </w:pPr>
      <w:bookmarkStart w:id="47" w:name="_Toc80093016"/>
      <w:bookmarkStart w:id="48" w:name="_Toc19686840"/>
      <w:r>
        <w:rPr>
          <w:rFonts w:hAnsi="宋体"/>
          <w:b/>
          <w:bCs/>
          <w:color w:val="auto"/>
          <w:sz w:val="30"/>
          <w:szCs w:val="30"/>
        </w:rPr>
        <w:t>中小企业声明函（</w:t>
      </w:r>
      <w:r>
        <w:rPr>
          <w:rFonts w:hint="eastAsia" w:hAnsi="宋体"/>
          <w:b/>
          <w:bCs/>
          <w:color w:val="auto"/>
          <w:sz w:val="30"/>
          <w:szCs w:val="30"/>
        </w:rPr>
        <w:t>服务</w:t>
      </w:r>
      <w:r>
        <w:rPr>
          <w:rFonts w:hAnsi="宋体"/>
          <w:b/>
          <w:bCs/>
          <w:color w:val="auto"/>
          <w:sz w:val="30"/>
          <w:szCs w:val="30"/>
        </w:rPr>
        <w:t>）</w:t>
      </w:r>
    </w:p>
    <w:p w14:paraId="10C4EB98">
      <w:pPr>
        <w:spacing w:line="440" w:lineRule="exact"/>
        <w:rPr>
          <w:color w:val="auto"/>
        </w:rPr>
      </w:pPr>
    </w:p>
    <w:p w14:paraId="1C79D766">
      <w:pPr>
        <w:pStyle w:val="22"/>
        <w:spacing w:line="440" w:lineRule="exact"/>
        <w:ind w:firstLine="525" w:firstLineChars="250"/>
        <w:jc w:val="left"/>
        <w:rPr>
          <w:rFonts w:hint="eastAsia" w:hAnsi="宋体" w:cs="宋体"/>
          <w:color w:val="auto"/>
        </w:rPr>
      </w:pPr>
      <w:r>
        <w:rPr>
          <w:rFonts w:hint="eastAsia" w:hAnsi="宋体" w:cs="宋体"/>
          <w:color w:val="auto"/>
        </w:rPr>
        <w:t>本公司（联合体）郑重声明，根据《政府采购促进中小企业发展管理办法》（财库﹝2020﹞46 号）的规定，本公司（联合体）参加</w:t>
      </w:r>
      <w:r>
        <w:rPr>
          <w:rFonts w:hint="eastAsia" w:hAnsi="宋体" w:cs="宋体"/>
          <w:color w:val="auto"/>
          <w:u w:val="single"/>
        </w:rPr>
        <w:t>（单位名称）</w:t>
      </w:r>
      <w:r>
        <w:rPr>
          <w:rFonts w:hint="eastAsia" w:hAnsi="宋体" w:cs="宋体"/>
          <w:color w:val="auto"/>
        </w:rPr>
        <w:t>的</w:t>
      </w:r>
      <w:r>
        <w:rPr>
          <w:rFonts w:hint="eastAsia" w:hAnsi="宋体" w:cs="宋体"/>
          <w:color w:val="auto"/>
          <w:u w:val="single"/>
        </w:rPr>
        <w:t>（项目名称）</w:t>
      </w:r>
      <w:r>
        <w:rPr>
          <w:rFonts w:hint="eastAsia" w:hAnsi="宋体" w:cs="宋体"/>
          <w:color w:val="auto"/>
        </w:rPr>
        <w:t>采购活动，服务全部由符合政策要求的中小企业承接。相关企业（含联合体中的中小企业、签订分包意向协议的中小企业）的具体情况如下：</w:t>
      </w:r>
    </w:p>
    <w:p w14:paraId="1F08A087">
      <w:pPr>
        <w:pStyle w:val="22"/>
        <w:spacing w:line="440" w:lineRule="exact"/>
        <w:ind w:firstLine="420" w:firstLineChars="200"/>
        <w:jc w:val="left"/>
        <w:rPr>
          <w:rFonts w:hint="eastAsia" w:hAnsi="宋体" w:cs="宋体"/>
          <w:color w:val="auto"/>
        </w:rPr>
      </w:pPr>
      <w:r>
        <w:rPr>
          <w:rFonts w:hint="eastAsia" w:hAnsi="宋体" w:cs="宋体"/>
          <w:color w:val="auto"/>
        </w:rPr>
        <w:t>1.</w:t>
      </w:r>
      <w:r>
        <w:rPr>
          <w:rFonts w:hint="eastAsia" w:hAnsi="宋体" w:cs="宋体"/>
          <w:color w:val="auto"/>
          <w:u w:val="single"/>
        </w:rPr>
        <w:t xml:space="preserve">（标的名称） </w:t>
      </w:r>
      <w:r>
        <w:rPr>
          <w:rFonts w:hint="eastAsia" w:hAnsi="宋体" w:cs="宋体"/>
          <w:color w:val="auto"/>
        </w:rPr>
        <w:t>，属于</w:t>
      </w:r>
      <w:r>
        <w:rPr>
          <w:rFonts w:hint="eastAsia" w:hAnsi="宋体" w:cs="宋体"/>
          <w:color w:val="auto"/>
          <w:u w:val="single"/>
        </w:rPr>
        <w:t>（采购文件中明确的所属行业）</w:t>
      </w:r>
      <w:r>
        <w:rPr>
          <w:rFonts w:hint="eastAsia" w:hAnsi="宋体" w:cs="宋体"/>
          <w:color w:val="auto"/>
        </w:rPr>
        <w:t>；承接企业为</w:t>
      </w:r>
      <w:r>
        <w:rPr>
          <w:rFonts w:hint="eastAsia" w:hAnsi="宋体" w:cs="宋体"/>
          <w:color w:val="auto"/>
          <w:u w:val="single"/>
        </w:rPr>
        <w:t>（企业名称）</w:t>
      </w:r>
      <w:r>
        <w:rPr>
          <w:rFonts w:hint="eastAsia" w:hAnsi="宋体" w:cs="宋体"/>
          <w:color w:val="auto"/>
        </w:rPr>
        <w:t>，从业人员</w:t>
      </w:r>
      <w:r>
        <w:rPr>
          <w:rFonts w:hint="eastAsia" w:hAnsi="宋体" w:cs="宋体"/>
          <w:color w:val="auto"/>
          <w:u w:val="single"/>
        </w:rPr>
        <w:t xml:space="preserve">     </w:t>
      </w:r>
      <w:r>
        <w:rPr>
          <w:rFonts w:hint="eastAsia" w:hAnsi="宋体" w:cs="宋体"/>
          <w:color w:val="auto"/>
        </w:rPr>
        <w:t>人，营业收入为</w:t>
      </w:r>
      <w:r>
        <w:rPr>
          <w:rFonts w:hint="eastAsia" w:hAnsi="宋体" w:cs="宋体"/>
          <w:color w:val="auto"/>
          <w:u w:val="single"/>
        </w:rPr>
        <w:t xml:space="preserve">     </w:t>
      </w:r>
      <w:r>
        <w:rPr>
          <w:rFonts w:hint="eastAsia" w:hAnsi="宋体" w:cs="宋体"/>
          <w:color w:val="auto"/>
        </w:rPr>
        <w:t>万元，资产总额为</w:t>
      </w:r>
      <w:r>
        <w:rPr>
          <w:rFonts w:hint="eastAsia" w:hAnsi="宋体" w:cs="宋体"/>
          <w:color w:val="auto"/>
          <w:u w:val="single"/>
        </w:rPr>
        <w:t xml:space="preserve">     </w:t>
      </w:r>
      <w:r>
        <w:rPr>
          <w:rFonts w:hint="eastAsia" w:hAnsi="宋体" w:cs="宋体"/>
          <w:color w:val="auto"/>
        </w:rPr>
        <w:t>万元，属于</w:t>
      </w:r>
      <w:r>
        <w:rPr>
          <w:rFonts w:hint="eastAsia" w:hAnsi="宋体" w:cs="宋体"/>
          <w:color w:val="auto"/>
          <w:u w:val="single"/>
        </w:rPr>
        <w:t>（中型企业、小型企业、微型企业）</w:t>
      </w:r>
      <w:r>
        <w:rPr>
          <w:rFonts w:hint="eastAsia" w:hAnsi="宋体" w:cs="宋体"/>
          <w:color w:val="auto"/>
        </w:rPr>
        <w:t xml:space="preserve">； </w:t>
      </w:r>
    </w:p>
    <w:p w14:paraId="28BE2B2E">
      <w:pPr>
        <w:pStyle w:val="22"/>
        <w:spacing w:line="440" w:lineRule="exact"/>
        <w:ind w:firstLine="420" w:firstLineChars="200"/>
        <w:jc w:val="left"/>
        <w:rPr>
          <w:rFonts w:hint="eastAsia" w:hAnsi="宋体" w:cs="宋体"/>
          <w:color w:val="auto"/>
        </w:rPr>
      </w:pPr>
      <w:r>
        <w:rPr>
          <w:rFonts w:hint="eastAsia" w:hAnsi="宋体" w:cs="宋体"/>
          <w:color w:val="auto"/>
        </w:rPr>
        <w:t>2.</w:t>
      </w:r>
      <w:r>
        <w:rPr>
          <w:rFonts w:hint="eastAsia" w:hAnsi="宋体" w:cs="宋体"/>
          <w:color w:val="auto"/>
          <w:u w:val="single"/>
        </w:rPr>
        <w:t xml:space="preserve">（标的名称） </w:t>
      </w:r>
      <w:r>
        <w:rPr>
          <w:rFonts w:hint="eastAsia" w:hAnsi="宋体" w:cs="宋体"/>
          <w:color w:val="auto"/>
        </w:rPr>
        <w:t>，属于</w:t>
      </w:r>
      <w:r>
        <w:rPr>
          <w:rFonts w:hint="eastAsia" w:hAnsi="宋体" w:cs="宋体"/>
          <w:color w:val="auto"/>
          <w:u w:val="single"/>
        </w:rPr>
        <w:t>（采购文件中明确的所属行业）</w:t>
      </w:r>
      <w:r>
        <w:rPr>
          <w:rFonts w:hint="eastAsia" w:hAnsi="宋体" w:cs="宋体"/>
          <w:color w:val="auto"/>
        </w:rPr>
        <w:t>；承接企业为（企业名称），从业人员</w:t>
      </w:r>
      <w:r>
        <w:rPr>
          <w:rFonts w:hint="eastAsia" w:hAnsi="宋体" w:cs="宋体"/>
          <w:color w:val="auto"/>
          <w:u w:val="single"/>
        </w:rPr>
        <w:t xml:space="preserve">     </w:t>
      </w:r>
      <w:r>
        <w:rPr>
          <w:rFonts w:hint="eastAsia" w:hAnsi="宋体" w:cs="宋体"/>
          <w:color w:val="auto"/>
        </w:rPr>
        <w:t>人，营业收入为</w:t>
      </w:r>
      <w:r>
        <w:rPr>
          <w:rFonts w:hint="eastAsia" w:hAnsi="宋体" w:cs="宋体"/>
          <w:color w:val="auto"/>
          <w:u w:val="single"/>
        </w:rPr>
        <w:t xml:space="preserve">     </w:t>
      </w:r>
      <w:r>
        <w:rPr>
          <w:rFonts w:hint="eastAsia" w:hAnsi="宋体" w:cs="宋体"/>
          <w:color w:val="auto"/>
        </w:rPr>
        <w:t>万元，资产总额为</w:t>
      </w:r>
      <w:r>
        <w:rPr>
          <w:rFonts w:hint="eastAsia" w:hAnsi="宋体" w:cs="宋体"/>
          <w:color w:val="auto"/>
          <w:u w:val="single"/>
        </w:rPr>
        <w:t xml:space="preserve">     </w:t>
      </w:r>
      <w:r>
        <w:rPr>
          <w:rFonts w:hint="eastAsia" w:hAnsi="宋体" w:cs="宋体"/>
          <w:color w:val="auto"/>
        </w:rPr>
        <w:t>万元，属于</w:t>
      </w:r>
      <w:r>
        <w:rPr>
          <w:rFonts w:hint="eastAsia" w:hAnsi="宋体" w:cs="宋体"/>
          <w:color w:val="auto"/>
          <w:u w:val="single"/>
        </w:rPr>
        <w:t>（中型企业、小型企业、微型企业）</w:t>
      </w:r>
      <w:r>
        <w:rPr>
          <w:rFonts w:hint="eastAsia" w:hAnsi="宋体" w:cs="宋体"/>
          <w:color w:val="auto"/>
        </w:rPr>
        <w:t>；</w:t>
      </w:r>
    </w:p>
    <w:p w14:paraId="08A7A41F">
      <w:pPr>
        <w:pStyle w:val="22"/>
        <w:spacing w:line="440" w:lineRule="exact"/>
        <w:ind w:firstLine="420" w:firstLineChars="200"/>
        <w:jc w:val="left"/>
        <w:rPr>
          <w:rFonts w:hint="eastAsia" w:hAnsi="宋体" w:cs="宋体"/>
          <w:color w:val="auto"/>
        </w:rPr>
      </w:pPr>
      <w:r>
        <w:rPr>
          <w:rFonts w:hint="eastAsia" w:hAnsi="宋体" w:cs="宋体"/>
          <w:color w:val="auto"/>
        </w:rPr>
        <w:t>……</w:t>
      </w:r>
    </w:p>
    <w:p w14:paraId="7EC5F6C6">
      <w:pPr>
        <w:pStyle w:val="22"/>
        <w:spacing w:line="440" w:lineRule="exact"/>
        <w:ind w:firstLine="420" w:firstLineChars="200"/>
        <w:jc w:val="left"/>
        <w:rPr>
          <w:rFonts w:hint="eastAsia" w:hAnsi="宋体" w:cs="宋体"/>
          <w:color w:val="auto"/>
        </w:rPr>
      </w:pPr>
      <w:r>
        <w:rPr>
          <w:rFonts w:hint="eastAsia" w:hAnsi="宋体" w:cs="宋体"/>
          <w:color w:val="auto"/>
        </w:rPr>
        <w:t>以上企业，不属于大企业的分支机构，不存在控股股东为大企业的情形，也不存在与大企业的负责人为同一人的情形。</w:t>
      </w:r>
    </w:p>
    <w:p w14:paraId="3851A01C">
      <w:pPr>
        <w:pStyle w:val="22"/>
        <w:spacing w:line="440" w:lineRule="exact"/>
        <w:ind w:firstLine="420" w:firstLineChars="200"/>
        <w:jc w:val="left"/>
        <w:rPr>
          <w:rFonts w:hint="eastAsia" w:hAnsi="宋体" w:cs="宋体"/>
          <w:color w:val="auto"/>
        </w:rPr>
      </w:pPr>
      <w:r>
        <w:rPr>
          <w:rFonts w:hint="eastAsia" w:hAnsi="宋体" w:cs="宋体"/>
          <w:color w:val="auto"/>
        </w:rPr>
        <w:t>本企业对上述声明内容的真实性负责。如有虚假，将依法承担相应责任。</w:t>
      </w:r>
    </w:p>
    <w:p w14:paraId="5141CBCA">
      <w:pPr>
        <w:pStyle w:val="22"/>
        <w:spacing w:line="440" w:lineRule="exact"/>
        <w:ind w:firstLine="420" w:firstLineChars="200"/>
        <w:jc w:val="left"/>
        <w:rPr>
          <w:rFonts w:hint="eastAsia" w:hAnsi="宋体" w:cs="宋体"/>
          <w:color w:val="auto"/>
        </w:rPr>
      </w:pPr>
    </w:p>
    <w:p w14:paraId="797BEC0D">
      <w:pPr>
        <w:pStyle w:val="22"/>
        <w:spacing w:line="440" w:lineRule="exact"/>
        <w:ind w:firstLine="4620" w:firstLineChars="2200"/>
        <w:jc w:val="left"/>
        <w:rPr>
          <w:rFonts w:hint="eastAsia" w:hAnsi="宋体" w:cs="宋体"/>
          <w:color w:val="auto"/>
        </w:rPr>
      </w:pPr>
      <w:r>
        <w:rPr>
          <w:rFonts w:hint="eastAsia" w:hAnsi="宋体" w:cs="宋体"/>
          <w:color w:val="auto"/>
        </w:rPr>
        <w:t>企业名称（盖章）：</w:t>
      </w:r>
    </w:p>
    <w:p w14:paraId="6648BFE3">
      <w:pPr>
        <w:pStyle w:val="22"/>
        <w:spacing w:line="440" w:lineRule="exact"/>
        <w:ind w:firstLine="4620" w:firstLineChars="2200"/>
        <w:jc w:val="left"/>
        <w:rPr>
          <w:rFonts w:hint="eastAsia" w:hAnsi="宋体" w:cs="宋体"/>
          <w:color w:val="auto"/>
        </w:rPr>
      </w:pPr>
      <w:r>
        <w:rPr>
          <w:rFonts w:hint="eastAsia" w:hAnsi="宋体" w:cs="宋体"/>
          <w:color w:val="auto"/>
        </w:rPr>
        <w:t>日 期：</w:t>
      </w:r>
    </w:p>
    <w:p w14:paraId="0359C6C6">
      <w:pPr>
        <w:snapToGrid w:val="0"/>
        <w:spacing w:line="380" w:lineRule="exact"/>
        <w:ind w:firstLine="411" w:firstLineChars="196"/>
        <w:jc w:val="left"/>
        <w:rPr>
          <w:rFonts w:hint="eastAsia" w:ascii="宋体" w:hAnsi="宋体" w:cs="宋体"/>
          <w:color w:val="auto"/>
          <w:szCs w:val="21"/>
        </w:rPr>
      </w:pPr>
    </w:p>
    <w:p w14:paraId="624B21CE">
      <w:pPr>
        <w:snapToGrid w:val="0"/>
        <w:spacing w:line="340" w:lineRule="exact"/>
        <w:ind w:firstLine="411" w:firstLineChars="196"/>
        <w:jc w:val="left"/>
        <w:rPr>
          <w:rFonts w:hint="eastAsia" w:ascii="宋体" w:hAnsi="宋体" w:cs="宋体"/>
          <w:color w:val="auto"/>
          <w:szCs w:val="21"/>
        </w:rPr>
      </w:pPr>
      <w:r>
        <w:rPr>
          <w:rFonts w:hint="eastAsia" w:ascii="宋体" w:hAnsi="宋体" w:cs="宋体"/>
          <w:color w:val="auto"/>
          <w:szCs w:val="21"/>
        </w:rPr>
        <w:t>注：1、从业人员、营业收入、资产总额填报上一年度数据，无上一年度数据的新成立企业可不填报。</w:t>
      </w:r>
    </w:p>
    <w:p w14:paraId="0B653CED">
      <w:pPr>
        <w:snapToGrid w:val="0"/>
        <w:spacing w:line="340" w:lineRule="exact"/>
        <w:ind w:firstLine="831" w:firstLineChars="396"/>
        <w:jc w:val="left"/>
        <w:rPr>
          <w:rFonts w:hint="eastAsia" w:ascii="宋体" w:hAnsi="宋体" w:cs="宋体"/>
          <w:color w:val="auto"/>
          <w:szCs w:val="21"/>
        </w:rPr>
      </w:pPr>
      <w:r>
        <w:rPr>
          <w:rFonts w:hint="eastAsia" w:ascii="宋体" w:hAnsi="宋体" w:cs="宋体"/>
          <w:color w:val="auto"/>
          <w:szCs w:val="21"/>
        </w:rPr>
        <w:t>2、请根据自己的真实情况出具《中小企业声明函》。依法享受中小企业优惠政策的，采购人或者采购代理机构在公告中标结果时，同时公告其《中小企业声明函》，接受社会监督。</w:t>
      </w:r>
    </w:p>
    <w:p w14:paraId="3BF78BB3">
      <w:pPr>
        <w:snapToGrid w:val="0"/>
        <w:spacing w:line="340" w:lineRule="exact"/>
        <w:ind w:firstLine="831" w:firstLineChars="396"/>
        <w:jc w:val="left"/>
        <w:rPr>
          <w:rFonts w:hint="eastAsia" w:ascii="宋体" w:hAnsi="宋体" w:cs="宋体"/>
          <w:color w:val="auto"/>
          <w:szCs w:val="21"/>
        </w:rPr>
      </w:pPr>
      <w:r>
        <w:rPr>
          <w:rFonts w:hint="eastAsia" w:ascii="宋体" w:hAnsi="宋体" w:cs="宋体"/>
          <w:color w:val="auto"/>
          <w:szCs w:val="21"/>
        </w:rPr>
        <w:t>3、在政府采购活动中，供应商提供的货物、工程或者服务符合下列情形的，享受《政府采购促进中小企业发展管理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政府采购促进中小企业发展管理办法》规定的中小企业扶持政策。以联合体形式参加政府采购活动，联合体各方均为中小企业的，联合体视同中小企业。其中，联合体各方均为小微企业的，联合体视同小微企业。</w:t>
      </w:r>
    </w:p>
    <w:bookmarkEnd w:id="47"/>
    <w:bookmarkEnd w:id="48"/>
    <w:p w14:paraId="374755B0">
      <w:pPr>
        <w:spacing w:line="360" w:lineRule="auto"/>
        <w:jc w:val="left"/>
        <w:rPr>
          <w:rFonts w:hint="eastAsia" w:ascii="宋体" w:hAnsi="宋体" w:cs="宋体"/>
          <w:b/>
          <w:color w:val="auto"/>
          <w:sz w:val="24"/>
        </w:rPr>
      </w:pPr>
    </w:p>
    <w:p w14:paraId="0C5F02F9">
      <w:pPr>
        <w:spacing w:line="360" w:lineRule="auto"/>
        <w:jc w:val="left"/>
        <w:rPr>
          <w:rFonts w:hint="eastAsia" w:ascii="宋体" w:hAnsi="宋体" w:cs="宋体"/>
          <w:b/>
          <w:color w:val="auto"/>
          <w:sz w:val="24"/>
        </w:rPr>
      </w:pPr>
    </w:p>
    <w:p w14:paraId="27470FAD">
      <w:pPr>
        <w:spacing w:line="360" w:lineRule="auto"/>
        <w:jc w:val="left"/>
        <w:rPr>
          <w:rFonts w:hint="eastAsia" w:ascii="宋体" w:hAnsi="宋体" w:cs="宋体"/>
          <w:b/>
          <w:color w:val="auto"/>
          <w:sz w:val="24"/>
        </w:rPr>
      </w:pPr>
    </w:p>
    <w:p w14:paraId="09F6E947">
      <w:pPr>
        <w:spacing w:line="360" w:lineRule="auto"/>
        <w:jc w:val="left"/>
        <w:rPr>
          <w:rFonts w:hint="eastAsia" w:ascii="宋体" w:hAnsi="宋体" w:cs="宋体"/>
          <w:b/>
          <w:color w:val="auto"/>
          <w:sz w:val="24"/>
        </w:rPr>
      </w:pPr>
    </w:p>
    <w:p w14:paraId="2A14603F">
      <w:pPr>
        <w:spacing w:line="360" w:lineRule="auto"/>
        <w:jc w:val="left"/>
        <w:rPr>
          <w:rFonts w:hint="eastAsia" w:ascii="宋体" w:hAnsi="宋体" w:cs="宋体"/>
          <w:b/>
          <w:color w:val="auto"/>
          <w:sz w:val="24"/>
        </w:rPr>
      </w:pPr>
    </w:p>
    <w:p w14:paraId="1BA8D00C">
      <w:pPr>
        <w:spacing w:line="360" w:lineRule="auto"/>
        <w:jc w:val="left"/>
        <w:rPr>
          <w:rFonts w:hint="eastAsia" w:ascii="宋体" w:hAnsi="宋体" w:cs="宋体"/>
          <w:b/>
          <w:color w:val="auto"/>
          <w:sz w:val="24"/>
        </w:rPr>
      </w:pPr>
    </w:p>
    <w:p w14:paraId="6CA9A1E4">
      <w:pPr>
        <w:spacing w:line="360" w:lineRule="auto"/>
        <w:jc w:val="left"/>
        <w:rPr>
          <w:rFonts w:hint="eastAsia" w:ascii="宋体" w:hAnsi="宋体" w:cs="宋体"/>
          <w:b/>
          <w:color w:val="auto"/>
          <w:sz w:val="24"/>
        </w:rPr>
      </w:pPr>
      <w:r>
        <w:rPr>
          <w:rFonts w:hint="eastAsia" w:ascii="宋体" w:hAnsi="宋体" w:cs="宋体"/>
          <w:b/>
          <w:color w:val="auto"/>
          <w:sz w:val="24"/>
        </w:rPr>
        <w:t>9.供应商认为需要提供的其他证明材料；[如有，请提供]</w:t>
      </w:r>
    </w:p>
    <w:p w14:paraId="2982E99E">
      <w:pPr>
        <w:spacing w:line="360" w:lineRule="auto"/>
        <w:jc w:val="left"/>
        <w:rPr>
          <w:rFonts w:hint="eastAsia" w:ascii="宋体" w:hAnsi="宋体" w:cs="宋体"/>
          <w:b/>
          <w:color w:val="auto"/>
          <w:sz w:val="24"/>
        </w:rPr>
      </w:pPr>
    </w:p>
    <w:p w14:paraId="67CD04D8">
      <w:pPr>
        <w:spacing w:line="360" w:lineRule="auto"/>
        <w:jc w:val="left"/>
        <w:rPr>
          <w:rFonts w:hint="eastAsia" w:ascii="宋体" w:hAnsi="宋体" w:cs="宋体"/>
          <w:b/>
          <w:color w:val="auto"/>
          <w:sz w:val="24"/>
        </w:rPr>
      </w:pPr>
    </w:p>
    <w:p w14:paraId="61234238">
      <w:pPr>
        <w:spacing w:line="360" w:lineRule="auto"/>
        <w:jc w:val="left"/>
        <w:rPr>
          <w:rFonts w:hint="eastAsia" w:ascii="宋体" w:hAnsi="宋体" w:cs="宋体"/>
          <w:color w:val="auto"/>
          <w:sz w:val="24"/>
        </w:rPr>
      </w:pPr>
      <w:r>
        <w:rPr>
          <w:rFonts w:hint="eastAsia" w:ascii="宋体" w:hAnsi="宋体" w:cs="宋体"/>
          <w:b/>
          <w:color w:val="auto"/>
          <w:sz w:val="24"/>
        </w:rPr>
        <w:t>10.参加政府采购活动前三年内在经营活动中没有重大违法记录和不良信用记录的书面声明；</w:t>
      </w:r>
    </w:p>
    <w:p w14:paraId="2847B47F">
      <w:pPr>
        <w:spacing w:line="360" w:lineRule="auto"/>
        <w:jc w:val="center"/>
        <w:rPr>
          <w:rFonts w:hint="eastAsia" w:ascii="宋体" w:hAnsi="宋体" w:cs="宋体"/>
          <w:b/>
          <w:color w:val="auto"/>
          <w:sz w:val="30"/>
          <w:szCs w:val="30"/>
        </w:rPr>
      </w:pPr>
      <w:r>
        <w:rPr>
          <w:rFonts w:hint="eastAsia" w:ascii="宋体" w:hAnsi="宋体" w:cs="宋体"/>
          <w:b/>
          <w:color w:val="auto"/>
          <w:sz w:val="30"/>
          <w:szCs w:val="30"/>
        </w:rPr>
        <w:br w:type="page"/>
      </w:r>
      <w:r>
        <w:rPr>
          <w:rFonts w:hint="eastAsia" w:ascii="宋体" w:hAnsi="宋体" w:cs="宋体"/>
          <w:b/>
          <w:color w:val="auto"/>
          <w:sz w:val="30"/>
          <w:szCs w:val="30"/>
        </w:rPr>
        <w:t>价格文件</w:t>
      </w:r>
    </w:p>
    <w:p w14:paraId="480E40B0">
      <w:pPr>
        <w:adjustRightInd w:val="0"/>
        <w:snapToGrid w:val="0"/>
        <w:spacing w:line="360" w:lineRule="auto"/>
        <w:ind w:left="-88" w:leftChars="-42"/>
        <w:jc w:val="center"/>
        <w:rPr>
          <w:rFonts w:hint="eastAsia" w:ascii="宋体" w:hAnsi="宋体" w:cs="宋体"/>
          <w:b/>
          <w:color w:val="auto"/>
          <w:sz w:val="32"/>
          <w:szCs w:val="32"/>
        </w:rPr>
      </w:pPr>
      <w:r>
        <w:rPr>
          <w:rFonts w:hint="eastAsia" w:ascii="宋体" w:hAnsi="宋体" w:cs="宋体"/>
          <w:b/>
          <w:color w:val="auto"/>
          <w:sz w:val="32"/>
          <w:szCs w:val="32"/>
        </w:rPr>
        <w:t>1. 磋  商  书</w:t>
      </w:r>
    </w:p>
    <w:p w14:paraId="7A3CDC51">
      <w:pPr>
        <w:pStyle w:val="22"/>
        <w:spacing w:line="360" w:lineRule="auto"/>
        <w:rPr>
          <w:rFonts w:hint="eastAsia" w:hAnsi="宋体" w:cs="宋体"/>
          <w:color w:val="auto"/>
        </w:rPr>
      </w:pPr>
      <w:r>
        <w:rPr>
          <w:rFonts w:hint="eastAsia" w:hAnsi="宋体" w:cs="宋体"/>
          <w:color w:val="auto"/>
          <w:u w:val="single"/>
        </w:rPr>
        <w:t>广西汉昌工程咨询有限公司</w:t>
      </w:r>
      <w:r>
        <w:rPr>
          <w:rFonts w:hint="eastAsia" w:hAnsi="宋体" w:cs="宋体"/>
          <w:color w:val="auto"/>
        </w:rPr>
        <w:t>：</w:t>
      </w:r>
    </w:p>
    <w:p w14:paraId="44A8052B">
      <w:pPr>
        <w:pStyle w:val="22"/>
        <w:spacing w:line="360" w:lineRule="auto"/>
        <w:ind w:firstLine="480"/>
        <w:rPr>
          <w:rFonts w:hint="eastAsia" w:hAnsi="宋体" w:cs="宋体"/>
          <w:color w:val="auto"/>
        </w:rPr>
      </w:pPr>
      <w:r>
        <w:rPr>
          <w:rFonts w:hint="eastAsia" w:hAnsi="宋体" w:cs="宋体"/>
          <w:color w:val="auto"/>
        </w:rPr>
        <w:t>依据贵方</w:t>
      </w:r>
      <w:r>
        <w:rPr>
          <w:rFonts w:hint="eastAsia" w:hAnsi="宋体" w:cs="宋体"/>
          <w:color w:val="auto"/>
          <w:u w:val="single"/>
        </w:rPr>
        <w:t>（采购项目名称/采购项目编号/分标号）</w:t>
      </w:r>
      <w:r>
        <w:rPr>
          <w:rFonts w:hint="eastAsia" w:hAnsi="宋体" w:cs="宋体"/>
          <w:color w:val="auto"/>
        </w:rPr>
        <w:t>项目政府采购的磋商邀请，我方</w:t>
      </w:r>
      <w:r>
        <w:rPr>
          <w:rFonts w:hint="eastAsia" w:hAnsi="宋体" w:cs="宋体"/>
          <w:color w:val="auto"/>
          <w:u w:val="single"/>
        </w:rPr>
        <w:t>（姓名和职务）</w:t>
      </w:r>
      <w:r>
        <w:rPr>
          <w:rFonts w:hint="eastAsia" w:hAnsi="宋体" w:cs="宋体"/>
          <w:color w:val="auto"/>
        </w:rPr>
        <w:t>经正式授权并代表本单位</w:t>
      </w:r>
      <w:r>
        <w:rPr>
          <w:rFonts w:hint="eastAsia" w:hAnsi="宋体" w:cs="宋体"/>
          <w:color w:val="auto"/>
          <w:u w:val="single"/>
        </w:rPr>
        <w:t>（磋商供应商名称、地址）</w:t>
      </w:r>
      <w:r>
        <w:rPr>
          <w:rFonts w:hint="eastAsia" w:hAnsi="宋体" w:cs="宋体"/>
          <w:color w:val="auto"/>
        </w:rPr>
        <w:t>提交下述竞争性磋商响应文件</w:t>
      </w:r>
      <w:r>
        <w:rPr>
          <w:rFonts w:hint="eastAsia" w:hAnsi="宋体" w:cs="宋体"/>
          <w:b/>
          <w:color w:val="auto"/>
        </w:rPr>
        <w:t>（价格文件、商务技术文件）。</w:t>
      </w:r>
    </w:p>
    <w:p w14:paraId="782DA67D">
      <w:pPr>
        <w:pStyle w:val="22"/>
        <w:spacing w:line="360" w:lineRule="auto"/>
        <w:ind w:firstLine="480"/>
        <w:rPr>
          <w:rFonts w:hint="eastAsia" w:hAnsi="宋体" w:cs="宋体"/>
          <w:color w:val="auto"/>
        </w:rPr>
      </w:pPr>
      <w:r>
        <w:rPr>
          <w:rFonts w:hint="eastAsia" w:hAnsi="宋体" w:cs="宋体"/>
          <w:color w:val="auto"/>
        </w:rPr>
        <w:t>1. 报价表；</w:t>
      </w:r>
    </w:p>
    <w:p w14:paraId="6706B4BA">
      <w:pPr>
        <w:pStyle w:val="22"/>
        <w:spacing w:line="360" w:lineRule="auto"/>
        <w:ind w:firstLine="480"/>
        <w:rPr>
          <w:rFonts w:hint="eastAsia" w:hAnsi="宋体" w:cs="宋体"/>
          <w:color w:val="auto"/>
        </w:rPr>
      </w:pPr>
      <w:r>
        <w:rPr>
          <w:rFonts w:hint="eastAsia" w:hAnsi="宋体" w:cs="宋体"/>
          <w:color w:val="auto"/>
        </w:rPr>
        <w:t>2. 商务、服务响应、偏离情况说明表；</w:t>
      </w:r>
    </w:p>
    <w:p w14:paraId="1E0AFF86">
      <w:pPr>
        <w:pStyle w:val="22"/>
        <w:spacing w:line="360" w:lineRule="auto"/>
        <w:ind w:firstLine="480"/>
        <w:rPr>
          <w:rFonts w:hint="eastAsia" w:hAnsi="宋体" w:cs="宋体"/>
          <w:color w:val="auto"/>
        </w:rPr>
      </w:pPr>
      <w:r>
        <w:rPr>
          <w:rFonts w:hint="eastAsia" w:hAnsi="宋体" w:cs="宋体"/>
          <w:color w:val="auto"/>
        </w:rPr>
        <w:t>3. 资格证明文件；</w:t>
      </w:r>
    </w:p>
    <w:p w14:paraId="467B8A85">
      <w:pPr>
        <w:pStyle w:val="22"/>
        <w:spacing w:line="360" w:lineRule="auto"/>
        <w:ind w:firstLine="480"/>
        <w:rPr>
          <w:rFonts w:hint="eastAsia" w:hAnsi="宋体" w:cs="宋体"/>
          <w:color w:val="auto"/>
        </w:rPr>
      </w:pPr>
      <w:r>
        <w:rPr>
          <w:rFonts w:hint="eastAsia" w:hAnsi="宋体" w:cs="宋体"/>
          <w:color w:val="auto"/>
        </w:rPr>
        <w:t>4. 按竞争性磋商文件磋商供应商须知和采购需求提供的有关文件；</w:t>
      </w:r>
    </w:p>
    <w:p w14:paraId="02CDADAF">
      <w:pPr>
        <w:pStyle w:val="22"/>
        <w:spacing w:line="360" w:lineRule="auto"/>
        <w:ind w:firstLine="480"/>
        <w:rPr>
          <w:rFonts w:hint="eastAsia" w:hAnsi="宋体" w:cs="宋体"/>
          <w:color w:val="auto"/>
        </w:rPr>
      </w:pPr>
      <w:r>
        <w:rPr>
          <w:rFonts w:hint="eastAsia" w:hAnsi="宋体" w:cs="宋体"/>
          <w:color w:val="auto"/>
        </w:rPr>
        <w:t>在此，授权代表宣布同意如下：</w:t>
      </w:r>
    </w:p>
    <w:p w14:paraId="18C21157">
      <w:pPr>
        <w:pStyle w:val="22"/>
        <w:spacing w:line="360" w:lineRule="auto"/>
        <w:ind w:firstLine="480"/>
        <w:rPr>
          <w:rFonts w:hint="eastAsia" w:hAnsi="宋体" w:cs="宋体"/>
          <w:color w:val="auto"/>
        </w:rPr>
      </w:pPr>
      <w:r>
        <w:rPr>
          <w:rFonts w:hint="eastAsia" w:hAnsi="宋体" w:cs="宋体"/>
          <w:color w:val="auto"/>
        </w:rPr>
        <w:t>1. 将按竞争性磋商文件的约定履行合同责任和义务；</w:t>
      </w:r>
    </w:p>
    <w:p w14:paraId="6D6E3A26">
      <w:pPr>
        <w:pStyle w:val="22"/>
        <w:spacing w:line="360" w:lineRule="auto"/>
        <w:ind w:firstLine="480"/>
        <w:rPr>
          <w:rFonts w:hint="eastAsia" w:hAnsi="宋体" w:cs="宋体"/>
          <w:color w:val="auto"/>
        </w:rPr>
      </w:pPr>
      <w:r>
        <w:rPr>
          <w:rFonts w:hint="eastAsia" w:hAnsi="宋体" w:cs="宋体"/>
          <w:color w:val="auto"/>
        </w:rPr>
        <w:t>2. 已详细审查全部竞争性磋商文件，包括</w:t>
      </w:r>
      <w:r>
        <w:rPr>
          <w:rFonts w:hint="eastAsia" w:hAnsi="宋体" w:cs="宋体"/>
          <w:color w:val="auto"/>
          <w:u w:val="single"/>
        </w:rPr>
        <w:t>（补遗文件）（如果有的话）</w:t>
      </w:r>
      <w:r>
        <w:rPr>
          <w:rFonts w:hint="eastAsia" w:hAnsi="宋体" w:cs="宋体"/>
          <w:color w:val="auto"/>
        </w:rPr>
        <w:t>；</w:t>
      </w:r>
    </w:p>
    <w:p w14:paraId="6DEBCCD7">
      <w:pPr>
        <w:pStyle w:val="22"/>
        <w:spacing w:line="360" w:lineRule="auto"/>
        <w:ind w:firstLine="480"/>
        <w:rPr>
          <w:rFonts w:hint="eastAsia" w:hAnsi="宋体" w:cs="宋体"/>
          <w:color w:val="auto"/>
        </w:rPr>
      </w:pPr>
      <w:r>
        <w:rPr>
          <w:rFonts w:hint="eastAsia" w:hAnsi="宋体" w:cs="宋体"/>
          <w:color w:val="auto"/>
        </w:rPr>
        <w:t>3. 同意提供按照贵方可能要求的与其磋商有关的一切数据或资料；</w:t>
      </w:r>
    </w:p>
    <w:p w14:paraId="2115A321">
      <w:pPr>
        <w:pStyle w:val="22"/>
        <w:spacing w:line="360" w:lineRule="auto"/>
        <w:ind w:firstLine="480"/>
        <w:rPr>
          <w:rFonts w:hint="eastAsia" w:hAnsi="宋体" w:cs="宋体"/>
          <w:color w:val="auto"/>
          <w:u w:val="single"/>
        </w:rPr>
      </w:pPr>
      <w:r>
        <w:rPr>
          <w:rFonts w:hint="eastAsia" w:hAnsi="宋体" w:cs="宋体"/>
          <w:color w:val="auto"/>
        </w:rPr>
        <w:t>4. 与本磋商有关的一切正式往来信函请寄：</w:t>
      </w:r>
      <w:r>
        <w:rPr>
          <w:rFonts w:hint="eastAsia" w:hAnsi="宋体" w:cs="宋体"/>
          <w:color w:val="auto"/>
          <w:u w:val="single"/>
        </w:rPr>
        <w:t xml:space="preserve">                                    </w:t>
      </w:r>
    </w:p>
    <w:p w14:paraId="3EC2F9A7">
      <w:pPr>
        <w:pStyle w:val="22"/>
        <w:spacing w:line="360" w:lineRule="auto"/>
        <w:ind w:firstLine="840"/>
        <w:rPr>
          <w:rFonts w:hint="eastAsia" w:hAnsi="宋体" w:cs="宋体"/>
          <w:color w:val="auto"/>
          <w:u w:val="single"/>
        </w:rPr>
      </w:pPr>
      <w:r>
        <w:rPr>
          <w:rFonts w:hint="eastAsia" w:hAnsi="宋体" w:cs="宋体"/>
          <w:color w:val="auto"/>
        </w:rPr>
        <w:t>开户银行：</w:t>
      </w:r>
      <w:r>
        <w:rPr>
          <w:rFonts w:hint="eastAsia" w:hAnsi="宋体" w:cs="宋体"/>
          <w:color w:val="auto"/>
          <w:u w:val="single"/>
        </w:rPr>
        <w:t xml:space="preserve">                         </w:t>
      </w:r>
      <w:r>
        <w:rPr>
          <w:rFonts w:hint="eastAsia" w:hAnsi="宋体" w:cs="宋体"/>
          <w:color w:val="auto"/>
        </w:rPr>
        <w:t xml:space="preserve">  账号/行号：</w:t>
      </w:r>
      <w:r>
        <w:rPr>
          <w:rFonts w:hint="eastAsia" w:hAnsi="宋体" w:cs="宋体"/>
          <w:color w:val="auto"/>
          <w:u w:val="single"/>
        </w:rPr>
        <w:t xml:space="preserve">                       </w:t>
      </w:r>
    </w:p>
    <w:p w14:paraId="0417C67F">
      <w:pPr>
        <w:pStyle w:val="22"/>
        <w:spacing w:line="360" w:lineRule="auto"/>
        <w:ind w:firstLine="840"/>
        <w:rPr>
          <w:rFonts w:hint="eastAsia" w:hAnsi="宋体" w:cs="宋体"/>
          <w:color w:val="auto"/>
        </w:rPr>
      </w:pPr>
      <w:r>
        <w:rPr>
          <w:rFonts w:hint="eastAsia" w:hAnsi="宋体" w:cs="宋体"/>
          <w:color w:val="auto"/>
        </w:rPr>
        <w:t>电话/传真：</w:t>
      </w:r>
      <w:r>
        <w:rPr>
          <w:rFonts w:hint="eastAsia" w:hAnsi="宋体" w:cs="宋体"/>
          <w:color w:val="auto"/>
          <w:u w:val="single"/>
        </w:rPr>
        <w:t xml:space="preserve">                        </w:t>
      </w:r>
      <w:r>
        <w:rPr>
          <w:rFonts w:hint="eastAsia" w:hAnsi="宋体" w:cs="宋体"/>
          <w:color w:val="auto"/>
        </w:rPr>
        <w:t xml:space="preserve"> 电子函件：</w:t>
      </w:r>
      <w:r>
        <w:rPr>
          <w:rFonts w:hint="eastAsia" w:hAnsi="宋体" w:cs="宋体"/>
          <w:color w:val="auto"/>
          <w:u w:val="single"/>
        </w:rPr>
        <w:t xml:space="preserve">                         </w:t>
      </w:r>
    </w:p>
    <w:p w14:paraId="5EC5D96D">
      <w:pPr>
        <w:pStyle w:val="22"/>
        <w:spacing w:line="360" w:lineRule="auto"/>
        <w:ind w:firstLine="840"/>
        <w:rPr>
          <w:rFonts w:hint="eastAsia" w:hAnsi="宋体" w:cs="宋体"/>
          <w:color w:val="auto"/>
          <w:u w:val="single"/>
        </w:rPr>
      </w:pPr>
      <w:r>
        <w:rPr>
          <w:rFonts w:hint="eastAsia" w:hAnsi="宋体" w:cs="宋体"/>
          <w:color w:val="auto"/>
        </w:rPr>
        <w:t>日期：</w:t>
      </w:r>
      <w:r>
        <w:rPr>
          <w:rFonts w:hint="eastAsia" w:hAnsi="宋体" w:cs="宋体"/>
          <w:color w:val="auto"/>
          <w:u w:val="single"/>
        </w:rPr>
        <w:t xml:space="preserve">      </w:t>
      </w:r>
      <w:r>
        <w:rPr>
          <w:rFonts w:hint="eastAsia" w:hAnsi="宋体" w:cs="宋体"/>
          <w:color w:val="auto"/>
        </w:rPr>
        <w:t>年</w:t>
      </w:r>
      <w:r>
        <w:rPr>
          <w:rFonts w:hint="eastAsia" w:hAnsi="宋体" w:cs="宋体"/>
          <w:color w:val="auto"/>
          <w:u w:val="single"/>
        </w:rPr>
        <w:t xml:space="preserve">   </w:t>
      </w:r>
      <w:r>
        <w:rPr>
          <w:rFonts w:hint="eastAsia" w:hAnsi="宋体" w:cs="宋体"/>
          <w:color w:val="auto"/>
        </w:rPr>
        <w:t>月</w:t>
      </w:r>
      <w:r>
        <w:rPr>
          <w:rFonts w:hint="eastAsia" w:hAnsi="宋体" w:cs="宋体"/>
          <w:color w:val="auto"/>
          <w:u w:val="single"/>
        </w:rPr>
        <w:t xml:space="preserve">    </w:t>
      </w:r>
      <w:r>
        <w:rPr>
          <w:rFonts w:hint="eastAsia" w:hAnsi="宋体" w:cs="宋体"/>
          <w:color w:val="auto"/>
        </w:rPr>
        <w:t>日</w:t>
      </w:r>
    </w:p>
    <w:p w14:paraId="3F5E4684">
      <w:pPr>
        <w:pStyle w:val="22"/>
        <w:spacing w:line="360" w:lineRule="auto"/>
        <w:ind w:firstLine="840"/>
        <w:rPr>
          <w:rFonts w:hint="eastAsia" w:hAnsi="宋体" w:cs="宋体"/>
          <w:color w:val="auto"/>
          <w:u w:val="single"/>
        </w:rPr>
      </w:pPr>
      <w:r>
        <w:rPr>
          <w:rFonts w:hint="eastAsia" w:hAnsi="宋体" w:cs="宋体"/>
          <w:color w:val="auto"/>
        </w:rPr>
        <w:t>法定代表人或委托代理人（被授权人）签字或盖章：</w:t>
      </w:r>
      <w:r>
        <w:rPr>
          <w:rFonts w:hint="eastAsia" w:hAnsi="宋体" w:cs="宋体"/>
          <w:color w:val="auto"/>
          <w:u w:val="single"/>
        </w:rPr>
        <w:t xml:space="preserve">                       </w:t>
      </w:r>
    </w:p>
    <w:p w14:paraId="1F669A0A">
      <w:pPr>
        <w:pStyle w:val="22"/>
        <w:spacing w:line="360" w:lineRule="auto"/>
        <w:ind w:firstLine="840"/>
        <w:rPr>
          <w:rFonts w:hint="eastAsia" w:hAnsi="宋体" w:cs="宋体"/>
          <w:color w:val="auto"/>
        </w:rPr>
      </w:pPr>
      <w:r>
        <w:rPr>
          <w:rFonts w:hint="eastAsia" w:hAnsi="宋体" w:cs="宋体"/>
          <w:color w:val="auto"/>
        </w:rPr>
        <w:t>磋商供应商名称（电子签章）：</w:t>
      </w:r>
      <w:r>
        <w:rPr>
          <w:rFonts w:hint="eastAsia" w:hAnsi="宋体" w:cs="宋体"/>
          <w:color w:val="auto"/>
          <w:u w:val="single"/>
        </w:rPr>
        <w:t xml:space="preserve">                                                </w:t>
      </w:r>
    </w:p>
    <w:p w14:paraId="5B7DCB7E">
      <w:pPr>
        <w:spacing w:line="360" w:lineRule="auto"/>
        <w:jc w:val="center"/>
        <w:rPr>
          <w:rFonts w:hint="eastAsia" w:ascii="宋体" w:hAnsi="宋体" w:cs="宋体"/>
          <w:b/>
          <w:color w:val="auto"/>
          <w:sz w:val="32"/>
          <w:szCs w:val="32"/>
        </w:rPr>
      </w:pPr>
    </w:p>
    <w:p w14:paraId="65FB3A31">
      <w:pPr>
        <w:spacing w:line="360" w:lineRule="auto"/>
        <w:jc w:val="center"/>
        <w:rPr>
          <w:rFonts w:hint="eastAsia" w:ascii="宋体" w:hAnsi="宋体" w:cs="宋体"/>
          <w:b/>
          <w:color w:val="auto"/>
          <w:sz w:val="32"/>
          <w:szCs w:val="32"/>
        </w:rPr>
      </w:pPr>
      <w:r>
        <w:rPr>
          <w:rFonts w:hint="eastAsia" w:ascii="宋体" w:hAnsi="宋体" w:cs="宋体"/>
          <w:b/>
          <w:color w:val="auto"/>
          <w:sz w:val="32"/>
          <w:szCs w:val="32"/>
        </w:rPr>
        <w:br w:type="page"/>
      </w:r>
      <w:r>
        <w:rPr>
          <w:rFonts w:hint="eastAsia" w:ascii="宋体" w:hAnsi="宋体" w:cs="宋体"/>
          <w:b/>
          <w:color w:val="auto"/>
          <w:sz w:val="32"/>
          <w:szCs w:val="32"/>
        </w:rPr>
        <w:t>磋商声明书</w:t>
      </w:r>
    </w:p>
    <w:p w14:paraId="0033834D">
      <w:pPr>
        <w:snapToGrid w:val="0"/>
        <w:spacing w:before="120" w:beforeLines="50" w:after="50" w:line="360" w:lineRule="auto"/>
        <w:rPr>
          <w:rFonts w:hint="eastAsia" w:ascii="宋体" w:hAnsi="宋体" w:cs="宋体"/>
          <w:color w:val="auto"/>
          <w:szCs w:val="21"/>
        </w:rPr>
      </w:pPr>
      <w:r>
        <w:rPr>
          <w:rFonts w:hint="eastAsia" w:ascii="宋体" w:hAnsi="宋体" w:cs="宋体"/>
          <w:color w:val="auto"/>
          <w:szCs w:val="21"/>
        </w:rPr>
        <w:t>致：</w:t>
      </w:r>
      <w:r>
        <w:rPr>
          <w:rFonts w:hint="eastAsia" w:ascii="宋体" w:hAnsi="宋体" w:cs="宋体"/>
          <w:color w:val="auto"/>
          <w:szCs w:val="21"/>
          <w:u w:val="single"/>
        </w:rPr>
        <w:t>广西汉昌工程咨询有限公司</w:t>
      </w:r>
      <w:r>
        <w:rPr>
          <w:rFonts w:hint="eastAsia" w:ascii="宋体" w:hAnsi="宋体" w:cs="宋体"/>
          <w:color w:val="auto"/>
          <w:szCs w:val="21"/>
        </w:rPr>
        <w:t>：</w:t>
      </w:r>
    </w:p>
    <w:p w14:paraId="0EDE1744">
      <w:pPr>
        <w:snapToGrid w:val="0"/>
        <w:spacing w:before="120" w:beforeLines="50" w:after="50" w:line="360" w:lineRule="auto"/>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（供应商名称）系中华人民共和国合法企业，经营地址</w:t>
      </w:r>
      <w:r>
        <w:rPr>
          <w:rFonts w:hint="eastAsia" w:ascii="宋体" w:hAnsi="宋体" w:cs="宋体"/>
          <w:color w:val="auto"/>
          <w:szCs w:val="21"/>
          <w:u w:val="single"/>
        </w:rPr>
        <w:t xml:space="preserve">                  </w:t>
      </w:r>
      <w:r>
        <w:rPr>
          <w:rFonts w:hint="eastAsia" w:ascii="宋体" w:hAnsi="宋体" w:cs="宋体"/>
          <w:color w:val="auto"/>
          <w:szCs w:val="21"/>
        </w:rPr>
        <w:t>。</w:t>
      </w:r>
    </w:p>
    <w:p w14:paraId="054992FB">
      <w:pPr>
        <w:snapToGrid w:val="0"/>
        <w:spacing w:before="120" w:beforeLines="50" w:line="360" w:lineRule="auto"/>
        <w:ind w:firstLine="420" w:firstLineChars="200"/>
        <w:rPr>
          <w:rFonts w:hint="eastAsia" w:ascii="宋体" w:hAnsi="宋体" w:cs="宋体"/>
          <w:color w:val="auto"/>
          <w:szCs w:val="21"/>
        </w:rPr>
      </w:pPr>
      <w:r>
        <w:rPr>
          <w:rFonts w:hint="eastAsia" w:ascii="宋体" w:hAnsi="宋体" w:cs="宋体"/>
          <w:color w:val="auto"/>
          <w:szCs w:val="21"/>
        </w:rPr>
        <w:t>我</w:t>
      </w:r>
      <w:r>
        <w:rPr>
          <w:rFonts w:hint="eastAsia" w:ascii="宋体" w:hAnsi="宋体" w:cs="宋体"/>
          <w:color w:val="auto"/>
          <w:szCs w:val="21"/>
          <w:u w:val="single"/>
        </w:rPr>
        <w:t xml:space="preserve">                </w:t>
      </w:r>
      <w:r>
        <w:rPr>
          <w:rFonts w:hint="eastAsia" w:ascii="宋体" w:hAnsi="宋体" w:cs="宋体"/>
          <w:color w:val="auto"/>
          <w:szCs w:val="21"/>
        </w:rPr>
        <w:t>（姓名）系</w:t>
      </w:r>
      <w:r>
        <w:rPr>
          <w:rFonts w:hint="eastAsia" w:ascii="宋体" w:hAnsi="宋体" w:cs="宋体"/>
          <w:color w:val="auto"/>
          <w:szCs w:val="21"/>
          <w:u w:val="single"/>
        </w:rPr>
        <w:t xml:space="preserve">                </w:t>
      </w:r>
      <w:r>
        <w:rPr>
          <w:rFonts w:hint="eastAsia" w:ascii="宋体" w:hAnsi="宋体" w:cs="宋体"/>
          <w:color w:val="auto"/>
          <w:szCs w:val="21"/>
        </w:rPr>
        <w:t>（供应商名称）的法定代表人，我方愿意参加贵方组织的</w:t>
      </w:r>
      <w:r>
        <w:rPr>
          <w:rFonts w:hint="eastAsia" w:ascii="宋体" w:hAnsi="宋体" w:cs="宋体"/>
          <w:color w:val="auto"/>
          <w:szCs w:val="21"/>
          <w:u w:val="single"/>
        </w:rPr>
        <w:t xml:space="preserve">              </w:t>
      </w:r>
      <w:r>
        <w:rPr>
          <w:rFonts w:hint="eastAsia" w:ascii="宋体" w:hAnsi="宋体" w:cs="宋体"/>
          <w:color w:val="auto"/>
          <w:szCs w:val="21"/>
        </w:rPr>
        <w:t>项目的磋商活动，为便于贵方公正、择优地确定成交供应商及其竞标产品和服务，我方就本次磋商有关事项郑重声明如下：</w:t>
      </w:r>
    </w:p>
    <w:p w14:paraId="36C52521">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1.我方向贵方提交的所有响应文件、资料都是准确的和真实的。</w:t>
      </w:r>
    </w:p>
    <w:p w14:paraId="664B8724">
      <w:pPr>
        <w:snapToGrid w:val="0"/>
        <w:spacing w:before="120" w:beforeLines="50" w:line="360" w:lineRule="auto"/>
        <w:ind w:firstLine="420" w:firstLineChars="200"/>
        <w:rPr>
          <w:rFonts w:hint="eastAsia" w:ascii="宋体" w:hAnsi="宋体" w:cs="宋体"/>
          <w:color w:val="auto"/>
          <w:szCs w:val="21"/>
        </w:rPr>
      </w:pPr>
      <w:r>
        <w:rPr>
          <w:rFonts w:hint="eastAsia" w:ascii="宋体" w:hAnsi="宋体" w:cs="宋体"/>
          <w:color w:val="auto"/>
          <w:szCs w:val="21"/>
        </w:rPr>
        <w:t>2.我方不是采购人的附属机构；在获知本项目采购信息后，与采购人聘请的为此项目提供咨询服务的公司及其附属机构没有任何联系。</w:t>
      </w:r>
    </w:p>
    <w:p w14:paraId="0F753EF1">
      <w:pPr>
        <w:snapToGrid w:val="0"/>
        <w:spacing w:before="120" w:beforeLines="50" w:line="360" w:lineRule="auto"/>
        <w:ind w:firstLine="420" w:firstLineChars="200"/>
        <w:rPr>
          <w:rFonts w:hint="eastAsia" w:ascii="宋体" w:hAnsi="宋体" w:cs="宋体"/>
          <w:color w:val="auto"/>
          <w:szCs w:val="21"/>
        </w:rPr>
      </w:pPr>
      <w:r>
        <w:rPr>
          <w:rFonts w:hint="eastAsia" w:ascii="宋体" w:hAnsi="宋体" w:cs="宋体"/>
          <w:color w:val="auto"/>
          <w:szCs w:val="21"/>
        </w:rPr>
        <w:t>3.我方诚意提请贵方关注：近期有关该型号产品（货物）的生产、供货、售后服务以及性能等方面的重大决策和事项有：</w:t>
      </w:r>
    </w:p>
    <w:p w14:paraId="11996C9E">
      <w:pPr>
        <w:snapToGrid w:val="0"/>
        <w:spacing w:before="120" w:beforeLines="50"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　　　　　　　　　　　　　　　　　　　　　　　　　　　</w:t>
      </w:r>
    </w:p>
    <w:p w14:paraId="3098CBF4">
      <w:pPr>
        <w:snapToGrid w:val="0"/>
        <w:spacing w:before="120" w:beforeLines="50" w:line="360" w:lineRule="auto"/>
        <w:ind w:firstLine="420" w:firstLineChars="200"/>
        <w:rPr>
          <w:rFonts w:hint="eastAsia" w:ascii="宋体" w:hAnsi="宋体" w:cs="宋体"/>
          <w:color w:val="auto"/>
          <w:szCs w:val="21"/>
        </w:rPr>
      </w:pPr>
      <w:r>
        <w:rPr>
          <w:rFonts w:hint="eastAsia" w:ascii="宋体" w:hAnsi="宋体" w:cs="宋体"/>
          <w:color w:val="auto"/>
          <w:szCs w:val="21"/>
          <w:u w:val="single"/>
        </w:rPr>
        <w:t>　　　　　　　　　　　　　　　　　　　　　　　　　　　</w:t>
      </w:r>
    </w:p>
    <w:p w14:paraId="5D0E5209">
      <w:pPr>
        <w:pStyle w:val="19"/>
        <w:snapToGri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4. 以上事项如有虚假或隐瞒，我方愿意承担一切后果，并不再寻求任何旨在减轻或免除法律责任的辩解。</w:t>
      </w:r>
    </w:p>
    <w:p w14:paraId="2B6852A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 根据《中华人民共和国政府采购法实施条例》第五十条要求对政府采购合同进行公告，但政府采购合同中涉及国家秘密、商业秘密的内容除外。我方就对本次响应文件进行注明如下：（两项内容中必须选择一项）</w:t>
      </w:r>
    </w:p>
    <w:p w14:paraId="095F9E4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□我方本次响应文件</w:t>
      </w:r>
      <w:r>
        <w:rPr>
          <w:rFonts w:hint="eastAsia" w:ascii="宋体" w:hAnsi="宋体" w:cs="宋体"/>
          <w:color w:val="auto"/>
          <w:kern w:val="0"/>
          <w:szCs w:val="21"/>
        </w:rPr>
        <w:t>内容中</w:t>
      </w:r>
      <w:r>
        <w:rPr>
          <w:rFonts w:hint="eastAsia" w:ascii="宋体" w:hAnsi="宋体" w:cs="宋体"/>
          <w:color w:val="auto"/>
          <w:szCs w:val="21"/>
        </w:rPr>
        <w:t>未</w:t>
      </w:r>
      <w:r>
        <w:rPr>
          <w:rFonts w:hint="eastAsia" w:ascii="宋体" w:hAnsi="宋体" w:cs="宋体"/>
          <w:color w:val="auto"/>
          <w:kern w:val="0"/>
          <w:szCs w:val="21"/>
        </w:rPr>
        <w:t>涉及商业秘密；</w:t>
      </w:r>
    </w:p>
    <w:p w14:paraId="3D4ED74B">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□我方本次响应文件</w:t>
      </w:r>
      <w:r>
        <w:rPr>
          <w:rFonts w:hint="eastAsia" w:ascii="宋体" w:hAnsi="宋体" w:cs="宋体"/>
          <w:color w:val="auto"/>
          <w:kern w:val="0"/>
          <w:szCs w:val="21"/>
        </w:rPr>
        <w:t>涉及商业秘密的内容有：</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14:paraId="1B7AE22D">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6. 我方在此声明，我方及由本人担任法定代表人的其他机构在参加本项目的政府采购活动前三年内，在经营活动中没有重大违法记录，符合《中华人民共和国政府采购法》及《中华人民共和国政府采购实施条例》规定的供应商条件，我方对此声明负全部法律责任。</w:t>
      </w:r>
    </w:p>
    <w:p w14:paraId="2121FC35">
      <w:pPr>
        <w:pStyle w:val="21"/>
        <w:tabs>
          <w:tab w:val="left" w:pos="939"/>
        </w:tabs>
        <w:snapToGrid w:val="0"/>
        <w:spacing w:line="360" w:lineRule="auto"/>
        <w:ind w:left="849" w:leftChars="150" w:hanging="534" w:hangingChars="191"/>
        <w:rPr>
          <w:rFonts w:hint="eastAsia" w:ascii="宋体" w:hAnsi="宋体" w:cs="宋体"/>
          <w:color w:val="auto"/>
          <w:szCs w:val="21"/>
        </w:rPr>
      </w:pPr>
    </w:p>
    <w:p w14:paraId="3B815333">
      <w:pPr>
        <w:pStyle w:val="107"/>
        <w:snapToGrid w:val="0"/>
        <w:spacing w:before="120" w:beforeLines="50" w:line="360" w:lineRule="auto"/>
        <w:ind w:firstLine="200"/>
        <w:rPr>
          <w:rFonts w:hint="eastAsia" w:ascii="宋体" w:hAnsi="宋体" w:cs="宋体"/>
          <w:color w:val="auto"/>
          <w:sz w:val="21"/>
          <w:szCs w:val="21"/>
        </w:rPr>
      </w:pPr>
    </w:p>
    <w:p w14:paraId="5C9F873A">
      <w:pPr>
        <w:snapToGrid w:val="0"/>
        <w:spacing w:before="120" w:beforeLines="50" w:line="360" w:lineRule="auto"/>
        <w:ind w:right="480" w:firstLine="5628" w:firstLineChars="2680"/>
        <w:rPr>
          <w:rFonts w:hint="eastAsia" w:ascii="宋体" w:hAnsi="宋体" w:cs="宋体"/>
          <w:color w:val="auto"/>
          <w:szCs w:val="21"/>
          <w:u w:val="single"/>
        </w:rPr>
      </w:pPr>
      <w:r>
        <w:rPr>
          <w:rFonts w:hint="eastAsia" w:ascii="宋体" w:hAnsi="宋体" w:cs="宋体"/>
          <w:color w:val="auto"/>
          <w:szCs w:val="21"/>
        </w:rPr>
        <w:t>法定代表人签字或盖章：</w:t>
      </w:r>
      <w:r>
        <w:rPr>
          <w:rFonts w:hint="eastAsia" w:ascii="宋体" w:hAnsi="宋体" w:cs="宋体"/>
          <w:color w:val="auto"/>
          <w:szCs w:val="21"/>
          <w:u w:val="single"/>
        </w:rPr>
        <w:t xml:space="preserve">             </w:t>
      </w:r>
    </w:p>
    <w:p w14:paraId="0CFE6AD4">
      <w:pPr>
        <w:snapToGrid w:val="0"/>
        <w:spacing w:before="120" w:beforeLines="50" w:after="50" w:line="360" w:lineRule="auto"/>
        <w:ind w:right="480" w:firstLine="5670" w:firstLineChars="2700"/>
        <w:rPr>
          <w:rFonts w:hint="eastAsia" w:ascii="宋体" w:hAnsi="宋体" w:cs="宋体"/>
          <w:color w:val="auto"/>
          <w:szCs w:val="21"/>
        </w:rPr>
      </w:pPr>
      <w:r>
        <w:rPr>
          <w:rFonts w:hint="eastAsia" w:ascii="宋体" w:hAnsi="宋体" w:cs="宋体"/>
          <w:color w:val="auto"/>
          <w:szCs w:val="21"/>
        </w:rPr>
        <w:t>供应商（</w:t>
      </w:r>
      <w:r>
        <w:rPr>
          <w:rFonts w:hint="eastAsia" w:ascii="宋体" w:hAnsi="宋体" w:cs="宋体"/>
          <w:color w:val="auto"/>
        </w:rPr>
        <w:t>电子签章</w:t>
      </w:r>
      <w:r>
        <w:rPr>
          <w:rFonts w:hint="eastAsia" w:ascii="宋体" w:hAnsi="宋体" w:cs="宋体"/>
          <w:color w:val="auto"/>
          <w:szCs w:val="21"/>
        </w:rPr>
        <w:t>）：</w:t>
      </w:r>
      <w:r>
        <w:rPr>
          <w:rFonts w:hint="eastAsia" w:ascii="宋体" w:hAnsi="宋体" w:cs="宋体"/>
          <w:color w:val="auto"/>
          <w:szCs w:val="21"/>
          <w:u w:val="single"/>
        </w:rPr>
        <w:t xml:space="preserve">                 </w:t>
      </w:r>
    </w:p>
    <w:p w14:paraId="404DAA9B">
      <w:pPr>
        <w:snapToGrid w:val="0"/>
        <w:spacing w:before="120" w:beforeLines="50" w:after="50" w:line="360" w:lineRule="auto"/>
        <w:ind w:right="900" w:firstLine="210" w:firstLineChars="100"/>
        <w:jc w:val="right"/>
        <w:rPr>
          <w:rFonts w:hint="eastAsia" w:ascii="宋体" w:hAnsi="宋体" w:cs="宋体"/>
          <w:color w:val="auto"/>
          <w:szCs w:val="21"/>
        </w:rPr>
      </w:pPr>
      <w:r>
        <w:rPr>
          <w:rFonts w:hint="eastAsia" w:ascii="宋体" w:hAnsi="宋体" w:cs="宋体"/>
          <w:color w:val="auto"/>
        </w:rPr>
        <w:t>日期：</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p w14:paraId="795BD753">
      <w:pPr>
        <w:spacing w:line="360" w:lineRule="auto"/>
        <w:jc w:val="center"/>
        <w:rPr>
          <w:rFonts w:hint="eastAsia" w:ascii="宋体" w:hAnsi="宋体" w:cs="宋体"/>
          <w:b/>
          <w:color w:val="auto"/>
          <w:sz w:val="32"/>
          <w:szCs w:val="32"/>
        </w:rPr>
      </w:pPr>
      <w:r>
        <w:rPr>
          <w:rFonts w:hint="eastAsia" w:ascii="宋体" w:hAnsi="宋体" w:cs="宋体"/>
          <w:b/>
          <w:color w:val="auto"/>
          <w:sz w:val="32"/>
          <w:szCs w:val="32"/>
        </w:rPr>
        <w:br w:type="page"/>
      </w:r>
      <w:r>
        <w:rPr>
          <w:rFonts w:hint="eastAsia" w:ascii="宋体" w:hAnsi="宋体" w:cs="宋体"/>
          <w:b/>
          <w:color w:val="auto"/>
          <w:sz w:val="32"/>
          <w:szCs w:val="32"/>
        </w:rPr>
        <w:t>2.报价表</w:t>
      </w:r>
    </w:p>
    <w:p w14:paraId="2DD26BEB">
      <w:pPr>
        <w:spacing w:line="360" w:lineRule="auto"/>
        <w:rPr>
          <w:rFonts w:hint="eastAsia" w:ascii="宋体" w:hAnsi="宋体" w:cs="宋体"/>
          <w:color w:val="auto"/>
          <w:szCs w:val="21"/>
          <w:u w:val="single"/>
        </w:rPr>
      </w:pPr>
      <w:r>
        <w:rPr>
          <w:rFonts w:hint="eastAsia" w:ascii="宋体" w:hAnsi="宋体" w:cs="宋体"/>
          <w:color w:val="auto"/>
          <w:szCs w:val="21"/>
        </w:rPr>
        <w:t>采购项目名称:</w:t>
      </w:r>
      <w:r>
        <w:rPr>
          <w:rFonts w:hint="eastAsia" w:ascii="宋体" w:hAnsi="宋体" w:cs="宋体"/>
          <w:color w:val="auto"/>
          <w:szCs w:val="21"/>
          <w:u w:val="single"/>
        </w:rPr>
        <w:t xml:space="preserve">                 </w:t>
      </w:r>
    </w:p>
    <w:p w14:paraId="47790B38">
      <w:pPr>
        <w:spacing w:line="360" w:lineRule="auto"/>
        <w:rPr>
          <w:rFonts w:hint="eastAsia" w:ascii="宋体" w:hAnsi="宋体" w:cs="宋体"/>
          <w:color w:val="auto"/>
          <w:szCs w:val="21"/>
        </w:rPr>
      </w:pPr>
      <w:r>
        <w:rPr>
          <w:rFonts w:hint="eastAsia" w:ascii="宋体" w:hAnsi="宋体" w:cs="宋体"/>
          <w:color w:val="auto"/>
          <w:szCs w:val="21"/>
        </w:rPr>
        <w:t>采购项目编号:</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647CB57D">
      <w:pPr>
        <w:spacing w:line="360" w:lineRule="auto"/>
        <w:rPr>
          <w:rFonts w:hint="eastAsia" w:ascii="宋体" w:hAnsi="宋体" w:cs="宋体"/>
          <w:color w:val="auto"/>
          <w:szCs w:val="21"/>
        </w:rPr>
      </w:pPr>
      <w:r>
        <w:rPr>
          <w:rFonts w:hint="eastAsia" w:ascii="宋体" w:hAnsi="宋体" w:cs="宋体"/>
          <w:color w:val="auto"/>
          <w:szCs w:val="21"/>
        </w:rPr>
        <w:t xml:space="preserve">分标号（如有）: </w:t>
      </w:r>
      <w:r>
        <w:rPr>
          <w:rFonts w:hint="eastAsia" w:ascii="宋体" w:hAnsi="宋体" w:cs="宋体"/>
          <w:color w:val="auto"/>
          <w:szCs w:val="21"/>
          <w:u w:val="single"/>
        </w:rPr>
        <w:t xml:space="preserve">                 </w:t>
      </w:r>
      <w:r>
        <w:rPr>
          <w:rFonts w:hint="eastAsia" w:ascii="宋体" w:hAnsi="宋体" w:cs="宋体"/>
          <w:color w:val="auto"/>
          <w:szCs w:val="21"/>
        </w:rPr>
        <w:t xml:space="preserve">                   </w:t>
      </w:r>
    </w:p>
    <w:tbl>
      <w:tblPr>
        <w:tblStyle w:val="40"/>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088"/>
        <w:gridCol w:w="1008"/>
        <w:gridCol w:w="908"/>
        <w:gridCol w:w="2609"/>
        <w:gridCol w:w="885"/>
        <w:gridCol w:w="1528"/>
        <w:gridCol w:w="1072"/>
      </w:tblGrid>
      <w:tr w14:paraId="6632E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6" w:hRule="atLeast"/>
          <w:jc w:val="center"/>
        </w:trPr>
        <w:tc>
          <w:tcPr>
            <w:tcW w:w="478" w:type="dxa"/>
            <w:tcBorders>
              <w:bottom w:val="single" w:color="auto" w:sz="4" w:space="0"/>
            </w:tcBorders>
            <w:noWrap w:val="0"/>
            <w:vAlign w:val="center"/>
          </w:tcPr>
          <w:p w14:paraId="251D4116">
            <w:pPr>
              <w:pStyle w:val="22"/>
              <w:spacing w:line="360" w:lineRule="auto"/>
              <w:jc w:val="center"/>
              <w:rPr>
                <w:rFonts w:hint="eastAsia" w:hAnsi="宋体" w:cs="宋体"/>
                <w:color w:val="auto"/>
                <w:spacing w:val="-20"/>
              </w:rPr>
            </w:pPr>
            <w:r>
              <w:rPr>
                <w:rFonts w:hint="eastAsia" w:hAnsi="宋体" w:cs="宋体"/>
                <w:color w:val="auto"/>
                <w:spacing w:val="-20"/>
              </w:rPr>
              <w:t>序号</w:t>
            </w:r>
          </w:p>
        </w:tc>
        <w:tc>
          <w:tcPr>
            <w:tcW w:w="1088" w:type="dxa"/>
            <w:tcBorders>
              <w:bottom w:val="single" w:color="auto" w:sz="4" w:space="0"/>
            </w:tcBorders>
            <w:noWrap w:val="0"/>
            <w:vAlign w:val="center"/>
          </w:tcPr>
          <w:p w14:paraId="363260C7">
            <w:pPr>
              <w:tabs>
                <w:tab w:val="left" w:pos="180"/>
                <w:tab w:val="left" w:pos="1620"/>
              </w:tabs>
              <w:spacing w:line="360" w:lineRule="auto"/>
              <w:jc w:val="center"/>
              <w:rPr>
                <w:rFonts w:hint="eastAsia" w:ascii="宋体" w:hAnsi="宋体" w:cs="宋体"/>
                <w:color w:val="auto"/>
                <w:szCs w:val="21"/>
              </w:rPr>
            </w:pPr>
            <w:r>
              <w:rPr>
                <w:rFonts w:hint="eastAsia" w:ascii="宋体" w:hAnsi="宋体" w:cs="宋体"/>
                <w:color w:val="auto"/>
                <w:szCs w:val="21"/>
              </w:rPr>
              <w:t>服务内容</w:t>
            </w:r>
          </w:p>
        </w:tc>
        <w:tc>
          <w:tcPr>
            <w:tcW w:w="1008" w:type="dxa"/>
            <w:tcBorders>
              <w:bottom w:val="single" w:color="auto" w:sz="4" w:space="0"/>
            </w:tcBorders>
            <w:noWrap w:val="0"/>
            <w:vAlign w:val="center"/>
          </w:tcPr>
          <w:p w14:paraId="229DC412">
            <w:pPr>
              <w:tabs>
                <w:tab w:val="left" w:pos="180"/>
                <w:tab w:val="left" w:pos="1620"/>
              </w:tabs>
              <w:spacing w:line="360" w:lineRule="auto"/>
              <w:jc w:val="center"/>
              <w:rPr>
                <w:rFonts w:hint="eastAsia" w:ascii="宋体" w:hAnsi="宋体" w:cs="宋体"/>
                <w:color w:val="auto"/>
                <w:szCs w:val="21"/>
              </w:rPr>
            </w:pPr>
            <w:r>
              <w:rPr>
                <w:rFonts w:hint="eastAsia" w:ascii="宋体" w:hAnsi="宋体" w:cs="宋体"/>
                <w:color w:val="auto"/>
                <w:szCs w:val="21"/>
              </w:rPr>
              <w:t>数量</w:t>
            </w:r>
            <w:r>
              <w:rPr>
                <w:rFonts w:hint="eastAsia" w:ascii="宋体" w:hAnsi="宋体" w:cs="宋体"/>
                <w:color w:val="auto"/>
              </w:rPr>
              <w:t>①</w:t>
            </w:r>
          </w:p>
        </w:tc>
        <w:tc>
          <w:tcPr>
            <w:tcW w:w="908" w:type="dxa"/>
            <w:tcBorders>
              <w:bottom w:val="single" w:color="auto" w:sz="4" w:space="0"/>
            </w:tcBorders>
            <w:noWrap w:val="0"/>
            <w:vAlign w:val="center"/>
          </w:tcPr>
          <w:p w14:paraId="2BAA9BD4">
            <w:pPr>
              <w:tabs>
                <w:tab w:val="left" w:pos="180"/>
                <w:tab w:val="left" w:pos="1620"/>
              </w:tabs>
              <w:spacing w:line="360" w:lineRule="auto"/>
              <w:jc w:val="center"/>
              <w:rPr>
                <w:rFonts w:hint="eastAsia" w:ascii="宋体" w:hAnsi="宋体" w:cs="宋体"/>
                <w:color w:val="auto"/>
                <w:szCs w:val="21"/>
              </w:rPr>
            </w:pPr>
            <w:r>
              <w:rPr>
                <w:rFonts w:hint="eastAsia" w:ascii="宋体" w:hAnsi="宋体" w:cs="宋体"/>
                <w:color w:val="auto"/>
                <w:szCs w:val="21"/>
              </w:rPr>
              <w:t>单位</w:t>
            </w:r>
          </w:p>
        </w:tc>
        <w:tc>
          <w:tcPr>
            <w:tcW w:w="2609" w:type="dxa"/>
            <w:tcBorders>
              <w:bottom w:val="single" w:color="auto" w:sz="4" w:space="0"/>
            </w:tcBorders>
            <w:noWrap w:val="0"/>
            <w:vAlign w:val="center"/>
          </w:tcPr>
          <w:p w14:paraId="20780CAA">
            <w:pPr>
              <w:tabs>
                <w:tab w:val="left" w:pos="180"/>
                <w:tab w:val="left" w:pos="1620"/>
              </w:tabs>
              <w:spacing w:line="360" w:lineRule="auto"/>
              <w:jc w:val="center"/>
              <w:rPr>
                <w:rFonts w:hint="eastAsia" w:ascii="宋体" w:hAnsi="宋体" w:cs="宋体"/>
                <w:color w:val="auto"/>
                <w:szCs w:val="21"/>
              </w:rPr>
            </w:pPr>
            <w:r>
              <w:rPr>
                <w:rFonts w:hint="eastAsia" w:ascii="宋体" w:hAnsi="宋体" w:cs="宋体"/>
                <w:color w:val="auto"/>
                <w:szCs w:val="21"/>
              </w:rPr>
              <w:t>服务参数</w:t>
            </w:r>
          </w:p>
        </w:tc>
        <w:tc>
          <w:tcPr>
            <w:tcW w:w="885" w:type="dxa"/>
            <w:tcBorders>
              <w:bottom w:val="single" w:color="auto" w:sz="4" w:space="0"/>
            </w:tcBorders>
            <w:noWrap w:val="0"/>
            <w:vAlign w:val="center"/>
          </w:tcPr>
          <w:p w14:paraId="1F7EC914">
            <w:pPr>
              <w:tabs>
                <w:tab w:val="left" w:pos="180"/>
                <w:tab w:val="left" w:pos="1620"/>
              </w:tabs>
              <w:spacing w:line="360" w:lineRule="auto"/>
              <w:jc w:val="center"/>
              <w:rPr>
                <w:rFonts w:hint="eastAsia" w:ascii="宋体" w:hAnsi="宋体" w:cs="宋体"/>
                <w:color w:val="auto"/>
                <w:szCs w:val="21"/>
              </w:rPr>
            </w:pPr>
            <w:r>
              <w:rPr>
                <w:rFonts w:hint="eastAsia" w:ascii="宋体" w:hAnsi="宋体" w:cs="宋体"/>
                <w:color w:val="auto"/>
                <w:szCs w:val="21"/>
              </w:rPr>
              <w:t>单价</w:t>
            </w:r>
            <w:r>
              <w:rPr>
                <w:rFonts w:hint="eastAsia" w:ascii="宋体" w:hAnsi="宋体" w:cs="宋体"/>
                <w:color w:val="auto"/>
              </w:rPr>
              <w:t>②</w:t>
            </w:r>
          </w:p>
        </w:tc>
        <w:tc>
          <w:tcPr>
            <w:tcW w:w="1528" w:type="dxa"/>
            <w:tcBorders>
              <w:bottom w:val="single" w:color="auto" w:sz="4" w:space="0"/>
            </w:tcBorders>
            <w:noWrap w:val="0"/>
            <w:vAlign w:val="center"/>
          </w:tcPr>
          <w:p w14:paraId="251C6199">
            <w:pPr>
              <w:pStyle w:val="22"/>
              <w:spacing w:line="360" w:lineRule="auto"/>
              <w:jc w:val="center"/>
              <w:rPr>
                <w:rFonts w:hint="eastAsia" w:hAnsi="宋体" w:cs="宋体"/>
                <w:color w:val="auto"/>
              </w:rPr>
            </w:pPr>
            <w:r>
              <w:rPr>
                <w:rFonts w:hint="eastAsia" w:hAnsi="宋体" w:cs="宋体"/>
                <w:color w:val="auto"/>
              </w:rPr>
              <w:t>单项合价</w:t>
            </w:r>
          </w:p>
          <w:p w14:paraId="4FF3B65B">
            <w:pPr>
              <w:pStyle w:val="22"/>
              <w:spacing w:line="360" w:lineRule="auto"/>
              <w:jc w:val="center"/>
              <w:rPr>
                <w:rFonts w:hint="eastAsia" w:hAnsi="宋体" w:cs="宋体"/>
                <w:color w:val="auto"/>
              </w:rPr>
            </w:pPr>
            <w:r>
              <w:rPr>
                <w:rFonts w:hint="eastAsia" w:hAnsi="宋体" w:cs="宋体"/>
                <w:color w:val="auto"/>
              </w:rPr>
              <w:t>（元）</w:t>
            </w:r>
          </w:p>
          <w:p w14:paraId="4462FC9F">
            <w:pPr>
              <w:pStyle w:val="22"/>
              <w:spacing w:line="360" w:lineRule="auto"/>
              <w:jc w:val="center"/>
              <w:rPr>
                <w:rFonts w:hint="eastAsia" w:hAnsi="宋体" w:cs="宋体"/>
                <w:color w:val="auto"/>
              </w:rPr>
            </w:pPr>
            <w:r>
              <w:rPr>
                <w:rFonts w:hint="eastAsia" w:hAnsi="宋体" w:cs="宋体"/>
                <w:color w:val="auto"/>
              </w:rPr>
              <w:t>③=①×②</w:t>
            </w:r>
          </w:p>
        </w:tc>
        <w:tc>
          <w:tcPr>
            <w:tcW w:w="1072" w:type="dxa"/>
            <w:tcBorders>
              <w:bottom w:val="single" w:color="auto" w:sz="4" w:space="0"/>
            </w:tcBorders>
            <w:noWrap w:val="0"/>
            <w:vAlign w:val="center"/>
          </w:tcPr>
          <w:p w14:paraId="72EA6DA1">
            <w:pPr>
              <w:pStyle w:val="22"/>
              <w:spacing w:line="360" w:lineRule="auto"/>
              <w:jc w:val="center"/>
              <w:rPr>
                <w:rFonts w:hint="eastAsia" w:hAnsi="宋体" w:cs="宋体"/>
                <w:color w:val="auto"/>
              </w:rPr>
            </w:pPr>
            <w:r>
              <w:rPr>
                <w:rFonts w:hint="eastAsia" w:hAnsi="宋体" w:cs="宋体"/>
                <w:color w:val="auto"/>
              </w:rPr>
              <w:t>备注</w:t>
            </w:r>
          </w:p>
        </w:tc>
      </w:tr>
      <w:tr w14:paraId="10ADE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478" w:type="dxa"/>
            <w:noWrap w:val="0"/>
            <w:vAlign w:val="center"/>
          </w:tcPr>
          <w:p w14:paraId="20B43E83">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088" w:type="dxa"/>
            <w:noWrap w:val="0"/>
            <w:vAlign w:val="center"/>
          </w:tcPr>
          <w:p w14:paraId="367D7320">
            <w:pPr>
              <w:spacing w:line="360" w:lineRule="auto"/>
              <w:jc w:val="center"/>
              <w:rPr>
                <w:rFonts w:hint="eastAsia" w:ascii="宋体" w:hAnsi="宋体" w:cs="宋体"/>
                <w:color w:val="auto"/>
              </w:rPr>
            </w:pPr>
          </w:p>
        </w:tc>
        <w:tc>
          <w:tcPr>
            <w:tcW w:w="1008" w:type="dxa"/>
            <w:noWrap w:val="0"/>
            <w:vAlign w:val="center"/>
          </w:tcPr>
          <w:p w14:paraId="2143D336">
            <w:pPr>
              <w:pStyle w:val="22"/>
              <w:spacing w:line="360" w:lineRule="auto"/>
              <w:rPr>
                <w:rFonts w:hint="eastAsia" w:hAnsi="宋体" w:cs="宋体"/>
                <w:color w:val="auto"/>
              </w:rPr>
            </w:pPr>
          </w:p>
        </w:tc>
        <w:tc>
          <w:tcPr>
            <w:tcW w:w="908" w:type="dxa"/>
            <w:noWrap w:val="0"/>
            <w:vAlign w:val="center"/>
          </w:tcPr>
          <w:p w14:paraId="32E7C302">
            <w:pPr>
              <w:pStyle w:val="22"/>
              <w:spacing w:line="360" w:lineRule="auto"/>
              <w:rPr>
                <w:rFonts w:hint="eastAsia" w:hAnsi="宋体" w:cs="宋体"/>
                <w:color w:val="auto"/>
              </w:rPr>
            </w:pPr>
          </w:p>
        </w:tc>
        <w:tc>
          <w:tcPr>
            <w:tcW w:w="2609" w:type="dxa"/>
            <w:noWrap w:val="0"/>
            <w:vAlign w:val="center"/>
          </w:tcPr>
          <w:p w14:paraId="46896BD2">
            <w:pPr>
              <w:pStyle w:val="22"/>
              <w:spacing w:line="360" w:lineRule="auto"/>
              <w:rPr>
                <w:rFonts w:hint="eastAsia" w:hAnsi="宋体" w:cs="宋体"/>
                <w:color w:val="auto"/>
              </w:rPr>
            </w:pPr>
          </w:p>
        </w:tc>
        <w:tc>
          <w:tcPr>
            <w:tcW w:w="885" w:type="dxa"/>
            <w:noWrap w:val="0"/>
            <w:vAlign w:val="center"/>
          </w:tcPr>
          <w:p w14:paraId="26FFBCDF">
            <w:pPr>
              <w:pStyle w:val="22"/>
              <w:spacing w:line="360" w:lineRule="auto"/>
              <w:rPr>
                <w:rFonts w:hint="eastAsia" w:hAnsi="宋体" w:cs="宋体"/>
                <w:color w:val="auto"/>
              </w:rPr>
            </w:pPr>
          </w:p>
        </w:tc>
        <w:tc>
          <w:tcPr>
            <w:tcW w:w="1528" w:type="dxa"/>
            <w:noWrap w:val="0"/>
            <w:vAlign w:val="center"/>
          </w:tcPr>
          <w:p w14:paraId="33F3A6CE">
            <w:pPr>
              <w:pStyle w:val="22"/>
              <w:spacing w:line="360" w:lineRule="auto"/>
              <w:rPr>
                <w:rFonts w:hint="eastAsia" w:hAnsi="宋体" w:cs="宋体"/>
                <w:color w:val="auto"/>
              </w:rPr>
            </w:pPr>
          </w:p>
        </w:tc>
        <w:tc>
          <w:tcPr>
            <w:tcW w:w="1072" w:type="dxa"/>
            <w:noWrap w:val="0"/>
            <w:vAlign w:val="center"/>
          </w:tcPr>
          <w:p w14:paraId="6516B86D">
            <w:pPr>
              <w:pStyle w:val="22"/>
              <w:spacing w:line="360" w:lineRule="auto"/>
              <w:rPr>
                <w:rFonts w:hint="eastAsia" w:hAnsi="宋体" w:cs="宋体"/>
                <w:color w:val="auto"/>
                <w:spacing w:val="-6"/>
              </w:rPr>
            </w:pPr>
          </w:p>
        </w:tc>
      </w:tr>
      <w:tr w14:paraId="513D1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478" w:type="dxa"/>
            <w:noWrap w:val="0"/>
            <w:vAlign w:val="center"/>
          </w:tcPr>
          <w:p w14:paraId="46C8CA93">
            <w:pPr>
              <w:spacing w:line="360" w:lineRule="auto"/>
              <w:jc w:val="center"/>
              <w:rPr>
                <w:rFonts w:hint="eastAsia" w:ascii="宋体" w:hAnsi="宋体" w:cs="宋体"/>
                <w:color w:val="auto"/>
                <w:sz w:val="24"/>
              </w:rPr>
            </w:pPr>
            <w:r>
              <w:rPr>
                <w:rFonts w:hint="eastAsia" w:ascii="宋体" w:hAnsi="宋体" w:cs="宋体"/>
                <w:color w:val="auto"/>
                <w:sz w:val="24"/>
              </w:rPr>
              <w:t>…</w:t>
            </w:r>
          </w:p>
        </w:tc>
        <w:tc>
          <w:tcPr>
            <w:tcW w:w="1088" w:type="dxa"/>
            <w:noWrap w:val="0"/>
            <w:vAlign w:val="center"/>
          </w:tcPr>
          <w:p w14:paraId="46CE7F08">
            <w:pPr>
              <w:spacing w:line="360" w:lineRule="auto"/>
              <w:jc w:val="center"/>
              <w:rPr>
                <w:rFonts w:hint="eastAsia" w:ascii="宋体" w:hAnsi="宋体" w:cs="宋体"/>
                <w:color w:val="auto"/>
              </w:rPr>
            </w:pPr>
          </w:p>
        </w:tc>
        <w:tc>
          <w:tcPr>
            <w:tcW w:w="1008" w:type="dxa"/>
            <w:noWrap w:val="0"/>
            <w:vAlign w:val="center"/>
          </w:tcPr>
          <w:p w14:paraId="403B2D96">
            <w:pPr>
              <w:pStyle w:val="22"/>
              <w:spacing w:line="360" w:lineRule="auto"/>
              <w:rPr>
                <w:rFonts w:hint="eastAsia" w:hAnsi="宋体" w:cs="宋体"/>
                <w:color w:val="auto"/>
              </w:rPr>
            </w:pPr>
          </w:p>
        </w:tc>
        <w:tc>
          <w:tcPr>
            <w:tcW w:w="908" w:type="dxa"/>
            <w:noWrap w:val="0"/>
            <w:vAlign w:val="center"/>
          </w:tcPr>
          <w:p w14:paraId="3F3774B7">
            <w:pPr>
              <w:pStyle w:val="22"/>
              <w:spacing w:line="360" w:lineRule="auto"/>
              <w:rPr>
                <w:rFonts w:hint="eastAsia" w:hAnsi="宋体" w:cs="宋体"/>
                <w:color w:val="auto"/>
              </w:rPr>
            </w:pPr>
          </w:p>
        </w:tc>
        <w:tc>
          <w:tcPr>
            <w:tcW w:w="2609" w:type="dxa"/>
            <w:noWrap w:val="0"/>
            <w:vAlign w:val="center"/>
          </w:tcPr>
          <w:p w14:paraId="4651C20D">
            <w:pPr>
              <w:pStyle w:val="22"/>
              <w:spacing w:line="360" w:lineRule="auto"/>
              <w:rPr>
                <w:rFonts w:hint="eastAsia" w:hAnsi="宋体" w:cs="宋体"/>
                <w:color w:val="auto"/>
              </w:rPr>
            </w:pPr>
          </w:p>
        </w:tc>
        <w:tc>
          <w:tcPr>
            <w:tcW w:w="885" w:type="dxa"/>
            <w:noWrap w:val="0"/>
            <w:vAlign w:val="center"/>
          </w:tcPr>
          <w:p w14:paraId="459446A4">
            <w:pPr>
              <w:pStyle w:val="22"/>
              <w:spacing w:line="360" w:lineRule="auto"/>
              <w:rPr>
                <w:rFonts w:hint="eastAsia" w:hAnsi="宋体" w:cs="宋体"/>
                <w:color w:val="auto"/>
              </w:rPr>
            </w:pPr>
          </w:p>
        </w:tc>
        <w:tc>
          <w:tcPr>
            <w:tcW w:w="1528" w:type="dxa"/>
            <w:noWrap w:val="0"/>
            <w:vAlign w:val="center"/>
          </w:tcPr>
          <w:p w14:paraId="1319881F">
            <w:pPr>
              <w:pStyle w:val="22"/>
              <w:spacing w:line="360" w:lineRule="auto"/>
              <w:rPr>
                <w:rFonts w:hint="eastAsia" w:hAnsi="宋体" w:cs="宋体"/>
                <w:color w:val="auto"/>
              </w:rPr>
            </w:pPr>
          </w:p>
        </w:tc>
        <w:tc>
          <w:tcPr>
            <w:tcW w:w="1072" w:type="dxa"/>
            <w:noWrap w:val="0"/>
            <w:vAlign w:val="center"/>
          </w:tcPr>
          <w:p w14:paraId="21A0D743">
            <w:pPr>
              <w:pStyle w:val="22"/>
              <w:spacing w:line="360" w:lineRule="auto"/>
              <w:rPr>
                <w:rFonts w:hint="eastAsia" w:hAnsi="宋体" w:cs="宋体"/>
                <w:color w:val="auto"/>
                <w:spacing w:val="-6"/>
              </w:rPr>
            </w:pPr>
          </w:p>
        </w:tc>
      </w:tr>
      <w:tr w14:paraId="5FB56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478" w:type="dxa"/>
            <w:noWrap w:val="0"/>
            <w:vAlign w:val="center"/>
          </w:tcPr>
          <w:p w14:paraId="76311BB8">
            <w:pPr>
              <w:spacing w:line="360" w:lineRule="auto"/>
              <w:jc w:val="center"/>
              <w:rPr>
                <w:rFonts w:hint="eastAsia" w:ascii="宋体" w:hAnsi="宋体" w:cs="宋体"/>
                <w:color w:val="auto"/>
                <w:sz w:val="24"/>
              </w:rPr>
            </w:pPr>
            <w:r>
              <w:rPr>
                <w:rFonts w:hint="eastAsia" w:ascii="宋体" w:hAnsi="宋体" w:cs="宋体"/>
                <w:color w:val="auto"/>
                <w:sz w:val="24"/>
              </w:rPr>
              <w:t>N</w:t>
            </w:r>
          </w:p>
        </w:tc>
        <w:tc>
          <w:tcPr>
            <w:tcW w:w="1088" w:type="dxa"/>
            <w:noWrap w:val="0"/>
            <w:vAlign w:val="center"/>
          </w:tcPr>
          <w:p w14:paraId="033BED2A">
            <w:pPr>
              <w:spacing w:line="360" w:lineRule="auto"/>
              <w:jc w:val="center"/>
              <w:rPr>
                <w:rFonts w:hint="eastAsia" w:ascii="宋体" w:hAnsi="宋体" w:cs="宋体"/>
                <w:color w:val="auto"/>
              </w:rPr>
            </w:pPr>
          </w:p>
        </w:tc>
        <w:tc>
          <w:tcPr>
            <w:tcW w:w="1008" w:type="dxa"/>
            <w:noWrap w:val="0"/>
            <w:vAlign w:val="center"/>
          </w:tcPr>
          <w:p w14:paraId="2332B963">
            <w:pPr>
              <w:pStyle w:val="22"/>
              <w:spacing w:line="360" w:lineRule="auto"/>
              <w:rPr>
                <w:rFonts w:hint="eastAsia" w:hAnsi="宋体" w:cs="宋体"/>
                <w:color w:val="auto"/>
              </w:rPr>
            </w:pPr>
          </w:p>
        </w:tc>
        <w:tc>
          <w:tcPr>
            <w:tcW w:w="908" w:type="dxa"/>
            <w:noWrap w:val="0"/>
            <w:vAlign w:val="center"/>
          </w:tcPr>
          <w:p w14:paraId="74A49B6E">
            <w:pPr>
              <w:pStyle w:val="22"/>
              <w:spacing w:line="360" w:lineRule="auto"/>
              <w:rPr>
                <w:rFonts w:hint="eastAsia" w:hAnsi="宋体" w:cs="宋体"/>
                <w:color w:val="auto"/>
              </w:rPr>
            </w:pPr>
          </w:p>
        </w:tc>
        <w:tc>
          <w:tcPr>
            <w:tcW w:w="2609" w:type="dxa"/>
            <w:noWrap w:val="0"/>
            <w:vAlign w:val="center"/>
          </w:tcPr>
          <w:p w14:paraId="71C2A65A">
            <w:pPr>
              <w:pStyle w:val="22"/>
              <w:spacing w:line="360" w:lineRule="auto"/>
              <w:rPr>
                <w:rFonts w:hint="eastAsia" w:hAnsi="宋体" w:cs="宋体"/>
                <w:color w:val="auto"/>
              </w:rPr>
            </w:pPr>
          </w:p>
        </w:tc>
        <w:tc>
          <w:tcPr>
            <w:tcW w:w="885" w:type="dxa"/>
            <w:noWrap w:val="0"/>
            <w:vAlign w:val="center"/>
          </w:tcPr>
          <w:p w14:paraId="6D581F3B">
            <w:pPr>
              <w:pStyle w:val="22"/>
              <w:spacing w:line="360" w:lineRule="auto"/>
              <w:rPr>
                <w:rFonts w:hint="eastAsia" w:hAnsi="宋体" w:cs="宋体"/>
                <w:color w:val="auto"/>
              </w:rPr>
            </w:pPr>
          </w:p>
        </w:tc>
        <w:tc>
          <w:tcPr>
            <w:tcW w:w="1528" w:type="dxa"/>
            <w:noWrap w:val="0"/>
            <w:vAlign w:val="center"/>
          </w:tcPr>
          <w:p w14:paraId="2C8F5C6D">
            <w:pPr>
              <w:pStyle w:val="22"/>
              <w:spacing w:line="360" w:lineRule="auto"/>
              <w:rPr>
                <w:rFonts w:hint="eastAsia" w:hAnsi="宋体" w:cs="宋体"/>
                <w:color w:val="auto"/>
              </w:rPr>
            </w:pPr>
          </w:p>
        </w:tc>
        <w:tc>
          <w:tcPr>
            <w:tcW w:w="1072" w:type="dxa"/>
            <w:noWrap w:val="0"/>
            <w:vAlign w:val="center"/>
          </w:tcPr>
          <w:p w14:paraId="0FE49B3E">
            <w:pPr>
              <w:pStyle w:val="22"/>
              <w:spacing w:line="360" w:lineRule="auto"/>
              <w:rPr>
                <w:rFonts w:hint="eastAsia" w:hAnsi="宋体" w:cs="宋体"/>
                <w:color w:val="auto"/>
                <w:spacing w:val="-6"/>
              </w:rPr>
            </w:pPr>
          </w:p>
        </w:tc>
      </w:tr>
    </w:tbl>
    <w:p w14:paraId="5E93FE84">
      <w:pPr>
        <w:spacing w:line="360" w:lineRule="auto"/>
        <w:rPr>
          <w:rFonts w:hint="eastAsia" w:ascii="宋体" w:hAnsi="宋体" w:cs="宋体"/>
          <w:color w:val="auto"/>
          <w:szCs w:val="21"/>
        </w:rPr>
      </w:pPr>
      <w:r>
        <w:rPr>
          <w:rFonts w:hint="eastAsia" w:ascii="宋体" w:hAnsi="宋体" w:cs="宋体"/>
          <w:color w:val="auto"/>
          <w:szCs w:val="21"/>
        </w:rPr>
        <w:t>注：1、所有价格均用人民币表示，单位为元，精确到小数点后两位数。</w:t>
      </w:r>
    </w:p>
    <w:p w14:paraId="315E7AC8">
      <w:pPr>
        <w:spacing w:line="360" w:lineRule="auto"/>
        <w:ind w:firstLine="411" w:firstLineChars="196"/>
        <w:rPr>
          <w:rFonts w:hint="eastAsia" w:ascii="宋体" w:hAnsi="宋体" w:cs="宋体"/>
          <w:bCs/>
          <w:color w:val="auto"/>
        </w:rPr>
      </w:pPr>
      <w:r>
        <w:rPr>
          <w:rFonts w:hint="eastAsia" w:ascii="宋体" w:hAnsi="宋体" w:cs="宋体"/>
          <w:bCs/>
          <w:color w:val="auto"/>
        </w:rPr>
        <w:t>2、本项目竞标人报价为采购人指定地点的现场交货价，竞标人自行考虑完成项目所需的辅材、杂配件等数量，竞标人报价中应包含全部内容，成交后采购人不再另行支付额外费用。包括但不限于：</w:t>
      </w:r>
    </w:p>
    <w:p w14:paraId="79093420">
      <w:pPr>
        <w:spacing w:line="360" w:lineRule="auto"/>
        <w:ind w:firstLine="411" w:firstLineChars="196"/>
        <w:rPr>
          <w:rFonts w:hint="eastAsia" w:ascii="宋体" w:hAnsi="宋体" w:cs="宋体"/>
          <w:bCs/>
          <w:color w:val="auto"/>
        </w:rPr>
      </w:pPr>
      <w:r>
        <w:rPr>
          <w:rFonts w:hint="eastAsia" w:ascii="宋体" w:hAnsi="宋体" w:cs="宋体"/>
          <w:bCs/>
          <w:color w:val="auto"/>
        </w:rPr>
        <w:t>（1）服务的价格：包括货款、杂配件、安装调试费、履约验收费；</w:t>
      </w:r>
    </w:p>
    <w:p w14:paraId="3C3FF350">
      <w:pPr>
        <w:spacing w:line="360" w:lineRule="auto"/>
        <w:ind w:firstLine="411" w:firstLineChars="196"/>
        <w:rPr>
          <w:rFonts w:hint="eastAsia" w:ascii="宋体" w:hAnsi="宋体" w:cs="宋体"/>
          <w:bCs/>
          <w:color w:val="auto"/>
        </w:rPr>
      </w:pPr>
      <w:r>
        <w:rPr>
          <w:rFonts w:hint="eastAsia" w:ascii="宋体" w:hAnsi="宋体" w:cs="宋体"/>
          <w:bCs/>
          <w:color w:val="auto"/>
        </w:rPr>
        <w:t>（2）服务的标准附件、备品备件、专用工具的价格；</w:t>
      </w:r>
    </w:p>
    <w:p w14:paraId="5532821C">
      <w:pPr>
        <w:spacing w:line="360" w:lineRule="auto"/>
        <w:ind w:firstLine="411" w:firstLineChars="196"/>
        <w:rPr>
          <w:rFonts w:hint="eastAsia" w:ascii="宋体" w:hAnsi="宋体" w:cs="宋体"/>
          <w:bCs/>
          <w:color w:val="auto"/>
        </w:rPr>
      </w:pPr>
      <w:r>
        <w:rPr>
          <w:rFonts w:hint="eastAsia" w:ascii="宋体" w:hAnsi="宋体" w:cs="宋体"/>
          <w:bCs/>
          <w:color w:val="auto"/>
        </w:rPr>
        <w:t>（3）运输、装卸、调试、培训、技术支持、售后服务费；</w:t>
      </w:r>
    </w:p>
    <w:p w14:paraId="3C64D10F">
      <w:pPr>
        <w:spacing w:line="360" w:lineRule="auto"/>
        <w:ind w:firstLine="411" w:firstLineChars="196"/>
        <w:rPr>
          <w:rFonts w:hint="eastAsia" w:ascii="宋体" w:hAnsi="宋体" w:cs="宋体"/>
          <w:bCs/>
          <w:color w:val="auto"/>
        </w:rPr>
      </w:pPr>
      <w:r>
        <w:rPr>
          <w:rFonts w:hint="eastAsia" w:ascii="宋体" w:hAnsi="宋体" w:cs="宋体"/>
          <w:bCs/>
          <w:color w:val="auto"/>
        </w:rPr>
        <w:t>（4）各类软件、系统等的安装、集成、试运行等费用；</w:t>
      </w:r>
    </w:p>
    <w:p w14:paraId="50003BB9">
      <w:pPr>
        <w:spacing w:line="360" w:lineRule="auto"/>
        <w:ind w:firstLine="411" w:firstLineChars="196"/>
        <w:rPr>
          <w:rFonts w:hint="eastAsia" w:ascii="宋体" w:hAnsi="宋体" w:cs="宋体"/>
          <w:color w:val="auto"/>
          <w:szCs w:val="21"/>
        </w:rPr>
      </w:pPr>
      <w:r>
        <w:rPr>
          <w:rFonts w:hint="eastAsia" w:ascii="宋体" w:hAnsi="宋体" w:cs="宋体"/>
          <w:bCs/>
          <w:color w:val="auto"/>
        </w:rPr>
        <w:t>（5）代理服务费、保险费和各项税金</w:t>
      </w:r>
    </w:p>
    <w:p w14:paraId="6D277124">
      <w:pPr>
        <w:pStyle w:val="22"/>
        <w:spacing w:line="360" w:lineRule="auto"/>
        <w:ind w:firstLine="420" w:firstLineChars="200"/>
        <w:rPr>
          <w:rFonts w:hint="eastAsia" w:hAnsi="宋体" w:cs="宋体"/>
          <w:color w:val="auto"/>
        </w:rPr>
      </w:pPr>
    </w:p>
    <w:p w14:paraId="17D7C9AD">
      <w:pPr>
        <w:pStyle w:val="22"/>
        <w:spacing w:line="360" w:lineRule="auto"/>
        <w:ind w:firstLine="420" w:firstLineChars="200"/>
        <w:rPr>
          <w:rFonts w:hint="eastAsia" w:hAnsi="宋体" w:cs="宋体"/>
          <w:color w:val="auto"/>
          <w:u w:val="single"/>
        </w:rPr>
      </w:pPr>
      <w:r>
        <w:rPr>
          <w:rFonts w:hint="eastAsia" w:hAnsi="宋体" w:cs="宋体"/>
          <w:color w:val="auto"/>
        </w:rPr>
        <w:t>法定代表人或委托代理人（签字或盖章）:</w:t>
      </w:r>
      <w:r>
        <w:rPr>
          <w:rFonts w:hint="eastAsia" w:hAnsi="宋体" w:cs="宋体"/>
          <w:color w:val="auto"/>
          <w:u w:val="single"/>
        </w:rPr>
        <w:t xml:space="preserve">              </w:t>
      </w:r>
    </w:p>
    <w:p w14:paraId="1D0CD324">
      <w:pPr>
        <w:pStyle w:val="22"/>
        <w:spacing w:line="360" w:lineRule="auto"/>
        <w:ind w:firstLine="420" w:firstLineChars="200"/>
        <w:rPr>
          <w:rFonts w:hint="eastAsia" w:hAnsi="宋体" w:cs="宋体"/>
          <w:color w:val="auto"/>
          <w:u w:val="single"/>
        </w:rPr>
      </w:pPr>
      <w:r>
        <w:rPr>
          <w:rFonts w:hint="eastAsia" w:hAnsi="宋体" w:cs="宋体"/>
          <w:color w:val="auto"/>
        </w:rPr>
        <w:t>磋商供应商名称（电子签章）：</w:t>
      </w:r>
      <w:r>
        <w:rPr>
          <w:rFonts w:hint="eastAsia" w:hAnsi="宋体" w:cs="宋体"/>
          <w:color w:val="auto"/>
          <w:u w:val="single"/>
        </w:rPr>
        <w:t xml:space="preserve">                             </w:t>
      </w:r>
    </w:p>
    <w:p w14:paraId="7371BB8D">
      <w:pPr>
        <w:spacing w:line="360" w:lineRule="auto"/>
        <w:ind w:firstLine="420" w:firstLineChars="200"/>
        <w:rPr>
          <w:rFonts w:hint="eastAsia" w:ascii="宋体" w:hAnsi="宋体" w:cs="宋体"/>
          <w:color w:val="auto"/>
        </w:rPr>
      </w:pPr>
      <w:r>
        <w:rPr>
          <w:rFonts w:hint="eastAsia" w:ascii="宋体" w:hAnsi="宋体" w:cs="宋体"/>
          <w:color w:val="auto"/>
        </w:rPr>
        <w:t>报价时间：</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p w14:paraId="4CCF1B27">
      <w:pPr>
        <w:adjustRightInd w:val="0"/>
        <w:snapToGrid w:val="0"/>
        <w:spacing w:line="360" w:lineRule="auto"/>
        <w:jc w:val="center"/>
        <w:rPr>
          <w:rFonts w:hint="eastAsia" w:ascii="宋体" w:hAnsi="宋体" w:cs="宋体"/>
          <w:color w:val="auto"/>
        </w:rPr>
      </w:pPr>
    </w:p>
    <w:p w14:paraId="17034928">
      <w:pPr>
        <w:adjustRightInd w:val="0"/>
        <w:snapToGrid w:val="0"/>
        <w:spacing w:line="360" w:lineRule="auto"/>
        <w:jc w:val="center"/>
        <w:rPr>
          <w:rFonts w:hint="eastAsia" w:ascii="宋体" w:hAnsi="宋体" w:cs="宋体"/>
          <w:b/>
          <w:color w:val="auto"/>
          <w:sz w:val="30"/>
          <w:szCs w:val="30"/>
        </w:rPr>
      </w:pPr>
      <w:r>
        <w:rPr>
          <w:rFonts w:hint="eastAsia" w:ascii="宋体" w:hAnsi="宋体" w:cs="宋体"/>
          <w:b/>
          <w:color w:val="auto"/>
          <w:sz w:val="32"/>
          <w:szCs w:val="32"/>
        </w:rPr>
        <w:br w:type="page"/>
      </w:r>
      <w:r>
        <w:rPr>
          <w:rFonts w:hint="eastAsia" w:ascii="宋体" w:hAnsi="宋体" w:cs="宋体"/>
          <w:b/>
          <w:color w:val="auto"/>
          <w:sz w:val="30"/>
          <w:szCs w:val="30"/>
        </w:rPr>
        <w:t>商务技术文件</w:t>
      </w:r>
    </w:p>
    <w:p w14:paraId="3D9B1450">
      <w:pPr>
        <w:spacing w:line="360" w:lineRule="auto"/>
        <w:jc w:val="left"/>
        <w:rPr>
          <w:rFonts w:ascii="宋体" w:hAnsi="宋体" w:cs="宋体"/>
          <w:b/>
          <w:color w:val="auto"/>
          <w:sz w:val="24"/>
        </w:rPr>
      </w:pPr>
      <w:r>
        <w:rPr>
          <w:rFonts w:hint="eastAsia" w:ascii="宋体" w:hAnsi="宋体" w:cs="宋体"/>
          <w:b/>
          <w:color w:val="auto"/>
          <w:sz w:val="24"/>
        </w:rPr>
        <w:t>1.商务、技术响应、偏离情况说明表</w:t>
      </w:r>
    </w:p>
    <w:p w14:paraId="6E6AC79E">
      <w:pPr>
        <w:spacing w:line="360" w:lineRule="auto"/>
        <w:rPr>
          <w:rFonts w:hint="eastAsia" w:ascii="宋体" w:hAnsi="宋体" w:cs="宋体"/>
          <w:color w:val="auto"/>
          <w:szCs w:val="21"/>
          <w:u w:val="single"/>
        </w:rPr>
      </w:pPr>
      <w:r>
        <w:rPr>
          <w:rFonts w:hint="eastAsia" w:ascii="宋体" w:hAnsi="宋体" w:cs="宋体"/>
          <w:color w:val="auto"/>
          <w:szCs w:val="21"/>
        </w:rPr>
        <w:t>采购项目名称:</w:t>
      </w:r>
      <w:r>
        <w:rPr>
          <w:rFonts w:hint="eastAsia" w:ascii="宋体" w:hAnsi="宋体" w:cs="宋体"/>
          <w:color w:val="auto"/>
          <w:szCs w:val="21"/>
          <w:u w:val="single"/>
        </w:rPr>
        <w:t xml:space="preserve">                 </w:t>
      </w:r>
    </w:p>
    <w:p w14:paraId="49AD7208">
      <w:pPr>
        <w:spacing w:line="360" w:lineRule="auto"/>
        <w:rPr>
          <w:rFonts w:hint="eastAsia" w:ascii="宋体" w:hAnsi="宋体" w:cs="宋体"/>
          <w:color w:val="auto"/>
          <w:szCs w:val="21"/>
          <w:u w:val="single"/>
        </w:rPr>
      </w:pPr>
      <w:r>
        <w:rPr>
          <w:rFonts w:hint="eastAsia" w:ascii="宋体" w:hAnsi="宋体" w:cs="宋体"/>
          <w:color w:val="auto"/>
          <w:szCs w:val="21"/>
        </w:rPr>
        <w:t>采购项目编号:</w:t>
      </w:r>
      <w:r>
        <w:rPr>
          <w:rFonts w:hint="eastAsia" w:ascii="宋体" w:hAnsi="宋体" w:cs="宋体"/>
          <w:color w:val="auto"/>
          <w:szCs w:val="21"/>
          <w:u w:val="single"/>
        </w:rPr>
        <w:t xml:space="preserve">                 </w:t>
      </w:r>
    </w:p>
    <w:p w14:paraId="5B1BFD49">
      <w:pPr>
        <w:spacing w:line="360" w:lineRule="auto"/>
        <w:rPr>
          <w:rFonts w:hint="eastAsia" w:ascii="宋体" w:hAnsi="宋体" w:cs="宋体"/>
          <w:color w:val="auto"/>
          <w:szCs w:val="21"/>
        </w:rPr>
      </w:pPr>
      <w:r>
        <w:rPr>
          <w:rFonts w:hint="eastAsia" w:ascii="宋体" w:hAnsi="宋体" w:cs="宋体"/>
          <w:color w:val="auto"/>
          <w:szCs w:val="21"/>
        </w:rPr>
        <w:t>分标号（如有）:</w:t>
      </w:r>
      <w:r>
        <w:rPr>
          <w:rFonts w:hint="eastAsia" w:ascii="宋体" w:hAnsi="宋体" w:cs="宋体"/>
          <w:color w:val="auto"/>
          <w:szCs w:val="21"/>
          <w:u w:val="single"/>
        </w:rPr>
        <w:t xml:space="preserve">                 </w:t>
      </w:r>
      <w:r>
        <w:rPr>
          <w:rFonts w:hint="eastAsia" w:ascii="宋体" w:hAnsi="宋体" w:cs="宋体"/>
          <w:color w:val="auto"/>
          <w:szCs w:val="21"/>
        </w:rPr>
        <w:t xml:space="preserve">          </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17"/>
        <w:gridCol w:w="2856"/>
        <w:gridCol w:w="2994"/>
        <w:gridCol w:w="1488"/>
        <w:gridCol w:w="1383"/>
      </w:tblGrid>
      <w:tr w14:paraId="4FC40F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6" w:hRule="atLeast"/>
        </w:trPr>
        <w:tc>
          <w:tcPr>
            <w:tcW w:w="617" w:type="dxa"/>
            <w:noWrap w:val="0"/>
            <w:vAlign w:val="center"/>
          </w:tcPr>
          <w:p w14:paraId="45160BE4">
            <w:pPr>
              <w:spacing w:line="360" w:lineRule="auto"/>
              <w:jc w:val="center"/>
              <w:rPr>
                <w:rFonts w:hint="eastAsia" w:ascii="宋体" w:hAnsi="宋体" w:cs="宋体"/>
                <w:color w:val="auto"/>
              </w:rPr>
            </w:pPr>
            <w:bookmarkStart w:id="49" w:name="_Toc254970588"/>
            <w:bookmarkStart w:id="50" w:name="_Toc173211900"/>
            <w:bookmarkStart w:id="51" w:name="_Toc254970729"/>
            <w:bookmarkStart w:id="52" w:name="_Toc173066401"/>
            <w:r>
              <w:rPr>
                <w:rFonts w:hint="eastAsia" w:ascii="宋体" w:hAnsi="宋体" w:cs="宋体"/>
                <w:color w:val="auto"/>
              </w:rPr>
              <w:t>序号</w:t>
            </w:r>
            <w:bookmarkEnd w:id="49"/>
            <w:bookmarkEnd w:id="50"/>
            <w:bookmarkEnd w:id="51"/>
            <w:bookmarkEnd w:id="52"/>
          </w:p>
        </w:tc>
        <w:tc>
          <w:tcPr>
            <w:tcW w:w="2856" w:type="dxa"/>
            <w:noWrap w:val="0"/>
            <w:vAlign w:val="center"/>
          </w:tcPr>
          <w:p w14:paraId="23B93691">
            <w:pPr>
              <w:spacing w:line="360" w:lineRule="auto"/>
              <w:jc w:val="center"/>
              <w:rPr>
                <w:rFonts w:hint="eastAsia" w:ascii="宋体" w:hAnsi="宋体" w:cs="宋体"/>
                <w:color w:val="auto"/>
              </w:rPr>
            </w:pPr>
            <w:bookmarkStart w:id="53" w:name="_Toc173066402"/>
            <w:bookmarkStart w:id="54" w:name="_Toc254970589"/>
            <w:bookmarkStart w:id="55" w:name="_Toc254970730"/>
            <w:bookmarkStart w:id="56" w:name="_Toc173211901"/>
            <w:r>
              <w:rPr>
                <w:rFonts w:hint="eastAsia" w:ascii="宋体" w:hAnsi="宋体" w:cs="宋体"/>
                <w:color w:val="auto"/>
              </w:rPr>
              <w:t>竞争性磋商文件要求</w:t>
            </w:r>
            <w:bookmarkEnd w:id="53"/>
            <w:bookmarkEnd w:id="54"/>
            <w:bookmarkEnd w:id="55"/>
            <w:bookmarkEnd w:id="56"/>
          </w:p>
        </w:tc>
        <w:tc>
          <w:tcPr>
            <w:tcW w:w="2994" w:type="dxa"/>
            <w:noWrap w:val="0"/>
            <w:vAlign w:val="center"/>
          </w:tcPr>
          <w:p w14:paraId="6BF24DAD">
            <w:pPr>
              <w:spacing w:line="360" w:lineRule="auto"/>
              <w:jc w:val="center"/>
              <w:rPr>
                <w:rFonts w:hint="eastAsia" w:ascii="宋体" w:hAnsi="宋体" w:cs="宋体"/>
                <w:color w:val="auto"/>
              </w:rPr>
            </w:pPr>
            <w:bookmarkStart w:id="57" w:name="_Toc173211902"/>
            <w:bookmarkStart w:id="58" w:name="_Toc254970590"/>
            <w:bookmarkStart w:id="59" w:name="_Toc173066403"/>
            <w:bookmarkStart w:id="60" w:name="_Toc254970731"/>
            <w:r>
              <w:rPr>
                <w:rFonts w:hint="eastAsia" w:ascii="宋体" w:hAnsi="宋体" w:cs="宋体"/>
                <w:color w:val="auto"/>
              </w:rPr>
              <w:t>竞争性磋商响应文件具体响应</w:t>
            </w:r>
            <w:bookmarkEnd w:id="57"/>
            <w:bookmarkEnd w:id="58"/>
            <w:bookmarkEnd w:id="59"/>
            <w:bookmarkEnd w:id="60"/>
          </w:p>
        </w:tc>
        <w:tc>
          <w:tcPr>
            <w:tcW w:w="1488" w:type="dxa"/>
            <w:noWrap w:val="0"/>
            <w:vAlign w:val="center"/>
          </w:tcPr>
          <w:p w14:paraId="2B2D48E2">
            <w:pPr>
              <w:spacing w:line="360" w:lineRule="auto"/>
              <w:jc w:val="center"/>
              <w:rPr>
                <w:rFonts w:hint="eastAsia" w:ascii="宋体" w:hAnsi="宋体" w:cs="宋体"/>
                <w:color w:val="auto"/>
              </w:rPr>
            </w:pPr>
            <w:bookmarkStart w:id="61" w:name="_Toc173211903"/>
            <w:bookmarkStart w:id="62" w:name="_Toc173066404"/>
            <w:bookmarkStart w:id="63" w:name="_Toc254970591"/>
            <w:bookmarkStart w:id="64" w:name="_Toc254970732"/>
            <w:r>
              <w:rPr>
                <w:rFonts w:hint="eastAsia" w:ascii="宋体" w:hAnsi="宋体" w:cs="宋体"/>
                <w:color w:val="auto"/>
              </w:rPr>
              <w:t>响应/偏离</w:t>
            </w:r>
            <w:bookmarkEnd w:id="61"/>
            <w:bookmarkEnd w:id="62"/>
            <w:bookmarkEnd w:id="63"/>
            <w:bookmarkEnd w:id="64"/>
          </w:p>
        </w:tc>
        <w:tc>
          <w:tcPr>
            <w:tcW w:w="1383" w:type="dxa"/>
            <w:noWrap w:val="0"/>
            <w:vAlign w:val="center"/>
          </w:tcPr>
          <w:p w14:paraId="3BCA656C">
            <w:pPr>
              <w:spacing w:line="360" w:lineRule="auto"/>
              <w:jc w:val="center"/>
              <w:rPr>
                <w:rFonts w:hint="eastAsia" w:ascii="宋体" w:hAnsi="宋体" w:cs="宋体"/>
                <w:color w:val="auto"/>
              </w:rPr>
            </w:pPr>
            <w:r>
              <w:rPr>
                <w:rFonts w:hint="eastAsia" w:ascii="宋体" w:hAnsi="宋体" w:cs="宋体"/>
                <w:color w:val="auto"/>
              </w:rPr>
              <w:t>备注</w:t>
            </w:r>
          </w:p>
        </w:tc>
      </w:tr>
      <w:tr w14:paraId="5A63C2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rPr>
        <w:tc>
          <w:tcPr>
            <w:tcW w:w="9338" w:type="dxa"/>
            <w:gridSpan w:val="5"/>
            <w:noWrap w:val="0"/>
            <w:vAlign w:val="center"/>
          </w:tcPr>
          <w:p w14:paraId="71A70738">
            <w:pPr>
              <w:spacing w:line="360" w:lineRule="auto"/>
              <w:jc w:val="center"/>
              <w:rPr>
                <w:rFonts w:hint="eastAsia" w:ascii="宋体" w:hAnsi="宋体" w:cs="宋体"/>
                <w:color w:val="auto"/>
              </w:rPr>
            </w:pPr>
            <w:bookmarkStart w:id="65" w:name="_Toc476258666"/>
            <w:r>
              <w:rPr>
                <w:rFonts w:hint="eastAsia" w:ascii="宋体" w:hAnsi="宋体" w:cs="宋体"/>
                <w:color w:val="auto"/>
              </w:rPr>
              <w:t>商务部分</w:t>
            </w:r>
            <w:bookmarkEnd w:id="65"/>
            <w:r>
              <w:rPr>
                <w:rFonts w:hint="eastAsia" w:ascii="宋体" w:hAnsi="宋体" w:cs="宋体"/>
                <w:color w:val="auto"/>
              </w:rPr>
              <w:t>（商务要求表）</w:t>
            </w:r>
          </w:p>
        </w:tc>
      </w:tr>
      <w:tr w14:paraId="391586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617" w:type="dxa"/>
            <w:noWrap w:val="0"/>
            <w:vAlign w:val="center"/>
          </w:tcPr>
          <w:p w14:paraId="45793972">
            <w:pPr>
              <w:spacing w:line="360" w:lineRule="auto"/>
              <w:jc w:val="center"/>
              <w:rPr>
                <w:rFonts w:hint="eastAsia" w:ascii="宋体" w:hAnsi="宋体" w:cs="宋体"/>
                <w:color w:val="auto"/>
              </w:rPr>
            </w:pPr>
            <w:r>
              <w:rPr>
                <w:rFonts w:hint="eastAsia" w:ascii="宋体" w:hAnsi="宋体" w:cs="宋体"/>
                <w:color w:val="auto"/>
              </w:rPr>
              <w:t>1</w:t>
            </w:r>
          </w:p>
        </w:tc>
        <w:tc>
          <w:tcPr>
            <w:tcW w:w="2856" w:type="dxa"/>
            <w:noWrap w:val="0"/>
            <w:vAlign w:val="center"/>
          </w:tcPr>
          <w:p w14:paraId="0C5F2620">
            <w:pPr>
              <w:widowControl/>
              <w:snapToGrid w:val="0"/>
              <w:spacing w:line="360" w:lineRule="auto"/>
              <w:jc w:val="center"/>
              <w:textAlignment w:val="center"/>
              <w:rPr>
                <w:rFonts w:hint="eastAsia" w:ascii="宋体" w:hAnsi="宋体" w:cs="宋体"/>
                <w:color w:val="auto"/>
                <w:szCs w:val="21"/>
              </w:rPr>
            </w:pPr>
          </w:p>
        </w:tc>
        <w:tc>
          <w:tcPr>
            <w:tcW w:w="2994" w:type="dxa"/>
            <w:noWrap w:val="0"/>
            <w:vAlign w:val="top"/>
          </w:tcPr>
          <w:p w14:paraId="41F91CF8">
            <w:pPr>
              <w:spacing w:line="360" w:lineRule="auto"/>
              <w:rPr>
                <w:rFonts w:hint="eastAsia" w:ascii="宋体" w:hAnsi="宋体" w:cs="宋体"/>
                <w:color w:val="auto"/>
              </w:rPr>
            </w:pPr>
          </w:p>
        </w:tc>
        <w:tc>
          <w:tcPr>
            <w:tcW w:w="1488" w:type="dxa"/>
            <w:noWrap w:val="0"/>
            <w:vAlign w:val="center"/>
          </w:tcPr>
          <w:p w14:paraId="12927976">
            <w:pPr>
              <w:spacing w:line="360" w:lineRule="auto"/>
              <w:jc w:val="center"/>
              <w:rPr>
                <w:rFonts w:hint="eastAsia" w:ascii="宋体" w:hAnsi="宋体" w:cs="宋体"/>
                <w:color w:val="auto"/>
              </w:rPr>
            </w:pPr>
          </w:p>
        </w:tc>
        <w:tc>
          <w:tcPr>
            <w:tcW w:w="1383" w:type="dxa"/>
            <w:noWrap w:val="0"/>
            <w:vAlign w:val="center"/>
          </w:tcPr>
          <w:p w14:paraId="7AD8712E">
            <w:pPr>
              <w:spacing w:line="360" w:lineRule="auto"/>
              <w:jc w:val="center"/>
              <w:rPr>
                <w:rFonts w:hint="eastAsia" w:ascii="宋体" w:hAnsi="宋体" w:cs="宋体"/>
                <w:color w:val="auto"/>
              </w:rPr>
            </w:pPr>
          </w:p>
        </w:tc>
      </w:tr>
      <w:tr w14:paraId="63D5B6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rPr>
        <w:tc>
          <w:tcPr>
            <w:tcW w:w="617" w:type="dxa"/>
            <w:noWrap w:val="0"/>
            <w:vAlign w:val="center"/>
          </w:tcPr>
          <w:p w14:paraId="604949D6">
            <w:pPr>
              <w:spacing w:line="360" w:lineRule="auto"/>
              <w:jc w:val="center"/>
              <w:rPr>
                <w:rFonts w:hint="eastAsia" w:ascii="宋体" w:hAnsi="宋体" w:cs="宋体"/>
                <w:color w:val="auto"/>
              </w:rPr>
            </w:pPr>
            <w:r>
              <w:rPr>
                <w:rFonts w:hint="eastAsia" w:ascii="宋体" w:hAnsi="宋体" w:cs="宋体"/>
                <w:color w:val="auto"/>
              </w:rPr>
              <w:t>2</w:t>
            </w:r>
          </w:p>
        </w:tc>
        <w:tc>
          <w:tcPr>
            <w:tcW w:w="2856" w:type="dxa"/>
            <w:noWrap w:val="0"/>
            <w:vAlign w:val="center"/>
          </w:tcPr>
          <w:p w14:paraId="17110281">
            <w:pPr>
              <w:widowControl/>
              <w:snapToGrid w:val="0"/>
              <w:spacing w:line="360" w:lineRule="auto"/>
              <w:jc w:val="center"/>
              <w:textAlignment w:val="center"/>
              <w:rPr>
                <w:rFonts w:hint="eastAsia" w:ascii="宋体" w:hAnsi="宋体" w:cs="宋体"/>
                <w:color w:val="auto"/>
                <w:szCs w:val="21"/>
              </w:rPr>
            </w:pPr>
          </w:p>
        </w:tc>
        <w:tc>
          <w:tcPr>
            <w:tcW w:w="2994" w:type="dxa"/>
            <w:noWrap w:val="0"/>
            <w:vAlign w:val="top"/>
          </w:tcPr>
          <w:p w14:paraId="4DE20D2A">
            <w:pPr>
              <w:spacing w:line="360" w:lineRule="auto"/>
              <w:rPr>
                <w:rFonts w:hint="eastAsia" w:ascii="宋体" w:hAnsi="宋体" w:cs="宋体"/>
                <w:color w:val="auto"/>
              </w:rPr>
            </w:pPr>
          </w:p>
        </w:tc>
        <w:tc>
          <w:tcPr>
            <w:tcW w:w="1488" w:type="dxa"/>
            <w:noWrap w:val="0"/>
            <w:vAlign w:val="center"/>
          </w:tcPr>
          <w:p w14:paraId="05144698">
            <w:pPr>
              <w:spacing w:line="360" w:lineRule="auto"/>
              <w:jc w:val="center"/>
              <w:rPr>
                <w:rFonts w:hint="eastAsia" w:ascii="宋体" w:hAnsi="宋体" w:cs="宋体"/>
                <w:color w:val="auto"/>
              </w:rPr>
            </w:pPr>
          </w:p>
        </w:tc>
        <w:tc>
          <w:tcPr>
            <w:tcW w:w="1383" w:type="dxa"/>
            <w:noWrap w:val="0"/>
            <w:vAlign w:val="center"/>
          </w:tcPr>
          <w:p w14:paraId="37D523CB">
            <w:pPr>
              <w:spacing w:line="360" w:lineRule="auto"/>
              <w:jc w:val="center"/>
              <w:rPr>
                <w:rFonts w:hint="eastAsia" w:ascii="宋体" w:hAnsi="宋体" w:cs="宋体"/>
                <w:color w:val="auto"/>
              </w:rPr>
            </w:pPr>
          </w:p>
        </w:tc>
      </w:tr>
      <w:tr w14:paraId="4EEA81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rPr>
        <w:tc>
          <w:tcPr>
            <w:tcW w:w="617" w:type="dxa"/>
            <w:noWrap w:val="0"/>
            <w:vAlign w:val="center"/>
          </w:tcPr>
          <w:p w14:paraId="67CC5E02">
            <w:pPr>
              <w:spacing w:line="360" w:lineRule="auto"/>
              <w:jc w:val="center"/>
              <w:rPr>
                <w:rFonts w:hint="eastAsia" w:ascii="宋体" w:hAnsi="宋体" w:cs="宋体"/>
                <w:color w:val="auto"/>
              </w:rPr>
            </w:pPr>
            <w:r>
              <w:rPr>
                <w:rFonts w:hint="eastAsia" w:ascii="宋体" w:hAnsi="宋体" w:cs="宋体"/>
                <w:color w:val="auto"/>
              </w:rPr>
              <w:t>3</w:t>
            </w:r>
          </w:p>
        </w:tc>
        <w:tc>
          <w:tcPr>
            <w:tcW w:w="2856" w:type="dxa"/>
            <w:noWrap w:val="0"/>
            <w:vAlign w:val="center"/>
          </w:tcPr>
          <w:p w14:paraId="6EF5AC96">
            <w:pPr>
              <w:widowControl/>
              <w:snapToGrid w:val="0"/>
              <w:spacing w:line="360" w:lineRule="auto"/>
              <w:jc w:val="center"/>
              <w:textAlignment w:val="center"/>
              <w:rPr>
                <w:rFonts w:hint="eastAsia" w:ascii="宋体" w:hAnsi="宋体" w:cs="宋体"/>
                <w:color w:val="auto"/>
                <w:szCs w:val="21"/>
              </w:rPr>
            </w:pPr>
          </w:p>
        </w:tc>
        <w:tc>
          <w:tcPr>
            <w:tcW w:w="2994" w:type="dxa"/>
            <w:noWrap w:val="0"/>
            <w:vAlign w:val="top"/>
          </w:tcPr>
          <w:p w14:paraId="4880BC44">
            <w:pPr>
              <w:spacing w:line="360" w:lineRule="auto"/>
              <w:rPr>
                <w:rFonts w:hint="eastAsia" w:ascii="宋体" w:hAnsi="宋体" w:cs="宋体"/>
                <w:color w:val="auto"/>
              </w:rPr>
            </w:pPr>
          </w:p>
        </w:tc>
        <w:tc>
          <w:tcPr>
            <w:tcW w:w="1488" w:type="dxa"/>
            <w:noWrap w:val="0"/>
            <w:vAlign w:val="center"/>
          </w:tcPr>
          <w:p w14:paraId="0ADED024">
            <w:pPr>
              <w:spacing w:line="360" w:lineRule="auto"/>
              <w:jc w:val="center"/>
              <w:rPr>
                <w:rFonts w:hint="eastAsia" w:ascii="宋体" w:hAnsi="宋体" w:cs="宋体"/>
                <w:color w:val="auto"/>
              </w:rPr>
            </w:pPr>
          </w:p>
        </w:tc>
        <w:tc>
          <w:tcPr>
            <w:tcW w:w="1383" w:type="dxa"/>
            <w:noWrap w:val="0"/>
            <w:vAlign w:val="center"/>
          </w:tcPr>
          <w:p w14:paraId="136D77F2">
            <w:pPr>
              <w:spacing w:line="360" w:lineRule="auto"/>
              <w:jc w:val="center"/>
              <w:rPr>
                <w:rFonts w:hint="eastAsia" w:ascii="宋体" w:hAnsi="宋体" w:cs="宋体"/>
                <w:color w:val="auto"/>
              </w:rPr>
            </w:pPr>
          </w:p>
        </w:tc>
      </w:tr>
      <w:tr w14:paraId="0B4474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rPr>
        <w:tc>
          <w:tcPr>
            <w:tcW w:w="617" w:type="dxa"/>
            <w:noWrap w:val="0"/>
            <w:vAlign w:val="center"/>
          </w:tcPr>
          <w:p w14:paraId="190F4167">
            <w:pPr>
              <w:spacing w:line="360" w:lineRule="auto"/>
              <w:jc w:val="center"/>
              <w:rPr>
                <w:rFonts w:hint="eastAsia" w:ascii="宋体" w:hAnsi="宋体" w:cs="宋体"/>
                <w:color w:val="auto"/>
              </w:rPr>
            </w:pPr>
            <w:r>
              <w:rPr>
                <w:rFonts w:hint="eastAsia" w:ascii="宋体" w:hAnsi="宋体" w:cs="宋体"/>
                <w:color w:val="auto"/>
              </w:rPr>
              <w:t>4</w:t>
            </w:r>
          </w:p>
        </w:tc>
        <w:tc>
          <w:tcPr>
            <w:tcW w:w="2856" w:type="dxa"/>
            <w:noWrap w:val="0"/>
            <w:vAlign w:val="center"/>
          </w:tcPr>
          <w:p w14:paraId="3DB6809F">
            <w:pPr>
              <w:spacing w:line="360" w:lineRule="auto"/>
              <w:jc w:val="center"/>
              <w:rPr>
                <w:rFonts w:hint="eastAsia" w:ascii="宋体" w:hAnsi="宋体" w:cs="宋体"/>
                <w:color w:val="auto"/>
                <w:szCs w:val="21"/>
              </w:rPr>
            </w:pPr>
          </w:p>
        </w:tc>
        <w:tc>
          <w:tcPr>
            <w:tcW w:w="2994" w:type="dxa"/>
            <w:noWrap w:val="0"/>
            <w:vAlign w:val="top"/>
          </w:tcPr>
          <w:p w14:paraId="187A64DE">
            <w:pPr>
              <w:spacing w:line="360" w:lineRule="auto"/>
              <w:rPr>
                <w:rFonts w:hint="eastAsia" w:ascii="宋体" w:hAnsi="宋体" w:cs="宋体"/>
                <w:color w:val="auto"/>
              </w:rPr>
            </w:pPr>
          </w:p>
        </w:tc>
        <w:tc>
          <w:tcPr>
            <w:tcW w:w="1488" w:type="dxa"/>
            <w:noWrap w:val="0"/>
            <w:vAlign w:val="center"/>
          </w:tcPr>
          <w:p w14:paraId="59379C7F">
            <w:pPr>
              <w:spacing w:line="360" w:lineRule="auto"/>
              <w:jc w:val="center"/>
              <w:rPr>
                <w:rFonts w:hint="eastAsia" w:ascii="宋体" w:hAnsi="宋体" w:cs="宋体"/>
                <w:color w:val="auto"/>
              </w:rPr>
            </w:pPr>
          </w:p>
        </w:tc>
        <w:tc>
          <w:tcPr>
            <w:tcW w:w="1383" w:type="dxa"/>
            <w:noWrap w:val="0"/>
            <w:vAlign w:val="center"/>
          </w:tcPr>
          <w:p w14:paraId="7397B49A">
            <w:pPr>
              <w:spacing w:line="360" w:lineRule="auto"/>
              <w:jc w:val="center"/>
              <w:rPr>
                <w:rFonts w:hint="eastAsia" w:ascii="宋体" w:hAnsi="宋体" w:cs="宋体"/>
                <w:color w:val="auto"/>
              </w:rPr>
            </w:pPr>
          </w:p>
        </w:tc>
      </w:tr>
      <w:tr w14:paraId="0F0DCA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rPr>
        <w:tc>
          <w:tcPr>
            <w:tcW w:w="617" w:type="dxa"/>
            <w:noWrap w:val="0"/>
            <w:vAlign w:val="center"/>
          </w:tcPr>
          <w:p w14:paraId="476B3AB1">
            <w:pPr>
              <w:spacing w:line="360" w:lineRule="auto"/>
              <w:jc w:val="center"/>
              <w:rPr>
                <w:rFonts w:hint="eastAsia" w:ascii="宋体" w:hAnsi="宋体" w:cs="宋体"/>
                <w:color w:val="auto"/>
              </w:rPr>
            </w:pPr>
            <w:r>
              <w:rPr>
                <w:rFonts w:hint="eastAsia" w:ascii="宋体" w:hAnsi="宋体" w:cs="宋体"/>
                <w:color w:val="auto"/>
              </w:rPr>
              <w:t>5</w:t>
            </w:r>
          </w:p>
        </w:tc>
        <w:tc>
          <w:tcPr>
            <w:tcW w:w="2856" w:type="dxa"/>
            <w:noWrap w:val="0"/>
            <w:vAlign w:val="center"/>
          </w:tcPr>
          <w:p w14:paraId="3DF04FEF">
            <w:pPr>
              <w:widowControl/>
              <w:snapToGrid w:val="0"/>
              <w:spacing w:line="360" w:lineRule="auto"/>
              <w:jc w:val="center"/>
              <w:textAlignment w:val="center"/>
              <w:rPr>
                <w:rFonts w:hint="eastAsia" w:ascii="宋体" w:hAnsi="宋体" w:cs="宋体"/>
                <w:color w:val="auto"/>
                <w:szCs w:val="21"/>
              </w:rPr>
            </w:pPr>
          </w:p>
        </w:tc>
        <w:tc>
          <w:tcPr>
            <w:tcW w:w="2994" w:type="dxa"/>
            <w:noWrap w:val="0"/>
            <w:vAlign w:val="top"/>
          </w:tcPr>
          <w:p w14:paraId="2AC033F2">
            <w:pPr>
              <w:spacing w:line="360" w:lineRule="auto"/>
              <w:rPr>
                <w:rFonts w:hint="eastAsia" w:ascii="宋体" w:hAnsi="宋体" w:cs="宋体"/>
                <w:color w:val="auto"/>
              </w:rPr>
            </w:pPr>
          </w:p>
        </w:tc>
        <w:tc>
          <w:tcPr>
            <w:tcW w:w="1488" w:type="dxa"/>
            <w:noWrap w:val="0"/>
            <w:vAlign w:val="center"/>
          </w:tcPr>
          <w:p w14:paraId="6BA42DBC">
            <w:pPr>
              <w:spacing w:line="360" w:lineRule="auto"/>
              <w:jc w:val="center"/>
              <w:rPr>
                <w:rFonts w:hint="eastAsia" w:ascii="宋体" w:hAnsi="宋体" w:cs="宋体"/>
                <w:color w:val="auto"/>
              </w:rPr>
            </w:pPr>
          </w:p>
        </w:tc>
        <w:tc>
          <w:tcPr>
            <w:tcW w:w="1383" w:type="dxa"/>
            <w:noWrap w:val="0"/>
            <w:vAlign w:val="center"/>
          </w:tcPr>
          <w:p w14:paraId="4EA193D7">
            <w:pPr>
              <w:spacing w:line="360" w:lineRule="auto"/>
              <w:jc w:val="center"/>
              <w:rPr>
                <w:rFonts w:hint="eastAsia" w:ascii="宋体" w:hAnsi="宋体" w:cs="宋体"/>
                <w:color w:val="auto"/>
              </w:rPr>
            </w:pPr>
          </w:p>
        </w:tc>
      </w:tr>
      <w:tr w14:paraId="2EC9F9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rPr>
        <w:tc>
          <w:tcPr>
            <w:tcW w:w="617" w:type="dxa"/>
            <w:noWrap w:val="0"/>
            <w:vAlign w:val="center"/>
          </w:tcPr>
          <w:p w14:paraId="1422FE5E">
            <w:pPr>
              <w:spacing w:line="360" w:lineRule="auto"/>
              <w:jc w:val="center"/>
              <w:rPr>
                <w:rFonts w:hint="eastAsia" w:ascii="宋体" w:hAnsi="宋体" w:cs="宋体"/>
                <w:color w:val="auto"/>
              </w:rPr>
            </w:pPr>
            <w:r>
              <w:rPr>
                <w:rFonts w:hint="eastAsia" w:ascii="宋体" w:hAnsi="宋体" w:cs="宋体"/>
                <w:color w:val="auto"/>
              </w:rPr>
              <w:t>6</w:t>
            </w:r>
          </w:p>
        </w:tc>
        <w:tc>
          <w:tcPr>
            <w:tcW w:w="2856" w:type="dxa"/>
            <w:noWrap w:val="0"/>
            <w:vAlign w:val="center"/>
          </w:tcPr>
          <w:p w14:paraId="44F5CC0E">
            <w:pPr>
              <w:spacing w:line="360" w:lineRule="auto"/>
              <w:jc w:val="center"/>
              <w:rPr>
                <w:rFonts w:hint="eastAsia" w:ascii="宋体" w:hAnsi="宋体" w:cs="宋体"/>
                <w:color w:val="auto"/>
                <w:szCs w:val="21"/>
              </w:rPr>
            </w:pPr>
          </w:p>
        </w:tc>
        <w:tc>
          <w:tcPr>
            <w:tcW w:w="2994" w:type="dxa"/>
            <w:noWrap w:val="0"/>
            <w:vAlign w:val="top"/>
          </w:tcPr>
          <w:p w14:paraId="46E20C4C">
            <w:pPr>
              <w:spacing w:line="360" w:lineRule="auto"/>
              <w:rPr>
                <w:rFonts w:hint="eastAsia" w:ascii="宋体" w:hAnsi="宋体" w:cs="宋体"/>
                <w:color w:val="auto"/>
              </w:rPr>
            </w:pPr>
          </w:p>
        </w:tc>
        <w:tc>
          <w:tcPr>
            <w:tcW w:w="1488" w:type="dxa"/>
            <w:noWrap w:val="0"/>
            <w:vAlign w:val="center"/>
          </w:tcPr>
          <w:p w14:paraId="0AEE2170">
            <w:pPr>
              <w:spacing w:line="360" w:lineRule="auto"/>
              <w:jc w:val="center"/>
              <w:rPr>
                <w:rFonts w:hint="eastAsia" w:ascii="宋体" w:hAnsi="宋体" w:cs="宋体"/>
                <w:color w:val="auto"/>
              </w:rPr>
            </w:pPr>
          </w:p>
        </w:tc>
        <w:tc>
          <w:tcPr>
            <w:tcW w:w="1383" w:type="dxa"/>
            <w:noWrap w:val="0"/>
            <w:vAlign w:val="center"/>
          </w:tcPr>
          <w:p w14:paraId="53EEAA99">
            <w:pPr>
              <w:spacing w:line="360" w:lineRule="auto"/>
              <w:jc w:val="center"/>
              <w:rPr>
                <w:rFonts w:hint="eastAsia" w:ascii="宋体" w:hAnsi="宋体" w:cs="宋体"/>
                <w:color w:val="auto"/>
              </w:rPr>
            </w:pPr>
          </w:p>
        </w:tc>
      </w:tr>
      <w:tr w14:paraId="7AF2C3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rPr>
        <w:tc>
          <w:tcPr>
            <w:tcW w:w="617" w:type="dxa"/>
            <w:noWrap w:val="0"/>
            <w:vAlign w:val="center"/>
          </w:tcPr>
          <w:p w14:paraId="17B1C482">
            <w:pPr>
              <w:spacing w:line="360" w:lineRule="auto"/>
              <w:jc w:val="center"/>
              <w:rPr>
                <w:rFonts w:hint="eastAsia" w:ascii="宋体" w:hAnsi="宋体" w:cs="宋体"/>
                <w:color w:val="auto"/>
              </w:rPr>
            </w:pPr>
            <w:r>
              <w:rPr>
                <w:rFonts w:hint="eastAsia" w:ascii="宋体" w:hAnsi="宋体" w:cs="宋体"/>
                <w:color w:val="auto"/>
              </w:rPr>
              <w:t>7</w:t>
            </w:r>
          </w:p>
        </w:tc>
        <w:tc>
          <w:tcPr>
            <w:tcW w:w="2856" w:type="dxa"/>
            <w:noWrap w:val="0"/>
            <w:vAlign w:val="center"/>
          </w:tcPr>
          <w:p w14:paraId="0C9C2842">
            <w:pPr>
              <w:spacing w:line="360" w:lineRule="auto"/>
              <w:jc w:val="center"/>
              <w:rPr>
                <w:rFonts w:hint="eastAsia" w:ascii="宋体" w:hAnsi="宋体" w:cs="宋体"/>
                <w:color w:val="auto"/>
              </w:rPr>
            </w:pPr>
          </w:p>
        </w:tc>
        <w:tc>
          <w:tcPr>
            <w:tcW w:w="2994" w:type="dxa"/>
            <w:noWrap w:val="0"/>
            <w:vAlign w:val="top"/>
          </w:tcPr>
          <w:p w14:paraId="477B1D28">
            <w:pPr>
              <w:spacing w:line="360" w:lineRule="auto"/>
              <w:rPr>
                <w:rFonts w:hint="eastAsia" w:ascii="宋体" w:hAnsi="宋体" w:cs="宋体"/>
                <w:color w:val="auto"/>
              </w:rPr>
            </w:pPr>
          </w:p>
        </w:tc>
        <w:tc>
          <w:tcPr>
            <w:tcW w:w="1488" w:type="dxa"/>
            <w:noWrap w:val="0"/>
            <w:vAlign w:val="center"/>
          </w:tcPr>
          <w:p w14:paraId="57026E0A">
            <w:pPr>
              <w:spacing w:line="360" w:lineRule="auto"/>
              <w:jc w:val="center"/>
              <w:rPr>
                <w:rFonts w:hint="eastAsia" w:ascii="宋体" w:hAnsi="宋体" w:cs="宋体"/>
                <w:color w:val="auto"/>
              </w:rPr>
            </w:pPr>
          </w:p>
        </w:tc>
        <w:tc>
          <w:tcPr>
            <w:tcW w:w="1383" w:type="dxa"/>
            <w:noWrap w:val="0"/>
            <w:vAlign w:val="center"/>
          </w:tcPr>
          <w:p w14:paraId="36B582FB">
            <w:pPr>
              <w:spacing w:line="360" w:lineRule="auto"/>
              <w:jc w:val="center"/>
              <w:rPr>
                <w:rFonts w:hint="eastAsia" w:ascii="宋体" w:hAnsi="宋体" w:cs="宋体"/>
                <w:color w:val="auto"/>
              </w:rPr>
            </w:pPr>
          </w:p>
        </w:tc>
      </w:tr>
      <w:tr w14:paraId="4D85E6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rPr>
        <w:tc>
          <w:tcPr>
            <w:tcW w:w="617" w:type="dxa"/>
            <w:noWrap w:val="0"/>
            <w:vAlign w:val="center"/>
          </w:tcPr>
          <w:p w14:paraId="5846845C">
            <w:pPr>
              <w:spacing w:line="360" w:lineRule="auto"/>
              <w:jc w:val="center"/>
              <w:rPr>
                <w:rFonts w:hint="eastAsia" w:ascii="宋体" w:hAnsi="宋体" w:cs="宋体"/>
                <w:color w:val="auto"/>
              </w:rPr>
            </w:pPr>
            <w:bookmarkStart w:id="66" w:name="_Toc476258667"/>
            <w:r>
              <w:rPr>
                <w:rFonts w:hint="eastAsia" w:ascii="宋体" w:hAnsi="宋体" w:cs="宋体"/>
                <w:color w:val="auto"/>
              </w:rPr>
              <w:t>8</w:t>
            </w:r>
          </w:p>
        </w:tc>
        <w:tc>
          <w:tcPr>
            <w:tcW w:w="2856" w:type="dxa"/>
            <w:noWrap w:val="0"/>
            <w:vAlign w:val="center"/>
          </w:tcPr>
          <w:p w14:paraId="00084398">
            <w:pPr>
              <w:spacing w:line="360" w:lineRule="auto"/>
              <w:jc w:val="center"/>
              <w:rPr>
                <w:rFonts w:hint="eastAsia" w:ascii="宋体" w:hAnsi="宋体" w:cs="宋体"/>
                <w:color w:val="auto"/>
              </w:rPr>
            </w:pPr>
          </w:p>
        </w:tc>
        <w:tc>
          <w:tcPr>
            <w:tcW w:w="2994" w:type="dxa"/>
            <w:noWrap w:val="0"/>
            <w:vAlign w:val="top"/>
          </w:tcPr>
          <w:p w14:paraId="22F8A5F4">
            <w:pPr>
              <w:spacing w:line="360" w:lineRule="auto"/>
              <w:rPr>
                <w:rFonts w:hint="eastAsia" w:ascii="宋体" w:hAnsi="宋体" w:cs="宋体"/>
                <w:color w:val="auto"/>
              </w:rPr>
            </w:pPr>
          </w:p>
        </w:tc>
        <w:tc>
          <w:tcPr>
            <w:tcW w:w="1488" w:type="dxa"/>
            <w:noWrap w:val="0"/>
            <w:vAlign w:val="center"/>
          </w:tcPr>
          <w:p w14:paraId="2E5F75A0">
            <w:pPr>
              <w:spacing w:line="360" w:lineRule="auto"/>
              <w:jc w:val="center"/>
              <w:rPr>
                <w:rFonts w:hint="eastAsia" w:ascii="宋体" w:hAnsi="宋体" w:cs="宋体"/>
                <w:color w:val="auto"/>
              </w:rPr>
            </w:pPr>
          </w:p>
        </w:tc>
        <w:tc>
          <w:tcPr>
            <w:tcW w:w="1383" w:type="dxa"/>
            <w:noWrap w:val="0"/>
            <w:vAlign w:val="center"/>
          </w:tcPr>
          <w:p w14:paraId="2599C490">
            <w:pPr>
              <w:spacing w:line="360" w:lineRule="auto"/>
              <w:jc w:val="center"/>
              <w:rPr>
                <w:rFonts w:hint="eastAsia" w:ascii="宋体" w:hAnsi="宋体" w:cs="宋体"/>
                <w:color w:val="auto"/>
              </w:rPr>
            </w:pPr>
          </w:p>
        </w:tc>
      </w:tr>
      <w:tr w14:paraId="3F7F95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rPr>
        <w:tc>
          <w:tcPr>
            <w:tcW w:w="617" w:type="dxa"/>
            <w:noWrap w:val="0"/>
            <w:vAlign w:val="center"/>
          </w:tcPr>
          <w:p w14:paraId="18E362AD">
            <w:pPr>
              <w:spacing w:line="360" w:lineRule="auto"/>
              <w:jc w:val="center"/>
              <w:rPr>
                <w:rFonts w:hint="eastAsia" w:ascii="宋体" w:hAnsi="宋体" w:cs="宋体"/>
                <w:color w:val="auto"/>
              </w:rPr>
            </w:pPr>
            <w:r>
              <w:rPr>
                <w:rFonts w:hint="eastAsia" w:ascii="宋体" w:hAnsi="宋体" w:cs="宋体"/>
                <w:color w:val="auto"/>
              </w:rPr>
              <w:t>9</w:t>
            </w:r>
          </w:p>
        </w:tc>
        <w:tc>
          <w:tcPr>
            <w:tcW w:w="2856" w:type="dxa"/>
            <w:noWrap w:val="0"/>
            <w:vAlign w:val="center"/>
          </w:tcPr>
          <w:p w14:paraId="717FB4E6">
            <w:pPr>
              <w:spacing w:line="360" w:lineRule="auto"/>
              <w:jc w:val="center"/>
              <w:rPr>
                <w:rFonts w:hint="eastAsia" w:ascii="宋体" w:hAnsi="宋体" w:cs="宋体"/>
                <w:color w:val="auto"/>
              </w:rPr>
            </w:pPr>
          </w:p>
        </w:tc>
        <w:tc>
          <w:tcPr>
            <w:tcW w:w="2994" w:type="dxa"/>
            <w:noWrap w:val="0"/>
            <w:vAlign w:val="top"/>
          </w:tcPr>
          <w:p w14:paraId="084505AB">
            <w:pPr>
              <w:spacing w:line="360" w:lineRule="auto"/>
              <w:rPr>
                <w:rFonts w:hint="eastAsia" w:ascii="宋体" w:hAnsi="宋体" w:cs="宋体"/>
                <w:color w:val="auto"/>
              </w:rPr>
            </w:pPr>
          </w:p>
        </w:tc>
        <w:tc>
          <w:tcPr>
            <w:tcW w:w="1488" w:type="dxa"/>
            <w:noWrap w:val="0"/>
            <w:vAlign w:val="center"/>
          </w:tcPr>
          <w:p w14:paraId="0BC2F0DB">
            <w:pPr>
              <w:spacing w:line="360" w:lineRule="auto"/>
              <w:jc w:val="center"/>
              <w:rPr>
                <w:rFonts w:hint="eastAsia" w:ascii="宋体" w:hAnsi="宋体" w:cs="宋体"/>
                <w:color w:val="auto"/>
              </w:rPr>
            </w:pPr>
          </w:p>
        </w:tc>
        <w:tc>
          <w:tcPr>
            <w:tcW w:w="1383" w:type="dxa"/>
            <w:noWrap w:val="0"/>
            <w:vAlign w:val="center"/>
          </w:tcPr>
          <w:p w14:paraId="6E7A7CFE">
            <w:pPr>
              <w:spacing w:line="360" w:lineRule="auto"/>
              <w:jc w:val="center"/>
              <w:rPr>
                <w:rFonts w:hint="eastAsia" w:ascii="宋体" w:hAnsi="宋体" w:cs="宋体"/>
                <w:color w:val="auto"/>
              </w:rPr>
            </w:pPr>
          </w:p>
        </w:tc>
      </w:tr>
      <w:tr w14:paraId="3CB479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rPr>
        <w:tc>
          <w:tcPr>
            <w:tcW w:w="617" w:type="dxa"/>
            <w:noWrap w:val="0"/>
            <w:vAlign w:val="center"/>
          </w:tcPr>
          <w:p w14:paraId="5C1574F2">
            <w:pPr>
              <w:spacing w:line="360" w:lineRule="auto"/>
              <w:jc w:val="center"/>
              <w:rPr>
                <w:rFonts w:ascii="宋体" w:hAnsi="宋体" w:cs="宋体"/>
                <w:color w:val="auto"/>
              </w:rPr>
            </w:pPr>
            <w:r>
              <w:rPr>
                <w:rFonts w:hint="eastAsia" w:ascii="宋体" w:hAnsi="宋体" w:cs="宋体"/>
                <w:color w:val="auto"/>
              </w:rPr>
              <w:t>...</w:t>
            </w:r>
          </w:p>
        </w:tc>
        <w:tc>
          <w:tcPr>
            <w:tcW w:w="2856" w:type="dxa"/>
            <w:noWrap w:val="0"/>
            <w:vAlign w:val="center"/>
          </w:tcPr>
          <w:p w14:paraId="7B40A242">
            <w:pPr>
              <w:spacing w:line="360" w:lineRule="auto"/>
              <w:jc w:val="center"/>
              <w:rPr>
                <w:rFonts w:ascii="宋体" w:hAnsi="宋体" w:cs="宋体"/>
                <w:color w:val="auto"/>
              </w:rPr>
            </w:pPr>
          </w:p>
        </w:tc>
        <w:tc>
          <w:tcPr>
            <w:tcW w:w="2994" w:type="dxa"/>
            <w:noWrap w:val="0"/>
            <w:vAlign w:val="top"/>
          </w:tcPr>
          <w:p w14:paraId="0FB546B4">
            <w:pPr>
              <w:spacing w:line="360" w:lineRule="auto"/>
              <w:rPr>
                <w:rFonts w:hint="eastAsia" w:ascii="宋体" w:hAnsi="宋体" w:cs="宋体"/>
                <w:color w:val="auto"/>
              </w:rPr>
            </w:pPr>
          </w:p>
        </w:tc>
        <w:tc>
          <w:tcPr>
            <w:tcW w:w="1488" w:type="dxa"/>
            <w:noWrap w:val="0"/>
            <w:vAlign w:val="center"/>
          </w:tcPr>
          <w:p w14:paraId="6602D500">
            <w:pPr>
              <w:spacing w:line="360" w:lineRule="auto"/>
              <w:jc w:val="center"/>
              <w:rPr>
                <w:rFonts w:hint="eastAsia" w:ascii="宋体" w:hAnsi="宋体" w:cs="宋体"/>
                <w:color w:val="auto"/>
              </w:rPr>
            </w:pPr>
          </w:p>
        </w:tc>
        <w:tc>
          <w:tcPr>
            <w:tcW w:w="1383" w:type="dxa"/>
            <w:noWrap w:val="0"/>
            <w:vAlign w:val="center"/>
          </w:tcPr>
          <w:p w14:paraId="74CD88AD">
            <w:pPr>
              <w:spacing w:line="360" w:lineRule="auto"/>
              <w:jc w:val="center"/>
              <w:rPr>
                <w:rFonts w:hint="eastAsia" w:ascii="宋体" w:hAnsi="宋体" w:cs="宋体"/>
                <w:color w:val="auto"/>
              </w:rPr>
            </w:pPr>
          </w:p>
        </w:tc>
      </w:tr>
      <w:tr w14:paraId="477698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rPr>
        <w:tc>
          <w:tcPr>
            <w:tcW w:w="9338" w:type="dxa"/>
            <w:gridSpan w:val="5"/>
            <w:noWrap w:val="0"/>
            <w:vAlign w:val="center"/>
          </w:tcPr>
          <w:p w14:paraId="6D97957B">
            <w:pPr>
              <w:spacing w:line="360" w:lineRule="auto"/>
              <w:jc w:val="center"/>
              <w:rPr>
                <w:rFonts w:hint="eastAsia" w:ascii="宋体" w:hAnsi="宋体" w:cs="宋体"/>
                <w:color w:val="auto"/>
              </w:rPr>
            </w:pPr>
            <w:r>
              <w:rPr>
                <w:rFonts w:hint="eastAsia" w:ascii="宋体" w:hAnsi="宋体" w:cs="宋体"/>
                <w:color w:val="auto"/>
              </w:rPr>
              <w:t>技术部分</w:t>
            </w:r>
            <w:bookmarkEnd w:id="66"/>
            <w:r>
              <w:rPr>
                <w:rFonts w:hint="eastAsia" w:ascii="宋体" w:hAnsi="宋体" w:cs="宋体"/>
                <w:color w:val="auto"/>
              </w:rPr>
              <w:t>（</w:t>
            </w:r>
            <w:r>
              <w:rPr>
                <w:rFonts w:hint="eastAsia" w:ascii="宋体" w:hAnsi="宋体" w:cs="宋体"/>
                <w:color w:val="auto"/>
                <w:szCs w:val="21"/>
              </w:rPr>
              <w:t>技术参数及性能配置要求</w:t>
            </w:r>
            <w:r>
              <w:rPr>
                <w:rFonts w:hint="eastAsia" w:ascii="宋体" w:hAnsi="宋体" w:cs="宋体"/>
                <w:color w:val="auto"/>
              </w:rPr>
              <w:t>）</w:t>
            </w:r>
          </w:p>
        </w:tc>
      </w:tr>
      <w:tr w14:paraId="30D9C5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rPr>
        <w:tc>
          <w:tcPr>
            <w:tcW w:w="617" w:type="dxa"/>
            <w:noWrap w:val="0"/>
            <w:vAlign w:val="center"/>
          </w:tcPr>
          <w:p w14:paraId="417A8F24">
            <w:pPr>
              <w:spacing w:line="360" w:lineRule="auto"/>
              <w:jc w:val="center"/>
              <w:rPr>
                <w:rFonts w:hint="eastAsia" w:ascii="宋体" w:hAnsi="宋体" w:cs="宋体"/>
                <w:color w:val="auto"/>
              </w:rPr>
            </w:pPr>
            <w:bookmarkStart w:id="67" w:name="_Toc476258668"/>
            <w:r>
              <w:rPr>
                <w:rFonts w:hint="eastAsia" w:ascii="宋体" w:hAnsi="宋体" w:cs="宋体"/>
                <w:color w:val="auto"/>
              </w:rPr>
              <w:t>1</w:t>
            </w:r>
            <w:bookmarkEnd w:id="67"/>
          </w:p>
        </w:tc>
        <w:tc>
          <w:tcPr>
            <w:tcW w:w="2856" w:type="dxa"/>
            <w:noWrap w:val="0"/>
            <w:vAlign w:val="center"/>
          </w:tcPr>
          <w:p w14:paraId="00563E9E">
            <w:pPr>
              <w:spacing w:line="360" w:lineRule="auto"/>
              <w:rPr>
                <w:rFonts w:hint="eastAsia" w:ascii="宋体" w:hAnsi="宋体" w:cs="宋体"/>
                <w:color w:val="auto"/>
              </w:rPr>
            </w:pPr>
          </w:p>
        </w:tc>
        <w:tc>
          <w:tcPr>
            <w:tcW w:w="2994" w:type="dxa"/>
            <w:noWrap w:val="0"/>
            <w:vAlign w:val="center"/>
          </w:tcPr>
          <w:p w14:paraId="71D92533">
            <w:pPr>
              <w:spacing w:line="360" w:lineRule="auto"/>
              <w:rPr>
                <w:rFonts w:hint="eastAsia" w:ascii="宋体" w:hAnsi="宋体" w:cs="宋体"/>
                <w:color w:val="auto"/>
              </w:rPr>
            </w:pPr>
          </w:p>
        </w:tc>
        <w:tc>
          <w:tcPr>
            <w:tcW w:w="1488" w:type="dxa"/>
            <w:noWrap w:val="0"/>
            <w:vAlign w:val="center"/>
          </w:tcPr>
          <w:p w14:paraId="5805818F">
            <w:pPr>
              <w:spacing w:line="360" w:lineRule="auto"/>
              <w:rPr>
                <w:rFonts w:hint="eastAsia" w:ascii="宋体" w:hAnsi="宋体" w:cs="宋体"/>
                <w:color w:val="auto"/>
              </w:rPr>
            </w:pPr>
          </w:p>
        </w:tc>
        <w:tc>
          <w:tcPr>
            <w:tcW w:w="1383" w:type="dxa"/>
            <w:noWrap w:val="0"/>
            <w:vAlign w:val="center"/>
          </w:tcPr>
          <w:p w14:paraId="200A02C0">
            <w:pPr>
              <w:spacing w:line="360" w:lineRule="auto"/>
              <w:rPr>
                <w:rFonts w:hint="eastAsia" w:ascii="宋体" w:hAnsi="宋体" w:cs="宋体"/>
                <w:color w:val="auto"/>
              </w:rPr>
            </w:pPr>
          </w:p>
        </w:tc>
      </w:tr>
      <w:tr w14:paraId="790EF8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rPr>
        <w:tc>
          <w:tcPr>
            <w:tcW w:w="617" w:type="dxa"/>
            <w:noWrap w:val="0"/>
            <w:vAlign w:val="center"/>
          </w:tcPr>
          <w:p w14:paraId="0B0A7434">
            <w:pPr>
              <w:spacing w:line="360" w:lineRule="auto"/>
              <w:jc w:val="center"/>
              <w:rPr>
                <w:rFonts w:hint="eastAsia" w:ascii="宋体" w:hAnsi="宋体" w:cs="宋体"/>
                <w:color w:val="auto"/>
              </w:rPr>
            </w:pPr>
            <w:bookmarkStart w:id="68" w:name="_Toc476258669"/>
            <w:r>
              <w:rPr>
                <w:rFonts w:hint="eastAsia" w:ascii="宋体" w:hAnsi="宋体" w:cs="宋体"/>
                <w:color w:val="auto"/>
              </w:rPr>
              <w:t>2</w:t>
            </w:r>
            <w:bookmarkEnd w:id="68"/>
          </w:p>
        </w:tc>
        <w:tc>
          <w:tcPr>
            <w:tcW w:w="2856" w:type="dxa"/>
            <w:noWrap w:val="0"/>
            <w:vAlign w:val="center"/>
          </w:tcPr>
          <w:p w14:paraId="673EAEBD">
            <w:pPr>
              <w:spacing w:line="360" w:lineRule="auto"/>
              <w:rPr>
                <w:rFonts w:hint="eastAsia" w:ascii="宋体" w:hAnsi="宋体" w:cs="宋体"/>
                <w:color w:val="auto"/>
              </w:rPr>
            </w:pPr>
          </w:p>
        </w:tc>
        <w:tc>
          <w:tcPr>
            <w:tcW w:w="2994" w:type="dxa"/>
            <w:noWrap w:val="0"/>
            <w:vAlign w:val="center"/>
          </w:tcPr>
          <w:p w14:paraId="465FC72A">
            <w:pPr>
              <w:spacing w:line="360" w:lineRule="auto"/>
              <w:rPr>
                <w:rFonts w:hint="eastAsia" w:ascii="宋体" w:hAnsi="宋体" w:cs="宋体"/>
                <w:color w:val="auto"/>
              </w:rPr>
            </w:pPr>
          </w:p>
        </w:tc>
        <w:tc>
          <w:tcPr>
            <w:tcW w:w="1488" w:type="dxa"/>
            <w:noWrap w:val="0"/>
            <w:vAlign w:val="center"/>
          </w:tcPr>
          <w:p w14:paraId="69F2B2BA">
            <w:pPr>
              <w:spacing w:line="360" w:lineRule="auto"/>
              <w:rPr>
                <w:rFonts w:hint="eastAsia" w:ascii="宋体" w:hAnsi="宋体" w:cs="宋体"/>
                <w:color w:val="auto"/>
              </w:rPr>
            </w:pPr>
          </w:p>
        </w:tc>
        <w:tc>
          <w:tcPr>
            <w:tcW w:w="1383" w:type="dxa"/>
            <w:noWrap w:val="0"/>
            <w:vAlign w:val="center"/>
          </w:tcPr>
          <w:p w14:paraId="56B4DD61">
            <w:pPr>
              <w:spacing w:line="360" w:lineRule="auto"/>
              <w:rPr>
                <w:rFonts w:hint="eastAsia" w:ascii="宋体" w:hAnsi="宋体" w:cs="宋体"/>
                <w:color w:val="auto"/>
              </w:rPr>
            </w:pPr>
          </w:p>
        </w:tc>
      </w:tr>
      <w:tr w14:paraId="26C514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rPr>
        <w:tc>
          <w:tcPr>
            <w:tcW w:w="617" w:type="dxa"/>
            <w:noWrap w:val="0"/>
            <w:vAlign w:val="center"/>
          </w:tcPr>
          <w:p w14:paraId="7F86E90F">
            <w:pPr>
              <w:spacing w:line="360" w:lineRule="auto"/>
              <w:jc w:val="center"/>
              <w:rPr>
                <w:rFonts w:hint="eastAsia" w:ascii="宋体" w:hAnsi="宋体" w:cs="宋体"/>
                <w:color w:val="auto"/>
              </w:rPr>
            </w:pPr>
            <w:bookmarkStart w:id="69" w:name="_Toc476258670"/>
            <w:r>
              <w:rPr>
                <w:rFonts w:hint="eastAsia" w:ascii="宋体" w:hAnsi="宋体" w:cs="宋体"/>
                <w:color w:val="auto"/>
              </w:rPr>
              <w:t>3</w:t>
            </w:r>
            <w:bookmarkEnd w:id="69"/>
          </w:p>
        </w:tc>
        <w:tc>
          <w:tcPr>
            <w:tcW w:w="2856" w:type="dxa"/>
            <w:noWrap w:val="0"/>
            <w:vAlign w:val="center"/>
          </w:tcPr>
          <w:p w14:paraId="24BFD43C">
            <w:pPr>
              <w:spacing w:line="360" w:lineRule="auto"/>
              <w:rPr>
                <w:rFonts w:hint="eastAsia" w:ascii="宋体" w:hAnsi="宋体" w:cs="宋体"/>
                <w:color w:val="auto"/>
              </w:rPr>
            </w:pPr>
          </w:p>
        </w:tc>
        <w:tc>
          <w:tcPr>
            <w:tcW w:w="2994" w:type="dxa"/>
            <w:noWrap w:val="0"/>
            <w:vAlign w:val="center"/>
          </w:tcPr>
          <w:p w14:paraId="195F8144">
            <w:pPr>
              <w:spacing w:line="360" w:lineRule="auto"/>
              <w:rPr>
                <w:rFonts w:hint="eastAsia" w:ascii="宋体" w:hAnsi="宋体" w:cs="宋体"/>
                <w:color w:val="auto"/>
              </w:rPr>
            </w:pPr>
          </w:p>
        </w:tc>
        <w:tc>
          <w:tcPr>
            <w:tcW w:w="1488" w:type="dxa"/>
            <w:noWrap w:val="0"/>
            <w:vAlign w:val="center"/>
          </w:tcPr>
          <w:p w14:paraId="5EE750A8">
            <w:pPr>
              <w:spacing w:line="360" w:lineRule="auto"/>
              <w:rPr>
                <w:rFonts w:hint="eastAsia" w:ascii="宋体" w:hAnsi="宋体" w:cs="宋体"/>
                <w:color w:val="auto"/>
              </w:rPr>
            </w:pPr>
          </w:p>
        </w:tc>
        <w:tc>
          <w:tcPr>
            <w:tcW w:w="1383" w:type="dxa"/>
            <w:noWrap w:val="0"/>
            <w:vAlign w:val="center"/>
          </w:tcPr>
          <w:p w14:paraId="685A9EF2">
            <w:pPr>
              <w:spacing w:line="360" w:lineRule="auto"/>
              <w:rPr>
                <w:rFonts w:hint="eastAsia" w:ascii="宋体" w:hAnsi="宋体" w:cs="宋体"/>
                <w:color w:val="auto"/>
              </w:rPr>
            </w:pPr>
          </w:p>
        </w:tc>
      </w:tr>
      <w:tr w14:paraId="66B363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5" w:hRule="atLeast"/>
        </w:trPr>
        <w:tc>
          <w:tcPr>
            <w:tcW w:w="617" w:type="dxa"/>
            <w:noWrap w:val="0"/>
            <w:vAlign w:val="center"/>
          </w:tcPr>
          <w:p w14:paraId="75B51DF5">
            <w:pPr>
              <w:spacing w:line="360" w:lineRule="auto"/>
              <w:jc w:val="center"/>
              <w:rPr>
                <w:rFonts w:hint="eastAsia" w:ascii="宋体" w:hAnsi="宋体" w:cs="宋体"/>
                <w:color w:val="auto"/>
              </w:rPr>
            </w:pPr>
            <w:bookmarkStart w:id="70" w:name="_Toc476258671"/>
            <w:r>
              <w:rPr>
                <w:rFonts w:hint="eastAsia" w:ascii="宋体" w:hAnsi="宋体" w:cs="宋体"/>
                <w:color w:val="auto"/>
              </w:rPr>
              <w:t>…</w:t>
            </w:r>
            <w:bookmarkEnd w:id="70"/>
          </w:p>
        </w:tc>
        <w:tc>
          <w:tcPr>
            <w:tcW w:w="2856" w:type="dxa"/>
            <w:noWrap w:val="0"/>
            <w:vAlign w:val="center"/>
          </w:tcPr>
          <w:p w14:paraId="7BAC14EB">
            <w:pPr>
              <w:spacing w:line="360" w:lineRule="auto"/>
              <w:rPr>
                <w:rFonts w:hint="eastAsia" w:ascii="宋体" w:hAnsi="宋体" w:cs="宋体"/>
                <w:color w:val="auto"/>
              </w:rPr>
            </w:pPr>
          </w:p>
        </w:tc>
        <w:tc>
          <w:tcPr>
            <w:tcW w:w="2994" w:type="dxa"/>
            <w:noWrap w:val="0"/>
            <w:vAlign w:val="center"/>
          </w:tcPr>
          <w:p w14:paraId="3E56F24E">
            <w:pPr>
              <w:spacing w:line="360" w:lineRule="auto"/>
              <w:rPr>
                <w:rFonts w:hint="eastAsia" w:ascii="宋体" w:hAnsi="宋体" w:cs="宋体"/>
                <w:color w:val="auto"/>
              </w:rPr>
            </w:pPr>
          </w:p>
        </w:tc>
        <w:tc>
          <w:tcPr>
            <w:tcW w:w="1488" w:type="dxa"/>
            <w:tcBorders>
              <w:right w:val="single" w:color="auto" w:sz="4" w:space="0"/>
            </w:tcBorders>
            <w:noWrap w:val="0"/>
            <w:vAlign w:val="center"/>
          </w:tcPr>
          <w:p w14:paraId="30742B50">
            <w:pPr>
              <w:spacing w:line="360" w:lineRule="auto"/>
              <w:rPr>
                <w:rFonts w:hint="eastAsia" w:ascii="宋体" w:hAnsi="宋体" w:cs="宋体"/>
                <w:color w:val="auto"/>
              </w:rPr>
            </w:pPr>
          </w:p>
        </w:tc>
        <w:tc>
          <w:tcPr>
            <w:tcW w:w="1383" w:type="dxa"/>
            <w:tcBorders>
              <w:left w:val="single" w:color="auto" w:sz="4" w:space="0"/>
            </w:tcBorders>
            <w:noWrap w:val="0"/>
            <w:vAlign w:val="center"/>
          </w:tcPr>
          <w:p w14:paraId="3C4DAD35">
            <w:pPr>
              <w:spacing w:line="360" w:lineRule="auto"/>
              <w:rPr>
                <w:rFonts w:hint="eastAsia" w:ascii="宋体" w:hAnsi="宋体" w:cs="宋体"/>
                <w:color w:val="auto"/>
              </w:rPr>
            </w:pPr>
          </w:p>
        </w:tc>
      </w:tr>
    </w:tbl>
    <w:p w14:paraId="7D57787A">
      <w:pPr>
        <w:adjustRightInd w:val="0"/>
        <w:snapToGrid w:val="0"/>
        <w:spacing w:line="360" w:lineRule="auto"/>
        <w:rPr>
          <w:rFonts w:hint="eastAsia" w:ascii="宋体" w:hAnsi="宋体" w:cs="宋体"/>
          <w:b/>
          <w:color w:val="auto"/>
          <w:szCs w:val="21"/>
        </w:rPr>
      </w:pPr>
      <w:r>
        <w:rPr>
          <w:rFonts w:hint="eastAsia" w:ascii="宋体" w:hAnsi="宋体" w:cs="宋体"/>
          <w:b/>
          <w:color w:val="auto"/>
          <w:szCs w:val="21"/>
        </w:rPr>
        <w:t>说明：</w:t>
      </w:r>
      <w:r>
        <w:rPr>
          <w:rFonts w:hint="eastAsia" w:ascii="宋体" w:hAnsi="宋体" w:cs="宋体"/>
          <w:b/>
          <w:color w:val="auto"/>
        </w:rPr>
        <w:t>1、应写明竞</w:t>
      </w:r>
      <w:r>
        <w:rPr>
          <w:rFonts w:hint="eastAsia" w:ascii="宋体" w:hAnsi="宋体" w:cs="宋体"/>
          <w:b/>
          <w:color w:val="auto"/>
          <w:szCs w:val="21"/>
        </w:rPr>
        <w:t>争性磋商响应文件对</w:t>
      </w:r>
      <w:r>
        <w:rPr>
          <w:rFonts w:hint="eastAsia" w:ascii="宋体" w:hAnsi="宋体" w:cs="宋体"/>
          <w:b/>
          <w:color w:val="auto"/>
        </w:rPr>
        <w:t>商务与技术参数及性能配置要求的</w:t>
      </w:r>
      <w:r>
        <w:rPr>
          <w:rFonts w:hint="eastAsia" w:ascii="宋体" w:hAnsi="宋体" w:cs="宋体"/>
          <w:b/>
          <w:color w:val="auto"/>
          <w:szCs w:val="21"/>
        </w:rPr>
        <w:t>响应和偏离情况</w:t>
      </w:r>
      <w:r>
        <w:rPr>
          <w:rFonts w:hint="eastAsia" w:ascii="宋体" w:hAnsi="宋体" w:cs="宋体"/>
          <w:b/>
          <w:bCs/>
          <w:color w:val="auto"/>
          <w:szCs w:val="21"/>
        </w:rPr>
        <w:t>；</w:t>
      </w:r>
    </w:p>
    <w:p w14:paraId="61FA7B36">
      <w:pPr>
        <w:pStyle w:val="19"/>
        <w:spacing w:line="360" w:lineRule="auto"/>
        <w:ind w:firstLine="632" w:firstLineChars="300"/>
        <w:rPr>
          <w:rFonts w:hint="eastAsia" w:ascii="宋体" w:hAnsi="宋体" w:eastAsia="宋体" w:cs="宋体"/>
          <w:b/>
          <w:color w:val="auto"/>
          <w:sz w:val="21"/>
          <w:szCs w:val="21"/>
        </w:rPr>
      </w:pPr>
      <w:r>
        <w:rPr>
          <w:rFonts w:hint="eastAsia" w:ascii="宋体" w:hAnsi="宋体" w:eastAsia="宋体" w:cs="宋体"/>
          <w:b/>
          <w:color w:val="auto"/>
          <w:sz w:val="21"/>
          <w:szCs w:val="21"/>
        </w:rPr>
        <w:t>2、应对照竞争性磋商文件“第三章 采购项目服务参数及要求”，逐条说明所提供货物和服务已对竞争性磋商文件的商务、服务做出了实质性的响应，并申明商务、技术条文的响应或偏离。特别对有具体商务、服务参数要求的，磋商供应商必须提供对应的详细应答。</w:t>
      </w:r>
    </w:p>
    <w:p w14:paraId="48717F28">
      <w:pPr>
        <w:pStyle w:val="22"/>
        <w:spacing w:line="360" w:lineRule="auto"/>
        <w:rPr>
          <w:rFonts w:hint="eastAsia" w:hAnsi="宋体" w:cs="宋体"/>
          <w:color w:val="auto"/>
        </w:rPr>
      </w:pPr>
    </w:p>
    <w:p w14:paraId="49C853DF">
      <w:pPr>
        <w:pStyle w:val="22"/>
        <w:spacing w:line="360" w:lineRule="auto"/>
        <w:ind w:firstLine="4200" w:firstLineChars="2000"/>
        <w:rPr>
          <w:rFonts w:hint="eastAsia" w:hAnsi="宋体" w:cs="宋体"/>
          <w:color w:val="auto"/>
          <w:u w:val="single"/>
        </w:rPr>
      </w:pPr>
      <w:r>
        <w:rPr>
          <w:rFonts w:hint="eastAsia" w:hAnsi="宋体" w:cs="宋体"/>
          <w:color w:val="auto"/>
        </w:rPr>
        <w:t>法定代表人或委托代理人（签字或盖章）:</w:t>
      </w:r>
      <w:r>
        <w:rPr>
          <w:rFonts w:hint="eastAsia" w:hAnsi="宋体" w:cs="宋体"/>
          <w:color w:val="auto"/>
          <w:u w:val="single"/>
        </w:rPr>
        <w:t xml:space="preserve">              </w:t>
      </w:r>
    </w:p>
    <w:p w14:paraId="7C19F6D7">
      <w:pPr>
        <w:pStyle w:val="22"/>
        <w:spacing w:line="360" w:lineRule="auto"/>
        <w:ind w:firstLine="4200" w:firstLineChars="2000"/>
        <w:rPr>
          <w:rFonts w:hint="eastAsia" w:hAnsi="宋体" w:cs="宋体"/>
          <w:color w:val="auto"/>
          <w:u w:val="single"/>
        </w:rPr>
      </w:pPr>
      <w:r>
        <w:rPr>
          <w:rFonts w:hint="eastAsia" w:hAnsi="宋体" w:cs="宋体"/>
          <w:color w:val="auto"/>
        </w:rPr>
        <w:t>磋商供应商名称（电子签章）：</w:t>
      </w:r>
      <w:r>
        <w:rPr>
          <w:rFonts w:hint="eastAsia" w:hAnsi="宋体" w:cs="宋体"/>
          <w:color w:val="auto"/>
          <w:u w:val="single"/>
        </w:rPr>
        <w:t xml:space="preserve">                     </w:t>
      </w:r>
    </w:p>
    <w:p w14:paraId="040A059D">
      <w:pPr>
        <w:spacing w:line="360" w:lineRule="auto"/>
        <w:ind w:firstLine="4200" w:firstLineChars="2000"/>
        <w:rPr>
          <w:rFonts w:hint="eastAsia" w:ascii="宋体" w:hAnsi="宋体" w:cs="宋体"/>
          <w:color w:val="auto"/>
        </w:rPr>
      </w:pPr>
      <w:r>
        <w:rPr>
          <w:rFonts w:hint="eastAsia" w:ascii="宋体" w:hAnsi="宋体" w:cs="宋体"/>
          <w:color w:val="auto"/>
        </w:rPr>
        <w:t>日期：</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p w14:paraId="4E35BFE2">
      <w:pPr>
        <w:adjustRightInd w:val="0"/>
        <w:snapToGrid w:val="0"/>
        <w:spacing w:line="360" w:lineRule="auto"/>
        <w:rPr>
          <w:rFonts w:hint="eastAsia" w:ascii="宋体" w:hAnsi="宋体" w:cs="宋体"/>
          <w:b/>
          <w:color w:val="auto"/>
          <w:szCs w:val="21"/>
        </w:rPr>
      </w:pPr>
    </w:p>
    <w:p w14:paraId="127910EA">
      <w:pPr>
        <w:adjustRightInd w:val="0"/>
        <w:snapToGrid w:val="0"/>
        <w:spacing w:line="360" w:lineRule="auto"/>
        <w:rPr>
          <w:rFonts w:hint="eastAsia" w:ascii="宋体" w:hAnsi="宋体" w:cs="宋体"/>
          <w:b/>
          <w:color w:val="auto"/>
          <w:szCs w:val="21"/>
        </w:rPr>
      </w:pPr>
    </w:p>
    <w:p w14:paraId="5E0A32BA">
      <w:pPr>
        <w:spacing w:line="360" w:lineRule="auto"/>
        <w:rPr>
          <w:rFonts w:hint="eastAsia" w:ascii="宋体" w:hAnsi="宋体" w:cs="宋体"/>
          <w:color w:val="auto"/>
          <w:szCs w:val="21"/>
        </w:rPr>
      </w:pPr>
    </w:p>
    <w:p w14:paraId="7AA428C9">
      <w:pPr>
        <w:spacing w:line="360" w:lineRule="auto"/>
        <w:jc w:val="left"/>
        <w:rPr>
          <w:rFonts w:hint="eastAsia" w:ascii="宋体" w:hAnsi="宋体" w:cs="宋体"/>
          <w:b/>
          <w:color w:val="auto"/>
          <w:sz w:val="24"/>
        </w:rPr>
      </w:pPr>
      <w:r>
        <w:rPr>
          <w:rFonts w:hint="eastAsia" w:ascii="宋体" w:hAnsi="宋体" w:cs="宋体"/>
          <w:b/>
          <w:color w:val="auto"/>
          <w:sz w:val="24"/>
        </w:rPr>
        <w:t>2.技术内容（格式自拟）</w:t>
      </w:r>
    </w:p>
    <w:p w14:paraId="6DA75559">
      <w:pPr>
        <w:spacing w:line="360" w:lineRule="auto"/>
        <w:jc w:val="left"/>
        <w:rPr>
          <w:rFonts w:hint="eastAsia" w:ascii="宋体" w:hAnsi="宋体" w:cs="宋体"/>
          <w:b/>
          <w:color w:val="auto"/>
          <w:sz w:val="24"/>
        </w:rPr>
      </w:pPr>
    </w:p>
    <w:p w14:paraId="0F329ADB">
      <w:pPr>
        <w:spacing w:line="360" w:lineRule="auto"/>
        <w:jc w:val="left"/>
        <w:rPr>
          <w:rFonts w:hint="eastAsia" w:ascii="宋体" w:hAnsi="宋体" w:cs="宋体"/>
          <w:b/>
          <w:color w:val="auto"/>
          <w:sz w:val="24"/>
        </w:rPr>
      </w:pPr>
    </w:p>
    <w:p w14:paraId="200187D8">
      <w:pPr>
        <w:spacing w:line="360" w:lineRule="auto"/>
        <w:jc w:val="left"/>
        <w:rPr>
          <w:rFonts w:hint="eastAsia" w:ascii="宋体" w:hAnsi="宋体" w:cs="宋体"/>
          <w:b/>
          <w:color w:val="auto"/>
          <w:sz w:val="24"/>
        </w:rPr>
      </w:pPr>
    </w:p>
    <w:p w14:paraId="4F2FA966">
      <w:pPr>
        <w:spacing w:line="360" w:lineRule="auto"/>
        <w:jc w:val="left"/>
        <w:rPr>
          <w:rFonts w:hint="eastAsia" w:ascii="宋体" w:hAnsi="宋体" w:cs="宋体"/>
          <w:b/>
          <w:color w:val="auto"/>
          <w:sz w:val="24"/>
        </w:rPr>
      </w:pPr>
    </w:p>
    <w:p w14:paraId="550465AB">
      <w:pPr>
        <w:spacing w:line="360" w:lineRule="auto"/>
        <w:jc w:val="left"/>
        <w:rPr>
          <w:rFonts w:hint="eastAsia" w:ascii="宋体" w:hAnsi="宋体" w:cs="宋体"/>
          <w:b/>
          <w:color w:val="auto"/>
          <w:sz w:val="24"/>
        </w:rPr>
      </w:pPr>
    </w:p>
    <w:p w14:paraId="23FD890F">
      <w:pPr>
        <w:spacing w:line="360" w:lineRule="auto"/>
        <w:jc w:val="left"/>
        <w:rPr>
          <w:rFonts w:hint="eastAsia" w:ascii="宋体" w:hAnsi="宋体" w:cs="宋体"/>
          <w:b/>
          <w:color w:val="auto"/>
          <w:sz w:val="24"/>
        </w:rPr>
      </w:pPr>
    </w:p>
    <w:p w14:paraId="7714C6B2">
      <w:pPr>
        <w:spacing w:line="360" w:lineRule="auto"/>
        <w:jc w:val="left"/>
        <w:rPr>
          <w:rFonts w:hint="eastAsia" w:ascii="宋体" w:hAnsi="宋体" w:cs="宋体"/>
          <w:b/>
          <w:color w:val="auto"/>
          <w:sz w:val="24"/>
        </w:rPr>
      </w:pPr>
    </w:p>
    <w:p w14:paraId="31170710">
      <w:pPr>
        <w:spacing w:line="360" w:lineRule="auto"/>
        <w:jc w:val="left"/>
        <w:rPr>
          <w:rFonts w:hint="eastAsia" w:ascii="宋体" w:hAnsi="宋体" w:cs="宋体"/>
          <w:color w:val="auto"/>
          <w:sz w:val="24"/>
        </w:rPr>
      </w:pPr>
      <w:r>
        <w:rPr>
          <w:rFonts w:hint="eastAsia" w:ascii="宋体" w:hAnsi="宋体" w:cs="宋体"/>
          <w:b/>
          <w:color w:val="auto"/>
          <w:sz w:val="24"/>
        </w:rPr>
        <w:t>3.项目实施人员一览表</w:t>
      </w:r>
      <w:r>
        <w:rPr>
          <w:rFonts w:hint="eastAsia" w:ascii="宋体" w:hAnsi="宋体" w:cs="宋体"/>
          <w:color w:val="auto"/>
          <w:sz w:val="24"/>
        </w:rPr>
        <w:t>（如有，请提供并按此格式自制）</w:t>
      </w:r>
    </w:p>
    <w:p w14:paraId="4D94D378">
      <w:pPr>
        <w:pStyle w:val="26"/>
        <w:spacing w:line="360" w:lineRule="auto"/>
        <w:rPr>
          <w:rFonts w:hint="eastAsia" w:ascii="宋体" w:hAnsi="宋体" w:cs="宋体"/>
          <w:color w:val="auto"/>
        </w:rPr>
      </w:pPr>
      <w:r>
        <w:rPr>
          <w:rFonts w:hint="eastAsia" w:ascii="宋体" w:hAnsi="宋体" w:cs="宋体"/>
          <w:color w:val="auto"/>
          <w:sz w:val="21"/>
          <w:szCs w:val="21"/>
        </w:rPr>
        <w:t xml:space="preserve">分标号（如有）: </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 w:val="21"/>
          <w:szCs w:val="21"/>
        </w:rPr>
        <w:t xml:space="preserve">       </w:t>
      </w:r>
      <w:r>
        <w:rPr>
          <w:rFonts w:hint="eastAsia" w:ascii="宋体" w:hAnsi="宋体" w:cs="宋体"/>
          <w:color w:val="auto"/>
        </w:rPr>
        <w:t xml:space="preserve">                 </w:t>
      </w:r>
    </w:p>
    <w:tbl>
      <w:tblPr>
        <w:tblStyle w:val="40"/>
        <w:tblW w:w="0" w:type="auto"/>
        <w:tblInd w:w="108" w:type="dxa"/>
        <w:tblLayout w:type="fixed"/>
        <w:tblCellMar>
          <w:top w:w="0" w:type="dxa"/>
          <w:left w:w="108" w:type="dxa"/>
          <w:bottom w:w="0" w:type="dxa"/>
          <w:right w:w="108" w:type="dxa"/>
        </w:tblCellMar>
      </w:tblPr>
      <w:tblGrid>
        <w:gridCol w:w="425"/>
        <w:gridCol w:w="798"/>
        <w:gridCol w:w="513"/>
        <w:gridCol w:w="498"/>
        <w:gridCol w:w="1049"/>
        <w:gridCol w:w="1095"/>
        <w:gridCol w:w="1095"/>
        <w:gridCol w:w="1278"/>
        <w:gridCol w:w="913"/>
        <w:gridCol w:w="1491"/>
      </w:tblGrid>
      <w:tr w14:paraId="3B36BDB3">
        <w:tblPrEx>
          <w:tblCellMar>
            <w:top w:w="0" w:type="dxa"/>
            <w:left w:w="108" w:type="dxa"/>
            <w:bottom w:w="0" w:type="dxa"/>
            <w:right w:w="108" w:type="dxa"/>
          </w:tblCellMar>
        </w:tblPrEx>
        <w:trPr>
          <w:trHeight w:val="1252" w:hRule="atLeast"/>
        </w:trPr>
        <w:tc>
          <w:tcPr>
            <w:tcW w:w="425" w:type="dxa"/>
            <w:tcBorders>
              <w:top w:val="single" w:color="auto" w:sz="6" w:space="0"/>
              <w:left w:val="single" w:color="auto" w:sz="6" w:space="0"/>
              <w:bottom w:val="single" w:color="auto" w:sz="6" w:space="0"/>
              <w:right w:val="single" w:color="auto" w:sz="6" w:space="0"/>
            </w:tcBorders>
            <w:noWrap w:val="0"/>
            <w:vAlign w:val="center"/>
          </w:tcPr>
          <w:p w14:paraId="693BB9E0">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序号</w:t>
            </w:r>
          </w:p>
        </w:tc>
        <w:tc>
          <w:tcPr>
            <w:tcW w:w="798" w:type="dxa"/>
            <w:tcBorders>
              <w:top w:val="single" w:color="auto" w:sz="6" w:space="0"/>
              <w:left w:val="single" w:color="auto" w:sz="6" w:space="0"/>
              <w:bottom w:val="single" w:color="auto" w:sz="6" w:space="0"/>
              <w:right w:val="single" w:color="auto" w:sz="6" w:space="0"/>
            </w:tcBorders>
            <w:noWrap w:val="0"/>
            <w:vAlign w:val="center"/>
          </w:tcPr>
          <w:p w14:paraId="3F3E99D2">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姓名</w:t>
            </w:r>
          </w:p>
        </w:tc>
        <w:tc>
          <w:tcPr>
            <w:tcW w:w="513" w:type="dxa"/>
            <w:tcBorders>
              <w:top w:val="single" w:color="auto" w:sz="6" w:space="0"/>
              <w:left w:val="single" w:color="auto" w:sz="6" w:space="0"/>
              <w:bottom w:val="single" w:color="auto" w:sz="6" w:space="0"/>
              <w:right w:val="single" w:color="auto" w:sz="6" w:space="0"/>
            </w:tcBorders>
            <w:noWrap w:val="0"/>
            <w:vAlign w:val="center"/>
          </w:tcPr>
          <w:p w14:paraId="4B170410">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性别</w:t>
            </w:r>
          </w:p>
        </w:tc>
        <w:tc>
          <w:tcPr>
            <w:tcW w:w="498" w:type="dxa"/>
            <w:tcBorders>
              <w:top w:val="single" w:color="auto" w:sz="6" w:space="0"/>
              <w:left w:val="single" w:color="auto" w:sz="6" w:space="0"/>
              <w:bottom w:val="single" w:color="auto" w:sz="6" w:space="0"/>
              <w:right w:val="single" w:color="auto" w:sz="6" w:space="0"/>
            </w:tcBorders>
            <w:noWrap w:val="0"/>
            <w:vAlign w:val="center"/>
          </w:tcPr>
          <w:p w14:paraId="73576CF6">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年龄</w:t>
            </w:r>
          </w:p>
        </w:tc>
        <w:tc>
          <w:tcPr>
            <w:tcW w:w="1049" w:type="dxa"/>
            <w:tcBorders>
              <w:top w:val="single" w:color="auto" w:sz="6" w:space="0"/>
              <w:left w:val="single" w:color="auto" w:sz="6" w:space="0"/>
              <w:bottom w:val="single" w:color="auto" w:sz="6" w:space="0"/>
              <w:right w:val="single" w:color="auto" w:sz="6" w:space="0"/>
            </w:tcBorders>
            <w:noWrap w:val="0"/>
            <w:vAlign w:val="center"/>
          </w:tcPr>
          <w:p w14:paraId="5FB38375">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学历</w:t>
            </w:r>
          </w:p>
          <w:p w14:paraId="46D4DAEA">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(页码)</w:t>
            </w:r>
          </w:p>
        </w:tc>
        <w:tc>
          <w:tcPr>
            <w:tcW w:w="1095" w:type="dxa"/>
            <w:tcBorders>
              <w:top w:val="single" w:color="auto" w:sz="6" w:space="0"/>
              <w:left w:val="single" w:color="auto" w:sz="6" w:space="0"/>
              <w:bottom w:val="single" w:color="auto" w:sz="6" w:space="0"/>
              <w:right w:val="single" w:color="auto" w:sz="6" w:space="0"/>
            </w:tcBorders>
            <w:noWrap w:val="0"/>
            <w:vAlign w:val="center"/>
          </w:tcPr>
          <w:p w14:paraId="7A3D8A75">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专业</w:t>
            </w:r>
          </w:p>
          <w:p w14:paraId="7C197691">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(页码)</w:t>
            </w:r>
          </w:p>
        </w:tc>
        <w:tc>
          <w:tcPr>
            <w:tcW w:w="1095" w:type="dxa"/>
            <w:tcBorders>
              <w:top w:val="single" w:color="auto" w:sz="6" w:space="0"/>
              <w:left w:val="single" w:color="auto" w:sz="6" w:space="0"/>
              <w:bottom w:val="single" w:color="auto" w:sz="6" w:space="0"/>
              <w:right w:val="single" w:color="auto" w:sz="6" w:space="0"/>
            </w:tcBorders>
            <w:noWrap w:val="0"/>
            <w:vAlign w:val="center"/>
          </w:tcPr>
          <w:p w14:paraId="37D08FEF">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职称</w:t>
            </w:r>
          </w:p>
          <w:p w14:paraId="0DC5743C">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(页码)</w:t>
            </w:r>
          </w:p>
        </w:tc>
        <w:tc>
          <w:tcPr>
            <w:tcW w:w="1278" w:type="dxa"/>
            <w:tcBorders>
              <w:top w:val="single" w:color="auto" w:sz="6" w:space="0"/>
              <w:left w:val="single" w:color="auto" w:sz="6" w:space="0"/>
              <w:bottom w:val="single" w:color="auto" w:sz="6" w:space="0"/>
              <w:right w:val="single" w:color="auto" w:sz="6" w:space="0"/>
            </w:tcBorders>
            <w:noWrap w:val="0"/>
            <w:vAlign w:val="center"/>
          </w:tcPr>
          <w:p w14:paraId="1A7D0838">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本项目中的职责</w:t>
            </w:r>
          </w:p>
        </w:tc>
        <w:tc>
          <w:tcPr>
            <w:tcW w:w="913" w:type="dxa"/>
            <w:tcBorders>
              <w:top w:val="single" w:color="auto" w:sz="6" w:space="0"/>
              <w:left w:val="single" w:color="auto" w:sz="6" w:space="0"/>
              <w:bottom w:val="single" w:color="auto" w:sz="6" w:space="0"/>
              <w:right w:val="single" w:color="auto" w:sz="6" w:space="0"/>
            </w:tcBorders>
            <w:noWrap w:val="0"/>
            <w:vAlign w:val="center"/>
          </w:tcPr>
          <w:p w14:paraId="025C5B06">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项目经历</w:t>
            </w:r>
          </w:p>
        </w:tc>
        <w:tc>
          <w:tcPr>
            <w:tcW w:w="1491" w:type="dxa"/>
            <w:tcBorders>
              <w:top w:val="single" w:color="auto" w:sz="6" w:space="0"/>
              <w:left w:val="single" w:color="auto" w:sz="6" w:space="0"/>
              <w:bottom w:val="single" w:color="auto" w:sz="6" w:space="0"/>
              <w:right w:val="single" w:color="auto" w:sz="6" w:space="0"/>
            </w:tcBorders>
            <w:noWrap w:val="0"/>
            <w:vAlign w:val="center"/>
          </w:tcPr>
          <w:p w14:paraId="41C67DF1">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参与本项目的到位情况</w:t>
            </w:r>
          </w:p>
        </w:tc>
      </w:tr>
      <w:tr w14:paraId="7528EBE9">
        <w:tblPrEx>
          <w:tblCellMar>
            <w:top w:w="0" w:type="dxa"/>
            <w:left w:w="108" w:type="dxa"/>
            <w:bottom w:w="0" w:type="dxa"/>
            <w:right w:w="108" w:type="dxa"/>
          </w:tblCellMar>
        </w:tblPrEx>
        <w:trPr>
          <w:trHeight w:val="659" w:hRule="atLeast"/>
        </w:trPr>
        <w:tc>
          <w:tcPr>
            <w:tcW w:w="425" w:type="dxa"/>
            <w:tcBorders>
              <w:top w:val="single" w:color="auto" w:sz="6" w:space="0"/>
              <w:left w:val="single" w:color="auto" w:sz="6" w:space="0"/>
              <w:bottom w:val="single" w:color="auto" w:sz="6" w:space="0"/>
              <w:right w:val="single" w:color="auto" w:sz="6" w:space="0"/>
            </w:tcBorders>
            <w:noWrap w:val="0"/>
            <w:vAlign w:val="top"/>
          </w:tcPr>
          <w:p w14:paraId="40CBF040">
            <w:pPr>
              <w:autoSpaceDE w:val="0"/>
              <w:autoSpaceDN w:val="0"/>
              <w:spacing w:line="360" w:lineRule="auto"/>
              <w:jc w:val="center"/>
              <w:rPr>
                <w:rFonts w:hint="eastAsia" w:ascii="宋体" w:hAnsi="宋体" w:cs="宋体"/>
                <w:color w:val="auto"/>
                <w:sz w:val="24"/>
              </w:rPr>
            </w:pPr>
          </w:p>
        </w:tc>
        <w:tc>
          <w:tcPr>
            <w:tcW w:w="798" w:type="dxa"/>
            <w:tcBorders>
              <w:top w:val="single" w:color="auto" w:sz="6" w:space="0"/>
              <w:left w:val="single" w:color="auto" w:sz="6" w:space="0"/>
              <w:bottom w:val="single" w:color="auto" w:sz="6" w:space="0"/>
              <w:right w:val="single" w:color="auto" w:sz="6" w:space="0"/>
            </w:tcBorders>
            <w:noWrap w:val="0"/>
            <w:vAlign w:val="top"/>
          </w:tcPr>
          <w:p w14:paraId="24B3B192">
            <w:pPr>
              <w:autoSpaceDE w:val="0"/>
              <w:autoSpaceDN w:val="0"/>
              <w:spacing w:line="360" w:lineRule="auto"/>
              <w:rPr>
                <w:rFonts w:hint="eastAsia" w:ascii="宋体" w:hAnsi="宋体" w:cs="宋体"/>
                <w:color w:val="auto"/>
                <w:sz w:val="24"/>
              </w:rPr>
            </w:pPr>
          </w:p>
        </w:tc>
        <w:tc>
          <w:tcPr>
            <w:tcW w:w="513" w:type="dxa"/>
            <w:tcBorders>
              <w:top w:val="single" w:color="auto" w:sz="6" w:space="0"/>
              <w:left w:val="single" w:color="auto" w:sz="6" w:space="0"/>
              <w:bottom w:val="single" w:color="auto" w:sz="6" w:space="0"/>
              <w:right w:val="single" w:color="auto" w:sz="6" w:space="0"/>
            </w:tcBorders>
            <w:noWrap w:val="0"/>
            <w:vAlign w:val="top"/>
          </w:tcPr>
          <w:p w14:paraId="338F8DFF">
            <w:pPr>
              <w:autoSpaceDE w:val="0"/>
              <w:autoSpaceDN w:val="0"/>
              <w:spacing w:line="360" w:lineRule="auto"/>
              <w:rPr>
                <w:rFonts w:hint="eastAsia" w:ascii="宋体" w:hAnsi="宋体" w:cs="宋体"/>
                <w:color w:val="auto"/>
                <w:sz w:val="24"/>
              </w:rPr>
            </w:pPr>
          </w:p>
        </w:tc>
        <w:tc>
          <w:tcPr>
            <w:tcW w:w="498" w:type="dxa"/>
            <w:tcBorders>
              <w:top w:val="single" w:color="auto" w:sz="6" w:space="0"/>
              <w:left w:val="single" w:color="auto" w:sz="6" w:space="0"/>
              <w:bottom w:val="single" w:color="auto" w:sz="6" w:space="0"/>
              <w:right w:val="single" w:color="auto" w:sz="6" w:space="0"/>
            </w:tcBorders>
            <w:noWrap w:val="0"/>
            <w:vAlign w:val="top"/>
          </w:tcPr>
          <w:p w14:paraId="62BE9233">
            <w:pPr>
              <w:autoSpaceDE w:val="0"/>
              <w:autoSpaceDN w:val="0"/>
              <w:spacing w:line="360" w:lineRule="auto"/>
              <w:rPr>
                <w:rFonts w:hint="eastAsia" w:ascii="宋体" w:hAnsi="宋体" w:cs="宋体"/>
                <w:color w:val="auto"/>
                <w:sz w:val="24"/>
              </w:rPr>
            </w:pPr>
          </w:p>
        </w:tc>
        <w:tc>
          <w:tcPr>
            <w:tcW w:w="1049" w:type="dxa"/>
            <w:tcBorders>
              <w:top w:val="single" w:color="auto" w:sz="6" w:space="0"/>
              <w:left w:val="single" w:color="auto" w:sz="6" w:space="0"/>
              <w:bottom w:val="single" w:color="auto" w:sz="6" w:space="0"/>
              <w:right w:val="single" w:color="auto" w:sz="6" w:space="0"/>
            </w:tcBorders>
            <w:noWrap w:val="0"/>
            <w:vAlign w:val="top"/>
          </w:tcPr>
          <w:p w14:paraId="5C07CD58">
            <w:pPr>
              <w:autoSpaceDE w:val="0"/>
              <w:autoSpaceDN w:val="0"/>
              <w:spacing w:line="360" w:lineRule="auto"/>
              <w:rPr>
                <w:rFonts w:hint="eastAsia" w:ascii="宋体" w:hAnsi="宋体" w:cs="宋体"/>
                <w:color w:val="auto"/>
                <w:sz w:val="24"/>
              </w:rPr>
            </w:pPr>
          </w:p>
        </w:tc>
        <w:tc>
          <w:tcPr>
            <w:tcW w:w="1095" w:type="dxa"/>
            <w:tcBorders>
              <w:top w:val="single" w:color="auto" w:sz="6" w:space="0"/>
              <w:left w:val="single" w:color="auto" w:sz="6" w:space="0"/>
              <w:bottom w:val="single" w:color="auto" w:sz="6" w:space="0"/>
              <w:right w:val="single" w:color="auto" w:sz="6" w:space="0"/>
            </w:tcBorders>
            <w:noWrap w:val="0"/>
            <w:vAlign w:val="top"/>
          </w:tcPr>
          <w:p w14:paraId="493972B3">
            <w:pPr>
              <w:autoSpaceDE w:val="0"/>
              <w:autoSpaceDN w:val="0"/>
              <w:spacing w:line="360" w:lineRule="auto"/>
              <w:rPr>
                <w:rFonts w:hint="eastAsia" w:ascii="宋体" w:hAnsi="宋体" w:cs="宋体"/>
                <w:color w:val="auto"/>
                <w:sz w:val="24"/>
              </w:rPr>
            </w:pPr>
          </w:p>
        </w:tc>
        <w:tc>
          <w:tcPr>
            <w:tcW w:w="1095" w:type="dxa"/>
            <w:tcBorders>
              <w:top w:val="single" w:color="auto" w:sz="6" w:space="0"/>
              <w:left w:val="single" w:color="auto" w:sz="6" w:space="0"/>
              <w:bottom w:val="single" w:color="auto" w:sz="6" w:space="0"/>
              <w:right w:val="single" w:color="auto" w:sz="6" w:space="0"/>
            </w:tcBorders>
            <w:noWrap w:val="0"/>
            <w:vAlign w:val="top"/>
          </w:tcPr>
          <w:p w14:paraId="0F39AEB7">
            <w:pPr>
              <w:autoSpaceDE w:val="0"/>
              <w:autoSpaceDN w:val="0"/>
              <w:spacing w:line="360" w:lineRule="auto"/>
              <w:rPr>
                <w:rFonts w:hint="eastAsia" w:ascii="宋体" w:hAnsi="宋体" w:cs="宋体"/>
                <w:color w:val="auto"/>
                <w:sz w:val="24"/>
              </w:rPr>
            </w:pPr>
          </w:p>
        </w:tc>
        <w:tc>
          <w:tcPr>
            <w:tcW w:w="1278" w:type="dxa"/>
            <w:tcBorders>
              <w:top w:val="single" w:color="auto" w:sz="6" w:space="0"/>
              <w:left w:val="single" w:color="auto" w:sz="6" w:space="0"/>
              <w:bottom w:val="single" w:color="auto" w:sz="6" w:space="0"/>
              <w:right w:val="single" w:color="auto" w:sz="6" w:space="0"/>
            </w:tcBorders>
            <w:noWrap w:val="0"/>
            <w:vAlign w:val="top"/>
          </w:tcPr>
          <w:p w14:paraId="58F7729D">
            <w:pPr>
              <w:autoSpaceDE w:val="0"/>
              <w:autoSpaceDN w:val="0"/>
              <w:spacing w:line="360" w:lineRule="auto"/>
              <w:rPr>
                <w:rFonts w:hint="eastAsia" w:ascii="宋体" w:hAnsi="宋体" w:cs="宋体"/>
                <w:color w:val="auto"/>
                <w:sz w:val="24"/>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5044F1C9">
            <w:pPr>
              <w:autoSpaceDE w:val="0"/>
              <w:autoSpaceDN w:val="0"/>
              <w:spacing w:line="360" w:lineRule="auto"/>
              <w:rPr>
                <w:rFonts w:hint="eastAsia" w:ascii="宋体" w:hAnsi="宋体" w:cs="宋体"/>
                <w:color w:val="auto"/>
                <w:sz w:val="24"/>
              </w:rPr>
            </w:pPr>
          </w:p>
        </w:tc>
        <w:tc>
          <w:tcPr>
            <w:tcW w:w="1491" w:type="dxa"/>
            <w:tcBorders>
              <w:top w:val="single" w:color="auto" w:sz="6" w:space="0"/>
              <w:left w:val="single" w:color="auto" w:sz="6" w:space="0"/>
              <w:bottom w:val="single" w:color="auto" w:sz="6" w:space="0"/>
              <w:right w:val="single" w:color="auto" w:sz="6" w:space="0"/>
            </w:tcBorders>
            <w:noWrap w:val="0"/>
            <w:vAlign w:val="top"/>
          </w:tcPr>
          <w:p w14:paraId="4AC8D89B">
            <w:pPr>
              <w:autoSpaceDE w:val="0"/>
              <w:autoSpaceDN w:val="0"/>
              <w:spacing w:line="360" w:lineRule="auto"/>
              <w:rPr>
                <w:rFonts w:hint="eastAsia" w:ascii="宋体" w:hAnsi="宋体" w:cs="宋体"/>
                <w:color w:val="auto"/>
                <w:sz w:val="24"/>
              </w:rPr>
            </w:pPr>
          </w:p>
        </w:tc>
      </w:tr>
      <w:tr w14:paraId="348827AE">
        <w:tblPrEx>
          <w:tblCellMar>
            <w:top w:w="0" w:type="dxa"/>
            <w:left w:w="108" w:type="dxa"/>
            <w:bottom w:w="0" w:type="dxa"/>
            <w:right w:w="108" w:type="dxa"/>
          </w:tblCellMar>
        </w:tblPrEx>
        <w:trPr>
          <w:trHeight w:val="671" w:hRule="atLeast"/>
        </w:trPr>
        <w:tc>
          <w:tcPr>
            <w:tcW w:w="425" w:type="dxa"/>
            <w:tcBorders>
              <w:top w:val="single" w:color="auto" w:sz="6" w:space="0"/>
              <w:left w:val="single" w:color="auto" w:sz="6" w:space="0"/>
              <w:bottom w:val="single" w:color="auto" w:sz="6" w:space="0"/>
              <w:right w:val="single" w:color="auto" w:sz="6" w:space="0"/>
            </w:tcBorders>
            <w:noWrap w:val="0"/>
            <w:vAlign w:val="top"/>
          </w:tcPr>
          <w:p w14:paraId="425FD048">
            <w:pPr>
              <w:autoSpaceDE w:val="0"/>
              <w:autoSpaceDN w:val="0"/>
              <w:spacing w:line="360" w:lineRule="auto"/>
              <w:jc w:val="center"/>
              <w:rPr>
                <w:rFonts w:hint="eastAsia" w:ascii="宋体" w:hAnsi="宋体" w:cs="宋体"/>
                <w:color w:val="auto"/>
                <w:sz w:val="24"/>
              </w:rPr>
            </w:pPr>
          </w:p>
        </w:tc>
        <w:tc>
          <w:tcPr>
            <w:tcW w:w="798" w:type="dxa"/>
            <w:tcBorders>
              <w:top w:val="single" w:color="auto" w:sz="6" w:space="0"/>
              <w:left w:val="single" w:color="auto" w:sz="6" w:space="0"/>
              <w:bottom w:val="single" w:color="auto" w:sz="6" w:space="0"/>
              <w:right w:val="single" w:color="auto" w:sz="6" w:space="0"/>
            </w:tcBorders>
            <w:noWrap w:val="0"/>
            <w:vAlign w:val="top"/>
          </w:tcPr>
          <w:p w14:paraId="7076A3F7">
            <w:pPr>
              <w:autoSpaceDE w:val="0"/>
              <w:autoSpaceDN w:val="0"/>
              <w:spacing w:line="360" w:lineRule="auto"/>
              <w:rPr>
                <w:rFonts w:hint="eastAsia" w:ascii="宋体" w:hAnsi="宋体" w:cs="宋体"/>
                <w:color w:val="auto"/>
                <w:sz w:val="24"/>
              </w:rPr>
            </w:pPr>
          </w:p>
        </w:tc>
        <w:tc>
          <w:tcPr>
            <w:tcW w:w="513" w:type="dxa"/>
            <w:tcBorders>
              <w:top w:val="single" w:color="auto" w:sz="6" w:space="0"/>
              <w:left w:val="single" w:color="auto" w:sz="6" w:space="0"/>
              <w:bottom w:val="single" w:color="auto" w:sz="6" w:space="0"/>
              <w:right w:val="single" w:color="auto" w:sz="6" w:space="0"/>
            </w:tcBorders>
            <w:noWrap w:val="0"/>
            <w:vAlign w:val="top"/>
          </w:tcPr>
          <w:p w14:paraId="1663B79A">
            <w:pPr>
              <w:autoSpaceDE w:val="0"/>
              <w:autoSpaceDN w:val="0"/>
              <w:spacing w:line="360" w:lineRule="auto"/>
              <w:rPr>
                <w:rFonts w:hint="eastAsia" w:ascii="宋体" w:hAnsi="宋体" w:cs="宋体"/>
                <w:color w:val="auto"/>
                <w:sz w:val="24"/>
              </w:rPr>
            </w:pPr>
          </w:p>
        </w:tc>
        <w:tc>
          <w:tcPr>
            <w:tcW w:w="498" w:type="dxa"/>
            <w:tcBorders>
              <w:top w:val="single" w:color="auto" w:sz="6" w:space="0"/>
              <w:left w:val="single" w:color="auto" w:sz="6" w:space="0"/>
              <w:bottom w:val="single" w:color="auto" w:sz="6" w:space="0"/>
              <w:right w:val="single" w:color="auto" w:sz="6" w:space="0"/>
            </w:tcBorders>
            <w:noWrap w:val="0"/>
            <w:vAlign w:val="top"/>
          </w:tcPr>
          <w:p w14:paraId="64DE8569">
            <w:pPr>
              <w:autoSpaceDE w:val="0"/>
              <w:autoSpaceDN w:val="0"/>
              <w:spacing w:line="360" w:lineRule="auto"/>
              <w:rPr>
                <w:rFonts w:hint="eastAsia" w:ascii="宋体" w:hAnsi="宋体" w:cs="宋体"/>
                <w:color w:val="auto"/>
                <w:sz w:val="24"/>
              </w:rPr>
            </w:pPr>
          </w:p>
        </w:tc>
        <w:tc>
          <w:tcPr>
            <w:tcW w:w="1049" w:type="dxa"/>
            <w:tcBorders>
              <w:top w:val="single" w:color="auto" w:sz="6" w:space="0"/>
              <w:left w:val="single" w:color="auto" w:sz="6" w:space="0"/>
              <w:bottom w:val="single" w:color="auto" w:sz="6" w:space="0"/>
              <w:right w:val="single" w:color="auto" w:sz="6" w:space="0"/>
            </w:tcBorders>
            <w:noWrap w:val="0"/>
            <w:vAlign w:val="top"/>
          </w:tcPr>
          <w:p w14:paraId="06BC89B4">
            <w:pPr>
              <w:autoSpaceDE w:val="0"/>
              <w:autoSpaceDN w:val="0"/>
              <w:spacing w:line="360" w:lineRule="auto"/>
              <w:rPr>
                <w:rFonts w:hint="eastAsia" w:ascii="宋体" w:hAnsi="宋体" w:cs="宋体"/>
                <w:color w:val="auto"/>
                <w:sz w:val="24"/>
              </w:rPr>
            </w:pPr>
          </w:p>
        </w:tc>
        <w:tc>
          <w:tcPr>
            <w:tcW w:w="1095" w:type="dxa"/>
            <w:tcBorders>
              <w:top w:val="single" w:color="auto" w:sz="6" w:space="0"/>
              <w:left w:val="single" w:color="auto" w:sz="6" w:space="0"/>
              <w:bottom w:val="single" w:color="auto" w:sz="6" w:space="0"/>
              <w:right w:val="single" w:color="auto" w:sz="6" w:space="0"/>
            </w:tcBorders>
            <w:noWrap w:val="0"/>
            <w:vAlign w:val="top"/>
          </w:tcPr>
          <w:p w14:paraId="0982E709">
            <w:pPr>
              <w:autoSpaceDE w:val="0"/>
              <w:autoSpaceDN w:val="0"/>
              <w:spacing w:line="360" w:lineRule="auto"/>
              <w:rPr>
                <w:rFonts w:hint="eastAsia" w:ascii="宋体" w:hAnsi="宋体" w:cs="宋体"/>
                <w:color w:val="auto"/>
                <w:sz w:val="24"/>
              </w:rPr>
            </w:pPr>
          </w:p>
        </w:tc>
        <w:tc>
          <w:tcPr>
            <w:tcW w:w="1095" w:type="dxa"/>
            <w:tcBorders>
              <w:top w:val="single" w:color="auto" w:sz="6" w:space="0"/>
              <w:left w:val="single" w:color="auto" w:sz="6" w:space="0"/>
              <w:bottom w:val="single" w:color="auto" w:sz="6" w:space="0"/>
              <w:right w:val="single" w:color="auto" w:sz="6" w:space="0"/>
            </w:tcBorders>
            <w:noWrap w:val="0"/>
            <w:vAlign w:val="top"/>
          </w:tcPr>
          <w:p w14:paraId="0E63557F">
            <w:pPr>
              <w:autoSpaceDE w:val="0"/>
              <w:autoSpaceDN w:val="0"/>
              <w:spacing w:line="360" w:lineRule="auto"/>
              <w:rPr>
                <w:rFonts w:hint="eastAsia" w:ascii="宋体" w:hAnsi="宋体" w:cs="宋体"/>
                <w:color w:val="auto"/>
                <w:sz w:val="24"/>
              </w:rPr>
            </w:pPr>
          </w:p>
        </w:tc>
        <w:tc>
          <w:tcPr>
            <w:tcW w:w="1278" w:type="dxa"/>
            <w:tcBorders>
              <w:top w:val="single" w:color="auto" w:sz="6" w:space="0"/>
              <w:left w:val="single" w:color="auto" w:sz="6" w:space="0"/>
              <w:bottom w:val="single" w:color="auto" w:sz="6" w:space="0"/>
              <w:right w:val="single" w:color="auto" w:sz="6" w:space="0"/>
            </w:tcBorders>
            <w:noWrap w:val="0"/>
            <w:vAlign w:val="top"/>
          </w:tcPr>
          <w:p w14:paraId="2BA96BD1">
            <w:pPr>
              <w:autoSpaceDE w:val="0"/>
              <w:autoSpaceDN w:val="0"/>
              <w:spacing w:line="360" w:lineRule="auto"/>
              <w:rPr>
                <w:rFonts w:hint="eastAsia" w:ascii="宋体" w:hAnsi="宋体" w:cs="宋体"/>
                <w:color w:val="auto"/>
                <w:sz w:val="24"/>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71C3251D">
            <w:pPr>
              <w:autoSpaceDE w:val="0"/>
              <w:autoSpaceDN w:val="0"/>
              <w:spacing w:line="360" w:lineRule="auto"/>
              <w:rPr>
                <w:rFonts w:hint="eastAsia" w:ascii="宋体" w:hAnsi="宋体" w:cs="宋体"/>
                <w:color w:val="auto"/>
                <w:sz w:val="24"/>
              </w:rPr>
            </w:pPr>
          </w:p>
        </w:tc>
        <w:tc>
          <w:tcPr>
            <w:tcW w:w="1491" w:type="dxa"/>
            <w:tcBorders>
              <w:top w:val="single" w:color="auto" w:sz="6" w:space="0"/>
              <w:left w:val="single" w:color="auto" w:sz="6" w:space="0"/>
              <w:bottom w:val="single" w:color="auto" w:sz="6" w:space="0"/>
              <w:right w:val="single" w:color="auto" w:sz="6" w:space="0"/>
            </w:tcBorders>
            <w:noWrap w:val="0"/>
            <w:vAlign w:val="top"/>
          </w:tcPr>
          <w:p w14:paraId="28ED6FE3">
            <w:pPr>
              <w:autoSpaceDE w:val="0"/>
              <w:autoSpaceDN w:val="0"/>
              <w:spacing w:line="360" w:lineRule="auto"/>
              <w:rPr>
                <w:rFonts w:hint="eastAsia" w:ascii="宋体" w:hAnsi="宋体" w:cs="宋体"/>
                <w:color w:val="auto"/>
                <w:sz w:val="24"/>
              </w:rPr>
            </w:pPr>
          </w:p>
        </w:tc>
      </w:tr>
      <w:tr w14:paraId="2D3C7CAA">
        <w:tblPrEx>
          <w:tblCellMar>
            <w:top w:w="0" w:type="dxa"/>
            <w:left w:w="108" w:type="dxa"/>
            <w:bottom w:w="0" w:type="dxa"/>
            <w:right w:w="108" w:type="dxa"/>
          </w:tblCellMar>
        </w:tblPrEx>
        <w:trPr>
          <w:trHeight w:val="684" w:hRule="atLeast"/>
        </w:trPr>
        <w:tc>
          <w:tcPr>
            <w:tcW w:w="425" w:type="dxa"/>
            <w:tcBorders>
              <w:top w:val="single" w:color="auto" w:sz="6" w:space="0"/>
              <w:left w:val="single" w:color="auto" w:sz="6" w:space="0"/>
              <w:bottom w:val="single" w:color="auto" w:sz="6" w:space="0"/>
              <w:right w:val="single" w:color="auto" w:sz="6" w:space="0"/>
            </w:tcBorders>
            <w:noWrap w:val="0"/>
            <w:vAlign w:val="top"/>
          </w:tcPr>
          <w:p w14:paraId="2D1C68EE">
            <w:pPr>
              <w:autoSpaceDE w:val="0"/>
              <w:autoSpaceDN w:val="0"/>
              <w:spacing w:line="360" w:lineRule="auto"/>
              <w:jc w:val="center"/>
              <w:rPr>
                <w:rFonts w:hint="eastAsia" w:ascii="宋体" w:hAnsi="宋体" w:cs="宋体"/>
                <w:color w:val="auto"/>
                <w:sz w:val="24"/>
              </w:rPr>
            </w:pPr>
          </w:p>
        </w:tc>
        <w:tc>
          <w:tcPr>
            <w:tcW w:w="798" w:type="dxa"/>
            <w:tcBorders>
              <w:top w:val="single" w:color="auto" w:sz="6" w:space="0"/>
              <w:left w:val="single" w:color="auto" w:sz="6" w:space="0"/>
              <w:bottom w:val="single" w:color="auto" w:sz="6" w:space="0"/>
              <w:right w:val="single" w:color="auto" w:sz="6" w:space="0"/>
            </w:tcBorders>
            <w:noWrap w:val="0"/>
            <w:vAlign w:val="top"/>
          </w:tcPr>
          <w:p w14:paraId="747C116A">
            <w:pPr>
              <w:autoSpaceDE w:val="0"/>
              <w:autoSpaceDN w:val="0"/>
              <w:spacing w:line="360" w:lineRule="auto"/>
              <w:rPr>
                <w:rFonts w:hint="eastAsia" w:ascii="宋体" w:hAnsi="宋体" w:cs="宋体"/>
                <w:color w:val="auto"/>
                <w:sz w:val="24"/>
              </w:rPr>
            </w:pPr>
          </w:p>
        </w:tc>
        <w:tc>
          <w:tcPr>
            <w:tcW w:w="513" w:type="dxa"/>
            <w:tcBorders>
              <w:top w:val="single" w:color="auto" w:sz="6" w:space="0"/>
              <w:left w:val="single" w:color="auto" w:sz="6" w:space="0"/>
              <w:bottom w:val="single" w:color="auto" w:sz="6" w:space="0"/>
              <w:right w:val="single" w:color="auto" w:sz="6" w:space="0"/>
            </w:tcBorders>
            <w:noWrap w:val="0"/>
            <w:vAlign w:val="top"/>
          </w:tcPr>
          <w:p w14:paraId="4C4C21DC">
            <w:pPr>
              <w:autoSpaceDE w:val="0"/>
              <w:autoSpaceDN w:val="0"/>
              <w:spacing w:line="360" w:lineRule="auto"/>
              <w:rPr>
                <w:rFonts w:hint="eastAsia" w:ascii="宋体" w:hAnsi="宋体" w:cs="宋体"/>
                <w:color w:val="auto"/>
                <w:sz w:val="24"/>
              </w:rPr>
            </w:pPr>
          </w:p>
        </w:tc>
        <w:tc>
          <w:tcPr>
            <w:tcW w:w="498" w:type="dxa"/>
            <w:tcBorders>
              <w:top w:val="single" w:color="auto" w:sz="6" w:space="0"/>
              <w:left w:val="single" w:color="auto" w:sz="6" w:space="0"/>
              <w:bottom w:val="single" w:color="auto" w:sz="6" w:space="0"/>
              <w:right w:val="single" w:color="auto" w:sz="6" w:space="0"/>
            </w:tcBorders>
            <w:noWrap w:val="0"/>
            <w:vAlign w:val="top"/>
          </w:tcPr>
          <w:p w14:paraId="0EE9EBA5">
            <w:pPr>
              <w:autoSpaceDE w:val="0"/>
              <w:autoSpaceDN w:val="0"/>
              <w:spacing w:line="360" w:lineRule="auto"/>
              <w:rPr>
                <w:rFonts w:hint="eastAsia" w:ascii="宋体" w:hAnsi="宋体" w:cs="宋体"/>
                <w:color w:val="auto"/>
                <w:sz w:val="24"/>
              </w:rPr>
            </w:pPr>
          </w:p>
        </w:tc>
        <w:tc>
          <w:tcPr>
            <w:tcW w:w="1049" w:type="dxa"/>
            <w:tcBorders>
              <w:top w:val="single" w:color="auto" w:sz="6" w:space="0"/>
              <w:left w:val="single" w:color="auto" w:sz="6" w:space="0"/>
              <w:bottom w:val="single" w:color="auto" w:sz="6" w:space="0"/>
              <w:right w:val="single" w:color="auto" w:sz="6" w:space="0"/>
            </w:tcBorders>
            <w:noWrap w:val="0"/>
            <w:vAlign w:val="top"/>
          </w:tcPr>
          <w:p w14:paraId="7CCED9E6">
            <w:pPr>
              <w:autoSpaceDE w:val="0"/>
              <w:autoSpaceDN w:val="0"/>
              <w:spacing w:line="360" w:lineRule="auto"/>
              <w:rPr>
                <w:rFonts w:hint="eastAsia" w:ascii="宋体" w:hAnsi="宋体" w:cs="宋体"/>
                <w:color w:val="auto"/>
                <w:sz w:val="24"/>
              </w:rPr>
            </w:pPr>
          </w:p>
        </w:tc>
        <w:tc>
          <w:tcPr>
            <w:tcW w:w="1095" w:type="dxa"/>
            <w:tcBorders>
              <w:top w:val="single" w:color="auto" w:sz="6" w:space="0"/>
              <w:left w:val="single" w:color="auto" w:sz="6" w:space="0"/>
              <w:bottom w:val="single" w:color="auto" w:sz="6" w:space="0"/>
              <w:right w:val="single" w:color="auto" w:sz="6" w:space="0"/>
            </w:tcBorders>
            <w:noWrap w:val="0"/>
            <w:vAlign w:val="top"/>
          </w:tcPr>
          <w:p w14:paraId="02F92D60">
            <w:pPr>
              <w:autoSpaceDE w:val="0"/>
              <w:autoSpaceDN w:val="0"/>
              <w:spacing w:line="360" w:lineRule="auto"/>
              <w:rPr>
                <w:rFonts w:hint="eastAsia" w:ascii="宋体" w:hAnsi="宋体" w:cs="宋体"/>
                <w:color w:val="auto"/>
                <w:sz w:val="24"/>
              </w:rPr>
            </w:pPr>
          </w:p>
        </w:tc>
        <w:tc>
          <w:tcPr>
            <w:tcW w:w="1095" w:type="dxa"/>
            <w:tcBorders>
              <w:top w:val="single" w:color="auto" w:sz="6" w:space="0"/>
              <w:left w:val="single" w:color="auto" w:sz="6" w:space="0"/>
              <w:bottom w:val="single" w:color="auto" w:sz="6" w:space="0"/>
              <w:right w:val="single" w:color="auto" w:sz="6" w:space="0"/>
            </w:tcBorders>
            <w:noWrap w:val="0"/>
            <w:vAlign w:val="top"/>
          </w:tcPr>
          <w:p w14:paraId="4891C9FD">
            <w:pPr>
              <w:autoSpaceDE w:val="0"/>
              <w:autoSpaceDN w:val="0"/>
              <w:spacing w:line="360" w:lineRule="auto"/>
              <w:rPr>
                <w:rFonts w:hint="eastAsia" w:ascii="宋体" w:hAnsi="宋体" w:cs="宋体"/>
                <w:color w:val="auto"/>
                <w:sz w:val="24"/>
              </w:rPr>
            </w:pPr>
          </w:p>
        </w:tc>
        <w:tc>
          <w:tcPr>
            <w:tcW w:w="1278" w:type="dxa"/>
            <w:tcBorders>
              <w:top w:val="single" w:color="auto" w:sz="6" w:space="0"/>
              <w:left w:val="single" w:color="auto" w:sz="6" w:space="0"/>
              <w:bottom w:val="single" w:color="auto" w:sz="6" w:space="0"/>
              <w:right w:val="single" w:color="auto" w:sz="6" w:space="0"/>
            </w:tcBorders>
            <w:noWrap w:val="0"/>
            <w:vAlign w:val="top"/>
          </w:tcPr>
          <w:p w14:paraId="5DC1FDAF">
            <w:pPr>
              <w:autoSpaceDE w:val="0"/>
              <w:autoSpaceDN w:val="0"/>
              <w:spacing w:line="360" w:lineRule="auto"/>
              <w:rPr>
                <w:rFonts w:hint="eastAsia" w:ascii="宋体" w:hAnsi="宋体" w:cs="宋体"/>
                <w:color w:val="auto"/>
                <w:sz w:val="24"/>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54D44183">
            <w:pPr>
              <w:autoSpaceDE w:val="0"/>
              <w:autoSpaceDN w:val="0"/>
              <w:spacing w:line="360" w:lineRule="auto"/>
              <w:rPr>
                <w:rFonts w:hint="eastAsia" w:ascii="宋体" w:hAnsi="宋体" w:cs="宋体"/>
                <w:color w:val="auto"/>
                <w:sz w:val="24"/>
              </w:rPr>
            </w:pPr>
          </w:p>
        </w:tc>
        <w:tc>
          <w:tcPr>
            <w:tcW w:w="1491" w:type="dxa"/>
            <w:tcBorders>
              <w:top w:val="single" w:color="auto" w:sz="6" w:space="0"/>
              <w:left w:val="single" w:color="auto" w:sz="6" w:space="0"/>
              <w:bottom w:val="single" w:color="auto" w:sz="6" w:space="0"/>
              <w:right w:val="single" w:color="auto" w:sz="6" w:space="0"/>
            </w:tcBorders>
            <w:noWrap w:val="0"/>
            <w:vAlign w:val="top"/>
          </w:tcPr>
          <w:p w14:paraId="5C7880D2">
            <w:pPr>
              <w:autoSpaceDE w:val="0"/>
              <w:autoSpaceDN w:val="0"/>
              <w:spacing w:line="360" w:lineRule="auto"/>
              <w:rPr>
                <w:rFonts w:hint="eastAsia" w:ascii="宋体" w:hAnsi="宋体" w:cs="宋体"/>
                <w:color w:val="auto"/>
                <w:sz w:val="24"/>
              </w:rPr>
            </w:pPr>
          </w:p>
        </w:tc>
      </w:tr>
    </w:tbl>
    <w:p w14:paraId="2B8FF3F5">
      <w:pPr>
        <w:spacing w:line="360" w:lineRule="auto"/>
        <w:rPr>
          <w:rFonts w:hint="eastAsia" w:ascii="宋体" w:hAnsi="宋体" w:cs="宋体"/>
          <w:b/>
          <w:bCs/>
          <w:color w:val="auto"/>
          <w:sz w:val="24"/>
        </w:rPr>
      </w:pPr>
      <w:r>
        <w:rPr>
          <w:rFonts w:hint="eastAsia" w:ascii="宋体" w:hAnsi="宋体" w:cs="宋体"/>
          <w:b/>
          <w:color w:val="auto"/>
          <w:sz w:val="24"/>
        </w:rPr>
        <w:t>注：供应商可按上述的格式自行编制，须随表提交相应的证书复印件并注明所在响应技术文件页码。</w:t>
      </w:r>
    </w:p>
    <w:p w14:paraId="64D078D1">
      <w:pPr>
        <w:snapToGrid w:val="0"/>
        <w:spacing w:line="360" w:lineRule="auto"/>
        <w:ind w:firstLine="602" w:firstLineChars="200"/>
        <w:rPr>
          <w:rFonts w:hint="eastAsia" w:ascii="宋体" w:hAnsi="宋体" w:cs="宋体"/>
          <w:b/>
          <w:color w:val="auto"/>
          <w:sz w:val="30"/>
          <w:szCs w:val="30"/>
        </w:rPr>
      </w:pPr>
    </w:p>
    <w:p w14:paraId="3EE3AD6B">
      <w:pPr>
        <w:autoSpaceDE w:val="0"/>
        <w:autoSpaceDN w:val="0"/>
        <w:spacing w:line="360" w:lineRule="auto"/>
        <w:ind w:firstLine="6505" w:firstLineChars="2700"/>
        <w:rPr>
          <w:rFonts w:hint="eastAsia" w:ascii="宋体" w:hAnsi="宋体" w:cs="宋体"/>
          <w:b/>
          <w:bCs/>
          <w:color w:val="auto"/>
          <w:sz w:val="24"/>
        </w:rPr>
      </w:pPr>
    </w:p>
    <w:p w14:paraId="107E68B5">
      <w:pPr>
        <w:autoSpaceDE w:val="0"/>
        <w:autoSpaceDN w:val="0"/>
        <w:spacing w:line="360" w:lineRule="auto"/>
        <w:ind w:left="4335" w:leftChars="1950" w:hanging="240" w:hangingChars="100"/>
        <w:rPr>
          <w:rFonts w:hint="eastAsia" w:ascii="宋体" w:hAnsi="宋体" w:cs="宋体"/>
          <w:color w:val="auto"/>
          <w:kern w:val="0"/>
          <w:sz w:val="24"/>
        </w:rPr>
      </w:pPr>
      <w:r>
        <w:rPr>
          <w:rFonts w:hint="eastAsia" w:ascii="宋体" w:hAnsi="宋体" w:cs="宋体"/>
          <w:color w:val="auto"/>
          <w:kern w:val="0"/>
          <w:sz w:val="24"/>
        </w:rPr>
        <w:t>供应商名称（电子签章）：</w:t>
      </w:r>
    </w:p>
    <w:p w14:paraId="4118593A">
      <w:pPr>
        <w:autoSpaceDE w:val="0"/>
        <w:autoSpaceDN w:val="0"/>
        <w:spacing w:line="360" w:lineRule="auto"/>
        <w:ind w:firstLine="4080" w:firstLineChars="1700"/>
        <w:rPr>
          <w:rFonts w:hint="eastAsia" w:ascii="宋体" w:hAnsi="宋体" w:cs="宋体"/>
          <w:color w:val="auto"/>
          <w:kern w:val="0"/>
          <w:sz w:val="24"/>
          <w:lang w:val="zh-CN"/>
        </w:rPr>
      </w:pPr>
      <w:r>
        <w:rPr>
          <w:rFonts w:hint="eastAsia" w:ascii="宋体" w:hAnsi="宋体" w:cs="宋体"/>
          <w:color w:val="auto"/>
          <w:kern w:val="0"/>
          <w:sz w:val="24"/>
          <w:lang w:val="zh-CN"/>
        </w:rPr>
        <w:t>日期：  年  月   日</w:t>
      </w:r>
    </w:p>
    <w:p w14:paraId="1AA752FE">
      <w:pPr>
        <w:spacing w:line="360" w:lineRule="auto"/>
        <w:jc w:val="left"/>
        <w:rPr>
          <w:rFonts w:hint="eastAsia" w:ascii="宋体" w:hAnsi="宋体" w:cs="宋体"/>
          <w:b/>
          <w:color w:val="auto"/>
          <w:sz w:val="24"/>
        </w:rPr>
      </w:pPr>
    </w:p>
    <w:p w14:paraId="0BAA662E">
      <w:pPr>
        <w:spacing w:line="360" w:lineRule="auto"/>
        <w:jc w:val="left"/>
        <w:rPr>
          <w:rFonts w:hint="eastAsia" w:ascii="宋体" w:hAnsi="宋体" w:cs="宋体"/>
          <w:b/>
          <w:color w:val="auto"/>
          <w:sz w:val="24"/>
        </w:rPr>
      </w:pPr>
    </w:p>
    <w:p w14:paraId="384D2391">
      <w:pPr>
        <w:spacing w:line="360" w:lineRule="auto"/>
        <w:jc w:val="left"/>
        <w:rPr>
          <w:rFonts w:hint="eastAsia" w:ascii="宋体" w:hAnsi="宋体" w:cs="宋体"/>
          <w:color w:val="auto"/>
          <w:sz w:val="24"/>
        </w:rPr>
      </w:pPr>
      <w:r>
        <w:rPr>
          <w:rFonts w:hint="eastAsia" w:ascii="宋体" w:hAnsi="宋体" w:cs="宋体"/>
          <w:b/>
          <w:color w:val="auto"/>
          <w:sz w:val="24"/>
        </w:rPr>
        <w:br w:type="page"/>
      </w:r>
      <w:r>
        <w:rPr>
          <w:rFonts w:hint="eastAsia" w:ascii="宋体" w:hAnsi="宋体" w:cs="宋体"/>
          <w:b/>
          <w:color w:val="auto"/>
          <w:sz w:val="24"/>
        </w:rPr>
        <w:t xml:space="preserve"> 4.业绩一览表</w:t>
      </w:r>
      <w:r>
        <w:rPr>
          <w:rFonts w:hint="eastAsia" w:ascii="宋体" w:hAnsi="宋体" w:cs="宋体"/>
          <w:color w:val="auto"/>
          <w:sz w:val="24"/>
        </w:rPr>
        <w:t>（按此格式自制）</w:t>
      </w:r>
    </w:p>
    <w:p w14:paraId="1AD0CD0B">
      <w:pPr>
        <w:pStyle w:val="26"/>
        <w:spacing w:line="360" w:lineRule="auto"/>
        <w:ind w:firstLine="210" w:firstLineChars="100"/>
        <w:rPr>
          <w:rFonts w:hint="eastAsia" w:ascii="宋体" w:hAnsi="宋体" w:cs="宋体"/>
          <w:color w:val="auto"/>
        </w:rPr>
      </w:pPr>
      <w:r>
        <w:rPr>
          <w:rFonts w:hint="eastAsia" w:ascii="宋体" w:hAnsi="宋体" w:cs="宋体"/>
          <w:color w:val="auto"/>
          <w:sz w:val="21"/>
          <w:szCs w:val="21"/>
        </w:rPr>
        <w:t xml:space="preserve">分标号（如有）: </w:t>
      </w:r>
      <w:r>
        <w:rPr>
          <w:rFonts w:hint="eastAsia" w:ascii="宋体" w:hAnsi="宋体" w:cs="宋体"/>
          <w:color w:val="auto"/>
          <w:szCs w:val="21"/>
          <w:u w:val="single"/>
        </w:rPr>
        <w:t xml:space="preserve">                 </w:t>
      </w:r>
      <w:r>
        <w:rPr>
          <w:rFonts w:hint="eastAsia" w:ascii="宋体" w:hAnsi="宋体" w:cs="宋体"/>
          <w:color w:val="auto"/>
          <w:szCs w:val="21"/>
        </w:rPr>
        <w:t xml:space="preserve">  </w:t>
      </w:r>
    </w:p>
    <w:tbl>
      <w:tblPr>
        <w:tblStyle w:val="40"/>
        <w:tblW w:w="91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37"/>
        <w:gridCol w:w="2876"/>
        <w:gridCol w:w="1840"/>
        <w:gridCol w:w="2385"/>
      </w:tblGrid>
      <w:tr w14:paraId="3EE79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67" w:hRule="atLeast"/>
          <w:jc w:val="center"/>
        </w:trPr>
        <w:tc>
          <w:tcPr>
            <w:tcW w:w="2037" w:type="dxa"/>
            <w:vMerge w:val="restart"/>
            <w:tcBorders>
              <w:top w:val="single" w:color="auto" w:sz="4" w:space="0"/>
              <w:left w:val="single" w:color="auto" w:sz="4" w:space="0"/>
              <w:bottom w:val="single" w:color="auto" w:sz="4" w:space="0"/>
              <w:right w:val="single" w:color="auto" w:sz="4" w:space="0"/>
            </w:tcBorders>
            <w:noWrap w:val="0"/>
            <w:vAlign w:val="center"/>
          </w:tcPr>
          <w:p w14:paraId="57E6E80F">
            <w:pPr>
              <w:snapToGrid w:val="0"/>
              <w:spacing w:line="360" w:lineRule="auto"/>
              <w:jc w:val="center"/>
              <w:rPr>
                <w:rFonts w:hint="eastAsia" w:ascii="宋体" w:hAnsi="宋体" w:cs="宋体"/>
                <w:color w:val="auto"/>
                <w:sz w:val="24"/>
              </w:rPr>
            </w:pPr>
            <w:r>
              <w:rPr>
                <w:rFonts w:hint="eastAsia" w:ascii="宋体" w:hAnsi="宋体" w:cs="宋体"/>
                <w:color w:val="auto"/>
                <w:sz w:val="24"/>
              </w:rPr>
              <w:t>采购人名称</w:t>
            </w:r>
          </w:p>
        </w:tc>
        <w:tc>
          <w:tcPr>
            <w:tcW w:w="2876" w:type="dxa"/>
            <w:vMerge w:val="restart"/>
            <w:tcBorders>
              <w:top w:val="single" w:color="auto" w:sz="4" w:space="0"/>
              <w:left w:val="single" w:color="auto" w:sz="4" w:space="0"/>
              <w:bottom w:val="single" w:color="auto" w:sz="4" w:space="0"/>
              <w:right w:val="single" w:color="auto" w:sz="4" w:space="0"/>
            </w:tcBorders>
            <w:noWrap w:val="0"/>
            <w:vAlign w:val="center"/>
          </w:tcPr>
          <w:p w14:paraId="4BC4AF30">
            <w:pPr>
              <w:snapToGrid w:val="0"/>
              <w:spacing w:line="360" w:lineRule="auto"/>
              <w:jc w:val="center"/>
              <w:rPr>
                <w:rFonts w:hint="eastAsia" w:ascii="宋体" w:hAnsi="宋体" w:cs="宋体"/>
                <w:color w:val="auto"/>
                <w:sz w:val="24"/>
              </w:rPr>
            </w:pPr>
            <w:r>
              <w:rPr>
                <w:rFonts w:hint="eastAsia" w:ascii="宋体" w:hAnsi="宋体" w:cs="宋体"/>
                <w:color w:val="auto"/>
                <w:sz w:val="24"/>
              </w:rPr>
              <w:t>项目名称</w:t>
            </w:r>
          </w:p>
        </w:tc>
        <w:tc>
          <w:tcPr>
            <w:tcW w:w="1840" w:type="dxa"/>
            <w:vMerge w:val="restart"/>
            <w:tcBorders>
              <w:top w:val="single" w:color="auto" w:sz="4" w:space="0"/>
              <w:left w:val="single" w:color="auto" w:sz="4" w:space="0"/>
              <w:bottom w:val="single" w:color="auto" w:sz="4" w:space="0"/>
              <w:right w:val="single" w:color="auto" w:sz="4" w:space="0"/>
            </w:tcBorders>
            <w:noWrap w:val="0"/>
            <w:vAlign w:val="center"/>
          </w:tcPr>
          <w:p w14:paraId="4CECC0B4">
            <w:pPr>
              <w:snapToGrid w:val="0"/>
              <w:spacing w:line="360" w:lineRule="auto"/>
              <w:jc w:val="center"/>
              <w:rPr>
                <w:rFonts w:hint="eastAsia" w:ascii="宋体" w:hAnsi="宋体" w:cs="宋体"/>
                <w:color w:val="auto"/>
                <w:sz w:val="24"/>
              </w:rPr>
            </w:pPr>
            <w:r>
              <w:rPr>
                <w:rFonts w:hint="eastAsia" w:ascii="宋体" w:hAnsi="宋体" w:cs="宋体"/>
                <w:color w:val="auto"/>
                <w:sz w:val="24"/>
              </w:rPr>
              <w:t>合同金额</w:t>
            </w:r>
          </w:p>
          <w:p w14:paraId="65B6ABD0">
            <w:pPr>
              <w:snapToGrid w:val="0"/>
              <w:spacing w:line="360" w:lineRule="auto"/>
              <w:jc w:val="center"/>
              <w:rPr>
                <w:rFonts w:hint="eastAsia" w:ascii="宋体" w:hAnsi="宋体" w:cs="宋体"/>
                <w:color w:val="auto"/>
                <w:sz w:val="24"/>
              </w:rPr>
            </w:pPr>
            <w:r>
              <w:rPr>
                <w:rFonts w:hint="eastAsia" w:ascii="宋体" w:hAnsi="宋体" w:cs="宋体"/>
                <w:color w:val="auto"/>
                <w:sz w:val="24"/>
              </w:rPr>
              <w:t>（万元/元）</w:t>
            </w:r>
          </w:p>
        </w:tc>
        <w:tc>
          <w:tcPr>
            <w:tcW w:w="2385" w:type="dxa"/>
            <w:vMerge w:val="restart"/>
            <w:tcBorders>
              <w:top w:val="single" w:color="auto" w:sz="4" w:space="0"/>
              <w:left w:val="single" w:color="auto" w:sz="4" w:space="0"/>
              <w:bottom w:val="single" w:color="auto" w:sz="4" w:space="0"/>
              <w:right w:val="single" w:color="auto" w:sz="4" w:space="0"/>
            </w:tcBorders>
            <w:noWrap w:val="0"/>
            <w:vAlign w:val="center"/>
          </w:tcPr>
          <w:p w14:paraId="4D58B1E2">
            <w:pPr>
              <w:snapToGrid w:val="0"/>
              <w:spacing w:line="360" w:lineRule="auto"/>
              <w:jc w:val="center"/>
              <w:rPr>
                <w:rFonts w:hint="eastAsia" w:ascii="宋体" w:hAnsi="宋体" w:cs="宋体"/>
                <w:color w:val="auto"/>
                <w:sz w:val="24"/>
              </w:rPr>
            </w:pPr>
            <w:r>
              <w:rPr>
                <w:rFonts w:hint="eastAsia" w:ascii="宋体" w:hAnsi="宋体" w:cs="宋体"/>
                <w:color w:val="auto"/>
                <w:sz w:val="24"/>
              </w:rPr>
              <w:t>采购人联系人及联系电话</w:t>
            </w:r>
          </w:p>
        </w:tc>
      </w:tr>
      <w:tr w14:paraId="779F9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7" w:hRule="atLeast"/>
          <w:jc w:val="center"/>
        </w:trPr>
        <w:tc>
          <w:tcPr>
            <w:tcW w:w="2037" w:type="dxa"/>
            <w:vMerge w:val="continue"/>
            <w:tcBorders>
              <w:top w:val="single" w:color="auto" w:sz="4" w:space="0"/>
              <w:left w:val="single" w:color="auto" w:sz="4" w:space="0"/>
              <w:bottom w:val="single" w:color="auto" w:sz="4" w:space="0"/>
              <w:right w:val="single" w:color="auto" w:sz="4" w:space="0"/>
            </w:tcBorders>
            <w:noWrap w:val="0"/>
            <w:vAlign w:val="center"/>
          </w:tcPr>
          <w:p w14:paraId="618A2E0A">
            <w:pPr>
              <w:widowControl/>
              <w:spacing w:line="360" w:lineRule="auto"/>
              <w:jc w:val="left"/>
              <w:rPr>
                <w:rFonts w:hint="eastAsia" w:ascii="宋体" w:hAnsi="宋体" w:cs="宋体"/>
                <w:color w:val="auto"/>
                <w:sz w:val="24"/>
              </w:rPr>
            </w:pPr>
          </w:p>
        </w:tc>
        <w:tc>
          <w:tcPr>
            <w:tcW w:w="2876" w:type="dxa"/>
            <w:vMerge w:val="continue"/>
            <w:tcBorders>
              <w:top w:val="single" w:color="auto" w:sz="4" w:space="0"/>
              <w:left w:val="single" w:color="auto" w:sz="4" w:space="0"/>
              <w:bottom w:val="single" w:color="auto" w:sz="4" w:space="0"/>
              <w:right w:val="single" w:color="auto" w:sz="4" w:space="0"/>
            </w:tcBorders>
            <w:noWrap w:val="0"/>
            <w:vAlign w:val="center"/>
          </w:tcPr>
          <w:p w14:paraId="0D181219">
            <w:pPr>
              <w:widowControl/>
              <w:spacing w:line="360" w:lineRule="auto"/>
              <w:jc w:val="left"/>
              <w:rPr>
                <w:rFonts w:hint="eastAsia" w:ascii="宋体" w:hAnsi="宋体" w:cs="宋体"/>
                <w:color w:val="auto"/>
                <w:sz w:val="24"/>
              </w:rPr>
            </w:pPr>
          </w:p>
        </w:tc>
        <w:tc>
          <w:tcPr>
            <w:tcW w:w="1840" w:type="dxa"/>
            <w:vMerge w:val="continue"/>
            <w:tcBorders>
              <w:top w:val="single" w:color="auto" w:sz="4" w:space="0"/>
              <w:left w:val="single" w:color="auto" w:sz="4" w:space="0"/>
              <w:bottom w:val="single" w:color="auto" w:sz="4" w:space="0"/>
              <w:right w:val="single" w:color="auto" w:sz="4" w:space="0"/>
            </w:tcBorders>
            <w:noWrap w:val="0"/>
            <w:vAlign w:val="center"/>
          </w:tcPr>
          <w:p w14:paraId="4F14E1AB">
            <w:pPr>
              <w:widowControl/>
              <w:spacing w:line="360" w:lineRule="auto"/>
              <w:jc w:val="left"/>
              <w:rPr>
                <w:rFonts w:hint="eastAsia" w:ascii="宋体" w:hAnsi="宋体" w:cs="宋体"/>
                <w:color w:val="auto"/>
                <w:sz w:val="24"/>
              </w:rPr>
            </w:pPr>
          </w:p>
        </w:tc>
        <w:tc>
          <w:tcPr>
            <w:tcW w:w="2385" w:type="dxa"/>
            <w:vMerge w:val="continue"/>
            <w:tcBorders>
              <w:top w:val="single" w:color="auto" w:sz="4" w:space="0"/>
              <w:left w:val="single" w:color="auto" w:sz="4" w:space="0"/>
              <w:bottom w:val="single" w:color="auto" w:sz="4" w:space="0"/>
              <w:right w:val="single" w:color="auto" w:sz="4" w:space="0"/>
            </w:tcBorders>
            <w:noWrap w:val="0"/>
            <w:vAlign w:val="center"/>
          </w:tcPr>
          <w:p w14:paraId="48BC5EE3">
            <w:pPr>
              <w:widowControl/>
              <w:spacing w:line="360" w:lineRule="auto"/>
              <w:jc w:val="left"/>
              <w:rPr>
                <w:rFonts w:hint="eastAsia" w:ascii="宋体" w:hAnsi="宋体" w:cs="宋体"/>
                <w:color w:val="auto"/>
                <w:sz w:val="24"/>
              </w:rPr>
            </w:pPr>
          </w:p>
        </w:tc>
      </w:tr>
      <w:tr w14:paraId="1943C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2037" w:type="dxa"/>
            <w:tcBorders>
              <w:top w:val="single" w:color="auto" w:sz="4" w:space="0"/>
              <w:left w:val="single" w:color="auto" w:sz="4" w:space="0"/>
              <w:bottom w:val="single" w:color="auto" w:sz="4" w:space="0"/>
              <w:right w:val="single" w:color="auto" w:sz="4" w:space="0"/>
            </w:tcBorders>
            <w:noWrap w:val="0"/>
            <w:vAlign w:val="top"/>
          </w:tcPr>
          <w:p w14:paraId="51F1B753">
            <w:pPr>
              <w:snapToGrid w:val="0"/>
              <w:spacing w:line="360" w:lineRule="auto"/>
              <w:jc w:val="left"/>
              <w:rPr>
                <w:rFonts w:hint="eastAsia" w:ascii="宋体" w:hAnsi="宋体" w:cs="宋体"/>
                <w:color w:val="auto"/>
                <w:sz w:val="24"/>
              </w:rPr>
            </w:pPr>
          </w:p>
        </w:tc>
        <w:tc>
          <w:tcPr>
            <w:tcW w:w="2876" w:type="dxa"/>
            <w:tcBorders>
              <w:top w:val="single" w:color="auto" w:sz="4" w:space="0"/>
              <w:left w:val="single" w:color="auto" w:sz="4" w:space="0"/>
              <w:bottom w:val="single" w:color="auto" w:sz="4" w:space="0"/>
              <w:right w:val="single" w:color="auto" w:sz="4" w:space="0"/>
            </w:tcBorders>
            <w:noWrap w:val="0"/>
            <w:vAlign w:val="top"/>
          </w:tcPr>
          <w:p w14:paraId="6E6795A8">
            <w:pPr>
              <w:snapToGrid w:val="0"/>
              <w:spacing w:line="360" w:lineRule="auto"/>
              <w:jc w:val="left"/>
              <w:rPr>
                <w:rFonts w:hint="eastAsia" w:ascii="宋体" w:hAnsi="宋体" w:cs="宋体"/>
                <w:color w:val="auto"/>
                <w:sz w:val="24"/>
              </w:rPr>
            </w:pPr>
          </w:p>
        </w:tc>
        <w:tc>
          <w:tcPr>
            <w:tcW w:w="1840" w:type="dxa"/>
            <w:tcBorders>
              <w:top w:val="single" w:color="auto" w:sz="4" w:space="0"/>
              <w:left w:val="single" w:color="auto" w:sz="4" w:space="0"/>
              <w:bottom w:val="single" w:color="auto" w:sz="4" w:space="0"/>
              <w:right w:val="single" w:color="auto" w:sz="4" w:space="0"/>
            </w:tcBorders>
            <w:noWrap w:val="0"/>
            <w:vAlign w:val="top"/>
          </w:tcPr>
          <w:p w14:paraId="27E80254">
            <w:pPr>
              <w:snapToGrid w:val="0"/>
              <w:spacing w:line="360" w:lineRule="auto"/>
              <w:jc w:val="left"/>
              <w:rPr>
                <w:rFonts w:hint="eastAsia" w:ascii="宋体" w:hAnsi="宋体" w:cs="宋体"/>
                <w:color w:val="auto"/>
                <w:sz w:val="24"/>
              </w:rPr>
            </w:pPr>
          </w:p>
        </w:tc>
        <w:tc>
          <w:tcPr>
            <w:tcW w:w="2385" w:type="dxa"/>
            <w:tcBorders>
              <w:top w:val="single" w:color="auto" w:sz="4" w:space="0"/>
              <w:left w:val="single" w:color="auto" w:sz="4" w:space="0"/>
              <w:bottom w:val="single" w:color="auto" w:sz="4" w:space="0"/>
              <w:right w:val="single" w:color="auto" w:sz="4" w:space="0"/>
            </w:tcBorders>
            <w:noWrap w:val="0"/>
            <w:vAlign w:val="top"/>
          </w:tcPr>
          <w:p w14:paraId="1340F5D5">
            <w:pPr>
              <w:snapToGrid w:val="0"/>
              <w:spacing w:line="360" w:lineRule="auto"/>
              <w:jc w:val="left"/>
              <w:rPr>
                <w:rFonts w:hint="eastAsia" w:ascii="宋体" w:hAnsi="宋体" w:cs="宋体"/>
                <w:color w:val="auto"/>
                <w:sz w:val="24"/>
              </w:rPr>
            </w:pPr>
          </w:p>
        </w:tc>
      </w:tr>
      <w:tr w14:paraId="219FF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037" w:type="dxa"/>
            <w:tcBorders>
              <w:top w:val="single" w:color="auto" w:sz="4" w:space="0"/>
              <w:left w:val="single" w:color="auto" w:sz="4" w:space="0"/>
              <w:bottom w:val="single" w:color="auto" w:sz="4" w:space="0"/>
              <w:right w:val="single" w:color="auto" w:sz="4" w:space="0"/>
            </w:tcBorders>
            <w:noWrap w:val="0"/>
            <w:vAlign w:val="top"/>
          </w:tcPr>
          <w:p w14:paraId="70FA8627">
            <w:pPr>
              <w:snapToGrid w:val="0"/>
              <w:spacing w:before="50" w:after="120" w:afterLines="50" w:line="360" w:lineRule="auto"/>
              <w:jc w:val="left"/>
              <w:rPr>
                <w:rFonts w:hint="eastAsia" w:ascii="宋体" w:hAnsi="宋体" w:cs="宋体"/>
                <w:color w:val="auto"/>
                <w:sz w:val="24"/>
              </w:rPr>
            </w:pPr>
          </w:p>
        </w:tc>
        <w:tc>
          <w:tcPr>
            <w:tcW w:w="2876" w:type="dxa"/>
            <w:tcBorders>
              <w:top w:val="single" w:color="auto" w:sz="4" w:space="0"/>
              <w:left w:val="single" w:color="auto" w:sz="4" w:space="0"/>
              <w:bottom w:val="single" w:color="auto" w:sz="4" w:space="0"/>
              <w:right w:val="single" w:color="auto" w:sz="4" w:space="0"/>
            </w:tcBorders>
            <w:noWrap w:val="0"/>
            <w:vAlign w:val="top"/>
          </w:tcPr>
          <w:p w14:paraId="13F6DE55">
            <w:pPr>
              <w:snapToGrid w:val="0"/>
              <w:spacing w:before="50" w:after="120" w:afterLines="50" w:line="360" w:lineRule="auto"/>
              <w:jc w:val="left"/>
              <w:rPr>
                <w:rFonts w:hint="eastAsia" w:ascii="宋体" w:hAnsi="宋体" w:cs="宋体"/>
                <w:color w:val="auto"/>
                <w:sz w:val="24"/>
              </w:rPr>
            </w:pPr>
          </w:p>
        </w:tc>
        <w:tc>
          <w:tcPr>
            <w:tcW w:w="1840" w:type="dxa"/>
            <w:tcBorders>
              <w:top w:val="single" w:color="auto" w:sz="4" w:space="0"/>
              <w:left w:val="single" w:color="auto" w:sz="4" w:space="0"/>
              <w:bottom w:val="single" w:color="auto" w:sz="4" w:space="0"/>
              <w:right w:val="single" w:color="auto" w:sz="4" w:space="0"/>
            </w:tcBorders>
            <w:noWrap w:val="0"/>
            <w:vAlign w:val="top"/>
          </w:tcPr>
          <w:p w14:paraId="5E483659">
            <w:pPr>
              <w:snapToGrid w:val="0"/>
              <w:spacing w:before="50" w:after="120" w:afterLines="50" w:line="360" w:lineRule="auto"/>
              <w:jc w:val="left"/>
              <w:rPr>
                <w:rFonts w:hint="eastAsia" w:ascii="宋体" w:hAnsi="宋体" w:cs="宋体"/>
                <w:color w:val="auto"/>
                <w:sz w:val="24"/>
              </w:rPr>
            </w:pPr>
          </w:p>
        </w:tc>
        <w:tc>
          <w:tcPr>
            <w:tcW w:w="2385" w:type="dxa"/>
            <w:tcBorders>
              <w:top w:val="single" w:color="auto" w:sz="4" w:space="0"/>
              <w:left w:val="single" w:color="auto" w:sz="4" w:space="0"/>
              <w:bottom w:val="single" w:color="auto" w:sz="4" w:space="0"/>
              <w:right w:val="single" w:color="auto" w:sz="4" w:space="0"/>
            </w:tcBorders>
            <w:noWrap w:val="0"/>
            <w:vAlign w:val="top"/>
          </w:tcPr>
          <w:p w14:paraId="205D5589">
            <w:pPr>
              <w:snapToGrid w:val="0"/>
              <w:spacing w:before="50" w:after="120" w:afterLines="50" w:line="360" w:lineRule="auto"/>
              <w:jc w:val="left"/>
              <w:rPr>
                <w:rFonts w:hint="eastAsia" w:ascii="宋体" w:hAnsi="宋体" w:cs="宋体"/>
                <w:color w:val="auto"/>
                <w:sz w:val="24"/>
              </w:rPr>
            </w:pPr>
          </w:p>
        </w:tc>
      </w:tr>
      <w:tr w14:paraId="57C35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037" w:type="dxa"/>
            <w:tcBorders>
              <w:top w:val="single" w:color="auto" w:sz="4" w:space="0"/>
              <w:left w:val="single" w:color="auto" w:sz="4" w:space="0"/>
              <w:bottom w:val="single" w:color="auto" w:sz="4" w:space="0"/>
              <w:right w:val="single" w:color="auto" w:sz="4" w:space="0"/>
            </w:tcBorders>
            <w:noWrap w:val="0"/>
            <w:vAlign w:val="top"/>
          </w:tcPr>
          <w:p w14:paraId="595D371F">
            <w:pPr>
              <w:snapToGrid w:val="0"/>
              <w:spacing w:before="50" w:after="120" w:afterLines="50" w:line="360" w:lineRule="auto"/>
              <w:jc w:val="left"/>
              <w:rPr>
                <w:rFonts w:hint="eastAsia" w:ascii="宋体" w:hAnsi="宋体" w:cs="宋体"/>
                <w:color w:val="auto"/>
                <w:sz w:val="24"/>
              </w:rPr>
            </w:pPr>
          </w:p>
        </w:tc>
        <w:tc>
          <w:tcPr>
            <w:tcW w:w="2876" w:type="dxa"/>
            <w:tcBorders>
              <w:top w:val="single" w:color="auto" w:sz="4" w:space="0"/>
              <w:left w:val="single" w:color="auto" w:sz="4" w:space="0"/>
              <w:bottom w:val="single" w:color="auto" w:sz="4" w:space="0"/>
              <w:right w:val="single" w:color="auto" w:sz="4" w:space="0"/>
            </w:tcBorders>
            <w:noWrap w:val="0"/>
            <w:vAlign w:val="top"/>
          </w:tcPr>
          <w:p w14:paraId="4EF0D021">
            <w:pPr>
              <w:snapToGrid w:val="0"/>
              <w:spacing w:before="50" w:after="120" w:afterLines="50" w:line="360" w:lineRule="auto"/>
              <w:jc w:val="left"/>
              <w:rPr>
                <w:rFonts w:hint="eastAsia" w:ascii="宋体" w:hAnsi="宋体" w:cs="宋体"/>
                <w:color w:val="auto"/>
                <w:sz w:val="24"/>
              </w:rPr>
            </w:pPr>
          </w:p>
        </w:tc>
        <w:tc>
          <w:tcPr>
            <w:tcW w:w="1840" w:type="dxa"/>
            <w:tcBorders>
              <w:top w:val="single" w:color="auto" w:sz="4" w:space="0"/>
              <w:left w:val="single" w:color="auto" w:sz="4" w:space="0"/>
              <w:bottom w:val="single" w:color="auto" w:sz="4" w:space="0"/>
              <w:right w:val="single" w:color="auto" w:sz="4" w:space="0"/>
            </w:tcBorders>
            <w:noWrap w:val="0"/>
            <w:vAlign w:val="top"/>
          </w:tcPr>
          <w:p w14:paraId="3CF30BD6">
            <w:pPr>
              <w:snapToGrid w:val="0"/>
              <w:spacing w:before="50" w:after="120" w:afterLines="50" w:line="360" w:lineRule="auto"/>
              <w:jc w:val="left"/>
              <w:rPr>
                <w:rFonts w:hint="eastAsia" w:ascii="宋体" w:hAnsi="宋体" w:cs="宋体"/>
                <w:color w:val="auto"/>
                <w:sz w:val="24"/>
              </w:rPr>
            </w:pPr>
          </w:p>
        </w:tc>
        <w:tc>
          <w:tcPr>
            <w:tcW w:w="2385" w:type="dxa"/>
            <w:tcBorders>
              <w:top w:val="single" w:color="auto" w:sz="4" w:space="0"/>
              <w:left w:val="single" w:color="auto" w:sz="4" w:space="0"/>
              <w:bottom w:val="single" w:color="auto" w:sz="4" w:space="0"/>
              <w:right w:val="single" w:color="auto" w:sz="4" w:space="0"/>
            </w:tcBorders>
            <w:noWrap w:val="0"/>
            <w:vAlign w:val="top"/>
          </w:tcPr>
          <w:p w14:paraId="267F6BC2">
            <w:pPr>
              <w:snapToGrid w:val="0"/>
              <w:spacing w:before="50" w:after="120" w:afterLines="50" w:line="360" w:lineRule="auto"/>
              <w:jc w:val="left"/>
              <w:rPr>
                <w:rFonts w:hint="eastAsia" w:ascii="宋体" w:hAnsi="宋体" w:cs="宋体"/>
                <w:color w:val="auto"/>
                <w:sz w:val="24"/>
              </w:rPr>
            </w:pPr>
          </w:p>
        </w:tc>
      </w:tr>
      <w:tr w14:paraId="6953E0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037" w:type="dxa"/>
            <w:tcBorders>
              <w:top w:val="single" w:color="auto" w:sz="4" w:space="0"/>
              <w:left w:val="single" w:color="auto" w:sz="4" w:space="0"/>
              <w:bottom w:val="single" w:color="auto" w:sz="4" w:space="0"/>
              <w:right w:val="single" w:color="auto" w:sz="4" w:space="0"/>
            </w:tcBorders>
            <w:noWrap w:val="0"/>
            <w:vAlign w:val="top"/>
          </w:tcPr>
          <w:p w14:paraId="5BB39D73">
            <w:pPr>
              <w:snapToGrid w:val="0"/>
              <w:spacing w:before="50" w:after="120" w:afterLines="50" w:line="360" w:lineRule="auto"/>
              <w:jc w:val="left"/>
              <w:rPr>
                <w:rFonts w:hint="eastAsia" w:ascii="宋体" w:hAnsi="宋体" w:cs="宋体"/>
                <w:color w:val="auto"/>
                <w:sz w:val="24"/>
              </w:rPr>
            </w:pPr>
          </w:p>
        </w:tc>
        <w:tc>
          <w:tcPr>
            <w:tcW w:w="2876" w:type="dxa"/>
            <w:tcBorders>
              <w:top w:val="single" w:color="auto" w:sz="4" w:space="0"/>
              <w:left w:val="single" w:color="auto" w:sz="4" w:space="0"/>
              <w:bottom w:val="single" w:color="auto" w:sz="4" w:space="0"/>
              <w:right w:val="single" w:color="auto" w:sz="4" w:space="0"/>
            </w:tcBorders>
            <w:noWrap w:val="0"/>
            <w:vAlign w:val="top"/>
          </w:tcPr>
          <w:p w14:paraId="44A6B7B1">
            <w:pPr>
              <w:snapToGrid w:val="0"/>
              <w:spacing w:before="50" w:after="120" w:afterLines="50" w:line="360" w:lineRule="auto"/>
              <w:jc w:val="left"/>
              <w:rPr>
                <w:rFonts w:hint="eastAsia" w:ascii="宋体" w:hAnsi="宋体" w:cs="宋体"/>
                <w:color w:val="auto"/>
                <w:sz w:val="24"/>
              </w:rPr>
            </w:pPr>
          </w:p>
        </w:tc>
        <w:tc>
          <w:tcPr>
            <w:tcW w:w="1840" w:type="dxa"/>
            <w:tcBorders>
              <w:top w:val="single" w:color="auto" w:sz="4" w:space="0"/>
              <w:left w:val="single" w:color="auto" w:sz="4" w:space="0"/>
              <w:bottom w:val="single" w:color="auto" w:sz="4" w:space="0"/>
              <w:right w:val="single" w:color="auto" w:sz="4" w:space="0"/>
            </w:tcBorders>
            <w:noWrap w:val="0"/>
            <w:vAlign w:val="top"/>
          </w:tcPr>
          <w:p w14:paraId="4F0BFA7B">
            <w:pPr>
              <w:snapToGrid w:val="0"/>
              <w:spacing w:before="50" w:after="120" w:afterLines="50" w:line="360" w:lineRule="auto"/>
              <w:jc w:val="left"/>
              <w:rPr>
                <w:rFonts w:hint="eastAsia" w:ascii="宋体" w:hAnsi="宋体" w:cs="宋体"/>
                <w:color w:val="auto"/>
                <w:sz w:val="24"/>
              </w:rPr>
            </w:pPr>
          </w:p>
        </w:tc>
        <w:tc>
          <w:tcPr>
            <w:tcW w:w="2385" w:type="dxa"/>
            <w:tcBorders>
              <w:top w:val="single" w:color="auto" w:sz="4" w:space="0"/>
              <w:left w:val="single" w:color="auto" w:sz="4" w:space="0"/>
              <w:bottom w:val="single" w:color="auto" w:sz="4" w:space="0"/>
              <w:right w:val="single" w:color="auto" w:sz="4" w:space="0"/>
            </w:tcBorders>
            <w:noWrap w:val="0"/>
            <w:vAlign w:val="top"/>
          </w:tcPr>
          <w:p w14:paraId="2DF54BEA">
            <w:pPr>
              <w:snapToGrid w:val="0"/>
              <w:spacing w:before="50" w:after="120" w:afterLines="50" w:line="360" w:lineRule="auto"/>
              <w:jc w:val="left"/>
              <w:rPr>
                <w:rFonts w:hint="eastAsia" w:ascii="宋体" w:hAnsi="宋体" w:cs="宋体"/>
                <w:color w:val="auto"/>
                <w:sz w:val="24"/>
              </w:rPr>
            </w:pPr>
          </w:p>
        </w:tc>
      </w:tr>
      <w:tr w14:paraId="40FC5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2037" w:type="dxa"/>
            <w:tcBorders>
              <w:top w:val="single" w:color="auto" w:sz="4" w:space="0"/>
              <w:left w:val="single" w:color="auto" w:sz="4" w:space="0"/>
              <w:bottom w:val="single" w:color="auto" w:sz="4" w:space="0"/>
              <w:right w:val="single" w:color="auto" w:sz="4" w:space="0"/>
            </w:tcBorders>
            <w:noWrap w:val="0"/>
            <w:vAlign w:val="top"/>
          </w:tcPr>
          <w:p w14:paraId="60585158">
            <w:pPr>
              <w:snapToGrid w:val="0"/>
              <w:spacing w:before="50" w:after="120" w:afterLines="50" w:line="360" w:lineRule="auto"/>
              <w:jc w:val="left"/>
              <w:rPr>
                <w:rFonts w:hint="eastAsia" w:ascii="宋体" w:hAnsi="宋体" w:cs="宋体"/>
                <w:color w:val="auto"/>
                <w:sz w:val="24"/>
              </w:rPr>
            </w:pPr>
          </w:p>
        </w:tc>
        <w:tc>
          <w:tcPr>
            <w:tcW w:w="2876" w:type="dxa"/>
            <w:tcBorders>
              <w:top w:val="single" w:color="auto" w:sz="4" w:space="0"/>
              <w:left w:val="single" w:color="auto" w:sz="4" w:space="0"/>
              <w:bottom w:val="single" w:color="auto" w:sz="4" w:space="0"/>
              <w:right w:val="single" w:color="auto" w:sz="4" w:space="0"/>
            </w:tcBorders>
            <w:noWrap w:val="0"/>
            <w:vAlign w:val="top"/>
          </w:tcPr>
          <w:p w14:paraId="47534F9D">
            <w:pPr>
              <w:snapToGrid w:val="0"/>
              <w:spacing w:before="50" w:after="120" w:afterLines="50" w:line="360" w:lineRule="auto"/>
              <w:jc w:val="left"/>
              <w:rPr>
                <w:rFonts w:hint="eastAsia" w:ascii="宋体" w:hAnsi="宋体" w:cs="宋体"/>
                <w:color w:val="auto"/>
                <w:sz w:val="24"/>
              </w:rPr>
            </w:pPr>
          </w:p>
        </w:tc>
        <w:tc>
          <w:tcPr>
            <w:tcW w:w="1840" w:type="dxa"/>
            <w:tcBorders>
              <w:top w:val="single" w:color="auto" w:sz="4" w:space="0"/>
              <w:left w:val="single" w:color="auto" w:sz="4" w:space="0"/>
              <w:bottom w:val="single" w:color="auto" w:sz="4" w:space="0"/>
              <w:right w:val="single" w:color="auto" w:sz="4" w:space="0"/>
            </w:tcBorders>
            <w:noWrap w:val="0"/>
            <w:vAlign w:val="top"/>
          </w:tcPr>
          <w:p w14:paraId="535F50F3">
            <w:pPr>
              <w:snapToGrid w:val="0"/>
              <w:spacing w:before="50" w:after="120" w:afterLines="50" w:line="360" w:lineRule="auto"/>
              <w:jc w:val="left"/>
              <w:rPr>
                <w:rFonts w:hint="eastAsia" w:ascii="宋体" w:hAnsi="宋体" w:cs="宋体"/>
                <w:color w:val="auto"/>
                <w:sz w:val="24"/>
              </w:rPr>
            </w:pPr>
          </w:p>
        </w:tc>
        <w:tc>
          <w:tcPr>
            <w:tcW w:w="2385" w:type="dxa"/>
            <w:tcBorders>
              <w:top w:val="single" w:color="auto" w:sz="4" w:space="0"/>
              <w:left w:val="single" w:color="auto" w:sz="4" w:space="0"/>
              <w:bottom w:val="single" w:color="auto" w:sz="4" w:space="0"/>
              <w:right w:val="single" w:color="auto" w:sz="4" w:space="0"/>
            </w:tcBorders>
            <w:noWrap w:val="0"/>
            <w:vAlign w:val="top"/>
          </w:tcPr>
          <w:p w14:paraId="08DAAC46">
            <w:pPr>
              <w:snapToGrid w:val="0"/>
              <w:spacing w:before="50" w:after="120" w:afterLines="50" w:line="360" w:lineRule="auto"/>
              <w:jc w:val="left"/>
              <w:rPr>
                <w:rFonts w:hint="eastAsia" w:ascii="宋体" w:hAnsi="宋体" w:cs="宋体"/>
                <w:color w:val="auto"/>
                <w:sz w:val="24"/>
              </w:rPr>
            </w:pPr>
          </w:p>
        </w:tc>
      </w:tr>
    </w:tbl>
    <w:p w14:paraId="0C035378">
      <w:pPr>
        <w:autoSpaceDE w:val="0"/>
        <w:autoSpaceDN w:val="0"/>
        <w:spacing w:line="360" w:lineRule="auto"/>
        <w:rPr>
          <w:rFonts w:hint="eastAsia" w:ascii="宋体" w:hAnsi="宋体" w:cs="宋体"/>
          <w:color w:val="auto"/>
          <w:sz w:val="24"/>
        </w:rPr>
      </w:pPr>
      <w:r>
        <w:rPr>
          <w:rFonts w:hint="eastAsia" w:ascii="宋体" w:hAnsi="宋体" w:cs="宋体"/>
          <w:b/>
          <w:color w:val="auto"/>
          <w:sz w:val="24"/>
        </w:rPr>
        <w:t>附表 :相关项目业绩一览表（供应商同类项目合同复印件、用户验收报告、用户评价意见格式自拟）</w:t>
      </w:r>
    </w:p>
    <w:p w14:paraId="7FA7969B">
      <w:pPr>
        <w:pStyle w:val="22"/>
        <w:spacing w:line="360" w:lineRule="auto"/>
        <w:ind w:left="72"/>
        <w:rPr>
          <w:rFonts w:hint="eastAsia" w:hAnsi="宋体" w:cs="宋体"/>
          <w:color w:val="auto"/>
        </w:rPr>
      </w:pPr>
      <w:r>
        <w:rPr>
          <w:rFonts w:hint="eastAsia" w:hAnsi="宋体" w:cs="宋体"/>
          <w:color w:val="auto"/>
        </w:rPr>
        <w:t>注：供应商可按上述的格式自行编制，须随表提交相应的合同复印件和用户单位验收证明并注明所在供应商商务技术文件页码。</w:t>
      </w:r>
    </w:p>
    <w:p w14:paraId="7B7C97C0">
      <w:pPr>
        <w:snapToGrid w:val="0"/>
        <w:spacing w:line="360" w:lineRule="auto"/>
        <w:ind w:left="4410" w:leftChars="2100" w:firstLine="5670" w:firstLineChars="2700"/>
        <w:rPr>
          <w:rFonts w:hint="eastAsia" w:ascii="宋体" w:hAnsi="宋体" w:cs="宋体"/>
          <w:color w:val="auto"/>
          <w:kern w:val="0"/>
          <w:sz w:val="24"/>
        </w:rPr>
      </w:pPr>
      <w:r>
        <w:rPr>
          <w:rFonts w:hint="eastAsia" w:ascii="宋体" w:hAnsi="宋体" w:cs="宋体"/>
          <w:color w:val="auto"/>
          <w:szCs w:val="21"/>
        </w:rPr>
        <w:t xml:space="preserve"> </w:t>
      </w:r>
      <w:r>
        <w:rPr>
          <w:rFonts w:hint="eastAsia" w:ascii="宋体" w:hAnsi="宋体" w:cs="宋体"/>
          <w:color w:val="auto"/>
          <w:kern w:val="0"/>
          <w:sz w:val="24"/>
          <w:lang w:val="zh-CN"/>
        </w:rPr>
        <w:t>供应商名称(电子签章)：</w:t>
      </w:r>
    </w:p>
    <w:p w14:paraId="2AE524DB">
      <w:pPr>
        <w:spacing w:line="360" w:lineRule="auto"/>
        <w:jc w:val="left"/>
        <w:rPr>
          <w:rFonts w:hint="eastAsia" w:ascii="宋体" w:hAnsi="宋体" w:cs="宋体"/>
          <w:b/>
          <w:color w:val="auto"/>
          <w:sz w:val="24"/>
        </w:rPr>
      </w:pPr>
    </w:p>
    <w:p w14:paraId="6EA21309">
      <w:pPr>
        <w:spacing w:line="360" w:lineRule="auto"/>
        <w:jc w:val="left"/>
        <w:rPr>
          <w:rFonts w:hint="eastAsia" w:ascii="宋体" w:hAnsi="宋体" w:cs="宋体"/>
          <w:b/>
          <w:color w:val="auto"/>
          <w:sz w:val="24"/>
        </w:rPr>
      </w:pPr>
    </w:p>
    <w:p w14:paraId="086FA75E">
      <w:pPr>
        <w:spacing w:line="360" w:lineRule="auto"/>
        <w:jc w:val="left"/>
        <w:rPr>
          <w:rFonts w:hint="eastAsia" w:ascii="宋体" w:hAnsi="宋体" w:cs="宋体"/>
          <w:b/>
          <w:color w:val="auto"/>
          <w:sz w:val="24"/>
        </w:rPr>
      </w:pPr>
    </w:p>
    <w:p w14:paraId="511D69E6">
      <w:pPr>
        <w:spacing w:line="360" w:lineRule="auto"/>
        <w:jc w:val="left"/>
        <w:rPr>
          <w:rFonts w:hint="eastAsia" w:ascii="宋体" w:hAnsi="宋体" w:cs="宋体"/>
          <w:b/>
          <w:color w:val="auto"/>
          <w:sz w:val="24"/>
        </w:rPr>
      </w:pPr>
    </w:p>
    <w:p w14:paraId="3E4F753E">
      <w:pPr>
        <w:spacing w:line="360" w:lineRule="auto"/>
        <w:jc w:val="left"/>
        <w:rPr>
          <w:rFonts w:hint="eastAsia" w:ascii="宋体" w:hAnsi="宋体" w:cs="宋体"/>
          <w:b/>
          <w:color w:val="auto"/>
          <w:sz w:val="24"/>
        </w:rPr>
      </w:pPr>
      <w:r>
        <w:rPr>
          <w:rFonts w:hint="eastAsia" w:ascii="宋体" w:hAnsi="宋体" w:cs="宋体"/>
          <w:b/>
          <w:color w:val="auto"/>
          <w:sz w:val="24"/>
        </w:rPr>
        <w:t>5.供应商认为需要提供的其他有关资料</w:t>
      </w:r>
    </w:p>
    <w:p w14:paraId="4927BD5F">
      <w:pPr>
        <w:pStyle w:val="26"/>
        <w:spacing w:line="360" w:lineRule="auto"/>
        <w:rPr>
          <w:rFonts w:hint="eastAsia" w:ascii="宋体" w:hAnsi="宋体" w:cs="宋体"/>
          <w:b/>
          <w:color w:val="auto"/>
          <w:sz w:val="24"/>
          <w:szCs w:val="24"/>
        </w:rPr>
      </w:pPr>
      <w:r>
        <w:rPr>
          <w:rFonts w:hint="eastAsia" w:ascii="宋体" w:hAnsi="宋体" w:cs="宋体"/>
          <w:b/>
          <w:color w:val="auto"/>
          <w:sz w:val="24"/>
          <w:szCs w:val="24"/>
        </w:rPr>
        <w:br w:type="page"/>
      </w:r>
      <w:bookmarkStart w:id="71" w:name="_Toc26992"/>
    </w:p>
    <w:p w14:paraId="2549185B">
      <w:pPr>
        <w:pStyle w:val="26"/>
        <w:spacing w:line="360" w:lineRule="auto"/>
        <w:rPr>
          <w:rFonts w:hint="eastAsia" w:ascii="宋体" w:hAnsi="宋体" w:cs="宋体"/>
          <w:b/>
          <w:color w:val="auto"/>
          <w:sz w:val="24"/>
          <w:szCs w:val="24"/>
        </w:rPr>
      </w:pPr>
    </w:p>
    <w:p w14:paraId="1400576A">
      <w:pPr>
        <w:spacing w:line="360" w:lineRule="auto"/>
        <w:jc w:val="center"/>
        <w:rPr>
          <w:rFonts w:hint="eastAsia" w:ascii="宋体" w:hAnsi="宋体" w:cs="宋体"/>
          <w:b/>
          <w:color w:val="auto"/>
          <w:sz w:val="24"/>
        </w:rPr>
      </w:pPr>
    </w:p>
    <w:p w14:paraId="70242440">
      <w:pPr>
        <w:spacing w:line="360" w:lineRule="auto"/>
        <w:jc w:val="center"/>
        <w:rPr>
          <w:rFonts w:hint="eastAsia" w:ascii="宋体" w:hAnsi="宋体" w:cs="宋体"/>
          <w:b/>
          <w:color w:val="auto"/>
          <w:sz w:val="24"/>
        </w:rPr>
      </w:pPr>
    </w:p>
    <w:p w14:paraId="69745E0D">
      <w:pPr>
        <w:spacing w:line="360" w:lineRule="auto"/>
        <w:jc w:val="center"/>
        <w:rPr>
          <w:rFonts w:hint="eastAsia" w:ascii="宋体" w:hAnsi="宋体" w:cs="宋体"/>
          <w:b/>
          <w:color w:val="auto"/>
          <w:sz w:val="24"/>
        </w:rPr>
      </w:pPr>
    </w:p>
    <w:p w14:paraId="446250F3">
      <w:pPr>
        <w:pStyle w:val="36"/>
        <w:spacing w:line="360" w:lineRule="auto"/>
        <w:outlineLvl w:val="9"/>
        <w:rPr>
          <w:rFonts w:hint="eastAsia" w:ascii="宋体" w:hAnsi="宋体" w:cs="宋体"/>
          <w:color w:val="auto"/>
          <w:sz w:val="44"/>
          <w:szCs w:val="44"/>
        </w:rPr>
      </w:pPr>
    </w:p>
    <w:p w14:paraId="4D96F6F8">
      <w:pPr>
        <w:pStyle w:val="36"/>
        <w:spacing w:line="360" w:lineRule="auto"/>
        <w:rPr>
          <w:rFonts w:hint="eastAsia" w:ascii="宋体" w:hAnsi="宋体" w:cs="宋体"/>
          <w:color w:val="auto"/>
          <w:sz w:val="44"/>
          <w:szCs w:val="44"/>
        </w:rPr>
      </w:pPr>
      <w:bookmarkStart w:id="72" w:name="_Toc16104"/>
      <w:r>
        <w:rPr>
          <w:rFonts w:hint="eastAsia" w:ascii="宋体" w:hAnsi="宋体" w:cs="宋体"/>
          <w:color w:val="auto"/>
          <w:sz w:val="44"/>
          <w:szCs w:val="44"/>
        </w:rPr>
        <w:t>第七章 质疑、投诉材料格式</w:t>
      </w:r>
      <w:bookmarkEnd w:id="71"/>
      <w:bookmarkEnd w:id="72"/>
    </w:p>
    <w:p w14:paraId="3A1D45EC">
      <w:pPr>
        <w:pStyle w:val="36"/>
        <w:spacing w:line="360" w:lineRule="auto"/>
        <w:rPr>
          <w:rFonts w:hint="eastAsia" w:ascii="宋体" w:hAnsi="宋体" w:cs="宋体"/>
          <w:color w:val="auto"/>
          <w:sz w:val="44"/>
          <w:szCs w:val="44"/>
        </w:rPr>
        <w:sectPr>
          <w:footerReference r:id="rId5" w:type="default"/>
          <w:pgSz w:w="11910" w:h="16840"/>
          <w:pgMar w:top="1134" w:right="1134" w:bottom="1134" w:left="1134" w:header="720" w:footer="720" w:gutter="0"/>
          <w:cols w:space="720" w:num="1"/>
        </w:sectPr>
      </w:pPr>
    </w:p>
    <w:p w14:paraId="6318DE1C">
      <w:pPr>
        <w:spacing w:line="360" w:lineRule="auto"/>
        <w:jc w:val="center"/>
        <w:rPr>
          <w:rFonts w:hint="eastAsia" w:ascii="宋体" w:hAnsi="宋体" w:cs="宋体"/>
          <w:b/>
          <w:bCs/>
          <w:color w:val="auto"/>
          <w:sz w:val="32"/>
          <w:szCs w:val="32"/>
        </w:rPr>
      </w:pPr>
      <w:r>
        <w:rPr>
          <w:rFonts w:hint="eastAsia" w:ascii="宋体" w:hAnsi="宋体" w:cs="宋体"/>
          <w:b/>
          <w:bCs/>
          <w:color w:val="auto"/>
          <w:sz w:val="32"/>
          <w:szCs w:val="32"/>
        </w:rPr>
        <w:t>质疑函（格式）</w:t>
      </w:r>
    </w:p>
    <w:p w14:paraId="5DFEE1E1">
      <w:pPr>
        <w:pStyle w:val="22"/>
        <w:spacing w:line="360" w:lineRule="auto"/>
        <w:ind w:firstLine="482" w:firstLineChars="200"/>
        <w:rPr>
          <w:rFonts w:hint="eastAsia" w:hAnsi="宋体" w:cs="宋体"/>
          <w:b/>
          <w:bCs/>
          <w:color w:val="auto"/>
          <w:sz w:val="24"/>
          <w:szCs w:val="24"/>
        </w:rPr>
      </w:pPr>
      <w:r>
        <w:rPr>
          <w:rFonts w:hint="eastAsia" w:hAnsi="宋体" w:cs="宋体"/>
          <w:b/>
          <w:bCs/>
          <w:color w:val="auto"/>
          <w:sz w:val="24"/>
          <w:szCs w:val="24"/>
        </w:rPr>
        <w:t>一、质疑供应商基本信息：</w:t>
      </w:r>
    </w:p>
    <w:p w14:paraId="0F2F2F38">
      <w:pPr>
        <w:pStyle w:val="22"/>
        <w:spacing w:line="360" w:lineRule="auto"/>
        <w:ind w:firstLine="480" w:firstLineChars="200"/>
        <w:rPr>
          <w:rFonts w:hint="eastAsia" w:hAnsi="宋体" w:cs="宋体"/>
          <w:bCs/>
          <w:color w:val="auto"/>
          <w:sz w:val="24"/>
          <w:szCs w:val="24"/>
          <w:u w:val="single"/>
        </w:rPr>
      </w:pPr>
      <w:r>
        <w:rPr>
          <w:rFonts w:hint="eastAsia" w:hAnsi="宋体" w:cs="宋体"/>
          <w:bCs/>
          <w:color w:val="auto"/>
          <w:sz w:val="24"/>
          <w:szCs w:val="24"/>
        </w:rPr>
        <w:t>质疑供应商：</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41760898">
      <w:pPr>
        <w:pStyle w:val="22"/>
        <w:spacing w:line="360" w:lineRule="auto"/>
        <w:ind w:firstLine="480" w:firstLineChars="200"/>
        <w:rPr>
          <w:rFonts w:hint="eastAsia" w:hAnsi="宋体" w:cs="宋体"/>
          <w:bCs/>
          <w:color w:val="auto"/>
          <w:sz w:val="24"/>
          <w:szCs w:val="24"/>
        </w:rPr>
      </w:pPr>
      <w:r>
        <w:rPr>
          <w:rFonts w:hint="eastAsia" w:hAnsi="宋体" w:cs="宋体"/>
          <w:bCs/>
          <w:color w:val="auto"/>
          <w:sz w:val="24"/>
          <w:szCs w:val="24"/>
        </w:rPr>
        <w:t>地址：</w:t>
      </w:r>
      <w:r>
        <w:rPr>
          <w:rFonts w:hint="eastAsia" w:hAnsi="宋体" w:cs="宋体"/>
          <w:bCs/>
          <w:color w:val="auto"/>
          <w:sz w:val="24"/>
          <w:szCs w:val="24"/>
          <w:u w:val="single"/>
        </w:rPr>
        <w:t xml:space="preserve">                                          </w:t>
      </w: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71EA6336">
      <w:pPr>
        <w:pStyle w:val="22"/>
        <w:spacing w:line="360" w:lineRule="auto"/>
        <w:ind w:firstLine="480" w:firstLineChars="200"/>
        <w:rPr>
          <w:rFonts w:hint="eastAsia" w:hAnsi="宋体" w:cs="宋体"/>
          <w:bCs/>
          <w:color w:val="auto"/>
          <w:sz w:val="24"/>
          <w:szCs w:val="24"/>
        </w:rPr>
      </w:pPr>
      <w:r>
        <w:rPr>
          <w:rFonts w:hint="eastAsia" w:hAnsi="宋体" w:cs="宋体"/>
          <w:bCs/>
          <w:color w:val="auto"/>
          <w:sz w:val="24"/>
          <w:szCs w:val="24"/>
        </w:rPr>
        <w:t>联系人：</w:t>
      </w:r>
      <w:r>
        <w:rPr>
          <w:rFonts w:hint="eastAsia" w:hAnsi="宋体" w:cs="宋体"/>
          <w:bCs/>
          <w:color w:val="auto"/>
          <w:sz w:val="24"/>
          <w:szCs w:val="24"/>
          <w:u w:val="single"/>
        </w:rPr>
        <w:t xml:space="preserve">                     </w:t>
      </w:r>
      <w:r>
        <w:rPr>
          <w:rFonts w:hint="eastAsia" w:hAnsi="宋体" w:cs="宋体"/>
          <w:bCs/>
          <w:color w:val="auto"/>
          <w:sz w:val="24"/>
          <w:szCs w:val="24"/>
        </w:rPr>
        <w:t>联系电话：</w:t>
      </w:r>
      <w:r>
        <w:rPr>
          <w:rFonts w:hint="eastAsia" w:hAnsi="宋体" w:cs="宋体"/>
          <w:bCs/>
          <w:color w:val="auto"/>
          <w:sz w:val="24"/>
          <w:szCs w:val="24"/>
          <w:u w:val="single"/>
        </w:rPr>
        <w:t xml:space="preserve">                 </w:t>
      </w:r>
    </w:p>
    <w:p w14:paraId="65493450">
      <w:pPr>
        <w:pStyle w:val="22"/>
        <w:spacing w:line="360" w:lineRule="auto"/>
        <w:ind w:firstLine="480" w:firstLineChars="200"/>
        <w:rPr>
          <w:rFonts w:hint="eastAsia" w:hAnsi="宋体" w:cs="宋体"/>
          <w:bCs/>
          <w:color w:val="auto"/>
          <w:sz w:val="24"/>
          <w:szCs w:val="24"/>
        </w:rPr>
      </w:pPr>
      <w:r>
        <w:rPr>
          <w:rFonts w:hint="eastAsia" w:hAnsi="宋体" w:cs="宋体"/>
          <w:bCs/>
          <w:color w:val="auto"/>
          <w:sz w:val="24"/>
          <w:szCs w:val="24"/>
        </w:rPr>
        <w:t>授权代表：</w:t>
      </w:r>
      <w:r>
        <w:rPr>
          <w:rFonts w:hint="eastAsia" w:hAnsi="宋体" w:cs="宋体"/>
          <w:bCs/>
          <w:color w:val="auto"/>
          <w:sz w:val="24"/>
          <w:szCs w:val="24"/>
          <w:u w:val="single"/>
        </w:rPr>
        <w:t xml:space="preserve">                      </w:t>
      </w:r>
    </w:p>
    <w:p w14:paraId="307F39FA">
      <w:pPr>
        <w:pStyle w:val="22"/>
        <w:spacing w:line="360" w:lineRule="auto"/>
        <w:ind w:firstLine="480" w:firstLineChars="200"/>
        <w:rPr>
          <w:rFonts w:hint="eastAsia" w:hAnsi="宋体" w:cs="宋体"/>
          <w:bCs/>
          <w:color w:val="auto"/>
          <w:sz w:val="24"/>
          <w:szCs w:val="24"/>
          <w:u w:val="single"/>
        </w:rPr>
      </w:pPr>
      <w:r>
        <w:rPr>
          <w:rFonts w:hint="eastAsia" w:hAnsi="宋体" w:cs="宋体"/>
          <w:bCs/>
          <w:color w:val="auto"/>
          <w:sz w:val="24"/>
          <w:szCs w:val="24"/>
        </w:rPr>
        <w:t>联系电话：</w:t>
      </w:r>
      <w:r>
        <w:rPr>
          <w:rFonts w:hint="eastAsia" w:hAnsi="宋体" w:cs="宋体"/>
          <w:bCs/>
          <w:color w:val="auto"/>
          <w:sz w:val="24"/>
          <w:szCs w:val="24"/>
          <w:u w:val="single"/>
        </w:rPr>
        <w:t xml:space="preserve">                      </w:t>
      </w:r>
    </w:p>
    <w:p w14:paraId="11832801">
      <w:pPr>
        <w:pStyle w:val="22"/>
        <w:spacing w:line="360" w:lineRule="auto"/>
        <w:ind w:firstLine="480" w:firstLineChars="200"/>
        <w:rPr>
          <w:rFonts w:hint="eastAsia" w:hAnsi="宋体" w:cs="宋体"/>
          <w:bCs/>
          <w:color w:val="auto"/>
          <w:sz w:val="24"/>
          <w:szCs w:val="24"/>
        </w:rPr>
      </w:pPr>
      <w:r>
        <w:rPr>
          <w:rFonts w:hint="eastAsia" w:hAnsi="宋体" w:cs="宋体"/>
          <w:bCs/>
          <w:color w:val="auto"/>
          <w:sz w:val="24"/>
          <w:szCs w:val="24"/>
        </w:rPr>
        <w:t>地址：</w:t>
      </w:r>
      <w:r>
        <w:rPr>
          <w:rFonts w:hint="eastAsia" w:hAnsi="宋体" w:cs="宋体"/>
          <w:bCs/>
          <w:color w:val="auto"/>
          <w:sz w:val="24"/>
          <w:szCs w:val="24"/>
          <w:u w:val="single"/>
        </w:rPr>
        <w:t xml:space="preserve">                 </w:t>
      </w: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7B113D74">
      <w:pPr>
        <w:pStyle w:val="22"/>
        <w:spacing w:line="360" w:lineRule="auto"/>
        <w:ind w:firstLine="482" w:firstLineChars="200"/>
        <w:rPr>
          <w:rFonts w:hint="eastAsia" w:hAnsi="宋体" w:cs="宋体"/>
          <w:b/>
          <w:bCs/>
          <w:color w:val="auto"/>
          <w:sz w:val="24"/>
          <w:szCs w:val="24"/>
        </w:rPr>
      </w:pPr>
      <w:r>
        <w:rPr>
          <w:rFonts w:hint="eastAsia" w:hAnsi="宋体" w:cs="宋体"/>
          <w:b/>
          <w:bCs/>
          <w:color w:val="auto"/>
          <w:sz w:val="24"/>
          <w:szCs w:val="24"/>
        </w:rPr>
        <w:t>二、质疑项目基本情况：</w:t>
      </w:r>
    </w:p>
    <w:p w14:paraId="1C3AEE99">
      <w:pPr>
        <w:pStyle w:val="22"/>
        <w:spacing w:line="360" w:lineRule="auto"/>
        <w:ind w:left="25" w:leftChars="12" w:firstLine="472" w:firstLineChars="197"/>
        <w:contextualSpacing/>
        <w:rPr>
          <w:rFonts w:hint="eastAsia" w:hAnsi="宋体" w:cs="宋体"/>
          <w:color w:val="auto"/>
          <w:sz w:val="24"/>
          <w:szCs w:val="24"/>
        </w:rPr>
      </w:pPr>
      <w:r>
        <w:rPr>
          <w:rFonts w:hint="eastAsia" w:hAnsi="宋体" w:cs="宋体"/>
          <w:bCs/>
          <w:color w:val="auto"/>
          <w:sz w:val="24"/>
          <w:szCs w:val="24"/>
        </w:rPr>
        <w:t>质疑</w:t>
      </w:r>
      <w:r>
        <w:rPr>
          <w:rFonts w:hint="eastAsia" w:hAnsi="宋体" w:cs="宋体"/>
          <w:color w:val="auto"/>
          <w:sz w:val="24"/>
          <w:szCs w:val="24"/>
        </w:rPr>
        <w:t>项目的名称：</w:t>
      </w:r>
    </w:p>
    <w:p w14:paraId="4A70356D">
      <w:pPr>
        <w:pStyle w:val="22"/>
        <w:spacing w:line="360" w:lineRule="auto"/>
        <w:ind w:left="25" w:leftChars="12" w:firstLine="472" w:firstLineChars="197"/>
        <w:contextualSpacing/>
        <w:rPr>
          <w:rFonts w:hint="eastAsia" w:hAnsi="宋体" w:cs="宋体"/>
          <w:color w:val="auto"/>
          <w:sz w:val="24"/>
          <w:szCs w:val="24"/>
        </w:rPr>
      </w:pPr>
      <w:r>
        <w:rPr>
          <w:rFonts w:hint="eastAsia" w:hAnsi="宋体" w:cs="宋体"/>
          <w:bCs/>
          <w:color w:val="auto"/>
          <w:sz w:val="24"/>
          <w:szCs w:val="24"/>
        </w:rPr>
        <w:t>质疑</w:t>
      </w:r>
      <w:r>
        <w:rPr>
          <w:rFonts w:hint="eastAsia" w:hAnsi="宋体" w:cs="宋体"/>
          <w:color w:val="auto"/>
          <w:sz w:val="24"/>
          <w:szCs w:val="24"/>
        </w:rPr>
        <w:t>项目的编号：</w:t>
      </w:r>
      <w:r>
        <w:rPr>
          <w:rFonts w:hint="eastAsia" w:hAnsi="宋体" w:cs="宋体"/>
          <w:bCs/>
          <w:color w:val="auto"/>
          <w:sz w:val="24"/>
          <w:szCs w:val="24"/>
          <w:u w:val="single"/>
        </w:rPr>
        <w:t xml:space="preserve"> </w:t>
      </w:r>
    </w:p>
    <w:p w14:paraId="5A697EA0">
      <w:pPr>
        <w:pStyle w:val="22"/>
        <w:spacing w:line="360" w:lineRule="auto"/>
        <w:ind w:left="25" w:leftChars="12" w:firstLine="472" w:firstLineChars="197"/>
        <w:contextualSpacing/>
        <w:rPr>
          <w:rFonts w:hint="eastAsia" w:hAnsi="宋体" w:cs="宋体"/>
          <w:color w:val="auto"/>
          <w:sz w:val="24"/>
          <w:szCs w:val="24"/>
        </w:rPr>
      </w:pPr>
      <w:r>
        <w:rPr>
          <w:rFonts w:hint="eastAsia" w:hAnsi="宋体" w:cs="宋体"/>
          <w:color w:val="auto"/>
          <w:sz w:val="24"/>
          <w:szCs w:val="24"/>
        </w:rPr>
        <w:t>采购人名称：</w:t>
      </w:r>
      <w:r>
        <w:rPr>
          <w:rFonts w:hint="eastAsia" w:hAnsi="宋体" w:cs="宋体"/>
          <w:bCs/>
          <w:color w:val="auto"/>
          <w:sz w:val="24"/>
          <w:szCs w:val="24"/>
          <w:u w:val="single"/>
        </w:rPr>
        <w:t xml:space="preserve">    </w:t>
      </w:r>
    </w:p>
    <w:p w14:paraId="14862750">
      <w:pPr>
        <w:pStyle w:val="22"/>
        <w:spacing w:line="360" w:lineRule="auto"/>
        <w:ind w:left="25" w:leftChars="12" w:firstLine="472" w:firstLineChars="197"/>
        <w:contextualSpacing/>
        <w:rPr>
          <w:rFonts w:hint="eastAsia" w:hAnsi="宋体" w:cs="宋体"/>
          <w:color w:val="auto"/>
          <w:sz w:val="24"/>
          <w:szCs w:val="24"/>
        </w:rPr>
      </w:pPr>
      <w:r>
        <w:rPr>
          <w:rFonts w:hint="eastAsia" w:hAnsi="宋体" w:cs="宋体"/>
          <w:color w:val="auto"/>
          <w:sz w:val="24"/>
          <w:szCs w:val="24"/>
        </w:rPr>
        <w:t>质疑事项：</w:t>
      </w:r>
    </w:p>
    <w:p w14:paraId="755BBD83">
      <w:pPr>
        <w:pStyle w:val="22"/>
        <w:spacing w:line="360" w:lineRule="auto"/>
        <w:ind w:left="25" w:leftChars="12" w:firstLine="352" w:firstLineChars="147"/>
        <w:contextualSpacing/>
        <w:rPr>
          <w:rFonts w:hint="eastAsia" w:hAnsi="宋体" w:cs="宋体"/>
          <w:color w:val="auto"/>
          <w:sz w:val="24"/>
          <w:szCs w:val="24"/>
        </w:rPr>
      </w:pPr>
      <w:r>
        <w:rPr>
          <w:rFonts w:hint="eastAsia" w:hAnsi="宋体" w:cs="宋体"/>
          <w:color w:val="auto"/>
          <w:sz w:val="24"/>
          <w:szCs w:val="24"/>
        </w:rPr>
        <w:t>□采购文件   采购文件获取日期：</w:t>
      </w:r>
      <w:r>
        <w:rPr>
          <w:rFonts w:hint="eastAsia" w:hAnsi="宋体" w:cs="宋体"/>
          <w:bCs/>
          <w:color w:val="auto"/>
          <w:sz w:val="24"/>
          <w:szCs w:val="24"/>
          <w:u w:val="single"/>
        </w:rPr>
        <w:t xml:space="preserve">                                   </w:t>
      </w:r>
    </w:p>
    <w:p w14:paraId="3E9707B4">
      <w:pPr>
        <w:pStyle w:val="22"/>
        <w:spacing w:line="360" w:lineRule="auto"/>
        <w:ind w:left="25" w:leftChars="12" w:firstLine="352" w:firstLineChars="147"/>
        <w:contextualSpacing/>
        <w:rPr>
          <w:rFonts w:hint="eastAsia" w:hAnsi="宋体" w:cs="宋体"/>
          <w:color w:val="auto"/>
          <w:sz w:val="24"/>
          <w:szCs w:val="24"/>
        </w:rPr>
      </w:pPr>
      <w:r>
        <w:rPr>
          <w:rFonts w:hint="eastAsia" w:hAnsi="宋体" w:cs="宋体"/>
          <w:color w:val="auto"/>
          <w:sz w:val="24"/>
          <w:szCs w:val="24"/>
        </w:rPr>
        <w:t xml:space="preserve">□采购过程   </w:t>
      </w:r>
    </w:p>
    <w:p w14:paraId="01091E30">
      <w:pPr>
        <w:pStyle w:val="22"/>
        <w:spacing w:line="360" w:lineRule="auto"/>
        <w:ind w:left="25" w:leftChars="12" w:firstLine="352" w:firstLineChars="147"/>
        <w:contextualSpacing/>
        <w:rPr>
          <w:rFonts w:hint="eastAsia" w:hAnsi="宋体" w:cs="宋体"/>
          <w:bCs/>
          <w:color w:val="auto"/>
          <w:sz w:val="24"/>
          <w:szCs w:val="24"/>
          <w:u w:val="single"/>
        </w:rPr>
      </w:pPr>
      <w:r>
        <w:rPr>
          <w:rFonts w:hint="eastAsia" w:hAnsi="宋体" w:cs="宋体"/>
          <w:color w:val="auto"/>
          <w:sz w:val="24"/>
          <w:szCs w:val="24"/>
        </w:rPr>
        <w:t xml:space="preserve">□成交结果   </w:t>
      </w:r>
    </w:p>
    <w:p w14:paraId="3C39F4B2">
      <w:pPr>
        <w:pStyle w:val="22"/>
        <w:spacing w:line="360" w:lineRule="auto"/>
        <w:ind w:left="25" w:leftChars="12" w:firstLine="472" w:firstLineChars="196"/>
        <w:contextualSpacing/>
        <w:rPr>
          <w:rFonts w:hint="eastAsia" w:hAnsi="宋体" w:cs="宋体"/>
          <w:b/>
          <w:color w:val="auto"/>
          <w:sz w:val="24"/>
          <w:szCs w:val="24"/>
        </w:rPr>
      </w:pPr>
      <w:r>
        <w:rPr>
          <w:rFonts w:hint="eastAsia" w:hAnsi="宋体" w:cs="宋体"/>
          <w:b/>
          <w:color w:val="auto"/>
          <w:sz w:val="24"/>
          <w:szCs w:val="24"/>
        </w:rPr>
        <w:t>三、质疑事项具体内容</w:t>
      </w:r>
    </w:p>
    <w:p w14:paraId="32CE94F1">
      <w:pPr>
        <w:pStyle w:val="22"/>
        <w:spacing w:line="360" w:lineRule="auto"/>
        <w:ind w:left="25" w:leftChars="12" w:firstLine="472" w:firstLineChars="197"/>
        <w:contextualSpacing/>
        <w:rPr>
          <w:rFonts w:hint="eastAsia" w:hAnsi="宋体" w:cs="宋体"/>
          <w:color w:val="auto"/>
          <w:sz w:val="24"/>
          <w:szCs w:val="24"/>
        </w:rPr>
      </w:pPr>
      <w:r>
        <w:rPr>
          <w:rFonts w:hint="eastAsia" w:hAnsi="宋体" w:cs="宋体"/>
          <w:color w:val="auto"/>
          <w:sz w:val="24"/>
          <w:szCs w:val="24"/>
        </w:rPr>
        <w:t>质疑事项1：</w:t>
      </w:r>
      <w:r>
        <w:rPr>
          <w:rFonts w:hint="eastAsia" w:hAnsi="宋体" w:cs="宋体"/>
          <w:bCs/>
          <w:color w:val="auto"/>
          <w:sz w:val="24"/>
          <w:szCs w:val="24"/>
          <w:u w:val="single"/>
        </w:rPr>
        <w:t xml:space="preserve">                                                                    </w:t>
      </w:r>
    </w:p>
    <w:p w14:paraId="08BA83FD">
      <w:pPr>
        <w:pStyle w:val="22"/>
        <w:spacing w:line="360" w:lineRule="auto"/>
        <w:ind w:left="25" w:leftChars="12" w:firstLine="472" w:firstLineChars="197"/>
        <w:contextualSpacing/>
        <w:rPr>
          <w:rFonts w:hint="eastAsia" w:hAnsi="宋体" w:cs="宋体"/>
          <w:color w:val="auto"/>
          <w:sz w:val="24"/>
          <w:szCs w:val="24"/>
        </w:rPr>
      </w:pPr>
      <w:r>
        <w:rPr>
          <w:rFonts w:hint="eastAsia" w:hAnsi="宋体" w:cs="宋体"/>
          <w:color w:val="auto"/>
          <w:sz w:val="24"/>
          <w:szCs w:val="24"/>
        </w:rPr>
        <w:t>事实依据：</w:t>
      </w:r>
      <w:r>
        <w:rPr>
          <w:rFonts w:hint="eastAsia" w:hAnsi="宋体" w:cs="宋体"/>
          <w:bCs/>
          <w:color w:val="auto"/>
          <w:sz w:val="24"/>
          <w:szCs w:val="24"/>
          <w:u w:val="single"/>
        </w:rPr>
        <w:t xml:space="preserve">                                                                      </w:t>
      </w:r>
    </w:p>
    <w:p w14:paraId="133B6E14">
      <w:pPr>
        <w:pStyle w:val="22"/>
        <w:spacing w:line="360" w:lineRule="auto"/>
        <w:ind w:left="25" w:leftChars="12" w:firstLine="472" w:firstLineChars="197"/>
        <w:contextualSpacing/>
        <w:rPr>
          <w:rFonts w:hint="eastAsia" w:hAnsi="宋体" w:cs="宋体"/>
          <w:color w:val="auto"/>
          <w:sz w:val="24"/>
          <w:szCs w:val="24"/>
        </w:rPr>
      </w:pPr>
      <w:r>
        <w:rPr>
          <w:rFonts w:hint="eastAsia" w:hAnsi="宋体" w:cs="宋体"/>
          <w:color w:val="auto"/>
          <w:sz w:val="24"/>
          <w:szCs w:val="24"/>
        </w:rPr>
        <w:t>法律依据：</w:t>
      </w:r>
      <w:r>
        <w:rPr>
          <w:rFonts w:hint="eastAsia" w:hAnsi="宋体" w:cs="宋体"/>
          <w:color w:val="auto"/>
          <w:sz w:val="24"/>
          <w:szCs w:val="24"/>
          <w:u w:val="single"/>
        </w:rPr>
        <w:t xml:space="preserve">                                                        </w:t>
      </w:r>
      <w:r>
        <w:rPr>
          <w:rFonts w:hint="eastAsia" w:hAnsi="宋体" w:cs="宋体"/>
          <w:bCs/>
          <w:color w:val="auto"/>
          <w:sz w:val="24"/>
          <w:szCs w:val="24"/>
          <w:u w:val="single"/>
        </w:rPr>
        <w:t xml:space="preserve">               </w:t>
      </w:r>
    </w:p>
    <w:p w14:paraId="5C2CF292">
      <w:pPr>
        <w:pStyle w:val="22"/>
        <w:spacing w:line="360" w:lineRule="auto"/>
        <w:ind w:left="25" w:leftChars="12" w:firstLine="472" w:firstLineChars="197"/>
        <w:contextualSpacing/>
        <w:rPr>
          <w:rFonts w:hint="eastAsia" w:hAnsi="宋体" w:cs="宋体"/>
          <w:color w:val="auto"/>
          <w:sz w:val="24"/>
          <w:szCs w:val="24"/>
        </w:rPr>
      </w:pPr>
      <w:r>
        <w:rPr>
          <w:rFonts w:hint="eastAsia" w:hAnsi="宋体" w:cs="宋体"/>
          <w:color w:val="auto"/>
          <w:sz w:val="24"/>
          <w:szCs w:val="24"/>
        </w:rPr>
        <w:t>质疑事项2</w:t>
      </w:r>
    </w:p>
    <w:p w14:paraId="1835B502">
      <w:pPr>
        <w:pStyle w:val="22"/>
        <w:spacing w:line="360" w:lineRule="auto"/>
        <w:ind w:left="25" w:leftChars="12" w:firstLine="472" w:firstLineChars="197"/>
        <w:contextualSpacing/>
        <w:rPr>
          <w:rFonts w:hint="eastAsia" w:hAnsi="宋体" w:cs="宋体"/>
          <w:color w:val="auto"/>
          <w:sz w:val="24"/>
          <w:szCs w:val="24"/>
        </w:rPr>
      </w:pPr>
      <w:r>
        <w:rPr>
          <w:rFonts w:hint="eastAsia" w:hAnsi="宋体" w:cs="宋体"/>
          <w:color w:val="auto"/>
          <w:sz w:val="24"/>
          <w:szCs w:val="24"/>
        </w:rPr>
        <w:t>……</w:t>
      </w:r>
    </w:p>
    <w:p w14:paraId="57C24805">
      <w:pPr>
        <w:pStyle w:val="22"/>
        <w:spacing w:line="360" w:lineRule="auto"/>
        <w:ind w:left="25" w:leftChars="12" w:firstLine="472" w:firstLineChars="197"/>
        <w:contextualSpacing/>
        <w:rPr>
          <w:rFonts w:hint="eastAsia" w:hAnsi="宋体" w:cs="宋体"/>
          <w:color w:val="auto"/>
          <w:sz w:val="24"/>
          <w:szCs w:val="24"/>
        </w:rPr>
      </w:pPr>
      <w:r>
        <w:rPr>
          <w:rFonts w:hint="eastAsia" w:hAnsi="宋体" w:cs="宋体"/>
          <w:color w:val="auto"/>
          <w:sz w:val="24"/>
          <w:szCs w:val="24"/>
        </w:rPr>
        <w:t>四、与质疑事项相关的质疑请求：</w:t>
      </w:r>
    </w:p>
    <w:p w14:paraId="08BE758B">
      <w:pPr>
        <w:pStyle w:val="22"/>
        <w:spacing w:line="360" w:lineRule="auto"/>
        <w:ind w:left="25" w:leftChars="12" w:firstLine="472" w:firstLineChars="197"/>
        <w:contextualSpacing/>
        <w:rPr>
          <w:rFonts w:hint="eastAsia" w:hAnsi="宋体" w:cs="宋体"/>
          <w:color w:val="auto"/>
          <w:sz w:val="24"/>
          <w:szCs w:val="24"/>
        </w:rPr>
      </w:pPr>
      <w:r>
        <w:rPr>
          <w:rFonts w:hint="eastAsia" w:hAnsi="宋体" w:cs="宋体"/>
          <w:color w:val="auto"/>
          <w:sz w:val="24"/>
          <w:szCs w:val="24"/>
        </w:rPr>
        <w:t>请求：</w:t>
      </w:r>
      <w:r>
        <w:rPr>
          <w:rFonts w:hint="eastAsia" w:hAnsi="宋体" w:cs="宋体"/>
          <w:bCs/>
          <w:color w:val="auto"/>
          <w:sz w:val="24"/>
          <w:szCs w:val="24"/>
          <w:u w:val="single"/>
        </w:rPr>
        <w:t xml:space="preserve">                                                                </w:t>
      </w:r>
    </w:p>
    <w:p w14:paraId="644E3544">
      <w:pPr>
        <w:pStyle w:val="22"/>
        <w:spacing w:line="360" w:lineRule="auto"/>
        <w:ind w:left="25" w:leftChars="12" w:firstLine="352" w:firstLineChars="147"/>
        <w:contextualSpacing/>
        <w:rPr>
          <w:rFonts w:hint="eastAsia" w:hAnsi="宋体" w:cs="宋体"/>
          <w:color w:val="auto"/>
          <w:sz w:val="24"/>
          <w:szCs w:val="24"/>
        </w:rPr>
      </w:pPr>
    </w:p>
    <w:p w14:paraId="0150CF4F">
      <w:pPr>
        <w:pStyle w:val="22"/>
        <w:spacing w:line="360" w:lineRule="auto"/>
        <w:ind w:left="25" w:leftChars="12" w:firstLine="472" w:firstLineChars="197"/>
        <w:contextualSpacing/>
        <w:rPr>
          <w:rFonts w:hint="eastAsia" w:hAnsi="宋体" w:cs="宋体"/>
          <w:color w:val="auto"/>
          <w:sz w:val="24"/>
          <w:szCs w:val="24"/>
        </w:rPr>
      </w:pPr>
      <w:r>
        <w:rPr>
          <w:rFonts w:hint="eastAsia" w:hAnsi="宋体" w:cs="宋体"/>
          <w:color w:val="auto"/>
          <w:sz w:val="24"/>
          <w:szCs w:val="24"/>
        </w:rPr>
        <w:t>签字（签章）：                                       公章：</w:t>
      </w:r>
    </w:p>
    <w:p w14:paraId="417FCA7B">
      <w:pPr>
        <w:pStyle w:val="22"/>
        <w:spacing w:line="360" w:lineRule="auto"/>
        <w:ind w:left="25" w:leftChars="12" w:firstLine="352" w:firstLineChars="147"/>
        <w:contextualSpacing/>
        <w:rPr>
          <w:rFonts w:hint="eastAsia" w:hAnsi="宋体" w:cs="宋体"/>
          <w:color w:val="auto"/>
          <w:sz w:val="24"/>
          <w:szCs w:val="24"/>
        </w:rPr>
      </w:pPr>
    </w:p>
    <w:p w14:paraId="5AFD9A59">
      <w:pPr>
        <w:pStyle w:val="22"/>
        <w:spacing w:line="360" w:lineRule="auto"/>
        <w:ind w:left="25" w:leftChars="12" w:firstLine="472" w:firstLineChars="197"/>
        <w:contextualSpacing/>
        <w:rPr>
          <w:rFonts w:hint="eastAsia" w:hAnsi="宋体" w:cs="宋体"/>
          <w:color w:val="auto"/>
          <w:sz w:val="24"/>
          <w:szCs w:val="24"/>
        </w:rPr>
      </w:pPr>
      <w:r>
        <w:rPr>
          <w:rFonts w:hint="eastAsia" w:hAnsi="宋体" w:cs="宋体"/>
          <w:color w:val="auto"/>
          <w:sz w:val="24"/>
          <w:szCs w:val="24"/>
        </w:rPr>
        <w:t>日期：</w:t>
      </w:r>
    </w:p>
    <w:p w14:paraId="08A2C772">
      <w:pPr>
        <w:pStyle w:val="22"/>
        <w:spacing w:line="360" w:lineRule="auto"/>
        <w:rPr>
          <w:rFonts w:hint="eastAsia" w:hAnsi="宋体" w:cs="宋体"/>
          <w:b/>
          <w:color w:val="auto"/>
          <w:sz w:val="24"/>
          <w:szCs w:val="24"/>
        </w:rPr>
      </w:pPr>
    </w:p>
    <w:p w14:paraId="43E7E374">
      <w:pPr>
        <w:pStyle w:val="22"/>
        <w:spacing w:line="360" w:lineRule="auto"/>
        <w:rPr>
          <w:rFonts w:hint="eastAsia" w:hAnsi="宋体" w:cs="宋体"/>
          <w:b/>
          <w:color w:val="auto"/>
          <w:sz w:val="24"/>
          <w:szCs w:val="24"/>
        </w:rPr>
      </w:pPr>
    </w:p>
    <w:p w14:paraId="38D076E3">
      <w:pPr>
        <w:pStyle w:val="22"/>
        <w:spacing w:line="360" w:lineRule="auto"/>
        <w:rPr>
          <w:rFonts w:hint="eastAsia" w:hAnsi="宋体" w:cs="宋体"/>
          <w:b/>
          <w:color w:val="auto"/>
          <w:sz w:val="24"/>
          <w:szCs w:val="24"/>
        </w:rPr>
      </w:pPr>
      <w:r>
        <w:rPr>
          <w:rFonts w:hint="eastAsia" w:hAnsi="宋体" w:cs="宋体"/>
          <w:b/>
          <w:color w:val="auto"/>
          <w:sz w:val="24"/>
          <w:szCs w:val="24"/>
        </w:rPr>
        <w:t>说明：</w:t>
      </w:r>
    </w:p>
    <w:p w14:paraId="5BAA1B3A">
      <w:pPr>
        <w:pStyle w:val="22"/>
        <w:spacing w:line="360" w:lineRule="auto"/>
        <w:ind w:left="25" w:leftChars="12" w:firstLine="354" w:firstLineChars="147"/>
        <w:contextualSpacing/>
        <w:rPr>
          <w:rFonts w:hint="eastAsia" w:hAnsi="宋体" w:cs="宋体"/>
          <w:b/>
          <w:bCs/>
          <w:color w:val="auto"/>
          <w:sz w:val="24"/>
          <w:szCs w:val="24"/>
        </w:rPr>
      </w:pPr>
      <w:r>
        <w:rPr>
          <w:rFonts w:hint="eastAsia" w:hAnsi="宋体" w:cs="宋体"/>
          <w:b/>
          <w:color w:val="auto"/>
          <w:sz w:val="24"/>
          <w:szCs w:val="24"/>
        </w:rPr>
        <w:t>1.供应商提出质疑时，应提交质疑函和必要的证明材料</w:t>
      </w:r>
      <w:r>
        <w:rPr>
          <w:rFonts w:hint="eastAsia" w:hAnsi="宋体" w:cs="宋体"/>
          <w:b/>
          <w:bCs/>
          <w:color w:val="auto"/>
          <w:sz w:val="24"/>
          <w:szCs w:val="24"/>
        </w:rPr>
        <w:t>。</w:t>
      </w:r>
    </w:p>
    <w:p w14:paraId="491DDA22">
      <w:pPr>
        <w:pStyle w:val="22"/>
        <w:spacing w:line="360" w:lineRule="auto"/>
        <w:ind w:left="25" w:leftChars="12" w:firstLine="354" w:firstLineChars="147"/>
        <w:contextualSpacing/>
        <w:rPr>
          <w:rFonts w:hint="eastAsia" w:hAnsi="宋体" w:cs="宋体"/>
          <w:b/>
          <w:color w:val="auto"/>
          <w:sz w:val="24"/>
          <w:szCs w:val="24"/>
        </w:rPr>
      </w:pPr>
      <w:r>
        <w:rPr>
          <w:rFonts w:hint="eastAsia" w:hAnsi="宋体" w:cs="宋体"/>
          <w:b/>
          <w:color w:val="auto"/>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9839A5B">
      <w:pPr>
        <w:pStyle w:val="22"/>
        <w:spacing w:line="360" w:lineRule="auto"/>
        <w:ind w:left="25" w:leftChars="12" w:firstLine="354" w:firstLineChars="147"/>
        <w:contextualSpacing/>
        <w:rPr>
          <w:rFonts w:hint="eastAsia" w:hAnsi="宋体" w:cs="宋体"/>
          <w:b/>
          <w:color w:val="auto"/>
          <w:sz w:val="24"/>
          <w:szCs w:val="24"/>
        </w:rPr>
      </w:pPr>
      <w:r>
        <w:rPr>
          <w:rFonts w:hint="eastAsia" w:hAnsi="宋体" w:cs="宋体"/>
          <w:b/>
          <w:color w:val="auto"/>
          <w:sz w:val="24"/>
          <w:szCs w:val="24"/>
        </w:rPr>
        <w:t>3.质疑函的质疑事项应具体、明确，并有必要的事实依据和法律依据。</w:t>
      </w:r>
    </w:p>
    <w:p w14:paraId="6B31E6E3">
      <w:pPr>
        <w:pStyle w:val="22"/>
        <w:spacing w:line="360" w:lineRule="auto"/>
        <w:ind w:left="25" w:leftChars="12" w:firstLine="354" w:firstLineChars="147"/>
        <w:contextualSpacing/>
        <w:rPr>
          <w:rFonts w:hint="eastAsia" w:hAnsi="宋体" w:cs="宋体"/>
          <w:b/>
          <w:color w:val="auto"/>
          <w:sz w:val="24"/>
          <w:szCs w:val="24"/>
        </w:rPr>
      </w:pPr>
      <w:r>
        <w:rPr>
          <w:rFonts w:hint="eastAsia" w:hAnsi="宋体" w:cs="宋体"/>
          <w:b/>
          <w:color w:val="auto"/>
          <w:sz w:val="24"/>
          <w:szCs w:val="24"/>
        </w:rPr>
        <w:t>4.质疑函的质疑请求应与质疑事项相关。</w:t>
      </w:r>
    </w:p>
    <w:p w14:paraId="504EC0C7">
      <w:pPr>
        <w:pStyle w:val="22"/>
        <w:spacing w:line="360" w:lineRule="auto"/>
        <w:ind w:left="25" w:leftChars="12" w:firstLine="354" w:firstLineChars="147"/>
        <w:contextualSpacing/>
        <w:rPr>
          <w:rFonts w:hint="eastAsia" w:hAnsi="宋体" w:cs="宋体"/>
          <w:b/>
          <w:color w:val="auto"/>
        </w:rPr>
      </w:pPr>
      <w:r>
        <w:rPr>
          <w:rFonts w:hint="eastAsia" w:hAnsi="宋体" w:cs="宋体"/>
          <w:b/>
          <w:color w:val="auto"/>
          <w:sz w:val="24"/>
          <w:szCs w:val="24"/>
        </w:rPr>
        <w:t>5.质疑供应商为法人或者其他组织的，质疑函应由法定代表人、主要负责人，或者其授权代表签字或者盖章，并加盖公章。</w:t>
      </w:r>
    </w:p>
    <w:p w14:paraId="2CFE3B09">
      <w:pPr>
        <w:pStyle w:val="22"/>
        <w:snapToGrid w:val="0"/>
        <w:spacing w:line="360" w:lineRule="auto"/>
        <w:rPr>
          <w:rFonts w:hint="eastAsia" w:hAnsi="宋体" w:cs="宋体"/>
          <w:b/>
          <w:color w:val="auto"/>
          <w:sz w:val="24"/>
          <w:szCs w:val="24"/>
        </w:rPr>
      </w:pPr>
    </w:p>
    <w:p w14:paraId="3BB135C9">
      <w:pPr>
        <w:spacing w:line="360" w:lineRule="auto"/>
        <w:rPr>
          <w:rFonts w:hint="eastAsia" w:ascii="宋体" w:hAnsi="宋体" w:cs="宋体"/>
          <w:color w:val="auto"/>
          <w:sz w:val="44"/>
        </w:rPr>
      </w:pPr>
    </w:p>
    <w:p w14:paraId="39CA2BF0">
      <w:pPr>
        <w:pStyle w:val="56"/>
        <w:ind w:firstLine="880"/>
        <w:rPr>
          <w:rFonts w:hint="eastAsia" w:ascii="宋体" w:hAnsi="宋体" w:cs="宋体"/>
          <w:color w:val="auto"/>
          <w:sz w:val="44"/>
        </w:rPr>
      </w:pPr>
    </w:p>
    <w:p w14:paraId="17FB89A8">
      <w:pPr>
        <w:pStyle w:val="56"/>
        <w:ind w:firstLine="880"/>
        <w:rPr>
          <w:rFonts w:hint="eastAsia" w:ascii="宋体" w:hAnsi="宋体" w:cs="宋体"/>
          <w:color w:val="auto"/>
          <w:sz w:val="44"/>
        </w:rPr>
      </w:pPr>
    </w:p>
    <w:p w14:paraId="2A983A49">
      <w:pPr>
        <w:pStyle w:val="56"/>
        <w:ind w:firstLine="880"/>
        <w:rPr>
          <w:rFonts w:hint="eastAsia" w:ascii="宋体" w:hAnsi="宋体" w:cs="宋体"/>
          <w:color w:val="auto"/>
          <w:sz w:val="44"/>
        </w:rPr>
      </w:pPr>
    </w:p>
    <w:p w14:paraId="48CCAB7C">
      <w:pPr>
        <w:pStyle w:val="56"/>
        <w:ind w:firstLine="880"/>
        <w:rPr>
          <w:rFonts w:hint="eastAsia" w:ascii="宋体" w:hAnsi="宋体" w:cs="宋体"/>
          <w:color w:val="auto"/>
          <w:sz w:val="44"/>
        </w:rPr>
      </w:pPr>
    </w:p>
    <w:p w14:paraId="155812DC">
      <w:pPr>
        <w:pStyle w:val="56"/>
        <w:ind w:firstLine="880"/>
        <w:rPr>
          <w:rFonts w:hint="eastAsia" w:ascii="宋体" w:hAnsi="宋体" w:cs="宋体"/>
          <w:color w:val="auto"/>
          <w:sz w:val="44"/>
        </w:rPr>
      </w:pPr>
    </w:p>
    <w:p w14:paraId="580B2989">
      <w:pPr>
        <w:pStyle w:val="56"/>
        <w:ind w:firstLine="880"/>
        <w:rPr>
          <w:rFonts w:hint="eastAsia" w:ascii="宋体" w:hAnsi="宋体" w:cs="宋体"/>
          <w:color w:val="auto"/>
          <w:sz w:val="44"/>
        </w:rPr>
      </w:pPr>
    </w:p>
    <w:p w14:paraId="4E27A3FC">
      <w:pPr>
        <w:pStyle w:val="56"/>
        <w:ind w:firstLine="880"/>
        <w:rPr>
          <w:rFonts w:hint="eastAsia" w:ascii="宋体" w:hAnsi="宋体" w:cs="宋体"/>
          <w:color w:val="auto"/>
          <w:sz w:val="44"/>
        </w:rPr>
      </w:pPr>
    </w:p>
    <w:p w14:paraId="785CAF05">
      <w:pPr>
        <w:pStyle w:val="56"/>
        <w:ind w:firstLine="880"/>
        <w:rPr>
          <w:rFonts w:hint="eastAsia" w:ascii="宋体" w:hAnsi="宋体" w:cs="宋体"/>
          <w:color w:val="auto"/>
          <w:sz w:val="44"/>
        </w:rPr>
      </w:pPr>
    </w:p>
    <w:p w14:paraId="09EEF661">
      <w:pPr>
        <w:pStyle w:val="56"/>
        <w:ind w:firstLine="880"/>
        <w:rPr>
          <w:rFonts w:hint="eastAsia" w:ascii="宋体" w:hAnsi="宋体" w:cs="宋体"/>
          <w:color w:val="auto"/>
          <w:sz w:val="44"/>
        </w:rPr>
      </w:pPr>
    </w:p>
    <w:p w14:paraId="6A6CDBFE">
      <w:pPr>
        <w:pStyle w:val="56"/>
        <w:ind w:firstLine="880"/>
        <w:rPr>
          <w:rFonts w:hint="eastAsia" w:ascii="宋体" w:hAnsi="宋体" w:cs="宋体"/>
          <w:color w:val="auto"/>
          <w:sz w:val="44"/>
        </w:rPr>
      </w:pPr>
    </w:p>
    <w:p w14:paraId="2E4D3BD9">
      <w:pPr>
        <w:pStyle w:val="56"/>
        <w:ind w:firstLine="880"/>
        <w:rPr>
          <w:rFonts w:hint="eastAsia" w:ascii="宋体" w:hAnsi="宋体" w:cs="宋体"/>
          <w:color w:val="auto"/>
          <w:sz w:val="44"/>
        </w:rPr>
      </w:pPr>
    </w:p>
    <w:p w14:paraId="0777D390">
      <w:pPr>
        <w:pStyle w:val="56"/>
        <w:ind w:left="0" w:leftChars="0" w:firstLine="0" w:firstLineChars="0"/>
        <w:rPr>
          <w:rFonts w:hint="eastAsia" w:ascii="宋体" w:hAnsi="宋体" w:cs="宋体"/>
          <w:color w:val="auto"/>
          <w:sz w:val="44"/>
        </w:rPr>
      </w:pPr>
    </w:p>
    <w:p w14:paraId="681B7872">
      <w:pPr>
        <w:spacing w:line="360" w:lineRule="auto"/>
        <w:jc w:val="center"/>
        <w:rPr>
          <w:rFonts w:hint="eastAsia" w:ascii="宋体" w:hAnsi="宋体" w:cs="宋体"/>
          <w:b/>
          <w:bCs/>
          <w:color w:val="auto"/>
          <w:sz w:val="32"/>
          <w:szCs w:val="32"/>
        </w:rPr>
      </w:pPr>
      <w:r>
        <w:rPr>
          <w:rFonts w:hint="eastAsia" w:ascii="宋体" w:hAnsi="宋体" w:cs="宋体"/>
          <w:b/>
          <w:bCs/>
          <w:color w:val="auto"/>
          <w:sz w:val="32"/>
          <w:szCs w:val="32"/>
        </w:rPr>
        <w:t>投诉书（格式）</w:t>
      </w:r>
    </w:p>
    <w:p w14:paraId="49574836">
      <w:pPr>
        <w:pStyle w:val="22"/>
        <w:snapToGrid w:val="0"/>
        <w:spacing w:line="360" w:lineRule="auto"/>
        <w:ind w:firstLine="482" w:firstLineChars="200"/>
        <w:rPr>
          <w:rFonts w:hint="eastAsia" w:hAnsi="宋体" w:cs="宋体"/>
          <w:b/>
          <w:bCs/>
          <w:color w:val="auto"/>
          <w:sz w:val="24"/>
          <w:szCs w:val="24"/>
        </w:rPr>
      </w:pPr>
      <w:r>
        <w:rPr>
          <w:rFonts w:hint="eastAsia" w:hAnsi="宋体" w:cs="宋体"/>
          <w:b/>
          <w:bCs/>
          <w:color w:val="auto"/>
          <w:sz w:val="24"/>
          <w:szCs w:val="24"/>
        </w:rPr>
        <w:t>一、投诉相关主体基本情况：</w:t>
      </w:r>
    </w:p>
    <w:p w14:paraId="02659FEF">
      <w:pPr>
        <w:pStyle w:val="22"/>
        <w:snapToGrid w:val="0"/>
        <w:spacing w:line="360" w:lineRule="auto"/>
        <w:ind w:firstLine="480" w:firstLineChars="200"/>
        <w:rPr>
          <w:rFonts w:hint="eastAsia" w:hAnsi="宋体" w:cs="宋体"/>
          <w:bCs/>
          <w:color w:val="auto"/>
          <w:sz w:val="24"/>
          <w:szCs w:val="24"/>
          <w:u w:val="single"/>
        </w:rPr>
      </w:pPr>
      <w:r>
        <w:rPr>
          <w:rFonts w:hint="eastAsia" w:hAnsi="宋体" w:cs="宋体"/>
          <w:bCs/>
          <w:color w:val="auto"/>
          <w:sz w:val="24"/>
          <w:szCs w:val="24"/>
        </w:rPr>
        <w:t>供应商：</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5CEDB183">
      <w:pPr>
        <w:pStyle w:val="22"/>
        <w:snapToGrid w:val="0"/>
        <w:spacing w:line="360" w:lineRule="auto"/>
        <w:ind w:firstLine="480" w:firstLineChars="200"/>
        <w:rPr>
          <w:rFonts w:hint="eastAsia" w:hAnsi="宋体" w:cs="宋体"/>
          <w:bCs/>
          <w:color w:val="auto"/>
          <w:sz w:val="24"/>
          <w:szCs w:val="24"/>
        </w:rPr>
      </w:pPr>
      <w:r>
        <w:rPr>
          <w:rFonts w:hint="eastAsia" w:hAnsi="宋体" w:cs="宋体"/>
          <w:bCs/>
          <w:color w:val="auto"/>
          <w:sz w:val="24"/>
          <w:szCs w:val="24"/>
        </w:rPr>
        <w:t>地址：</w:t>
      </w:r>
      <w:r>
        <w:rPr>
          <w:rFonts w:hint="eastAsia" w:hAnsi="宋体" w:cs="宋体"/>
          <w:bCs/>
          <w:color w:val="auto"/>
          <w:sz w:val="24"/>
          <w:szCs w:val="24"/>
          <w:u w:val="single"/>
        </w:rPr>
        <w:t xml:space="preserve">                                          </w:t>
      </w: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62E40DBD">
      <w:pPr>
        <w:pStyle w:val="22"/>
        <w:snapToGrid w:val="0"/>
        <w:spacing w:line="360" w:lineRule="auto"/>
        <w:ind w:firstLine="480" w:firstLineChars="200"/>
        <w:rPr>
          <w:rFonts w:hint="eastAsia" w:hAnsi="宋体" w:cs="宋体"/>
          <w:bCs/>
          <w:color w:val="auto"/>
          <w:sz w:val="24"/>
          <w:szCs w:val="24"/>
          <w:u w:val="single"/>
        </w:rPr>
      </w:pPr>
      <w:r>
        <w:rPr>
          <w:rFonts w:hint="eastAsia" w:hAnsi="宋体" w:cs="宋体"/>
          <w:bCs/>
          <w:color w:val="auto"/>
          <w:sz w:val="24"/>
          <w:szCs w:val="24"/>
        </w:rPr>
        <w:t>法定代表人/主要负责人：</w:t>
      </w:r>
      <w:r>
        <w:rPr>
          <w:rFonts w:hint="eastAsia" w:hAnsi="宋体" w:cs="宋体"/>
          <w:bCs/>
          <w:color w:val="auto"/>
          <w:sz w:val="24"/>
          <w:szCs w:val="24"/>
          <w:u w:val="single"/>
        </w:rPr>
        <w:t xml:space="preserve">                                                         </w:t>
      </w:r>
    </w:p>
    <w:p w14:paraId="62080EA0">
      <w:pPr>
        <w:pStyle w:val="22"/>
        <w:snapToGrid w:val="0"/>
        <w:spacing w:line="360" w:lineRule="auto"/>
        <w:ind w:firstLine="480" w:firstLineChars="200"/>
        <w:rPr>
          <w:rFonts w:hint="eastAsia" w:hAnsi="宋体" w:cs="宋体"/>
          <w:bCs/>
          <w:color w:val="auto"/>
          <w:sz w:val="24"/>
          <w:szCs w:val="24"/>
        </w:rPr>
      </w:pPr>
      <w:r>
        <w:rPr>
          <w:rFonts w:hint="eastAsia" w:hAnsi="宋体" w:cs="宋体"/>
          <w:bCs/>
          <w:color w:val="auto"/>
          <w:sz w:val="24"/>
          <w:szCs w:val="24"/>
        </w:rPr>
        <w:t>联系电话：</w:t>
      </w:r>
      <w:r>
        <w:rPr>
          <w:rFonts w:hint="eastAsia" w:hAnsi="宋体" w:cs="宋体"/>
          <w:bCs/>
          <w:color w:val="auto"/>
          <w:sz w:val="24"/>
          <w:szCs w:val="24"/>
          <w:u w:val="single"/>
        </w:rPr>
        <w:t xml:space="preserve">                                         </w:t>
      </w:r>
    </w:p>
    <w:p w14:paraId="4309F186">
      <w:pPr>
        <w:pStyle w:val="22"/>
        <w:snapToGrid w:val="0"/>
        <w:spacing w:line="360" w:lineRule="auto"/>
        <w:ind w:firstLine="480" w:firstLineChars="200"/>
        <w:rPr>
          <w:rFonts w:hint="eastAsia" w:hAnsi="宋体" w:cs="宋体"/>
          <w:bCs/>
          <w:color w:val="auto"/>
          <w:sz w:val="24"/>
          <w:szCs w:val="24"/>
          <w:u w:val="single"/>
        </w:rPr>
      </w:pPr>
      <w:r>
        <w:rPr>
          <w:rFonts w:hint="eastAsia" w:hAnsi="宋体" w:cs="宋体"/>
          <w:bCs/>
          <w:color w:val="auto"/>
          <w:sz w:val="24"/>
          <w:szCs w:val="24"/>
        </w:rPr>
        <w:t>授权代表：</w:t>
      </w:r>
      <w:r>
        <w:rPr>
          <w:rFonts w:hint="eastAsia" w:hAnsi="宋体" w:cs="宋体"/>
          <w:bCs/>
          <w:color w:val="auto"/>
          <w:sz w:val="24"/>
          <w:szCs w:val="24"/>
          <w:u w:val="single"/>
        </w:rPr>
        <w:t xml:space="preserve">                                         </w:t>
      </w:r>
      <w:r>
        <w:rPr>
          <w:rFonts w:hint="eastAsia" w:hAnsi="宋体" w:cs="宋体"/>
          <w:bCs/>
          <w:color w:val="auto"/>
          <w:sz w:val="24"/>
          <w:szCs w:val="24"/>
        </w:rPr>
        <w:t>联系电话：</w:t>
      </w:r>
      <w:r>
        <w:rPr>
          <w:rFonts w:hint="eastAsia" w:hAnsi="宋体" w:cs="宋体"/>
          <w:bCs/>
          <w:color w:val="auto"/>
          <w:sz w:val="24"/>
          <w:szCs w:val="24"/>
          <w:u w:val="single"/>
        </w:rPr>
        <w:t xml:space="preserve">                   </w:t>
      </w:r>
    </w:p>
    <w:p w14:paraId="3724EFC2">
      <w:pPr>
        <w:pStyle w:val="22"/>
        <w:snapToGrid w:val="0"/>
        <w:spacing w:line="360" w:lineRule="auto"/>
        <w:ind w:firstLine="480" w:firstLineChars="200"/>
        <w:rPr>
          <w:rFonts w:hint="eastAsia" w:hAnsi="宋体" w:cs="宋体"/>
          <w:bCs/>
          <w:color w:val="auto"/>
          <w:sz w:val="24"/>
          <w:szCs w:val="24"/>
          <w:u w:val="single"/>
        </w:rPr>
      </w:pPr>
      <w:r>
        <w:rPr>
          <w:rFonts w:hint="eastAsia" w:hAnsi="宋体" w:cs="宋体"/>
          <w:bCs/>
          <w:color w:val="auto"/>
          <w:sz w:val="24"/>
          <w:szCs w:val="24"/>
        </w:rPr>
        <w:t>地址：</w:t>
      </w:r>
      <w:r>
        <w:rPr>
          <w:rFonts w:hint="eastAsia" w:hAnsi="宋体" w:cs="宋体"/>
          <w:bCs/>
          <w:color w:val="auto"/>
          <w:sz w:val="24"/>
          <w:szCs w:val="24"/>
          <w:u w:val="single"/>
        </w:rPr>
        <w:t xml:space="preserve">                                                            </w:t>
      </w:r>
    </w:p>
    <w:p w14:paraId="42B5DEC5">
      <w:pPr>
        <w:pStyle w:val="22"/>
        <w:snapToGrid w:val="0"/>
        <w:spacing w:line="360" w:lineRule="auto"/>
        <w:ind w:firstLine="480" w:firstLineChars="200"/>
        <w:rPr>
          <w:rFonts w:hint="eastAsia" w:hAnsi="宋体" w:cs="宋体"/>
          <w:bCs/>
          <w:color w:val="auto"/>
          <w:sz w:val="24"/>
          <w:szCs w:val="24"/>
        </w:rPr>
      </w:pP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0134734C">
      <w:pPr>
        <w:pStyle w:val="22"/>
        <w:snapToGrid w:val="0"/>
        <w:spacing w:line="360" w:lineRule="auto"/>
        <w:ind w:firstLine="480" w:firstLineChars="200"/>
        <w:rPr>
          <w:rFonts w:hint="eastAsia" w:hAnsi="宋体" w:cs="宋体"/>
          <w:bCs/>
          <w:color w:val="auto"/>
          <w:sz w:val="24"/>
          <w:szCs w:val="24"/>
        </w:rPr>
      </w:pPr>
      <w:r>
        <w:rPr>
          <w:rFonts w:hint="eastAsia" w:hAnsi="宋体" w:cs="宋体"/>
          <w:bCs/>
          <w:color w:val="auto"/>
          <w:sz w:val="24"/>
          <w:szCs w:val="24"/>
        </w:rPr>
        <w:t>被投诉人1：</w:t>
      </w:r>
    </w:p>
    <w:p w14:paraId="2D748B3C">
      <w:pPr>
        <w:pStyle w:val="22"/>
        <w:snapToGrid w:val="0"/>
        <w:spacing w:line="360" w:lineRule="auto"/>
        <w:ind w:firstLine="480" w:firstLineChars="200"/>
        <w:rPr>
          <w:rFonts w:hint="eastAsia" w:hAnsi="宋体" w:cs="宋体"/>
          <w:bCs/>
          <w:color w:val="auto"/>
          <w:sz w:val="24"/>
          <w:szCs w:val="24"/>
          <w:u w:val="single"/>
        </w:rPr>
      </w:pPr>
      <w:r>
        <w:rPr>
          <w:rFonts w:hint="eastAsia" w:hAnsi="宋体" w:cs="宋体"/>
          <w:bCs/>
          <w:color w:val="auto"/>
          <w:sz w:val="24"/>
          <w:szCs w:val="24"/>
        </w:rPr>
        <w:t>地址：</w:t>
      </w:r>
      <w:r>
        <w:rPr>
          <w:rFonts w:hint="eastAsia" w:hAnsi="宋体" w:cs="宋体"/>
          <w:bCs/>
          <w:color w:val="auto"/>
          <w:sz w:val="24"/>
          <w:szCs w:val="24"/>
          <w:u w:val="single"/>
        </w:rPr>
        <w:t xml:space="preserve">                                                            </w:t>
      </w:r>
    </w:p>
    <w:p w14:paraId="1757D513">
      <w:pPr>
        <w:pStyle w:val="22"/>
        <w:snapToGrid w:val="0"/>
        <w:spacing w:line="360" w:lineRule="auto"/>
        <w:ind w:firstLine="480" w:firstLineChars="200"/>
        <w:rPr>
          <w:rFonts w:hint="eastAsia" w:hAnsi="宋体" w:cs="宋体"/>
          <w:bCs/>
          <w:color w:val="auto"/>
          <w:sz w:val="24"/>
          <w:szCs w:val="24"/>
        </w:rPr>
      </w:pP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55BE224A">
      <w:pPr>
        <w:pStyle w:val="22"/>
        <w:snapToGrid w:val="0"/>
        <w:spacing w:line="360" w:lineRule="auto"/>
        <w:ind w:firstLine="480" w:firstLineChars="200"/>
        <w:rPr>
          <w:rFonts w:hint="eastAsia" w:hAnsi="宋体" w:cs="宋体"/>
          <w:bCs/>
          <w:color w:val="auto"/>
          <w:sz w:val="24"/>
          <w:szCs w:val="24"/>
          <w:u w:val="single"/>
        </w:rPr>
      </w:pPr>
      <w:r>
        <w:rPr>
          <w:rFonts w:hint="eastAsia" w:hAnsi="宋体" w:cs="宋体"/>
          <w:bCs/>
          <w:color w:val="auto"/>
          <w:sz w:val="24"/>
          <w:szCs w:val="24"/>
        </w:rPr>
        <w:t>联系人：</w:t>
      </w:r>
      <w:r>
        <w:rPr>
          <w:rFonts w:hint="eastAsia" w:hAnsi="宋体" w:cs="宋体"/>
          <w:bCs/>
          <w:color w:val="auto"/>
          <w:sz w:val="24"/>
          <w:szCs w:val="24"/>
          <w:u w:val="single"/>
        </w:rPr>
        <w:t xml:space="preserve">                                                </w:t>
      </w:r>
      <w:r>
        <w:rPr>
          <w:rFonts w:hint="eastAsia" w:hAnsi="宋体" w:cs="宋体"/>
          <w:bCs/>
          <w:color w:val="auto"/>
          <w:sz w:val="24"/>
          <w:szCs w:val="24"/>
        </w:rPr>
        <w:t>联系电话：</w:t>
      </w:r>
      <w:r>
        <w:rPr>
          <w:rFonts w:hint="eastAsia" w:hAnsi="宋体" w:cs="宋体"/>
          <w:bCs/>
          <w:color w:val="auto"/>
          <w:sz w:val="24"/>
          <w:szCs w:val="24"/>
          <w:u w:val="single"/>
        </w:rPr>
        <w:t xml:space="preserve">                </w:t>
      </w:r>
    </w:p>
    <w:p w14:paraId="2A9A8D54">
      <w:pPr>
        <w:pStyle w:val="22"/>
        <w:snapToGrid w:val="0"/>
        <w:spacing w:line="360" w:lineRule="auto"/>
        <w:ind w:firstLine="480" w:firstLineChars="200"/>
        <w:rPr>
          <w:rFonts w:hint="eastAsia" w:hAnsi="宋体" w:cs="宋体"/>
          <w:bCs/>
          <w:color w:val="auto"/>
          <w:sz w:val="24"/>
          <w:szCs w:val="24"/>
        </w:rPr>
      </w:pPr>
      <w:r>
        <w:rPr>
          <w:rFonts w:hint="eastAsia" w:hAnsi="宋体" w:cs="宋体"/>
          <w:bCs/>
          <w:color w:val="auto"/>
          <w:sz w:val="24"/>
          <w:szCs w:val="24"/>
        </w:rPr>
        <w:t>被投诉人2：</w:t>
      </w:r>
    </w:p>
    <w:p w14:paraId="0650D80D">
      <w:pPr>
        <w:pStyle w:val="22"/>
        <w:snapToGrid w:val="0"/>
        <w:spacing w:line="360" w:lineRule="auto"/>
        <w:ind w:firstLine="480" w:firstLineChars="200"/>
        <w:rPr>
          <w:rFonts w:hint="eastAsia" w:hAnsi="宋体" w:cs="宋体"/>
          <w:bCs/>
          <w:color w:val="auto"/>
          <w:sz w:val="24"/>
          <w:szCs w:val="24"/>
        </w:rPr>
      </w:pPr>
      <w:r>
        <w:rPr>
          <w:rFonts w:hint="eastAsia" w:hAnsi="宋体" w:cs="宋体"/>
          <w:bCs/>
          <w:color w:val="auto"/>
          <w:sz w:val="24"/>
          <w:szCs w:val="24"/>
        </w:rPr>
        <w:t>……</w:t>
      </w:r>
    </w:p>
    <w:p w14:paraId="40823092">
      <w:pPr>
        <w:pStyle w:val="22"/>
        <w:snapToGrid w:val="0"/>
        <w:spacing w:line="360" w:lineRule="auto"/>
        <w:ind w:firstLine="480" w:firstLineChars="200"/>
        <w:rPr>
          <w:rFonts w:hint="eastAsia" w:hAnsi="宋体" w:cs="宋体"/>
          <w:bCs/>
          <w:color w:val="auto"/>
          <w:sz w:val="24"/>
          <w:szCs w:val="24"/>
          <w:u w:val="single"/>
        </w:rPr>
      </w:pPr>
      <w:r>
        <w:rPr>
          <w:rFonts w:hint="eastAsia" w:hAnsi="宋体" w:cs="宋体"/>
          <w:bCs/>
          <w:color w:val="auto"/>
          <w:sz w:val="24"/>
          <w:szCs w:val="24"/>
        </w:rPr>
        <w:t>相关供应商：</w:t>
      </w:r>
      <w:r>
        <w:rPr>
          <w:rFonts w:hint="eastAsia" w:hAnsi="宋体" w:cs="宋体"/>
          <w:bCs/>
          <w:color w:val="auto"/>
          <w:sz w:val="24"/>
          <w:szCs w:val="24"/>
          <w:u w:val="single"/>
        </w:rPr>
        <w:t xml:space="preserve">                                                                       </w:t>
      </w:r>
    </w:p>
    <w:p w14:paraId="6FFD897F">
      <w:pPr>
        <w:pStyle w:val="22"/>
        <w:snapToGrid w:val="0"/>
        <w:spacing w:line="360" w:lineRule="auto"/>
        <w:ind w:firstLine="480" w:firstLineChars="200"/>
        <w:rPr>
          <w:rFonts w:hint="eastAsia" w:hAnsi="宋体" w:cs="宋体"/>
          <w:bCs/>
          <w:color w:val="auto"/>
          <w:sz w:val="24"/>
          <w:szCs w:val="24"/>
          <w:u w:val="single"/>
        </w:rPr>
      </w:pPr>
      <w:r>
        <w:rPr>
          <w:rFonts w:hint="eastAsia" w:hAnsi="宋体" w:cs="宋体"/>
          <w:bCs/>
          <w:color w:val="auto"/>
          <w:sz w:val="24"/>
          <w:szCs w:val="24"/>
        </w:rPr>
        <w:t>地址：</w:t>
      </w:r>
      <w:r>
        <w:rPr>
          <w:rFonts w:hint="eastAsia" w:hAnsi="宋体" w:cs="宋体"/>
          <w:bCs/>
          <w:color w:val="auto"/>
          <w:sz w:val="24"/>
          <w:szCs w:val="24"/>
          <w:u w:val="single"/>
        </w:rPr>
        <w:t xml:space="preserve">                                              </w:t>
      </w:r>
      <w:r>
        <w:rPr>
          <w:rFonts w:hint="eastAsia" w:hAnsi="宋体" w:cs="宋体"/>
          <w:bCs/>
          <w:color w:val="auto"/>
          <w:sz w:val="24"/>
          <w:szCs w:val="24"/>
        </w:rPr>
        <w:t>邮编：</w:t>
      </w:r>
      <w:r>
        <w:rPr>
          <w:rFonts w:hint="eastAsia" w:hAnsi="宋体" w:cs="宋体"/>
          <w:bCs/>
          <w:color w:val="auto"/>
          <w:sz w:val="24"/>
          <w:szCs w:val="24"/>
          <w:u w:val="single"/>
        </w:rPr>
        <w:t xml:space="preserve">                         </w:t>
      </w:r>
    </w:p>
    <w:p w14:paraId="2BDB23D5">
      <w:pPr>
        <w:pStyle w:val="22"/>
        <w:snapToGrid w:val="0"/>
        <w:spacing w:line="360" w:lineRule="auto"/>
        <w:ind w:firstLine="480" w:firstLineChars="200"/>
        <w:rPr>
          <w:rFonts w:hint="eastAsia" w:hAnsi="宋体" w:cs="宋体"/>
          <w:bCs/>
          <w:color w:val="auto"/>
          <w:sz w:val="24"/>
          <w:szCs w:val="24"/>
        </w:rPr>
      </w:pPr>
      <w:r>
        <w:rPr>
          <w:rFonts w:hint="eastAsia" w:hAnsi="宋体" w:cs="宋体"/>
          <w:bCs/>
          <w:color w:val="auto"/>
          <w:sz w:val="24"/>
          <w:szCs w:val="24"/>
        </w:rPr>
        <w:t>联系人：</w:t>
      </w:r>
      <w:r>
        <w:rPr>
          <w:rFonts w:hint="eastAsia" w:hAnsi="宋体" w:cs="宋体"/>
          <w:bCs/>
          <w:color w:val="auto"/>
          <w:sz w:val="24"/>
          <w:szCs w:val="24"/>
          <w:u w:val="single"/>
        </w:rPr>
        <w:t xml:space="preserve">                                            </w:t>
      </w:r>
      <w:r>
        <w:rPr>
          <w:rFonts w:hint="eastAsia" w:hAnsi="宋体" w:cs="宋体"/>
          <w:bCs/>
          <w:color w:val="auto"/>
          <w:sz w:val="24"/>
          <w:szCs w:val="24"/>
        </w:rPr>
        <w:t>联系电话：</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5B6419AB">
      <w:pPr>
        <w:pStyle w:val="22"/>
        <w:snapToGrid w:val="0"/>
        <w:spacing w:line="360" w:lineRule="auto"/>
        <w:ind w:firstLine="482" w:firstLineChars="200"/>
        <w:rPr>
          <w:rFonts w:hint="eastAsia" w:hAnsi="宋体" w:cs="宋体"/>
          <w:b/>
          <w:bCs/>
          <w:color w:val="auto"/>
          <w:sz w:val="24"/>
          <w:szCs w:val="24"/>
        </w:rPr>
      </w:pPr>
      <w:r>
        <w:rPr>
          <w:rFonts w:hint="eastAsia" w:hAnsi="宋体" w:cs="宋体"/>
          <w:b/>
          <w:bCs/>
          <w:color w:val="auto"/>
          <w:sz w:val="24"/>
          <w:szCs w:val="24"/>
        </w:rPr>
        <w:t>二、投诉项目基本情况：</w:t>
      </w:r>
    </w:p>
    <w:p w14:paraId="4C0CC6A6">
      <w:pPr>
        <w:pStyle w:val="22"/>
        <w:spacing w:line="360" w:lineRule="auto"/>
        <w:ind w:left="25" w:leftChars="12" w:firstLine="472" w:firstLineChars="197"/>
        <w:rPr>
          <w:rFonts w:hint="eastAsia" w:hAnsi="宋体" w:cs="宋体"/>
          <w:color w:val="auto"/>
          <w:sz w:val="24"/>
          <w:szCs w:val="24"/>
        </w:rPr>
      </w:pPr>
      <w:r>
        <w:rPr>
          <w:rFonts w:hint="eastAsia" w:hAnsi="宋体" w:cs="宋体"/>
          <w:bCs/>
          <w:color w:val="auto"/>
          <w:sz w:val="24"/>
          <w:szCs w:val="24"/>
        </w:rPr>
        <w:t>采购</w:t>
      </w:r>
      <w:r>
        <w:rPr>
          <w:rFonts w:hint="eastAsia" w:hAnsi="宋体" w:cs="宋体"/>
          <w:color w:val="auto"/>
          <w:sz w:val="24"/>
          <w:szCs w:val="24"/>
        </w:rPr>
        <w:t>项目的名称：</w:t>
      </w:r>
      <w:r>
        <w:rPr>
          <w:rFonts w:hint="eastAsia" w:hAnsi="宋体" w:cs="宋体"/>
          <w:bCs/>
          <w:color w:val="auto"/>
          <w:sz w:val="24"/>
          <w:szCs w:val="24"/>
          <w:u w:val="single"/>
        </w:rPr>
        <w:t xml:space="preserve">    </w:t>
      </w:r>
    </w:p>
    <w:p w14:paraId="566551FA">
      <w:pPr>
        <w:pStyle w:val="22"/>
        <w:spacing w:line="360" w:lineRule="auto"/>
        <w:ind w:left="25" w:leftChars="12" w:firstLine="472" w:firstLineChars="197"/>
        <w:rPr>
          <w:rFonts w:hint="eastAsia" w:hAnsi="宋体" w:cs="宋体"/>
          <w:color w:val="auto"/>
          <w:sz w:val="24"/>
          <w:szCs w:val="24"/>
        </w:rPr>
      </w:pPr>
      <w:r>
        <w:rPr>
          <w:rFonts w:hint="eastAsia" w:hAnsi="宋体" w:cs="宋体"/>
          <w:bCs/>
          <w:color w:val="auto"/>
          <w:sz w:val="24"/>
          <w:szCs w:val="24"/>
        </w:rPr>
        <w:t>采购</w:t>
      </w:r>
      <w:r>
        <w:rPr>
          <w:rFonts w:hint="eastAsia" w:hAnsi="宋体" w:cs="宋体"/>
          <w:color w:val="auto"/>
          <w:sz w:val="24"/>
          <w:szCs w:val="24"/>
        </w:rPr>
        <w:t>项目的编号：</w:t>
      </w:r>
      <w:r>
        <w:rPr>
          <w:rFonts w:hint="eastAsia" w:hAnsi="宋体" w:cs="宋体"/>
          <w:bCs/>
          <w:color w:val="auto"/>
          <w:sz w:val="24"/>
          <w:szCs w:val="24"/>
          <w:u w:val="single"/>
        </w:rPr>
        <w:t xml:space="preserve">      </w:t>
      </w:r>
    </w:p>
    <w:p w14:paraId="6BD9FA89">
      <w:pPr>
        <w:pStyle w:val="22"/>
        <w:spacing w:line="360" w:lineRule="auto"/>
        <w:ind w:left="25" w:leftChars="12" w:firstLine="472" w:firstLineChars="197"/>
        <w:rPr>
          <w:rFonts w:hint="eastAsia" w:hAnsi="宋体" w:cs="宋体"/>
          <w:bCs/>
          <w:color w:val="auto"/>
          <w:sz w:val="24"/>
          <w:szCs w:val="24"/>
          <w:u w:val="single"/>
        </w:rPr>
      </w:pPr>
      <w:r>
        <w:rPr>
          <w:rFonts w:hint="eastAsia" w:hAnsi="宋体" w:cs="宋体"/>
          <w:color w:val="auto"/>
          <w:sz w:val="24"/>
          <w:szCs w:val="24"/>
        </w:rPr>
        <w:t>采购人名称：</w:t>
      </w:r>
      <w:r>
        <w:rPr>
          <w:rFonts w:hint="eastAsia" w:hAnsi="宋体" w:cs="宋体"/>
          <w:bCs/>
          <w:color w:val="auto"/>
          <w:sz w:val="24"/>
          <w:szCs w:val="24"/>
          <w:u w:val="single"/>
        </w:rPr>
        <w:t xml:space="preserve">                </w:t>
      </w:r>
    </w:p>
    <w:p w14:paraId="60CEEAE6">
      <w:pPr>
        <w:pStyle w:val="22"/>
        <w:spacing w:line="360" w:lineRule="auto"/>
        <w:ind w:left="25" w:leftChars="12" w:firstLine="472" w:firstLineChars="197"/>
        <w:rPr>
          <w:rFonts w:hint="eastAsia" w:hAnsi="宋体" w:cs="宋体"/>
          <w:bCs/>
          <w:color w:val="auto"/>
          <w:sz w:val="24"/>
          <w:szCs w:val="24"/>
          <w:u w:val="single"/>
        </w:rPr>
      </w:pPr>
      <w:r>
        <w:rPr>
          <w:rFonts w:hint="eastAsia" w:hAnsi="宋体" w:cs="宋体"/>
          <w:color w:val="auto"/>
          <w:sz w:val="24"/>
          <w:szCs w:val="24"/>
        </w:rPr>
        <w:t>代理机构名称：</w:t>
      </w:r>
      <w:r>
        <w:rPr>
          <w:rFonts w:hint="eastAsia" w:hAnsi="宋体" w:cs="宋体"/>
          <w:bCs/>
          <w:color w:val="auto"/>
          <w:sz w:val="24"/>
          <w:szCs w:val="24"/>
          <w:u w:val="single"/>
        </w:rPr>
        <w:t xml:space="preserve">                 </w:t>
      </w:r>
    </w:p>
    <w:p w14:paraId="5F1CF2A2">
      <w:pPr>
        <w:pStyle w:val="22"/>
        <w:spacing w:line="360" w:lineRule="auto"/>
        <w:ind w:left="25" w:leftChars="12" w:firstLine="472" w:firstLineChars="197"/>
        <w:rPr>
          <w:rFonts w:hint="eastAsia" w:hAnsi="宋体" w:cs="宋体"/>
          <w:bCs/>
          <w:color w:val="auto"/>
          <w:sz w:val="24"/>
          <w:szCs w:val="24"/>
          <w:u w:val="single"/>
        </w:rPr>
      </w:pPr>
      <w:r>
        <w:rPr>
          <w:rFonts w:hint="eastAsia" w:hAnsi="宋体" w:cs="宋体"/>
          <w:bCs/>
          <w:color w:val="auto"/>
          <w:sz w:val="24"/>
          <w:szCs w:val="24"/>
        </w:rPr>
        <w:t>招标文件公告：</w:t>
      </w:r>
      <w:r>
        <w:rPr>
          <w:rFonts w:hint="eastAsia" w:hAnsi="宋体" w:cs="宋体"/>
          <w:bCs/>
          <w:color w:val="auto"/>
          <w:sz w:val="24"/>
          <w:szCs w:val="24"/>
          <w:u w:val="single"/>
        </w:rPr>
        <w:t>是/否</w:t>
      </w:r>
      <w:r>
        <w:rPr>
          <w:rFonts w:hint="eastAsia" w:hAnsi="宋体" w:cs="宋体"/>
          <w:bCs/>
          <w:color w:val="auto"/>
          <w:sz w:val="24"/>
          <w:szCs w:val="24"/>
        </w:rPr>
        <w:t>公告期限：</w:t>
      </w:r>
      <w:r>
        <w:rPr>
          <w:rFonts w:hint="eastAsia" w:hAnsi="宋体" w:cs="宋体"/>
          <w:bCs/>
          <w:color w:val="auto"/>
          <w:sz w:val="24"/>
          <w:szCs w:val="24"/>
          <w:u w:val="single"/>
        </w:rPr>
        <w:t xml:space="preserve">                                                       </w:t>
      </w:r>
    </w:p>
    <w:p w14:paraId="03001190">
      <w:pPr>
        <w:pStyle w:val="22"/>
        <w:spacing w:line="360" w:lineRule="auto"/>
        <w:ind w:left="25" w:leftChars="12" w:firstLine="472" w:firstLineChars="197"/>
        <w:rPr>
          <w:rFonts w:hint="eastAsia" w:hAnsi="宋体" w:cs="宋体"/>
          <w:b/>
          <w:color w:val="auto"/>
          <w:sz w:val="24"/>
          <w:szCs w:val="24"/>
        </w:rPr>
      </w:pPr>
      <w:r>
        <w:rPr>
          <w:rFonts w:hint="eastAsia" w:hAnsi="宋体" w:cs="宋体"/>
          <w:bCs/>
          <w:color w:val="auto"/>
          <w:sz w:val="24"/>
          <w:szCs w:val="24"/>
        </w:rPr>
        <w:t>采购结果公告：</w:t>
      </w:r>
      <w:r>
        <w:rPr>
          <w:rFonts w:hint="eastAsia" w:hAnsi="宋体" w:cs="宋体"/>
          <w:bCs/>
          <w:color w:val="auto"/>
          <w:sz w:val="24"/>
          <w:szCs w:val="24"/>
          <w:u w:val="single"/>
        </w:rPr>
        <w:t>是/否</w:t>
      </w:r>
      <w:r>
        <w:rPr>
          <w:rFonts w:hint="eastAsia" w:hAnsi="宋体" w:cs="宋体"/>
          <w:bCs/>
          <w:color w:val="auto"/>
          <w:sz w:val="24"/>
          <w:szCs w:val="24"/>
        </w:rPr>
        <w:t>公告期限：</w:t>
      </w:r>
      <w:r>
        <w:rPr>
          <w:rFonts w:hint="eastAsia" w:hAnsi="宋体" w:cs="宋体"/>
          <w:bCs/>
          <w:color w:val="auto"/>
          <w:sz w:val="24"/>
          <w:szCs w:val="24"/>
          <w:u w:val="single"/>
        </w:rPr>
        <w:t xml:space="preserve">                                                       </w:t>
      </w:r>
    </w:p>
    <w:p w14:paraId="6B7AE5FF">
      <w:pPr>
        <w:pStyle w:val="22"/>
        <w:spacing w:line="360" w:lineRule="auto"/>
        <w:ind w:left="25" w:leftChars="12" w:firstLine="472" w:firstLineChars="196"/>
        <w:rPr>
          <w:rFonts w:hint="eastAsia" w:hAnsi="宋体" w:cs="宋体"/>
          <w:b/>
          <w:color w:val="auto"/>
          <w:sz w:val="24"/>
          <w:szCs w:val="24"/>
        </w:rPr>
      </w:pPr>
      <w:r>
        <w:rPr>
          <w:rFonts w:hint="eastAsia" w:hAnsi="宋体" w:cs="宋体"/>
          <w:b/>
          <w:color w:val="auto"/>
          <w:sz w:val="24"/>
          <w:szCs w:val="24"/>
        </w:rPr>
        <w:t>三、质疑基本情况</w:t>
      </w:r>
    </w:p>
    <w:p w14:paraId="5D783071">
      <w:pPr>
        <w:pStyle w:val="22"/>
        <w:spacing w:line="360" w:lineRule="auto"/>
        <w:ind w:firstLine="480" w:firstLineChars="200"/>
        <w:rPr>
          <w:rFonts w:hint="eastAsia" w:hAnsi="宋体" w:cs="宋体"/>
          <w:color w:val="auto"/>
          <w:sz w:val="24"/>
          <w:szCs w:val="24"/>
        </w:rPr>
      </w:pPr>
      <w:r>
        <w:rPr>
          <w:rFonts w:hint="eastAsia" w:hAnsi="宋体" w:cs="宋体"/>
          <w:color w:val="auto"/>
          <w:sz w:val="24"/>
          <w:szCs w:val="24"/>
        </w:rPr>
        <w:t>投诉人于</w:t>
      </w:r>
      <w:r>
        <w:rPr>
          <w:rFonts w:hint="eastAsia" w:hAnsi="宋体" w:cs="宋体"/>
          <w:color w:val="auto"/>
          <w:sz w:val="24"/>
          <w:szCs w:val="24"/>
          <w:u w:val="single"/>
        </w:rPr>
        <w:t xml:space="preserve">      </w:t>
      </w:r>
      <w:r>
        <w:rPr>
          <w:rFonts w:hint="eastAsia" w:hAnsi="宋体" w:cs="宋体"/>
          <w:color w:val="auto"/>
          <w:sz w:val="24"/>
          <w:szCs w:val="24"/>
        </w:rPr>
        <w:t>年</w:t>
      </w:r>
      <w:r>
        <w:rPr>
          <w:rFonts w:hint="eastAsia" w:hAnsi="宋体" w:cs="宋体"/>
          <w:color w:val="auto"/>
          <w:sz w:val="24"/>
          <w:szCs w:val="24"/>
          <w:u w:val="single"/>
        </w:rPr>
        <w:t xml:space="preserve">   </w:t>
      </w:r>
      <w:r>
        <w:rPr>
          <w:rFonts w:hint="eastAsia" w:hAnsi="宋体" w:cs="宋体"/>
          <w:color w:val="auto"/>
          <w:sz w:val="24"/>
          <w:szCs w:val="24"/>
        </w:rPr>
        <w:t>月</w:t>
      </w:r>
      <w:r>
        <w:rPr>
          <w:rFonts w:hint="eastAsia" w:hAnsi="宋体" w:cs="宋体"/>
          <w:color w:val="auto"/>
          <w:sz w:val="24"/>
          <w:szCs w:val="24"/>
          <w:u w:val="single"/>
        </w:rPr>
        <w:t xml:space="preserve">   </w:t>
      </w:r>
      <w:r>
        <w:rPr>
          <w:rFonts w:hint="eastAsia" w:hAnsi="宋体" w:cs="宋体"/>
          <w:color w:val="auto"/>
          <w:sz w:val="24"/>
          <w:szCs w:val="24"/>
        </w:rPr>
        <w:t>日，向</w:t>
      </w:r>
      <w:r>
        <w:rPr>
          <w:rFonts w:hint="eastAsia" w:hAnsi="宋体" w:cs="宋体"/>
          <w:color w:val="auto"/>
          <w:sz w:val="24"/>
          <w:szCs w:val="24"/>
          <w:u w:val="single"/>
        </w:rPr>
        <w:t xml:space="preserve">                                </w:t>
      </w:r>
      <w:r>
        <w:rPr>
          <w:rFonts w:hint="eastAsia" w:hAnsi="宋体" w:cs="宋体"/>
          <w:color w:val="auto"/>
          <w:sz w:val="24"/>
          <w:szCs w:val="24"/>
        </w:rPr>
        <w:t>提出质疑，质疑事项为：</w:t>
      </w:r>
    </w:p>
    <w:p w14:paraId="6DB080F8">
      <w:pPr>
        <w:pStyle w:val="22"/>
        <w:spacing w:line="360" w:lineRule="auto"/>
        <w:ind w:firstLine="241"/>
        <w:rPr>
          <w:rFonts w:hint="eastAsia" w:hAnsi="宋体" w:cs="宋体"/>
          <w:bCs/>
          <w:color w:val="auto"/>
          <w:sz w:val="24"/>
          <w:szCs w:val="24"/>
          <w:u w:val="single"/>
        </w:rPr>
      </w:pPr>
      <w:r>
        <w:rPr>
          <w:rFonts w:hint="eastAsia" w:hAnsi="宋体" w:cs="宋体"/>
          <w:color w:val="auto"/>
          <w:sz w:val="24"/>
          <w:szCs w:val="24"/>
        </w:rPr>
        <w:t xml:space="preserve">    </w:t>
      </w:r>
      <w:r>
        <w:rPr>
          <w:rFonts w:hint="eastAsia" w:hAnsi="宋体" w:cs="宋体"/>
          <w:bCs/>
          <w:color w:val="auto"/>
          <w:sz w:val="24"/>
          <w:szCs w:val="24"/>
          <w:u w:val="single"/>
        </w:rPr>
        <w:t xml:space="preserve">                                                                                      </w:t>
      </w:r>
    </w:p>
    <w:p w14:paraId="24C46923">
      <w:pPr>
        <w:pStyle w:val="22"/>
        <w:spacing w:line="360" w:lineRule="auto"/>
        <w:ind w:firstLine="241"/>
        <w:rPr>
          <w:rFonts w:hint="eastAsia" w:hAnsi="宋体" w:cs="宋体"/>
          <w:bCs/>
          <w:color w:val="auto"/>
          <w:sz w:val="24"/>
          <w:szCs w:val="24"/>
          <w:u w:val="single"/>
        </w:rPr>
      </w:pPr>
      <w:r>
        <w:rPr>
          <w:rFonts w:hint="eastAsia" w:hAnsi="宋体" w:cs="宋体"/>
          <w:bCs/>
          <w:color w:val="auto"/>
          <w:sz w:val="24"/>
          <w:szCs w:val="24"/>
        </w:rPr>
        <w:t xml:space="preserve">    </w:t>
      </w:r>
      <w:r>
        <w:rPr>
          <w:rFonts w:hint="eastAsia" w:hAnsi="宋体" w:cs="宋体"/>
          <w:bCs/>
          <w:color w:val="auto"/>
          <w:sz w:val="24"/>
          <w:szCs w:val="24"/>
          <w:u w:val="single"/>
        </w:rPr>
        <w:t xml:space="preserve">                                                                                      </w:t>
      </w:r>
    </w:p>
    <w:p w14:paraId="54E6C30C">
      <w:pPr>
        <w:pStyle w:val="22"/>
        <w:spacing w:line="360" w:lineRule="auto"/>
        <w:ind w:firstLine="480" w:firstLineChars="200"/>
        <w:rPr>
          <w:rFonts w:hint="eastAsia" w:hAnsi="宋体" w:cs="宋体"/>
          <w:color w:val="auto"/>
          <w:sz w:val="24"/>
          <w:szCs w:val="24"/>
        </w:rPr>
      </w:pPr>
      <w:r>
        <w:rPr>
          <w:rFonts w:hint="eastAsia" w:hAnsi="宋体" w:cs="宋体"/>
          <w:bCs/>
          <w:color w:val="auto"/>
          <w:sz w:val="24"/>
          <w:szCs w:val="24"/>
          <w:u w:val="single"/>
        </w:rPr>
        <w:t>采购人/代理机构</w:t>
      </w:r>
      <w:r>
        <w:rPr>
          <w:rFonts w:hint="eastAsia" w:hAnsi="宋体" w:cs="宋体"/>
          <w:bCs/>
          <w:color w:val="auto"/>
          <w:sz w:val="24"/>
          <w:szCs w:val="24"/>
        </w:rPr>
        <w:t>于</w:t>
      </w:r>
      <w:r>
        <w:rPr>
          <w:rFonts w:hint="eastAsia" w:hAnsi="宋体" w:cs="宋体"/>
          <w:color w:val="auto"/>
          <w:sz w:val="24"/>
          <w:szCs w:val="24"/>
          <w:u w:val="single"/>
        </w:rPr>
        <w:t xml:space="preserve">      </w:t>
      </w:r>
      <w:r>
        <w:rPr>
          <w:rFonts w:hint="eastAsia" w:hAnsi="宋体" w:cs="宋体"/>
          <w:color w:val="auto"/>
          <w:sz w:val="24"/>
          <w:szCs w:val="24"/>
        </w:rPr>
        <w:t>年</w:t>
      </w:r>
      <w:r>
        <w:rPr>
          <w:rFonts w:hint="eastAsia" w:hAnsi="宋体" w:cs="宋体"/>
          <w:color w:val="auto"/>
          <w:sz w:val="24"/>
          <w:szCs w:val="24"/>
          <w:u w:val="single"/>
        </w:rPr>
        <w:t xml:space="preserve">   </w:t>
      </w:r>
      <w:r>
        <w:rPr>
          <w:rFonts w:hint="eastAsia" w:hAnsi="宋体" w:cs="宋体"/>
          <w:color w:val="auto"/>
          <w:sz w:val="24"/>
          <w:szCs w:val="24"/>
        </w:rPr>
        <w:t>月</w:t>
      </w:r>
      <w:r>
        <w:rPr>
          <w:rFonts w:hint="eastAsia" w:hAnsi="宋体" w:cs="宋体"/>
          <w:color w:val="auto"/>
          <w:sz w:val="24"/>
          <w:szCs w:val="24"/>
          <w:u w:val="single"/>
        </w:rPr>
        <w:t xml:space="preserve">   </w:t>
      </w:r>
      <w:r>
        <w:rPr>
          <w:rFonts w:hint="eastAsia" w:hAnsi="宋体" w:cs="宋体"/>
          <w:color w:val="auto"/>
          <w:sz w:val="24"/>
          <w:szCs w:val="24"/>
        </w:rPr>
        <w:t>日，</w:t>
      </w:r>
      <w:r>
        <w:rPr>
          <w:rFonts w:hint="eastAsia" w:hAnsi="宋体" w:cs="宋体"/>
          <w:bCs/>
          <w:color w:val="auto"/>
          <w:sz w:val="24"/>
          <w:szCs w:val="24"/>
        </w:rPr>
        <w:t xml:space="preserve">就质疑事项作出了答复/没有在法定期限内作出答复。                                                                                             </w:t>
      </w:r>
    </w:p>
    <w:p w14:paraId="50429248">
      <w:pPr>
        <w:pStyle w:val="22"/>
        <w:spacing w:line="360" w:lineRule="auto"/>
        <w:ind w:left="25" w:leftChars="12" w:firstLine="472" w:firstLineChars="196"/>
        <w:rPr>
          <w:rFonts w:hint="eastAsia" w:hAnsi="宋体" w:cs="宋体"/>
          <w:b/>
          <w:color w:val="auto"/>
          <w:sz w:val="24"/>
          <w:szCs w:val="24"/>
        </w:rPr>
      </w:pPr>
      <w:r>
        <w:rPr>
          <w:rFonts w:hint="eastAsia" w:hAnsi="宋体" w:cs="宋体"/>
          <w:b/>
          <w:color w:val="auto"/>
          <w:sz w:val="24"/>
          <w:szCs w:val="24"/>
        </w:rPr>
        <w:t>四、投诉事项具体内容</w:t>
      </w:r>
    </w:p>
    <w:p w14:paraId="589BE3AE">
      <w:pPr>
        <w:pStyle w:val="22"/>
        <w:spacing w:line="360" w:lineRule="auto"/>
        <w:ind w:left="25" w:leftChars="12" w:firstLine="472" w:firstLineChars="197"/>
        <w:rPr>
          <w:rFonts w:hint="eastAsia" w:hAnsi="宋体" w:cs="宋体"/>
          <w:bCs/>
          <w:color w:val="auto"/>
          <w:sz w:val="24"/>
          <w:szCs w:val="24"/>
          <w:u w:val="single"/>
        </w:rPr>
      </w:pPr>
      <w:r>
        <w:rPr>
          <w:rFonts w:hint="eastAsia" w:hAnsi="宋体" w:cs="宋体"/>
          <w:color w:val="auto"/>
          <w:sz w:val="24"/>
          <w:szCs w:val="24"/>
        </w:rPr>
        <w:t>投诉事项1：</w:t>
      </w:r>
      <w:r>
        <w:rPr>
          <w:rFonts w:hint="eastAsia" w:hAnsi="宋体" w:cs="宋体"/>
          <w:bCs/>
          <w:color w:val="auto"/>
          <w:sz w:val="24"/>
          <w:szCs w:val="24"/>
          <w:u w:val="single"/>
        </w:rPr>
        <w:t xml:space="preserve">                                                                           </w:t>
      </w:r>
    </w:p>
    <w:p w14:paraId="103EB026">
      <w:pPr>
        <w:pStyle w:val="22"/>
        <w:spacing w:line="360" w:lineRule="auto"/>
        <w:ind w:firstLine="480" w:firstLineChars="200"/>
        <w:rPr>
          <w:rFonts w:hint="eastAsia" w:hAnsi="宋体" w:cs="宋体"/>
          <w:bCs/>
          <w:color w:val="auto"/>
          <w:sz w:val="24"/>
          <w:szCs w:val="24"/>
          <w:u w:val="single"/>
        </w:rPr>
      </w:pPr>
      <w:r>
        <w:rPr>
          <w:rFonts w:hint="eastAsia" w:hAnsi="宋体" w:cs="宋体"/>
          <w:bCs/>
          <w:color w:val="auto"/>
          <w:sz w:val="24"/>
          <w:szCs w:val="24"/>
        </w:rPr>
        <w:t>事实依据：</w:t>
      </w:r>
      <w:r>
        <w:rPr>
          <w:rFonts w:hint="eastAsia" w:hAnsi="宋体" w:cs="宋体"/>
          <w:color w:val="auto"/>
          <w:sz w:val="24"/>
          <w:szCs w:val="24"/>
        </w:rPr>
        <w:t xml:space="preserve"> </w:t>
      </w:r>
      <w:r>
        <w:rPr>
          <w:rFonts w:hint="eastAsia" w:hAnsi="宋体" w:cs="宋体"/>
          <w:bCs/>
          <w:color w:val="auto"/>
          <w:sz w:val="24"/>
          <w:szCs w:val="24"/>
          <w:u w:val="single"/>
        </w:rPr>
        <w:t xml:space="preserve">                                                                                      </w:t>
      </w:r>
    </w:p>
    <w:p w14:paraId="312C0E8D">
      <w:pPr>
        <w:pStyle w:val="22"/>
        <w:spacing w:line="360" w:lineRule="auto"/>
        <w:ind w:left="25" w:leftChars="12" w:firstLine="472" w:firstLineChars="197"/>
        <w:rPr>
          <w:rFonts w:hint="eastAsia" w:hAnsi="宋体" w:cs="宋体"/>
          <w:color w:val="auto"/>
          <w:sz w:val="24"/>
          <w:szCs w:val="24"/>
        </w:rPr>
      </w:pPr>
      <w:r>
        <w:rPr>
          <w:rFonts w:hint="eastAsia" w:hAnsi="宋体" w:cs="宋体"/>
          <w:bCs/>
          <w:color w:val="auto"/>
          <w:sz w:val="24"/>
          <w:szCs w:val="24"/>
          <w:u w:val="single"/>
        </w:rPr>
        <w:t xml:space="preserve">                                                                                        </w:t>
      </w:r>
    </w:p>
    <w:p w14:paraId="4B1A57B6">
      <w:pPr>
        <w:pStyle w:val="22"/>
        <w:spacing w:line="360" w:lineRule="auto"/>
        <w:ind w:firstLine="480" w:firstLineChars="200"/>
        <w:rPr>
          <w:rFonts w:hint="eastAsia" w:hAnsi="宋体" w:cs="宋体"/>
          <w:bCs/>
          <w:color w:val="auto"/>
          <w:sz w:val="24"/>
          <w:szCs w:val="24"/>
          <w:u w:val="single"/>
        </w:rPr>
      </w:pPr>
      <w:r>
        <w:rPr>
          <w:rFonts w:hint="eastAsia" w:hAnsi="宋体" w:cs="宋体"/>
          <w:bCs/>
          <w:color w:val="auto"/>
          <w:sz w:val="24"/>
          <w:szCs w:val="24"/>
        </w:rPr>
        <w:t>法律依据：</w:t>
      </w:r>
      <w:r>
        <w:rPr>
          <w:rFonts w:hint="eastAsia" w:hAnsi="宋体" w:cs="宋体"/>
          <w:color w:val="auto"/>
          <w:sz w:val="24"/>
          <w:szCs w:val="24"/>
        </w:rPr>
        <w:t xml:space="preserve"> </w:t>
      </w:r>
      <w:r>
        <w:rPr>
          <w:rFonts w:hint="eastAsia" w:hAnsi="宋体" w:cs="宋体"/>
          <w:bCs/>
          <w:color w:val="auto"/>
          <w:sz w:val="24"/>
          <w:szCs w:val="24"/>
          <w:u w:val="single"/>
        </w:rPr>
        <w:t xml:space="preserve">                                                                                      </w:t>
      </w:r>
    </w:p>
    <w:p w14:paraId="6667F542">
      <w:pPr>
        <w:pStyle w:val="22"/>
        <w:spacing w:line="360" w:lineRule="auto"/>
        <w:ind w:left="25" w:leftChars="12" w:firstLine="352" w:firstLineChars="147"/>
        <w:rPr>
          <w:rFonts w:hint="eastAsia" w:hAnsi="宋体" w:cs="宋体"/>
          <w:bCs/>
          <w:color w:val="auto"/>
          <w:sz w:val="24"/>
          <w:szCs w:val="24"/>
          <w:u w:val="single"/>
        </w:rPr>
      </w:pPr>
      <w:r>
        <w:rPr>
          <w:rFonts w:hint="eastAsia" w:hAnsi="宋体" w:cs="宋体"/>
          <w:bCs/>
          <w:color w:val="auto"/>
          <w:sz w:val="24"/>
          <w:szCs w:val="24"/>
        </w:rPr>
        <w:t xml:space="preserve"> </w:t>
      </w:r>
      <w:r>
        <w:rPr>
          <w:rFonts w:hint="eastAsia" w:hAnsi="宋体" w:cs="宋体"/>
          <w:bCs/>
          <w:color w:val="auto"/>
          <w:sz w:val="24"/>
          <w:szCs w:val="24"/>
          <w:u w:val="single"/>
        </w:rPr>
        <w:t xml:space="preserve">                                                                                        </w:t>
      </w:r>
    </w:p>
    <w:p w14:paraId="0C58832A">
      <w:pPr>
        <w:pStyle w:val="22"/>
        <w:spacing w:line="360" w:lineRule="auto"/>
        <w:ind w:left="25" w:leftChars="12" w:firstLine="472" w:firstLineChars="197"/>
        <w:rPr>
          <w:rFonts w:hint="eastAsia" w:hAnsi="宋体" w:cs="宋体"/>
          <w:bCs/>
          <w:color w:val="auto"/>
          <w:sz w:val="24"/>
          <w:szCs w:val="24"/>
        </w:rPr>
      </w:pPr>
      <w:r>
        <w:rPr>
          <w:rFonts w:hint="eastAsia" w:hAnsi="宋体" w:cs="宋体"/>
          <w:color w:val="auto"/>
          <w:sz w:val="24"/>
          <w:szCs w:val="24"/>
        </w:rPr>
        <w:t xml:space="preserve">投诉事项2  </w:t>
      </w:r>
      <w:r>
        <w:rPr>
          <w:rFonts w:hint="eastAsia" w:hAnsi="宋体" w:cs="宋体"/>
          <w:bCs/>
          <w:color w:val="auto"/>
          <w:sz w:val="24"/>
          <w:szCs w:val="24"/>
        </w:rPr>
        <w:t xml:space="preserve">   </w:t>
      </w:r>
    </w:p>
    <w:p w14:paraId="18C4E40D">
      <w:pPr>
        <w:pStyle w:val="22"/>
        <w:spacing w:line="360" w:lineRule="auto"/>
        <w:ind w:left="25" w:leftChars="12" w:firstLine="472" w:firstLineChars="197"/>
        <w:rPr>
          <w:rFonts w:hint="eastAsia" w:hAnsi="宋体" w:cs="宋体"/>
          <w:bCs/>
          <w:color w:val="auto"/>
          <w:sz w:val="24"/>
          <w:szCs w:val="24"/>
        </w:rPr>
      </w:pPr>
      <w:r>
        <w:rPr>
          <w:rFonts w:hint="eastAsia" w:hAnsi="宋体" w:cs="宋体"/>
          <w:bCs/>
          <w:color w:val="auto"/>
          <w:sz w:val="24"/>
          <w:szCs w:val="24"/>
        </w:rPr>
        <w:t>……</w:t>
      </w:r>
    </w:p>
    <w:p w14:paraId="7EEFA452">
      <w:pPr>
        <w:pStyle w:val="22"/>
        <w:spacing w:line="360" w:lineRule="auto"/>
        <w:ind w:left="25" w:leftChars="12" w:firstLine="472" w:firstLineChars="196"/>
        <w:rPr>
          <w:rFonts w:hint="eastAsia" w:hAnsi="宋体" w:cs="宋体"/>
          <w:b/>
          <w:color w:val="auto"/>
          <w:sz w:val="24"/>
          <w:szCs w:val="24"/>
        </w:rPr>
      </w:pPr>
      <w:r>
        <w:rPr>
          <w:rFonts w:hint="eastAsia" w:hAnsi="宋体" w:cs="宋体"/>
          <w:b/>
          <w:color w:val="auto"/>
          <w:sz w:val="24"/>
          <w:szCs w:val="24"/>
        </w:rPr>
        <w:t>五、与投诉事项相关的投诉请求：</w:t>
      </w:r>
    </w:p>
    <w:p w14:paraId="4B28834B">
      <w:pPr>
        <w:pStyle w:val="22"/>
        <w:spacing w:line="360" w:lineRule="auto"/>
        <w:ind w:left="25" w:leftChars="12" w:firstLine="472" w:firstLineChars="197"/>
        <w:rPr>
          <w:rFonts w:hint="eastAsia" w:hAnsi="宋体" w:cs="宋体"/>
          <w:color w:val="auto"/>
          <w:sz w:val="24"/>
          <w:szCs w:val="24"/>
        </w:rPr>
      </w:pPr>
      <w:r>
        <w:rPr>
          <w:rFonts w:hint="eastAsia" w:hAnsi="宋体" w:cs="宋体"/>
          <w:color w:val="auto"/>
          <w:sz w:val="24"/>
          <w:szCs w:val="24"/>
        </w:rPr>
        <w:t>请求：</w:t>
      </w:r>
      <w:r>
        <w:rPr>
          <w:rFonts w:hint="eastAsia" w:hAnsi="宋体" w:cs="宋体"/>
          <w:bCs/>
          <w:color w:val="auto"/>
          <w:sz w:val="24"/>
          <w:szCs w:val="24"/>
          <w:u w:val="single"/>
        </w:rPr>
        <w:t xml:space="preserve">                                                                                 </w:t>
      </w:r>
    </w:p>
    <w:p w14:paraId="6F8A3A1C">
      <w:pPr>
        <w:pStyle w:val="22"/>
        <w:spacing w:line="360" w:lineRule="auto"/>
        <w:ind w:left="25" w:leftChars="12" w:firstLine="352" w:firstLineChars="147"/>
        <w:rPr>
          <w:rFonts w:hint="eastAsia" w:hAnsi="宋体" w:cs="宋体"/>
          <w:color w:val="auto"/>
          <w:sz w:val="24"/>
          <w:szCs w:val="24"/>
        </w:rPr>
      </w:pPr>
    </w:p>
    <w:p w14:paraId="2FF45B43">
      <w:pPr>
        <w:pStyle w:val="22"/>
        <w:spacing w:line="360" w:lineRule="auto"/>
        <w:ind w:left="25" w:leftChars="12" w:firstLine="472" w:firstLineChars="197"/>
        <w:rPr>
          <w:rFonts w:hint="eastAsia" w:hAnsi="宋体" w:cs="宋体"/>
          <w:color w:val="auto"/>
          <w:sz w:val="24"/>
          <w:szCs w:val="24"/>
        </w:rPr>
      </w:pPr>
      <w:r>
        <w:rPr>
          <w:rFonts w:hint="eastAsia" w:hAnsi="宋体" w:cs="宋体"/>
          <w:color w:val="auto"/>
          <w:sz w:val="24"/>
          <w:szCs w:val="24"/>
        </w:rPr>
        <w:t>签字（签章）：                                       公章：</w:t>
      </w:r>
    </w:p>
    <w:p w14:paraId="72322E20">
      <w:pPr>
        <w:pStyle w:val="22"/>
        <w:spacing w:line="360" w:lineRule="auto"/>
        <w:ind w:left="25" w:leftChars="12" w:firstLine="352" w:firstLineChars="147"/>
        <w:rPr>
          <w:rFonts w:hint="eastAsia" w:hAnsi="宋体" w:cs="宋体"/>
          <w:color w:val="auto"/>
          <w:sz w:val="24"/>
          <w:szCs w:val="24"/>
        </w:rPr>
      </w:pPr>
    </w:p>
    <w:p w14:paraId="2A519DDD">
      <w:pPr>
        <w:pStyle w:val="22"/>
        <w:spacing w:line="360" w:lineRule="auto"/>
        <w:ind w:left="25" w:leftChars="12" w:firstLine="472" w:firstLineChars="197"/>
        <w:rPr>
          <w:rFonts w:hint="eastAsia" w:hAnsi="宋体" w:cs="宋体"/>
          <w:color w:val="auto"/>
          <w:sz w:val="24"/>
          <w:szCs w:val="24"/>
        </w:rPr>
      </w:pPr>
      <w:r>
        <w:rPr>
          <w:rFonts w:hint="eastAsia" w:hAnsi="宋体" w:cs="宋体"/>
          <w:color w:val="auto"/>
          <w:sz w:val="24"/>
          <w:szCs w:val="24"/>
        </w:rPr>
        <w:t>日期：</w:t>
      </w:r>
    </w:p>
    <w:p w14:paraId="50D5E163">
      <w:pPr>
        <w:pStyle w:val="22"/>
        <w:spacing w:line="360" w:lineRule="auto"/>
        <w:ind w:left="25" w:leftChars="12" w:firstLine="472" w:firstLineChars="197"/>
        <w:rPr>
          <w:rFonts w:hint="eastAsia" w:hAnsi="宋体" w:cs="宋体"/>
          <w:b/>
          <w:color w:val="auto"/>
          <w:sz w:val="24"/>
          <w:szCs w:val="24"/>
        </w:rPr>
      </w:pPr>
      <w:r>
        <w:rPr>
          <w:rFonts w:hint="eastAsia" w:hAnsi="宋体" w:cs="宋体"/>
          <w:bCs/>
          <w:color w:val="auto"/>
          <w:sz w:val="24"/>
          <w:szCs w:val="24"/>
        </w:rPr>
        <w:t xml:space="preserve">                                                                                 </w:t>
      </w:r>
    </w:p>
    <w:p w14:paraId="4E934140">
      <w:pPr>
        <w:pStyle w:val="22"/>
        <w:snapToGrid w:val="0"/>
        <w:spacing w:line="360" w:lineRule="auto"/>
        <w:rPr>
          <w:rFonts w:hint="eastAsia" w:hAnsi="宋体" w:cs="宋体"/>
          <w:b/>
          <w:color w:val="auto"/>
          <w:sz w:val="24"/>
          <w:szCs w:val="24"/>
        </w:rPr>
      </w:pPr>
      <w:r>
        <w:rPr>
          <w:rFonts w:hint="eastAsia" w:hAnsi="宋体" w:cs="宋体"/>
          <w:b/>
          <w:color w:val="auto"/>
          <w:sz w:val="24"/>
          <w:szCs w:val="24"/>
        </w:rPr>
        <w:t>说明：</w:t>
      </w:r>
    </w:p>
    <w:p w14:paraId="4601A6CE">
      <w:pPr>
        <w:pStyle w:val="22"/>
        <w:spacing w:line="360" w:lineRule="auto"/>
        <w:ind w:left="25" w:leftChars="12" w:firstLine="354" w:firstLineChars="147"/>
        <w:rPr>
          <w:rFonts w:hint="eastAsia" w:hAnsi="宋体" w:cs="宋体"/>
          <w:b/>
          <w:bCs/>
          <w:color w:val="auto"/>
          <w:sz w:val="24"/>
          <w:szCs w:val="24"/>
        </w:rPr>
      </w:pPr>
      <w:r>
        <w:rPr>
          <w:rFonts w:hint="eastAsia" w:hAnsi="宋体" w:cs="宋体"/>
          <w:b/>
          <w:color w:val="auto"/>
          <w:sz w:val="24"/>
          <w:szCs w:val="24"/>
        </w:rPr>
        <w:t>1.投诉人提起投诉时，应当提交投诉书和必要的证明材料，并按照被投诉人和与投诉事项有关的供应商数量提供投诉书副本</w:t>
      </w:r>
      <w:r>
        <w:rPr>
          <w:rFonts w:hint="eastAsia" w:hAnsi="宋体" w:cs="宋体"/>
          <w:b/>
          <w:bCs/>
          <w:color w:val="auto"/>
          <w:sz w:val="24"/>
          <w:szCs w:val="24"/>
        </w:rPr>
        <w:t>。</w:t>
      </w:r>
    </w:p>
    <w:p w14:paraId="4CF90849">
      <w:pPr>
        <w:pStyle w:val="22"/>
        <w:spacing w:line="360" w:lineRule="auto"/>
        <w:ind w:left="25" w:leftChars="12" w:firstLine="354" w:firstLineChars="147"/>
        <w:rPr>
          <w:rFonts w:hint="eastAsia" w:hAnsi="宋体" w:cs="宋体"/>
          <w:b/>
          <w:color w:val="auto"/>
          <w:sz w:val="24"/>
          <w:szCs w:val="24"/>
        </w:rPr>
      </w:pPr>
      <w:r>
        <w:rPr>
          <w:rFonts w:hint="eastAsia" w:hAnsi="宋体" w:cs="宋体"/>
          <w:b/>
          <w:color w:val="auto"/>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36D2882">
      <w:pPr>
        <w:pStyle w:val="22"/>
        <w:spacing w:line="360" w:lineRule="auto"/>
        <w:ind w:left="25" w:leftChars="12" w:firstLine="354" w:firstLineChars="147"/>
        <w:rPr>
          <w:rFonts w:hint="eastAsia" w:hAnsi="宋体" w:cs="宋体"/>
          <w:b/>
          <w:color w:val="auto"/>
          <w:sz w:val="24"/>
          <w:szCs w:val="24"/>
        </w:rPr>
      </w:pPr>
      <w:r>
        <w:rPr>
          <w:rFonts w:hint="eastAsia" w:hAnsi="宋体" w:cs="宋体"/>
          <w:b/>
          <w:color w:val="auto"/>
          <w:sz w:val="24"/>
          <w:szCs w:val="24"/>
        </w:rPr>
        <w:t>3.投诉书应简要列明质疑事项，质疑函、质疑答复等作为附件材料提供。</w:t>
      </w:r>
    </w:p>
    <w:p w14:paraId="17E32DF3">
      <w:pPr>
        <w:pStyle w:val="22"/>
        <w:spacing w:line="360" w:lineRule="auto"/>
        <w:ind w:left="25" w:leftChars="12" w:firstLine="354" w:firstLineChars="147"/>
        <w:rPr>
          <w:rFonts w:hint="eastAsia" w:hAnsi="宋体" w:cs="宋体"/>
          <w:b/>
          <w:color w:val="auto"/>
          <w:sz w:val="24"/>
          <w:szCs w:val="24"/>
        </w:rPr>
      </w:pPr>
      <w:r>
        <w:rPr>
          <w:rFonts w:hint="eastAsia" w:hAnsi="宋体" w:cs="宋体"/>
          <w:b/>
          <w:color w:val="auto"/>
          <w:sz w:val="24"/>
          <w:szCs w:val="24"/>
        </w:rPr>
        <w:t>4.投诉书的投诉事项应具体、明确，并有必要的事实依据和法律依据。</w:t>
      </w:r>
    </w:p>
    <w:p w14:paraId="54A077E6">
      <w:pPr>
        <w:pStyle w:val="22"/>
        <w:spacing w:line="360" w:lineRule="auto"/>
        <w:ind w:left="25" w:leftChars="12" w:firstLine="354" w:firstLineChars="147"/>
        <w:rPr>
          <w:rFonts w:hint="eastAsia" w:hAnsi="宋体" w:cs="宋体"/>
          <w:b/>
          <w:color w:val="auto"/>
          <w:sz w:val="24"/>
          <w:szCs w:val="24"/>
        </w:rPr>
      </w:pPr>
      <w:r>
        <w:rPr>
          <w:rFonts w:hint="eastAsia" w:hAnsi="宋体" w:cs="宋体"/>
          <w:b/>
          <w:color w:val="auto"/>
          <w:sz w:val="24"/>
          <w:szCs w:val="24"/>
        </w:rPr>
        <w:t>5.投诉书的投诉请求应与投诉事项相关。</w:t>
      </w:r>
    </w:p>
    <w:p w14:paraId="08C0AFED">
      <w:pPr>
        <w:pStyle w:val="22"/>
        <w:spacing w:line="360" w:lineRule="auto"/>
        <w:ind w:left="25" w:leftChars="12" w:firstLine="354" w:firstLineChars="147"/>
        <w:rPr>
          <w:rFonts w:hint="eastAsia" w:hAnsi="宋体" w:cs="宋体"/>
          <w:b/>
          <w:color w:val="auto"/>
        </w:rPr>
      </w:pPr>
      <w:r>
        <w:rPr>
          <w:rFonts w:hint="eastAsia" w:hAnsi="宋体" w:cs="宋体"/>
          <w:b/>
          <w:color w:val="auto"/>
          <w:sz w:val="24"/>
          <w:szCs w:val="24"/>
        </w:rPr>
        <w:t>6.投诉人为法人或者其他组织的，投诉书应由法定代表人、主要负责人，或者其授权代表签字或者盖章，并加盖公章。</w:t>
      </w:r>
    </w:p>
    <w:p w14:paraId="034C1ADD">
      <w:pPr>
        <w:spacing w:line="360" w:lineRule="auto"/>
        <w:jc w:val="left"/>
        <w:rPr>
          <w:rFonts w:hint="eastAsia" w:ascii="宋体" w:hAnsi="宋体" w:cs="宋体"/>
          <w:b/>
          <w:color w:val="auto"/>
          <w:sz w:val="24"/>
        </w:rPr>
      </w:pPr>
    </w:p>
    <w:sectPr>
      <w:footerReference r:id="rId9" w:type="first"/>
      <w:headerReference r:id="rId6" w:type="default"/>
      <w:footerReference r:id="rId7" w:type="default"/>
      <w:footerReference r:id="rId8" w:type="even"/>
      <w:pgSz w:w="11906" w:h="16838"/>
      <w:pgMar w:top="1134" w:right="1134" w:bottom="1134"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215C5">
    <w:pPr>
      <w:pStyle w:val="2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ED8F00D">
                          <w:pPr>
                            <w:pStyle w:val="26"/>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14:paraId="7ED8F00D">
                    <w:pPr>
                      <w:pStyle w:val="2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FF86D">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A911451">
                          <w:pPr>
                            <w:pStyle w:val="26"/>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2A911451">
                    <w:pPr>
                      <w:pStyle w:val="2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86EF3">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E8A6569">
                          <w:pPr>
                            <w:pStyle w:val="26"/>
                            <w:rPr>
                              <w:rStyle w:val="43"/>
                            </w:rPr>
                          </w:pPr>
                          <w:r>
                            <w:fldChar w:fldCharType="begin"/>
                          </w:r>
                          <w:r>
                            <w:rPr>
                              <w:rStyle w:val="43"/>
                            </w:rPr>
                            <w:instrText xml:space="preserve">PAGE  </w:instrText>
                          </w:r>
                          <w:r>
                            <w:fldChar w:fldCharType="separate"/>
                          </w:r>
                          <w:r>
                            <w:rPr>
                              <w:rStyle w:val="43"/>
                            </w:rPr>
                            <w:t>41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4E8A6569">
                    <w:pPr>
                      <w:pStyle w:val="26"/>
                      <w:rPr>
                        <w:rStyle w:val="43"/>
                      </w:rPr>
                    </w:pPr>
                    <w:r>
                      <w:fldChar w:fldCharType="begin"/>
                    </w:r>
                    <w:r>
                      <w:rPr>
                        <w:rStyle w:val="43"/>
                      </w:rPr>
                      <w:instrText xml:space="preserve">PAGE  </w:instrText>
                    </w:r>
                    <w:r>
                      <w:fldChar w:fldCharType="separate"/>
                    </w:r>
                    <w:r>
                      <w:rPr>
                        <w:rStyle w:val="43"/>
                      </w:rPr>
                      <w:t>41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C7E0C">
    <w:pPr>
      <w:pStyle w:val="26"/>
      <w:framePr w:wrap="around" w:vAnchor="text" w:hAnchor="margin" w:xAlign="center" w:y="1"/>
      <w:rPr>
        <w:rStyle w:val="43"/>
      </w:rPr>
    </w:pPr>
    <w:r>
      <w:fldChar w:fldCharType="begin"/>
    </w:r>
    <w:r>
      <w:rPr>
        <w:rStyle w:val="43"/>
      </w:rPr>
      <w:instrText xml:space="preserve">PAGE  </w:instrText>
    </w:r>
    <w:r>
      <w:fldChar w:fldCharType="separate"/>
    </w:r>
    <w:r>
      <w:fldChar w:fldCharType="end"/>
    </w:r>
  </w:p>
  <w:p w14:paraId="28FA1384">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3436B">
    <w:pPr>
      <w:pStyle w:val="26"/>
      <w:ind w:right="360"/>
      <w:jc w:val="both"/>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67AC805">
                          <w:pPr>
                            <w:pStyle w:val="26"/>
                          </w:pPr>
                          <w:r>
                            <w:fldChar w:fldCharType="begin"/>
                          </w:r>
                          <w:r>
                            <w:instrText xml:space="preserve"> PAGE  \* MERGEFORMAT </w:instrText>
                          </w:r>
                          <w:r>
                            <w:fldChar w:fldCharType="separate"/>
                          </w:r>
                          <w:r>
                            <w:t>77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667AC805">
                    <w:pPr>
                      <w:pStyle w:val="26"/>
                    </w:pPr>
                    <w:r>
                      <w:fldChar w:fldCharType="begin"/>
                    </w:r>
                    <w:r>
                      <w:instrText xml:space="preserve"> PAGE  \* MERGEFORMAT </w:instrText>
                    </w:r>
                    <w:r>
                      <w:fldChar w:fldCharType="separate"/>
                    </w:r>
                    <w:r>
                      <w:t>77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880DA">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56392">
    <w:pPr>
      <w:pStyle w:val="27"/>
      <w:wordWrap w:val="0"/>
      <w:jc w:val="right"/>
      <w:rPr>
        <w:rFonts w:hint="eastAsia" w:ascii="宋体" w:hAnsi="宋体"/>
      </w:rPr>
    </w:pPr>
    <w:r>
      <w:rPr>
        <w:rFonts w:hint="eastAsia" w:ascii="宋体" w:hAnsi="宋体"/>
      </w:rPr>
      <w:t>XXXX采购（项目编号：XXXX-XXXXX-XXXXXX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200"/>
        </w:tabs>
        <w:ind w:left="1200" w:hanging="360"/>
      </w:pPr>
    </w:lvl>
  </w:abstractNum>
  <w:abstractNum w:abstractNumId="1">
    <w:nsid w:val="2E1465B9"/>
    <w:multiLevelType w:val="multilevel"/>
    <w:tmpl w:val="2E1465B9"/>
    <w:lvl w:ilvl="0" w:tentative="0">
      <w:start w:val="1"/>
      <w:numFmt w:val="decimal"/>
      <w:lvlText w:val="%1、"/>
      <w:lvlJc w:val="left"/>
      <w:pPr>
        <w:ind w:left="795" w:hanging="360"/>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abstractNum w:abstractNumId="2">
    <w:nsid w:val="32714F5E"/>
    <w:multiLevelType w:val="multilevel"/>
    <w:tmpl w:val="32714F5E"/>
    <w:lvl w:ilvl="0" w:tentative="0">
      <w:start w:val="1"/>
      <w:numFmt w:val="chineseCountingThousand"/>
      <w:suff w:val="nothing"/>
      <w:lvlText w:val="第%1章"/>
      <w:lvlJc w:val="left"/>
      <w:pPr>
        <w:ind w:left="0" w:firstLine="0"/>
      </w:pPr>
      <w:rPr>
        <w:rFonts w:hint="eastAsia" w:ascii="FangSong_GB2312" w:eastAsia="FangSong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3">
    <w:nsid w:val="6DBB7BEA"/>
    <w:multiLevelType w:val="multilevel"/>
    <w:tmpl w:val="6DBB7BEA"/>
    <w:lvl w:ilvl="0" w:tentative="0">
      <w:start w:val="1"/>
      <w:numFmt w:val="decimal"/>
      <w:suff w:val="nothing"/>
      <w:lvlText w:val="%1"/>
      <w:lvlJc w:val="center"/>
      <w:pPr>
        <w:ind w:left="0" w:firstLine="0"/>
      </w:pPr>
      <w:rPr>
        <w:rFonts w:hint="eastAsia"/>
        <w:b w:val="0"/>
        <w:i w:val="0"/>
        <w:snapToGrid w:val="0"/>
        <w:kern w:val="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mNTJhYjBmMTBmNmIyZTkyNDZiMzIxMTEyY2IzYmYifQ=="/>
  </w:docVars>
  <w:rsids>
    <w:rsidRoot w:val="00172A27"/>
    <w:rsid w:val="00001098"/>
    <w:rsid w:val="000010CA"/>
    <w:rsid w:val="00002237"/>
    <w:rsid w:val="0000260D"/>
    <w:rsid w:val="0000289B"/>
    <w:rsid w:val="0000699F"/>
    <w:rsid w:val="00007FB5"/>
    <w:rsid w:val="0001014C"/>
    <w:rsid w:val="0001197A"/>
    <w:rsid w:val="00012D27"/>
    <w:rsid w:val="00016641"/>
    <w:rsid w:val="000172CA"/>
    <w:rsid w:val="00017EA3"/>
    <w:rsid w:val="00020B8B"/>
    <w:rsid w:val="0002105F"/>
    <w:rsid w:val="0002135E"/>
    <w:rsid w:val="0002156F"/>
    <w:rsid w:val="000226B9"/>
    <w:rsid w:val="000228C8"/>
    <w:rsid w:val="000252AE"/>
    <w:rsid w:val="00027DF3"/>
    <w:rsid w:val="000309CA"/>
    <w:rsid w:val="00030C19"/>
    <w:rsid w:val="00031717"/>
    <w:rsid w:val="000334CB"/>
    <w:rsid w:val="00034B8F"/>
    <w:rsid w:val="00034F93"/>
    <w:rsid w:val="00041080"/>
    <w:rsid w:val="0004142E"/>
    <w:rsid w:val="00042B0D"/>
    <w:rsid w:val="00042E38"/>
    <w:rsid w:val="00045441"/>
    <w:rsid w:val="000503F1"/>
    <w:rsid w:val="0005057C"/>
    <w:rsid w:val="00050EBF"/>
    <w:rsid w:val="00056F9F"/>
    <w:rsid w:val="000614B0"/>
    <w:rsid w:val="0006163C"/>
    <w:rsid w:val="00065B10"/>
    <w:rsid w:val="00066EA0"/>
    <w:rsid w:val="000753AF"/>
    <w:rsid w:val="00080E5B"/>
    <w:rsid w:val="0008123B"/>
    <w:rsid w:val="00084253"/>
    <w:rsid w:val="00084E12"/>
    <w:rsid w:val="0009242A"/>
    <w:rsid w:val="00092727"/>
    <w:rsid w:val="00094995"/>
    <w:rsid w:val="00094EFC"/>
    <w:rsid w:val="00094FE0"/>
    <w:rsid w:val="00095259"/>
    <w:rsid w:val="000A26DC"/>
    <w:rsid w:val="000B00CB"/>
    <w:rsid w:val="000B1C02"/>
    <w:rsid w:val="000B31FB"/>
    <w:rsid w:val="000B5645"/>
    <w:rsid w:val="000B614A"/>
    <w:rsid w:val="000B639B"/>
    <w:rsid w:val="000C2A29"/>
    <w:rsid w:val="000C2C68"/>
    <w:rsid w:val="000C37D8"/>
    <w:rsid w:val="000C6AC3"/>
    <w:rsid w:val="000D74B1"/>
    <w:rsid w:val="000E0B2A"/>
    <w:rsid w:val="000E203D"/>
    <w:rsid w:val="000E2A6B"/>
    <w:rsid w:val="000E4013"/>
    <w:rsid w:val="000E4CBE"/>
    <w:rsid w:val="000F25A3"/>
    <w:rsid w:val="000F322F"/>
    <w:rsid w:val="000F5755"/>
    <w:rsid w:val="00100229"/>
    <w:rsid w:val="0010043F"/>
    <w:rsid w:val="00100982"/>
    <w:rsid w:val="001031AE"/>
    <w:rsid w:val="001063D9"/>
    <w:rsid w:val="00110993"/>
    <w:rsid w:val="00112D14"/>
    <w:rsid w:val="001134AF"/>
    <w:rsid w:val="0011412D"/>
    <w:rsid w:val="00115787"/>
    <w:rsid w:val="00115BD6"/>
    <w:rsid w:val="0012032B"/>
    <w:rsid w:val="00121911"/>
    <w:rsid w:val="00125EF2"/>
    <w:rsid w:val="00126606"/>
    <w:rsid w:val="001307DD"/>
    <w:rsid w:val="00130DDD"/>
    <w:rsid w:val="00132CCD"/>
    <w:rsid w:val="001348E5"/>
    <w:rsid w:val="001351A8"/>
    <w:rsid w:val="001355CE"/>
    <w:rsid w:val="00136726"/>
    <w:rsid w:val="0013745D"/>
    <w:rsid w:val="00145A1C"/>
    <w:rsid w:val="001470C2"/>
    <w:rsid w:val="001528CD"/>
    <w:rsid w:val="00155921"/>
    <w:rsid w:val="001559BA"/>
    <w:rsid w:val="00157E2A"/>
    <w:rsid w:val="00160DBF"/>
    <w:rsid w:val="00161858"/>
    <w:rsid w:val="00162EA9"/>
    <w:rsid w:val="0016419C"/>
    <w:rsid w:val="0016459F"/>
    <w:rsid w:val="0016705C"/>
    <w:rsid w:val="001676CE"/>
    <w:rsid w:val="00171F44"/>
    <w:rsid w:val="00172F42"/>
    <w:rsid w:val="00173A99"/>
    <w:rsid w:val="00173C5B"/>
    <w:rsid w:val="001743F7"/>
    <w:rsid w:val="00174A2E"/>
    <w:rsid w:val="00177213"/>
    <w:rsid w:val="00177B75"/>
    <w:rsid w:val="001811D1"/>
    <w:rsid w:val="00181E49"/>
    <w:rsid w:val="00182960"/>
    <w:rsid w:val="001871C7"/>
    <w:rsid w:val="00190468"/>
    <w:rsid w:val="00192051"/>
    <w:rsid w:val="001931CB"/>
    <w:rsid w:val="00193DEC"/>
    <w:rsid w:val="0019788A"/>
    <w:rsid w:val="001A02CA"/>
    <w:rsid w:val="001A16B2"/>
    <w:rsid w:val="001A2ED5"/>
    <w:rsid w:val="001A486D"/>
    <w:rsid w:val="001A5868"/>
    <w:rsid w:val="001A791A"/>
    <w:rsid w:val="001B1671"/>
    <w:rsid w:val="001B16E1"/>
    <w:rsid w:val="001B5FCD"/>
    <w:rsid w:val="001B6E5F"/>
    <w:rsid w:val="001C1B97"/>
    <w:rsid w:val="001C500E"/>
    <w:rsid w:val="001C7A7C"/>
    <w:rsid w:val="001D0532"/>
    <w:rsid w:val="001D1A61"/>
    <w:rsid w:val="001D3685"/>
    <w:rsid w:val="001D4290"/>
    <w:rsid w:val="001D777A"/>
    <w:rsid w:val="001E0345"/>
    <w:rsid w:val="001E1EB4"/>
    <w:rsid w:val="001E62EB"/>
    <w:rsid w:val="001E6E86"/>
    <w:rsid w:val="001F047C"/>
    <w:rsid w:val="001F22F7"/>
    <w:rsid w:val="001F3103"/>
    <w:rsid w:val="001F750D"/>
    <w:rsid w:val="00202212"/>
    <w:rsid w:val="0020303F"/>
    <w:rsid w:val="0020780C"/>
    <w:rsid w:val="00210528"/>
    <w:rsid w:val="002109FF"/>
    <w:rsid w:val="002113E7"/>
    <w:rsid w:val="00213B7A"/>
    <w:rsid w:val="00217949"/>
    <w:rsid w:val="00220C68"/>
    <w:rsid w:val="00221BF7"/>
    <w:rsid w:val="002255EB"/>
    <w:rsid w:val="002327BB"/>
    <w:rsid w:val="0023393A"/>
    <w:rsid w:val="002403CB"/>
    <w:rsid w:val="00240ED9"/>
    <w:rsid w:val="0024114A"/>
    <w:rsid w:val="00242392"/>
    <w:rsid w:val="00243976"/>
    <w:rsid w:val="002449F7"/>
    <w:rsid w:val="00245DE7"/>
    <w:rsid w:val="00250757"/>
    <w:rsid w:val="0025343F"/>
    <w:rsid w:val="00254200"/>
    <w:rsid w:val="002562A5"/>
    <w:rsid w:val="00260EB4"/>
    <w:rsid w:val="00261A92"/>
    <w:rsid w:val="0026383B"/>
    <w:rsid w:val="002643F2"/>
    <w:rsid w:val="00264E38"/>
    <w:rsid w:val="00265D26"/>
    <w:rsid w:val="0026763E"/>
    <w:rsid w:val="002701C4"/>
    <w:rsid w:val="00271CD9"/>
    <w:rsid w:val="002722B1"/>
    <w:rsid w:val="002742F4"/>
    <w:rsid w:val="00274C47"/>
    <w:rsid w:val="00276A18"/>
    <w:rsid w:val="002774AA"/>
    <w:rsid w:val="00277F5C"/>
    <w:rsid w:val="00282A75"/>
    <w:rsid w:val="002846D8"/>
    <w:rsid w:val="00292921"/>
    <w:rsid w:val="002936A6"/>
    <w:rsid w:val="00294A3C"/>
    <w:rsid w:val="0029651D"/>
    <w:rsid w:val="002969DA"/>
    <w:rsid w:val="002A06C0"/>
    <w:rsid w:val="002A0E17"/>
    <w:rsid w:val="002A0E81"/>
    <w:rsid w:val="002A1EAD"/>
    <w:rsid w:val="002A3CFE"/>
    <w:rsid w:val="002A5D62"/>
    <w:rsid w:val="002A7487"/>
    <w:rsid w:val="002B0A57"/>
    <w:rsid w:val="002B32B5"/>
    <w:rsid w:val="002B5549"/>
    <w:rsid w:val="002B58CD"/>
    <w:rsid w:val="002B627B"/>
    <w:rsid w:val="002B62C2"/>
    <w:rsid w:val="002B75E3"/>
    <w:rsid w:val="002C5B5F"/>
    <w:rsid w:val="002C72A5"/>
    <w:rsid w:val="002D0334"/>
    <w:rsid w:val="002D2857"/>
    <w:rsid w:val="002D2D94"/>
    <w:rsid w:val="002D3747"/>
    <w:rsid w:val="002D3D97"/>
    <w:rsid w:val="002D6BE9"/>
    <w:rsid w:val="002D7EB7"/>
    <w:rsid w:val="002E0426"/>
    <w:rsid w:val="002E142A"/>
    <w:rsid w:val="002E219D"/>
    <w:rsid w:val="002E2257"/>
    <w:rsid w:val="002E2E5B"/>
    <w:rsid w:val="002E5C40"/>
    <w:rsid w:val="002E6C7F"/>
    <w:rsid w:val="002F0A3C"/>
    <w:rsid w:val="002F3CB1"/>
    <w:rsid w:val="002F5D91"/>
    <w:rsid w:val="002F6285"/>
    <w:rsid w:val="0030112B"/>
    <w:rsid w:val="0030283D"/>
    <w:rsid w:val="00303379"/>
    <w:rsid w:val="003077CA"/>
    <w:rsid w:val="00310AC8"/>
    <w:rsid w:val="00311239"/>
    <w:rsid w:val="00314FC6"/>
    <w:rsid w:val="00316A9B"/>
    <w:rsid w:val="00320CBD"/>
    <w:rsid w:val="00321895"/>
    <w:rsid w:val="003218BD"/>
    <w:rsid w:val="00323471"/>
    <w:rsid w:val="00323980"/>
    <w:rsid w:val="00324095"/>
    <w:rsid w:val="0032493D"/>
    <w:rsid w:val="0032520E"/>
    <w:rsid w:val="00325D72"/>
    <w:rsid w:val="00326951"/>
    <w:rsid w:val="00330137"/>
    <w:rsid w:val="00330E89"/>
    <w:rsid w:val="00332337"/>
    <w:rsid w:val="0033322F"/>
    <w:rsid w:val="00333AF8"/>
    <w:rsid w:val="00333D8E"/>
    <w:rsid w:val="003405DA"/>
    <w:rsid w:val="00343EB1"/>
    <w:rsid w:val="003441B2"/>
    <w:rsid w:val="003447B4"/>
    <w:rsid w:val="00345FF4"/>
    <w:rsid w:val="00346054"/>
    <w:rsid w:val="00346BA9"/>
    <w:rsid w:val="00347A62"/>
    <w:rsid w:val="00350392"/>
    <w:rsid w:val="0035173D"/>
    <w:rsid w:val="00351DF8"/>
    <w:rsid w:val="003537FE"/>
    <w:rsid w:val="00357383"/>
    <w:rsid w:val="00360FAA"/>
    <w:rsid w:val="0036121C"/>
    <w:rsid w:val="003613F8"/>
    <w:rsid w:val="00361C86"/>
    <w:rsid w:val="00371933"/>
    <w:rsid w:val="00374207"/>
    <w:rsid w:val="00374F83"/>
    <w:rsid w:val="00376821"/>
    <w:rsid w:val="003815A0"/>
    <w:rsid w:val="00381B59"/>
    <w:rsid w:val="003834DA"/>
    <w:rsid w:val="00385405"/>
    <w:rsid w:val="00386D65"/>
    <w:rsid w:val="003930E3"/>
    <w:rsid w:val="003931AE"/>
    <w:rsid w:val="00394507"/>
    <w:rsid w:val="00394A82"/>
    <w:rsid w:val="00395FB4"/>
    <w:rsid w:val="003A20B7"/>
    <w:rsid w:val="003A41F9"/>
    <w:rsid w:val="003A4B35"/>
    <w:rsid w:val="003A5298"/>
    <w:rsid w:val="003A6326"/>
    <w:rsid w:val="003B53EA"/>
    <w:rsid w:val="003C3345"/>
    <w:rsid w:val="003C340B"/>
    <w:rsid w:val="003C346D"/>
    <w:rsid w:val="003C6247"/>
    <w:rsid w:val="003D2714"/>
    <w:rsid w:val="003D2939"/>
    <w:rsid w:val="003D4BC9"/>
    <w:rsid w:val="003D556C"/>
    <w:rsid w:val="003D5683"/>
    <w:rsid w:val="003D7B47"/>
    <w:rsid w:val="003E060F"/>
    <w:rsid w:val="003E090B"/>
    <w:rsid w:val="003E1FCB"/>
    <w:rsid w:val="003E3E52"/>
    <w:rsid w:val="003E3F78"/>
    <w:rsid w:val="003E4F35"/>
    <w:rsid w:val="003E54DC"/>
    <w:rsid w:val="003E7CDB"/>
    <w:rsid w:val="003F09BE"/>
    <w:rsid w:val="003F196B"/>
    <w:rsid w:val="003F1C22"/>
    <w:rsid w:val="003F2304"/>
    <w:rsid w:val="003F3F4B"/>
    <w:rsid w:val="003F4E53"/>
    <w:rsid w:val="003F5D1C"/>
    <w:rsid w:val="003F7C39"/>
    <w:rsid w:val="004010F5"/>
    <w:rsid w:val="00401A6D"/>
    <w:rsid w:val="004035C5"/>
    <w:rsid w:val="004041C2"/>
    <w:rsid w:val="004056D7"/>
    <w:rsid w:val="00405ABF"/>
    <w:rsid w:val="00405F02"/>
    <w:rsid w:val="00411EFE"/>
    <w:rsid w:val="00415244"/>
    <w:rsid w:val="004165E1"/>
    <w:rsid w:val="004206E9"/>
    <w:rsid w:val="00420F8C"/>
    <w:rsid w:val="004238E3"/>
    <w:rsid w:val="0042625E"/>
    <w:rsid w:val="004275AE"/>
    <w:rsid w:val="00433340"/>
    <w:rsid w:val="0043602E"/>
    <w:rsid w:val="00436968"/>
    <w:rsid w:val="00437C7E"/>
    <w:rsid w:val="00440B60"/>
    <w:rsid w:val="00441038"/>
    <w:rsid w:val="00441EC1"/>
    <w:rsid w:val="00446D7F"/>
    <w:rsid w:val="0045220A"/>
    <w:rsid w:val="004559E8"/>
    <w:rsid w:val="0046331B"/>
    <w:rsid w:val="00463D0E"/>
    <w:rsid w:val="00466420"/>
    <w:rsid w:val="004665CE"/>
    <w:rsid w:val="00466D6F"/>
    <w:rsid w:val="00467CBF"/>
    <w:rsid w:val="00472011"/>
    <w:rsid w:val="00473E52"/>
    <w:rsid w:val="004744EF"/>
    <w:rsid w:val="00475259"/>
    <w:rsid w:val="00476A9D"/>
    <w:rsid w:val="00476CD2"/>
    <w:rsid w:val="00480568"/>
    <w:rsid w:val="00482DB2"/>
    <w:rsid w:val="00485E0F"/>
    <w:rsid w:val="00485EF9"/>
    <w:rsid w:val="00491616"/>
    <w:rsid w:val="004924DE"/>
    <w:rsid w:val="004929DF"/>
    <w:rsid w:val="0049399B"/>
    <w:rsid w:val="00497718"/>
    <w:rsid w:val="004A0AD4"/>
    <w:rsid w:val="004B13A3"/>
    <w:rsid w:val="004B1EB5"/>
    <w:rsid w:val="004B3B84"/>
    <w:rsid w:val="004B460F"/>
    <w:rsid w:val="004B6B4B"/>
    <w:rsid w:val="004B6FE6"/>
    <w:rsid w:val="004C02CC"/>
    <w:rsid w:val="004C0487"/>
    <w:rsid w:val="004C66C2"/>
    <w:rsid w:val="004C7519"/>
    <w:rsid w:val="004C78BF"/>
    <w:rsid w:val="004C7D6D"/>
    <w:rsid w:val="004D099D"/>
    <w:rsid w:val="004D09F0"/>
    <w:rsid w:val="004D3BB6"/>
    <w:rsid w:val="004D47EA"/>
    <w:rsid w:val="004D4880"/>
    <w:rsid w:val="004D6D19"/>
    <w:rsid w:val="004E2638"/>
    <w:rsid w:val="004E26A8"/>
    <w:rsid w:val="004E2C35"/>
    <w:rsid w:val="004E3BDB"/>
    <w:rsid w:val="004E5414"/>
    <w:rsid w:val="004E61B6"/>
    <w:rsid w:val="004E77CE"/>
    <w:rsid w:val="004F090B"/>
    <w:rsid w:val="004F409A"/>
    <w:rsid w:val="004F4484"/>
    <w:rsid w:val="004F4AB3"/>
    <w:rsid w:val="004F4E84"/>
    <w:rsid w:val="004F59E8"/>
    <w:rsid w:val="004F5F38"/>
    <w:rsid w:val="004F6E29"/>
    <w:rsid w:val="004F7284"/>
    <w:rsid w:val="004F7DEC"/>
    <w:rsid w:val="00500F75"/>
    <w:rsid w:val="00504812"/>
    <w:rsid w:val="005053B3"/>
    <w:rsid w:val="00511F67"/>
    <w:rsid w:val="00514B48"/>
    <w:rsid w:val="005158B5"/>
    <w:rsid w:val="00524E82"/>
    <w:rsid w:val="005270D2"/>
    <w:rsid w:val="00527BB4"/>
    <w:rsid w:val="005305F2"/>
    <w:rsid w:val="005305F9"/>
    <w:rsid w:val="00532106"/>
    <w:rsid w:val="005323BD"/>
    <w:rsid w:val="00532424"/>
    <w:rsid w:val="00532E69"/>
    <w:rsid w:val="00537876"/>
    <w:rsid w:val="005440E0"/>
    <w:rsid w:val="00550698"/>
    <w:rsid w:val="005511FA"/>
    <w:rsid w:val="005512C0"/>
    <w:rsid w:val="00551664"/>
    <w:rsid w:val="00551735"/>
    <w:rsid w:val="00552CD6"/>
    <w:rsid w:val="00554780"/>
    <w:rsid w:val="0055641B"/>
    <w:rsid w:val="00556A06"/>
    <w:rsid w:val="00556AA2"/>
    <w:rsid w:val="0056143F"/>
    <w:rsid w:val="00561726"/>
    <w:rsid w:val="00561B9C"/>
    <w:rsid w:val="005635A3"/>
    <w:rsid w:val="00564477"/>
    <w:rsid w:val="005671F3"/>
    <w:rsid w:val="00570054"/>
    <w:rsid w:val="0057053F"/>
    <w:rsid w:val="0057140D"/>
    <w:rsid w:val="00571B68"/>
    <w:rsid w:val="00571D59"/>
    <w:rsid w:val="00571EF4"/>
    <w:rsid w:val="00573783"/>
    <w:rsid w:val="00577540"/>
    <w:rsid w:val="00577D45"/>
    <w:rsid w:val="00581BA5"/>
    <w:rsid w:val="00582EF3"/>
    <w:rsid w:val="005833AB"/>
    <w:rsid w:val="00583C6D"/>
    <w:rsid w:val="00584D40"/>
    <w:rsid w:val="00584E26"/>
    <w:rsid w:val="00586801"/>
    <w:rsid w:val="00587851"/>
    <w:rsid w:val="00591643"/>
    <w:rsid w:val="005941B5"/>
    <w:rsid w:val="005A397E"/>
    <w:rsid w:val="005A49F1"/>
    <w:rsid w:val="005A574F"/>
    <w:rsid w:val="005A7319"/>
    <w:rsid w:val="005B1F90"/>
    <w:rsid w:val="005B4E5D"/>
    <w:rsid w:val="005B6607"/>
    <w:rsid w:val="005B740B"/>
    <w:rsid w:val="005C053B"/>
    <w:rsid w:val="005C0E69"/>
    <w:rsid w:val="005C2462"/>
    <w:rsid w:val="005C3969"/>
    <w:rsid w:val="005C4531"/>
    <w:rsid w:val="005D1403"/>
    <w:rsid w:val="005D169E"/>
    <w:rsid w:val="005D48EC"/>
    <w:rsid w:val="005D77A1"/>
    <w:rsid w:val="005E3D57"/>
    <w:rsid w:val="005E3ED5"/>
    <w:rsid w:val="005E547B"/>
    <w:rsid w:val="005E6521"/>
    <w:rsid w:val="005E6D39"/>
    <w:rsid w:val="005E70F6"/>
    <w:rsid w:val="005E7A6C"/>
    <w:rsid w:val="005F2944"/>
    <w:rsid w:val="005F4CF0"/>
    <w:rsid w:val="005F519A"/>
    <w:rsid w:val="005F5590"/>
    <w:rsid w:val="005F7515"/>
    <w:rsid w:val="0060167A"/>
    <w:rsid w:val="006034E8"/>
    <w:rsid w:val="00603D8D"/>
    <w:rsid w:val="00604F39"/>
    <w:rsid w:val="0060586D"/>
    <w:rsid w:val="006070B1"/>
    <w:rsid w:val="00607974"/>
    <w:rsid w:val="006105E7"/>
    <w:rsid w:val="00616693"/>
    <w:rsid w:val="00616AB9"/>
    <w:rsid w:val="0061752B"/>
    <w:rsid w:val="00617607"/>
    <w:rsid w:val="00620156"/>
    <w:rsid w:val="0062132E"/>
    <w:rsid w:val="00623AF4"/>
    <w:rsid w:val="00624659"/>
    <w:rsid w:val="006246EB"/>
    <w:rsid w:val="006250BA"/>
    <w:rsid w:val="00627D9D"/>
    <w:rsid w:val="00631468"/>
    <w:rsid w:val="00632E6E"/>
    <w:rsid w:val="006333AE"/>
    <w:rsid w:val="00633691"/>
    <w:rsid w:val="00635C34"/>
    <w:rsid w:val="00635EE3"/>
    <w:rsid w:val="0063676C"/>
    <w:rsid w:val="006372DB"/>
    <w:rsid w:val="00637EBD"/>
    <w:rsid w:val="00637FEB"/>
    <w:rsid w:val="006409DD"/>
    <w:rsid w:val="00640C4E"/>
    <w:rsid w:val="00643371"/>
    <w:rsid w:val="006436AD"/>
    <w:rsid w:val="00643822"/>
    <w:rsid w:val="006457FF"/>
    <w:rsid w:val="00646461"/>
    <w:rsid w:val="00646BBC"/>
    <w:rsid w:val="00646E6C"/>
    <w:rsid w:val="00647ED3"/>
    <w:rsid w:val="00647F5F"/>
    <w:rsid w:val="0065256B"/>
    <w:rsid w:val="00654A49"/>
    <w:rsid w:val="00654CED"/>
    <w:rsid w:val="00655A37"/>
    <w:rsid w:val="006568B3"/>
    <w:rsid w:val="00657D90"/>
    <w:rsid w:val="0066040B"/>
    <w:rsid w:val="00660B1F"/>
    <w:rsid w:val="0066418B"/>
    <w:rsid w:val="00664CA2"/>
    <w:rsid w:val="00664DC4"/>
    <w:rsid w:val="00666699"/>
    <w:rsid w:val="0067357E"/>
    <w:rsid w:val="00675DC2"/>
    <w:rsid w:val="00676441"/>
    <w:rsid w:val="006804BC"/>
    <w:rsid w:val="006859EC"/>
    <w:rsid w:val="006876D9"/>
    <w:rsid w:val="00690010"/>
    <w:rsid w:val="00691DFB"/>
    <w:rsid w:val="00693CC2"/>
    <w:rsid w:val="00694F00"/>
    <w:rsid w:val="006959E5"/>
    <w:rsid w:val="00696743"/>
    <w:rsid w:val="00697205"/>
    <w:rsid w:val="006972E1"/>
    <w:rsid w:val="0069799E"/>
    <w:rsid w:val="006A0261"/>
    <w:rsid w:val="006A051E"/>
    <w:rsid w:val="006A203B"/>
    <w:rsid w:val="006A21D9"/>
    <w:rsid w:val="006A2733"/>
    <w:rsid w:val="006A2A3D"/>
    <w:rsid w:val="006A320E"/>
    <w:rsid w:val="006A54B1"/>
    <w:rsid w:val="006A6017"/>
    <w:rsid w:val="006A716A"/>
    <w:rsid w:val="006A7A4E"/>
    <w:rsid w:val="006B0E0A"/>
    <w:rsid w:val="006C2798"/>
    <w:rsid w:val="006C30F3"/>
    <w:rsid w:val="006C554B"/>
    <w:rsid w:val="006C6837"/>
    <w:rsid w:val="006C6893"/>
    <w:rsid w:val="006D0D94"/>
    <w:rsid w:val="006D1CB1"/>
    <w:rsid w:val="006D2BA3"/>
    <w:rsid w:val="006D2C33"/>
    <w:rsid w:val="006D42EB"/>
    <w:rsid w:val="006D43E7"/>
    <w:rsid w:val="006D5359"/>
    <w:rsid w:val="006D6286"/>
    <w:rsid w:val="006E2D07"/>
    <w:rsid w:val="006E34D7"/>
    <w:rsid w:val="006E54EB"/>
    <w:rsid w:val="006E6314"/>
    <w:rsid w:val="006F5B42"/>
    <w:rsid w:val="006F61B8"/>
    <w:rsid w:val="006F637E"/>
    <w:rsid w:val="006F7BAD"/>
    <w:rsid w:val="0070029B"/>
    <w:rsid w:val="00706A4C"/>
    <w:rsid w:val="007070AB"/>
    <w:rsid w:val="007100E7"/>
    <w:rsid w:val="00713AA4"/>
    <w:rsid w:val="007141D6"/>
    <w:rsid w:val="00717D9E"/>
    <w:rsid w:val="0072074A"/>
    <w:rsid w:val="00721CA0"/>
    <w:rsid w:val="00721E8E"/>
    <w:rsid w:val="00723300"/>
    <w:rsid w:val="0072434D"/>
    <w:rsid w:val="00724A7E"/>
    <w:rsid w:val="00725582"/>
    <w:rsid w:val="00726E42"/>
    <w:rsid w:val="00730003"/>
    <w:rsid w:val="00732DB3"/>
    <w:rsid w:val="0073797E"/>
    <w:rsid w:val="00737D5F"/>
    <w:rsid w:val="00743307"/>
    <w:rsid w:val="007456FF"/>
    <w:rsid w:val="007458F1"/>
    <w:rsid w:val="00746174"/>
    <w:rsid w:val="00747737"/>
    <w:rsid w:val="00751738"/>
    <w:rsid w:val="00752F6F"/>
    <w:rsid w:val="0075304D"/>
    <w:rsid w:val="00754242"/>
    <w:rsid w:val="00754794"/>
    <w:rsid w:val="00755059"/>
    <w:rsid w:val="007562AD"/>
    <w:rsid w:val="007605CC"/>
    <w:rsid w:val="00760949"/>
    <w:rsid w:val="00760D24"/>
    <w:rsid w:val="00761CC0"/>
    <w:rsid w:val="00763535"/>
    <w:rsid w:val="00764379"/>
    <w:rsid w:val="00764707"/>
    <w:rsid w:val="0076520F"/>
    <w:rsid w:val="0076643F"/>
    <w:rsid w:val="007721AC"/>
    <w:rsid w:val="00772B31"/>
    <w:rsid w:val="00773E4C"/>
    <w:rsid w:val="00777E1A"/>
    <w:rsid w:val="00777EFB"/>
    <w:rsid w:val="007803A4"/>
    <w:rsid w:val="007806A5"/>
    <w:rsid w:val="007824D7"/>
    <w:rsid w:val="00783076"/>
    <w:rsid w:val="00783B29"/>
    <w:rsid w:val="00785EE4"/>
    <w:rsid w:val="00786972"/>
    <w:rsid w:val="00786B86"/>
    <w:rsid w:val="00786E70"/>
    <w:rsid w:val="00790888"/>
    <w:rsid w:val="00790985"/>
    <w:rsid w:val="007941BD"/>
    <w:rsid w:val="0079606E"/>
    <w:rsid w:val="00797FC6"/>
    <w:rsid w:val="007A13D1"/>
    <w:rsid w:val="007A16E7"/>
    <w:rsid w:val="007A20C3"/>
    <w:rsid w:val="007A3804"/>
    <w:rsid w:val="007A7088"/>
    <w:rsid w:val="007B1785"/>
    <w:rsid w:val="007B1AA6"/>
    <w:rsid w:val="007B272C"/>
    <w:rsid w:val="007B4389"/>
    <w:rsid w:val="007B4C7A"/>
    <w:rsid w:val="007C054C"/>
    <w:rsid w:val="007C5CF6"/>
    <w:rsid w:val="007C6691"/>
    <w:rsid w:val="007C7D5C"/>
    <w:rsid w:val="007C7E79"/>
    <w:rsid w:val="007D1996"/>
    <w:rsid w:val="007D1AE6"/>
    <w:rsid w:val="007D207B"/>
    <w:rsid w:val="007D352C"/>
    <w:rsid w:val="007D577B"/>
    <w:rsid w:val="007E2D5C"/>
    <w:rsid w:val="007E373A"/>
    <w:rsid w:val="007E4BBC"/>
    <w:rsid w:val="007E74CF"/>
    <w:rsid w:val="007E7CBC"/>
    <w:rsid w:val="007F10BB"/>
    <w:rsid w:val="007F1120"/>
    <w:rsid w:val="007F388A"/>
    <w:rsid w:val="007F66FC"/>
    <w:rsid w:val="007F7BEB"/>
    <w:rsid w:val="0080019C"/>
    <w:rsid w:val="00800F84"/>
    <w:rsid w:val="00805F79"/>
    <w:rsid w:val="00810264"/>
    <w:rsid w:val="00811D4B"/>
    <w:rsid w:val="0081210D"/>
    <w:rsid w:val="00812851"/>
    <w:rsid w:val="00814EE1"/>
    <w:rsid w:val="00815BB5"/>
    <w:rsid w:val="00815D2E"/>
    <w:rsid w:val="0082159A"/>
    <w:rsid w:val="00823227"/>
    <w:rsid w:val="00827ECE"/>
    <w:rsid w:val="00831346"/>
    <w:rsid w:val="00832249"/>
    <w:rsid w:val="00832C45"/>
    <w:rsid w:val="008341EC"/>
    <w:rsid w:val="00834D5F"/>
    <w:rsid w:val="00835341"/>
    <w:rsid w:val="00840285"/>
    <w:rsid w:val="0084152E"/>
    <w:rsid w:val="008419B9"/>
    <w:rsid w:val="00843BD3"/>
    <w:rsid w:val="00845562"/>
    <w:rsid w:val="00850E34"/>
    <w:rsid w:val="00856F36"/>
    <w:rsid w:val="008612D9"/>
    <w:rsid w:val="00861B1C"/>
    <w:rsid w:val="008620FF"/>
    <w:rsid w:val="0086474B"/>
    <w:rsid w:val="00865841"/>
    <w:rsid w:val="00865984"/>
    <w:rsid w:val="008669D4"/>
    <w:rsid w:val="00867D53"/>
    <w:rsid w:val="00867DFF"/>
    <w:rsid w:val="00871F23"/>
    <w:rsid w:val="00872189"/>
    <w:rsid w:val="00874227"/>
    <w:rsid w:val="0087435A"/>
    <w:rsid w:val="008757ED"/>
    <w:rsid w:val="00882C17"/>
    <w:rsid w:val="00883E59"/>
    <w:rsid w:val="008851D9"/>
    <w:rsid w:val="00886869"/>
    <w:rsid w:val="0088720D"/>
    <w:rsid w:val="00887DB2"/>
    <w:rsid w:val="00890696"/>
    <w:rsid w:val="00893564"/>
    <w:rsid w:val="008956E4"/>
    <w:rsid w:val="008978D4"/>
    <w:rsid w:val="008A14EC"/>
    <w:rsid w:val="008A39C7"/>
    <w:rsid w:val="008A42F0"/>
    <w:rsid w:val="008A487D"/>
    <w:rsid w:val="008B131B"/>
    <w:rsid w:val="008B2B07"/>
    <w:rsid w:val="008B3B79"/>
    <w:rsid w:val="008B4BF0"/>
    <w:rsid w:val="008B5597"/>
    <w:rsid w:val="008B7720"/>
    <w:rsid w:val="008C0226"/>
    <w:rsid w:val="008C24A7"/>
    <w:rsid w:val="008C2FCE"/>
    <w:rsid w:val="008C5D15"/>
    <w:rsid w:val="008C76B5"/>
    <w:rsid w:val="008C7A48"/>
    <w:rsid w:val="008D0534"/>
    <w:rsid w:val="008E06A9"/>
    <w:rsid w:val="008E3CE9"/>
    <w:rsid w:val="008E4DC3"/>
    <w:rsid w:val="008E515C"/>
    <w:rsid w:val="008F158F"/>
    <w:rsid w:val="008F1C64"/>
    <w:rsid w:val="008F20A7"/>
    <w:rsid w:val="008F3A73"/>
    <w:rsid w:val="008F3B12"/>
    <w:rsid w:val="00901C5B"/>
    <w:rsid w:val="0090369C"/>
    <w:rsid w:val="00903E91"/>
    <w:rsid w:val="00911328"/>
    <w:rsid w:val="0091144B"/>
    <w:rsid w:val="0091392D"/>
    <w:rsid w:val="009143AF"/>
    <w:rsid w:val="00914A26"/>
    <w:rsid w:val="00915CF4"/>
    <w:rsid w:val="00915E6F"/>
    <w:rsid w:val="00915FA6"/>
    <w:rsid w:val="00920CB8"/>
    <w:rsid w:val="0092377D"/>
    <w:rsid w:val="00924733"/>
    <w:rsid w:val="009263B4"/>
    <w:rsid w:val="00930AF3"/>
    <w:rsid w:val="00930EA5"/>
    <w:rsid w:val="00931BE6"/>
    <w:rsid w:val="00934474"/>
    <w:rsid w:val="00934C6D"/>
    <w:rsid w:val="009354D2"/>
    <w:rsid w:val="00935F55"/>
    <w:rsid w:val="00937182"/>
    <w:rsid w:val="009454D4"/>
    <w:rsid w:val="00945BDC"/>
    <w:rsid w:val="00946274"/>
    <w:rsid w:val="009520BE"/>
    <w:rsid w:val="00952E7F"/>
    <w:rsid w:val="00960CE8"/>
    <w:rsid w:val="00963484"/>
    <w:rsid w:val="00963C6D"/>
    <w:rsid w:val="00963E43"/>
    <w:rsid w:val="009664A5"/>
    <w:rsid w:val="00966CD8"/>
    <w:rsid w:val="009675C2"/>
    <w:rsid w:val="00967F11"/>
    <w:rsid w:val="00970626"/>
    <w:rsid w:val="00970E2E"/>
    <w:rsid w:val="00971634"/>
    <w:rsid w:val="0097221B"/>
    <w:rsid w:val="009757F2"/>
    <w:rsid w:val="0097666B"/>
    <w:rsid w:val="00977626"/>
    <w:rsid w:val="00977639"/>
    <w:rsid w:val="00980163"/>
    <w:rsid w:val="009809E5"/>
    <w:rsid w:val="00981D72"/>
    <w:rsid w:val="009830CF"/>
    <w:rsid w:val="00984E39"/>
    <w:rsid w:val="00986055"/>
    <w:rsid w:val="009867D9"/>
    <w:rsid w:val="00994218"/>
    <w:rsid w:val="0099462F"/>
    <w:rsid w:val="00995137"/>
    <w:rsid w:val="009952C5"/>
    <w:rsid w:val="00996D0C"/>
    <w:rsid w:val="009974D3"/>
    <w:rsid w:val="009A1A00"/>
    <w:rsid w:val="009A227B"/>
    <w:rsid w:val="009A23B0"/>
    <w:rsid w:val="009A45F2"/>
    <w:rsid w:val="009A4A95"/>
    <w:rsid w:val="009A5B91"/>
    <w:rsid w:val="009A5C99"/>
    <w:rsid w:val="009B11F7"/>
    <w:rsid w:val="009B35C6"/>
    <w:rsid w:val="009B3C01"/>
    <w:rsid w:val="009B6CDC"/>
    <w:rsid w:val="009B7BF2"/>
    <w:rsid w:val="009C0C90"/>
    <w:rsid w:val="009C17E8"/>
    <w:rsid w:val="009C1872"/>
    <w:rsid w:val="009C206A"/>
    <w:rsid w:val="009C211A"/>
    <w:rsid w:val="009C2ADD"/>
    <w:rsid w:val="009C422C"/>
    <w:rsid w:val="009C453D"/>
    <w:rsid w:val="009C47FF"/>
    <w:rsid w:val="009C4CED"/>
    <w:rsid w:val="009C71BB"/>
    <w:rsid w:val="009D15D2"/>
    <w:rsid w:val="009D358C"/>
    <w:rsid w:val="009D37FC"/>
    <w:rsid w:val="009D3F40"/>
    <w:rsid w:val="009D4348"/>
    <w:rsid w:val="009D532B"/>
    <w:rsid w:val="009D7BAB"/>
    <w:rsid w:val="009E5AFF"/>
    <w:rsid w:val="009F3691"/>
    <w:rsid w:val="009F3E78"/>
    <w:rsid w:val="009F75CC"/>
    <w:rsid w:val="00A02B0E"/>
    <w:rsid w:val="00A05A23"/>
    <w:rsid w:val="00A078DB"/>
    <w:rsid w:val="00A11699"/>
    <w:rsid w:val="00A1193D"/>
    <w:rsid w:val="00A12B83"/>
    <w:rsid w:val="00A12BF0"/>
    <w:rsid w:val="00A1336C"/>
    <w:rsid w:val="00A14CD2"/>
    <w:rsid w:val="00A15086"/>
    <w:rsid w:val="00A17B1F"/>
    <w:rsid w:val="00A17C90"/>
    <w:rsid w:val="00A2072E"/>
    <w:rsid w:val="00A2108D"/>
    <w:rsid w:val="00A2252A"/>
    <w:rsid w:val="00A2470E"/>
    <w:rsid w:val="00A26B41"/>
    <w:rsid w:val="00A305E4"/>
    <w:rsid w:val="00A30DF1"/>
    <w:rsid w:val="00A310A0"/>
    <w:rsid w:val="00A31702"/>
    <w:rsid w:val="00A31C8B"/>
    <w:rsid w:val="00A328C3"/>
    <w:rsid w:val="00A32A60"/>
    <w:rsid w:val="00A35BE2"/>
    <w:rsid w:val="00A416AE"/>
    <w:rsid w:val="00A42D37"/>
    <w:rsid w:val="00A43241"/>
    <w:rsid w:val="00A43631"/>
    <w:rsid w:val="00A43FB4"/>
    <w:rsid w:val="00A4417C"/>
    <w:rsid w:val="00A442C1"/>
    <w:rsid w:val="00A4611D"/>
    <w:rsid w:val="00A47289"/>
    <w:rsid w:val="00A4769B"/>
    <w:rsid w:val="00A47FC8"/>
    <w:rsid w:val="00A54338"/>
    <w:rsid w:val="00A555BC"/>
    <w:rsid w:val="00A60FF2"/>
    <w:rsid w:val="00A62946"/>
    <w:rsid w:val="00A67E77"/>
    <w:rsid w:val="00A71547"/>
    <w:rsid w:val="00A72200"/>
    <w:rsid w:val="00A72855"/>
    <w:rsid w:val="00A75BDB"/>
    <w:rsid w:val="00A7750C"/>
    <w:rsid w:val="00A77C33"/>
    <w:rsid w:val="00A8040D"/>
    <w:rsid w:val="00A8255B"/>
    <w:rsid w:val="00A85F1E"/>
    <w:rsid w:val="00A87B73"/>
    <w:rsid w:val="00A935D4"/>
    <w:rsid w:val="00A9389E"/>
    <w:rsid w:val="00A94532"/>
    <w:rsid w:val="00A94D7A"/>
    <w:rsid w:val="00A9588E"/>
    <w:rsid w:val="00A976E3"/>
    <w:rsid w:val="00AA281F"/>
    <w:rsid w:val="00AA3F83"/>
    <w:rsid w:val="00AA5B8F"/>
    <w:rsid w:val="00AA5D99"/>
    <w:rsid w:val="00AA6FDF"/>
    <w:rsid w:val="00AA72E0"/>
    <w:rsid w:val="00AA72FC"/>
    <w:rsid w:val="00AB1E29"/>
    <w:rsid w:val="00AB2CA3"/>
    <w:rsid w:val="00AB5818"/>
    <w:rsid w:val="00AB5CA7"/>
    <w:rsid w:val="00AB62DE"/>
    <w:rsid w:val="00AB7BC5"/>
    <w:rsid w:val="00AC4DCC"/>
    <w:rsid w:val="00AD34AA"/>
    <w:rsid w:val="00AD498B"/>
    <w:rsid w:val="00AD5E2D"/>
    <w:rsid w:val="00AD771B"/>
    <w:rsid w:val="00AE12F2"/>
    <w:rsid w:val="00AE1B06"/>
    <w:rsid w:val="00AE2270"/>
    <w:rsid w:val="00AE227F"/>
    <w:rsid w:val="00AE3865"/>
    <w:rsid w:val="00AE4F08"/>
    <w:rsid w:val="00AE5DA1"/>
    <w:rsid w:val="00AF156A"/>
    <w:rsid w:val="00AF16E3"/>
    <w:rsid w:val="00AF179D"/>
    <w:rsid w:val="00AF192C"/>
    <w:rsid w:val="00AF1E00"/>
    <w:rsid w:val="00AF5C15"/>
    <w:rsid w:val="00B00B04"/>
    <w:rsid w:val="00B0179D"/>
    <w:rsid w:val="00B0249F"/>
    <w:rsid w:val="00B03C71"/>
    <w:rsid w:val="00B03D52"/>
    <w:rsid w:val="00B06063"/>
    <w:rsid w:val="00B07110"/>
    <w:rsid w:val="00B10D5D"/>
    <w:rsid w:val="00B1150C"/>
    <w:rsid w:val="00B154BE"/>
    <w:rsid w:val="00B15710"/>
    <w:rsid w:val="00B212A2"/>
    <w:rsid w:val="00B22918"/>
    <w:rsid w:val="00B24FE3"/>
    <w:rsid w:val="00B25F63"/>
    <w:rsid w:val="00B27482"/>
    <w:rsid w:val="00B2762F"/>
    <w:rsid w:val="00B345CB"/>
    <w:rsid w:val="00B3568B"/>
    <w:rsid w:val="00B36189"/>
    <w:rsid w:val="00B3786A"/>
    <w:rsid w:val="00B37C96"/>
    <w:rsid w:val="00B37D36"/>
    <w:rsid w:val="00B409B6"/>
    <w:rsid w:val="00B42811"/>
    <w:rsid w:val="00B42CB2"/>
    <w:rsid w:val="00B4664A"/>
    <w:rsid w:val="00B5045B"/>
    <w:rsid w:val="00B5183C"/>
    <w:rsid w:val="00B52920"/>
    <w:rsid w:val="00B54D10"/>
    <w:rsid w:val="00B5600C"/>
    <w:rsid w:val="00B57059"/>
    <w:rsid w:val="00B5721D"/>
    <w:rsid w:val="00B60ED0"/>
    <w:rsid w:val="00B612AF"/>
    <w:rsid w:val="00B62373"/>
    <w:rsid w:val="00B6290D"/>
    <w:rsid w:val="00B63645"/>
    <w:rsid w:val="00B63F97"/>
    <w:rsid w:val="00B67481"/>
    <w:rsid w:val="00B74B59"/>
    <w:rsid w:val="00B74D1A"/>
    <w:rsid w:val="00B74F04"/>
    <w:rsid w:val="00B75955"/>
    <w:rsid w:val="00B7647A"/>
    <w:rsid w:val="00B77035"/>
    <w:rsid w:val="00B77608"/>
    <w:rsid w:val="00B77BB3"/>
    <w:rsid w:val="00B800E1"/>
    <w:rsid w:val="00B80819"/>
    <w:rsid w:val="00B80976"/>
    <w:rsid w:val="00B80D73"/>
    <w:rsid w:val="00B80E4F"/>
    <w:rsid w:val="00B82510"/>
    <w:rsid w:val="00B83001"/>
    <w:rsid w:val="00B84A5B"/>
    <w:rsid w:val="00B87034"/>
    <w:rsid w:val="00B87191"/>
    <w:rsid w:val="00B9009D"/>
    <w:rsid w:val="00B90374"/>
    <w:rsid w:val="00B957B1"/>
    <w:rsid w:val="00B97E97"/>
    <w:rsid w:val="00BA2603"/>
    <w:rsid w:val="00BA26E4"/>
    <w:rsid w:val="00BA332B"/>
    <w:rsid w:val="00BA36A6"/>
    <w:rsid w:val="00BA4BA2"/>
    <w:rsid w:val="00BA51E3"/>
    <w:rsid w:val="00BA5465"/>
    <w:rsid w:val="00BA5F95"/>
    <w:rsid w:val="00BB01BF"/>
    <w:rsid w:val="00BB1442"/>
    <w:rsid w:val="00BB17D7"/>
    <w:rsid w:val="00BB30F9"/>
    <w:rsid w:val="00BB3ACF"/>
    <w:rsid w:val="00BB4838"/>
    <w:rsid w:val="00BB79CE"/>
    <w:rsid w:val="00BC0987"/>
    <w:rsid w:val="00BC1DE1"/>
    <w:rsid w:val="00BC3EBF"/>
    <w:rsid w:val="00BC415E"/>
    <w:rsid w:val="00BC54FB"/>
    <w:rsid w:val="00BC5D11"/>
    <w:rsid w:val="00BC78BA"/>
    <w:rsid w:val="00BC7FC4"/>
    <w:rsid w:val="00BD0C26"/>
    <w:rsid w:val="00BD1754"/>
    <w:rsid w:val="00BD22C2"/>
    <w:rsid w:val="00BD2ED3"/>
    <w:rsid w:val="00BD3E70"/>
    <w:rsid w:val="00BD459E"/>
    <w:rsid w:val="00BD4F6F"/>
    <w:rsid w:val="00BD509C"/>
    <w:rsid w:val="00BD6FEB"/>
    <w:rsid w:val="00BE0F4F"/>
    <w:rsid w:val="00BE5DC3"/>
    <w:rsid w:val="00BE6F4C"/>
    <w:rsid w:val="00BF0E47"/>
    <w:rsid w:val="00BF16DD"/>
    <w:rsid w:val="00BF2043"/>
    <w:rsid w:val="00BF5DED"/>
    <w:rsid w:val="00BF6A27"/>
    <w:rsid w:val="00BF7400"/>
    <w:rsid w:val="00C0099E"/>
    <w:rsid w:val="00C00ED1"/>
    <w:rsid w:val="00C0135A"/>
    <w:rsid w:val="00C0193E"/>
    <w:rsid w:val="00C01ECD"/>
    <w:rsid w:val="00C02902"/>
    <w:rsid w:val="00C0491A"/>
    <w:rsid w:val="00C05620"/>
    <w:rsid w:val="00C06A99"/>
    <w:rsid w:val="00C07022"/>
    <w:rsid w:val="00C10077"/>
    <w:rsid w:val="00C11AD8"/>
    <w:rsid w:val="00C1247B"/>
    <w:rsid w:val="00C151BF"/>
    <w:rsid w:val="00C21682"/>
    <w:rsid w:val="00C22916"/>
    <w:rsid w:val="00C26B25"/>
    <w:rsid w:val="00C31AAF"/>
    <w:rsid w:val="00C3391B"/>
    <w:rsid w:val="00C35675"/>
    <w:rsid w:val="00C3645B"/>
    <w:rsid w:val="00C36641"/>
    <w:rsid w:val="00C36D96"/>
    <w:rsid w:val="00C40E73"/>
    <w:rsid w:val="00C4285B"/>
    <w:rsid w:val="00C42D68"/>
    <w:rsid w:val="00C42EED"/>
    <w:rsid w:val="00C4305E"/>
    <w:rsid w:val="00C476DF"/>
    <w:rsid w:val="00C47E8E"/>
    <w:rsid w:val="00C52FC6"/>
    <w:rsid w:val="00C56100"/>
    <w:rsid w:val="00C64424"/>
    <w:rsid w:val="00C64B8D"/>
    <w:rsid w:val="00C6663E"/>
    <w:rsid w:val="00C67A7A"/>
    <w:rsid w:val="00C70F34"/>
    <w:rsid w:val="00C74298"/>
    <w:rsid w:val="00C75713"/>
    <w:rsid w:val="00C76047"/>
    <w:rsid w:val="00C76B02"/>
    <w:rsid w:val="00C82384"/>
    <w:rsid w:val="00C87328"/>
    <w:rsid w:val="00C92FF9"/>
    <w:rsid w:val="00C93783"/>
    <w:rsid w:val="00C943B4"/>
    <w:rsid w:val="00C952E4"/>
    <w:rsid w:val="00C97A90"/>
    <w:rsid w:val="00CA4CB7"/>
    <w:rsid w:val="00CA7BC9"/>
    <w:rsid w:val="00CB246D"/>
    <w:rsid w:val="00CB2D26"/>
    <w:rsid w:val="00CB652E"/>
    <w:rsid w:val="00CC3D48"/>
    <w:rsid w:val="00CC4A9D"/>
    <w:rsid w:val="00CC6B6D"/>
    <w:rsid w:val="00CC7136"/>
    <w:rsid w:val="00CC7A52"/>
    <w:rsid w:val="00CC7F8C"/>
    <w:rsid w:val="00CD0215"/>
    <w:rsid w:val="00CD0A9F"/>
    <w:rsid w:val="00CD3375"/>
    <w:rsid w:val="00CD5810"/>
    <w:rsid w:val="00CD6BA0"/>
    <w:rsid w:val="00CD6C78"/>
    <w:rsid w:val="00CD7D59"/>
    <w:rsid w:val="00CD7D88"/>
    <w:rsid w:val="00CE0C30"/>
    <w:rsid w:val="00CE1759"/>
    <w:rsid w:val="00CE2E81"/>
    <w:rsid w:val="00CE2F6F"/>
    <w:rsid w:val="00CE6952"/>
    <w:rsid w:val="00CF2B0F"/>
    <w:rsid w:val="00CF54E1"/>
    <w:rsid w:val="00D00BD0"/>
    <w:rsid w:val="00D00E9D"/>
    <w:rsid w:val="00D016F2"/>
    <w:rsid w:val="00D018E1"/>
    <w:rsid w:val="00D02BC8"/>
    <w:rsid w:val="00D036D4"/>
    <w:rsid w:val="00D03FBD"/>
    <w:rsid w:val="00D04E92"/>
    <w:rsid w:val="00D0729F"/>
    <w:rsid w:val="00D10A80"/>
    <w:rsid w:val="00D12CA8"/>
    <w:rsid w:val="00D12DA4"/>
    <w:rsid w:val="00D131D6"/>
    <w:rsid w:val="00D14345"/>
    <w:rsid w:val="00D163A7"/>
    <w:rsid w:val="00D16EDA"/>
    <w:rsid w:val="00D230AC"/>
    <w:rsid w:val="00D23517"/>
    <w:rsid w:val="00D25052"/>
    <w:rsid w:val="00D250F2"/>
    <w:rsid w:val="00D25E50"/>
    <w:rsid w:val="00D2762C"/>
    <w:rsid w:val="00D303E4"/>
    <w:rsid w:val="00D30B7E"/>
    <w:rsid w:val="00D32F32"/>
    <w:rsid w:val="00D34606"/>
    <w:rsid w:val="00D348AE"/>
    <w:rsid w:val="00D35544"/>
    <w:rsid w:val="00D35D46"/>
    <w:rsid w:val="00D403A0"/>
    <w:rsid w:val="00D43FA6"/>
    <w:rsid w:val="00D440F1"/>
    <w:rsid w:val="00D444FC"/>
    <w:rsid w:val="00D45DB5"/>
    <w:rsid w:val="00D46049"/>
    <w:rsid w:val="00D46D48"/>
    <w:rsid w:val="00D47BAF"/>
    <w:rsid w:val="00D5176F"/>
    <w:rsid w:val="00D51E2B"/>
    <w:rsid w:val="00D53E20"/>
    <w:rsid w:val="00D54677"/>
    <w:rsid w:val="00D55DC1"/>
    <w:rsid w:val="00D573FF"/>
    <w:rsid w:val="00D60B7F"/>
    <w:rsid w:val="00D615B5"/>
    <w:rsid w:val="00D63A55"/>
    <w:rsid w:val="00D6420A"/>
    <w:rsid w:val="00D646E6"/>
    <w:rsid w:val="00D66CAD"/>
    <w:rsid w:val="00D671CF"/>
    <w:rsid w:val="00D67881"/>
    <w:rsid w:val="00D67E34"/>
    <w:rsid w:val="00D718C9"/>
    <w:rsid w:val="00D7194B"/>
    <w:rsid w:val="00D727EE"/>
    <w:rsid w:val="00D72BC5"/>
    <w:rsid w:val="00D75518"/>
    <w:rsid w:val="00D75C7C"/>
    <w:rsid w:val="00D763D3"/>
    <w:rsid w:val="00D8049B"/>
    <w:rsid w:val="00D80B01"/>
    <w:rsid w:val="00D94665"/>
    <w:rsid w:val="00D94716"/>
    <w:rsid w:val="00D96378"/>
    <w:rsid w:val="00D96B46"/>
    <w:rsid w:val="00DA0088"/>
    <w:rsid w:val="00DA06F1"/>
    <w:rsid w:val="00DA37B4"/>
    <w:rsid w:val="00DA40B9"/>
    <w:rsid w:val="00DA5FDF"/>
    <w:rsid w:val="00DA63B1"/>
    <w:rsid w:val="00DB1846"/>
    <w:rsid w:val="00DB2F1A"/>
    <w:rsid w:val="00DB5895"/>
    <w:rsid w:val="00DB770F"/>
    <w:rsid w:val="00DC2EFD"/>
    <w:rsid w:val="00DC4CA9"/>
    <w:rsid w:val="00DC5249"/>
    <w:rsid w:val="00DC6676"/>
    <w:rsid w:val="00DC6D58"/>
    <w:rsid w:val="00DD11C4"/>
    <w:rsid w:val="00DD423A"/>
    <w:rsid w:val="00DD4B23"/>
    <w:rsid w:val="00DD5734"/>
    <w:rsid w:val="00DD5978"/>
    <w:rsid w:val="00DD6B97"/>
    <w:rsid w:val="00DE39A1"/>
    <w:rsid w:val="00DE3E06"/>
    <w:rsid w:val="00DF1154"/>
    <w:rsid w:val="00DF453F"/>
    <w:rsid w:val="00DF4ED1"/>
    <w:rsid w:val="00DF68ED"/>
    <w:rsid w:val="00DF7F09"/>
    <w:rsid w:val="00E06135"/>
    <w:rsid w:val="00E0673D"/>
    <w:rsid w:val="00E077D6"/>
    <w:rsid w:val="00E110EE"/>
    <w:rsid w:val="00E13A22"/>
    <w:rsid w:val="00E14D75"/>
    <w:rsid w:val="00E23DD3"/>
    <w:rsid w:val="00E24865"/>
    <w:rsid w:val="00E24A02"/>
    <w:rsid w:val="00E25863"/>
    <w:rsid w:val="00E258CF"/>
    <w:rsid w:val="00E268B8"/>
    <w:rsid w:val="00E27132"/>
    <w:rsid w:val="00E31213"/>
    <w:rsid w:val="00E31461"/>
    <w:rsid w:val="00E37582"/>
    <w:rsid w:val="00E430F7"/>
    <w:rsid w:val="00E45690"/>
    <w:rsid w:val="00E45E2D"/>
    <w:rsid w:val="00E50BFB"/>
    <w:rsid w:val="00E54151"/>
    <w:rsid w:val="00E56E38"/>
    <w:rsid w:val="00E60767"/>
    <w:rsid w:val="00E61E71"/>
    <w:rsid w:val="00E6335D"/>
    <w:rsid w:val="00E63EE3"/>
    <w:rsid w:val="00E656EE"/>
    <w:rsid w:val="00E670F2"/>
    <w:rsid w:val="00E705A3"/>
    <w:rsid w:val="00E72BF1"/>
    <w:rsid w:val="00E72CC8"/>
    <w:rsid w:val="00E74873"/>
    <w:rsid w:val="00E761D1"/>
    <w:rsid w:val="00E80AF2"/>
    <w:rsid w:val="00E810AD"/>
    <w:rsid w:val="00E81A39"/>
    <w:rsid w:val="00E828AC"/>
    <w:rsid w:val="00E84F74"/>
    <w:rsid w:val="00E851BE"/>
    <w:rsid w:val="00E87427"/>
    <w:rsid w:val="00E8785C"/>
    <w:rsid w:val="00E920A6"/>
    <w:rsid w:val="00E925E7"/>
    <w:rsid w:val="00E92A0A"/>
    <w:rsid w:val="00E94824"/>
    <w:rsid w:val="00E966CE"/>
    <w:rsid w:val="00E97CFC"/>
    <w:rsid w:val="00EA129E"/>
    <w:rsid w:val="00EA2710"/>
    <w:rsid w:val="00EA2C22"/>
    <w:rsid w:val="00EA3E59"/>
    <w:rsid w:val="00EA3F0D"/>
    <w:rsid w:val="00EA4DA1"/>
    <w:rsid w:val="00EA6643"/>
    <w:rsid w:val="00EB2AB8"/>
    <w:rsid w:val="00EB3A82"/>
    <w:rsid w:val="00EB3E22"/>
    <w:rsid w:val="00EB4302"/>
    <w:rsid w:val="00EB4C19"/>
    <w:rsid w:val="00EB5B09"/>
    <w:rsid w:val="00EB6185"/>
    <w:rsid w:val="00EB6615"/>
    <w:rsid w:val="00EB7DC9"/>
    <w:rsid w:val="00EC593A"/>
    <w:rsid w:val="00EC6C83"/>
    <w:rsid w:val="00ED2396"/>
    <w:rsid w:val="00ED33A3"/>
    <w:rsid w:val="00EE027B"/>
    <w:rsid w:val="00EE23B1"/>
    <w:rsid w:val="00EF2CEF"/>
    <w:rsid w:val="00EF5BF1"/>
    <w:rsid w:val="00EF685D"/>
    <w:rsid w:val="00EF76F6"/>
    <w:rsid w:val="00F00690"/>
    <w:rsid w:val="00F0180D"/>
    <w:rsid w:val="00F01B3F"/>
    <w:rsid w:val="00F024E4"/>
    <w:rsid w:val="00F02AC8"/>
    <w:rsid w:val="00F04E7A"/>
    <w:rsid w:val="00F116E6"/>
    <w:rsid w:val="00F11D31"/>
    <w:rsid w:val="00F1247E"/>
    <w:rsid w:val="00F126B0"/>
    <w:rsid w:val="00F1288A"/>
    <w:rsid w:val="00F13A1D"/>
    <w:rsid w:val="00F13F70"/>
    <w:rsid w:val="00F154A8"/>
    <w:rsid w:val="00F15861"/>
    <w:rsid w:val="00F16375"/>
    <w:rsid w:val="00F163BD"/>
    <w:rsid w:val="00F170FE"/>
    <w:rsid w:val="00F25A07"/>
    <w:rsid w:val="00F30D99"/>
    <w:rsid w:val="00F31007"/>
    <w:rsid w:val="00F31CB2"/>
    <w:rsid w:val="00F32BE6"/>
    <w:rsid w:val="00F33205"/>
    <w:rsid w:val="00F37A1D"/>
    <w:rsid w:val="00F4069D"/>
    <w:rsid w:val="00F41457"/>
    <w:rsid w:val="00F41D89"/>
    <w:rsid w:val="00F42509"/>
    <w:rsid w:val="00F42616"/>
    <w:rsid w:val="00F443D2"/>
    <w:rsid w:val="00F45956"/>
    <w:rsid w:val="00F5006F"/>
    <w:rsid w:val="00F511AD"/>
    <w:rsid w:val="00F539C4"/>
    <w:rsid w:val="00F53B15"/>
    <w:rsid w:val="00F53F48"/>
    <w:rsid w:val="00F55BE1"/>
    <w:rsid w:val="00F60E9B"/>
    <w:rsid w:val="00F610C6"/>
    <w:rsid w:val="00F6674C"/>
    <w:rsid w:val="00F66874"/>
    <w:rsid w:val="00F67052"/>
    <w:rsid w:val="00F67D7D"/>
    <w:rsid w:val="00F71D86"/>
    <w:rsid w:val="00F71E51"/>
    <w:rsid w:val="00F74182"/>
    <w:rsid w:val="00F77FE5"/>
    <w:rsid w:val="00F805CE"/>
    <w:rsid w:val="00F825B7"/>
    <w:rsid w:val="00F82CD1"/>
    <w:rsid w:val="00F831A3"/>
    <w:rsid w:val="00F84C45"/>
    <w:rsid w:val="00F85342"/>
    <w:rsid w:val="00F901F7"/>
    <w:rsid w:val="00F957B4"/>
    <w:rsid w:val="00F96FB6"/>
    <w:rsid w:val="00F978DD"/>
    <w:rsid w:val="00FA0AE4"/>
    <w:rsid w:val="00FA10EC"/>
    <w:rsid w:val="00FA34C7"/>
    <w:rsid w:val="00FA5040"/>
    <w:rsid w:val="00FA795F"/>
    <w:rsid w:val="00FB15EB"/>
    <w:rsid w:val="00FB6042"/>
    <w:rsid w:val="00FC07B6"/>
    <w:rsid w:val="00FC1FA3"/>
    <w:rsid w:val="00FC2759"/>
    <w:rsid w:val="00FC49F4"/>
    <w:rsid w:val="00FC6799"/>
    <w:rsid w:val="00FC7436"/>
    <w:rsid w:val="00FC7587"/>
    <w:rsid w:val="00FD138A"/>
    <w:rsid w:val="00FD1A09"/>
    <w:rsid w:val="00FD2B2D"/>
    <w:rsid w:val="00FD5224"/>
    <w:rsid w:val="00FD6CB2"/>
    <w:rsid w:val="00FE1C16"/>
    <w:rsid w:val="00FE1DCA"/>
    <w:rsid w:val="00FE242C"/>
    <w:rsid w:val="00FE3629"/>
    <w:rsid w:val="00FE4E85"/>
    <w:rsid w:val="00FE565F"/>
    <w:rsid w:val="00FE5F10"/>
    <w:rsid w:val="00FE6FE8"/>
    <w:rsid w:val="00FF2573"/>
    <w:rsid w:val="00FF6080"/>
    <w:rsid w:val="0263225C"/>
    <w:rsid w:val="03D06D62"/>
    <w:rsid w:val="06492A2B"/>
    <w:rsid w:val="072A3DF9"/>
    <w:rsid w:val="08A2799E"/>
    <w:rsid w:val="094F68BA"/>
    <w:rsid w:val="0A96786E"/>
    <w:rsid w:val="0B387AD1"/>
    <w:rsid w:val="0B8A6F2A"/>
    <w:rsid w:val="0C0137D8"/>
    <w:rsid w:val="0C2A5CE1"/>
    <w:rsid w:val="0CD45A64"/>
    <w:rsid w:val="10867C4B"/>
    <w:rsid w:val="11624D06"/>
    <w:rsid w:val="12791770"/>
    <w:rsid w:val="12EA697E"/>
    <w:rsid w:val="136C7AB1"/>
    <w:rsid w:val="13A7720E"/>
    <w:rsid w:val="15141CF0"/>
    <w:rsid w:val="15D80155"/>
    <w:rsid w:val="16480C49"/>
    <w:rsid w:val="166764F1"/>
    <w:rsid w:val="180D4142"/>
    <w:rsid w:val="18530085"/>
    <w:rsid w:val="18F945CA"/>
    <w:rsid w:val="19037E97"/>
    <w:rsid w:val="197E7031"/>
    <w:rsid w:val="1AC534BC"/>
    <w:rsid w:val="1BC70F8A"/>
    <w:rsid w:val="1CD54433"/>
    <w:rsid w:val="1D3205F1"/>
    <w:rsid w:val="1D526CB8"/>
    <w:rsid w:val="1E900D4C"/>
    <w:rsid w:val="207F2647"/>
    <w:rsid w:val="214473ED"/>
    <w:rsid w:val="22F268B2"/>
    <w:rsid w:val="23573D8B"/>
    <w:rsid w:val="239D016B"/>
    <w:rsid w:val="25276045"/>
    <w:rsid w:val="25363B32"/>
    <w:rsid w:val="25AE65E9"/>
    <w:rsid w:val="276E05A8"/>
    <w:rsid w:val="28506677"/>
    <w:rsid w:val="289357A5"/>
    <w:rsid w:val="2A614B6C"/>
    <w:rsid w:val="2BCC4267"/>
    <w:rsid w:val="2D6F34B0"/>
    <w:rsid w:val="318627A5"/>
    <w:rsid w:val="324A10CE"/>
    <w:rsid w:val="34373084"/>
    <w:rsid w:val="352D4061"/>
    <w:rsid w:val="358507B5"/>
    <w:rsid w:val="36890256"/>
    <w:rsid w:val="38695EB9"/>
    <w:rsid w:val="39507FF1"/>
    <w:rsid w:val="3ADA2910"/>
    <w:rsid w:val="3B8C0B37"/>
    <w:rsid w:val="3C320322"/>
    <w:rsid w:val="3CC54211"/>
    <w:rsid w:val="3EC87502"/>
    <w:rsid w:val="40591E03"/>
    <w:rsid w:val="40CF5E4C"/>
    <w:rsid w:val="40E2045E"/>
    <w:rsid w:val="412339EB"/>
    <w:rsid w:val="41517D00"/>
    <w:rsid w:val="41C80C39"/>
    <w:rsid w:val="43640F01"/>
    <w:rsid w:val="45CA2D60"/>
    <w:rsid w:val="45EC5BCF"/>
    <w:rsid w:val="46D306CE"/>
    <w:rsid w:val="472C5B03"/>
    <w:rsid w:val="48540D01"/>
    <w:rsid w:val="4B1A19A3"/>
    <w:rsid w:val="4B571B97"/>
    <w:rsid w:val="4BB22E3F"/>
    <w:rsid w:val="4DED6260"/>
    <w:rsid w:val="500D660A"/>
    <w:rsid w:val="50B05655"/>
    <w:rsid w:val="5125272A"/>
    <w:rsid w:val="52537F50"/>
    <w:rsid w:val="53C76FD4"/>
    <w:rsid w:val="5472082D"/>
    <w:rsid w:val="549F16B7"/>
    <w:rsid w:val="559845E6"/>
    <w:rsid w:val="59F91E1B"/>
    <w:rsid w:val="5AEB3B4A"/>
    <w:rsid w:val="5B207F57"/>
    <w:rsid w:val="5D52616A"/>
    <w:rsid w:val="5D99750E"/>
    <w:rsid w:val="5DD92006"/>
    <w:rsid w:val="5E3A5066"/>
    <w:rsid w:val="5F3217CD"/>
    <w:rsid w:val="5F686F7F"/>
    <w:rsid w:val="60D968B7"/>
    <w:rsid w:val="616F6F42"/>
    <w:rsid w:val="6303796D"/>
    <w:rsid w:val="63875C13"/>
    <w:rsid w:val="651B533C"/>
    <w:rsid w:val="65B605A8"/>
    <w:rsid w:val="663B7FAA"/>
    <w:rsid w:val="669202D6"/>
    <w:rsid w:val="66CF5990"/>
    <w:rsid w:val="67872A39"/>
    <w:rsid w:val="67DA506E"/>
    <w:rsid w:val="68530979"/>
    <w:rsid w:val="68592A23"/>
    <w:rsid w:val="688000F5"/>
    <w:rsid w:val="688D2EDA"/>
    <w:rsid w:val="69EF6745"/>
    <w:rsid w:val="6A4133F5"/>
    <w:rsid w:val="6BAC7EF4"/>
    <w:rsid w:val="6C37244E"/>
    <w:rsid w:val="6D8A5CBE"/>
    <w:rsid w:val="6E2214E9"/>
    <w:rsid w:val="6FD35191"/>
    <w:rsid w:val="7043003D"/>
    <w:rsid w:val="713A4D9B"/>
    <w:rsid w:val="717F58B9"/>
    <w:rsid w:val="71BC3A02"/>
    <w:rsid w:val="748702F8"/>
    <w:rsid w:val="76D4359C"/>
    <w:rsid w:val="771019C9"/>
    <w:rsid w:val="771C617C"/>
    <w:rsid w:val="774B376F"/>
    <w:rsid w:val="79F75F20"/>
    <w:rsid w:val="7A8C771D"/>
    <w:rsid w:val="7D39062E"/>
    <w:rsid w:val="7E6378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0"/>
    <w:pPr>
      <w:keepNext/>
      <w:keepLines/>
      <w:spacing w:before="240" w:after="240" w:line="240" w:lineRule="auto"/>
      <w:outlineLvl w:val="1"/>
    </w:pPr>
    <w:rPr>
      <w:rFonts w:ascii="Cambria" w:hAnsi="Cambria" w:eastAsia="黑体" w:cs="Times New Roman"/>
      <w:b/>
      <w:bCs/>
      <w:szCs w:val="32"/>
    </w:rPr>
  </w:style>
  <w:style w:type="paragraph" w:styleId="4">
    <w:name w:val="heading 3"/>
    <w:basedOn w:val="1"/>
    <w:next w:val="1"/>
    <w:link w:val="49"/>
    <w:qFormat/>
    <w:uiPriority w:val="0"/>
    <w:pPr>
      <w:spacing w:before="100" w:beforeLines="0" w:beforeAutospacing="1" w:after="100" w:afterLines="0" w:afterAutospacing="1"/>
      <w:jc w:val="left"/>
      <w:outlineLvl w:val="2"/>
    </w:pPr>
    <w:rPr>
      <w:rFonts w:ascii="宋体" w:hAnsi="宋体"/>
      <w:b/>
      <w:kern w:val="0"/>
      <w:sz w:val="27"/>
      <w:szCs w:val="27"/>
    </w:rPr>
  </w:style>
  <w:style w:type="paragraph" w:styleId="5">
    <w:name w:val="heading 4"/>
    <w:basedOn w:val="1"/>
    <w:next w:val="1"/>
    <w:qFormat/>
    <w:uiPriority w:val="0"/>
    <w:pPr>
      <w:keepNext/>
      <w:keepLines/>
      <w:adjustRightInd w:val="0"/>
      <w:snapToGrid w:val="0"/>
      <w:spacing w:before="120" w:after="120"/>
      <w:outlineLvl w:val="3"/>
    </w:pPr>
    <w:rPr>
      <w:rFonts w:ascii="Arial" w:hAnsi="Arial"/>
      <w:b/>
      <w:bCs/>
      <w:sz w:val="28"/>
      <w:szCs w:val="28"/>
    </w:rPr>
  </w:style>
  <w:style w:type="paragraph" w:styleId="6">
    <w:name w:val="heading 5"/>
    <w:basedOn w:val="1"/>
    <w:next w:val="7"/>
    <w:qFormat/>
    <w:uiPriority w:val="0"/>
    <w:pPr>
      <w:keepNext/>
      <w:keepLines/>
      <w:numPr>
        <w:ilvl w:val="4"/>
        <w:numId w:val="1"/>
      </w:numPr>
      <w:spacing w:before="280" w:beforeLines="0" w:after="290" w:afterLines="0" w:line="376" w:lineRule="auto"/>
      <w:outlineLvl w:val="4"/>
    </w:pPr>
    <w:rPr>
      <w:b/>
      <w:sz w:val="28"/>
    </w:rPr>
  </w:style>
  <w:style w:type="paragraph" w:styleId="8">
    <w:name w:val="heading 6"/>
    <w:basedOn w:val="1"/>
    <w:next w:val="7"/>
    <w:qFormat/>
    <w:uiPriority w:val="0"/>
    <w:pPr>
      <w:keepNext/>
      <w:keepLines/>
      <w:numPr>
        <w:ilvl w:val="5"/>
        <w:numId w:val="1"/>
      </w:numPr>
      <w:spacing w:before="240" w:beforeLines="0" w:after="64" w:afterLines="0" w:line="320" w:lineRule="auto"/>
      <w:outlineLvl w:val="5"/>
    </w:pPr>
    <w:rPr>
      <w:rFonts w:ascii="Arial" w:hAnsi="Arial" w:eastAsia="黑体"/>
      <w:b/>
      <w:sz w:val="24"/>
    </w:rPr>
  </w:style>
  <w:style w:type="paragraph" w:styleId="9">
    <w:name w:val="heading 7"/>
    <w:basedOn w:val="1"/>
    <w:next w:val="7"/>
    <w:qFormat/>
    <w:uiPriority w:val="0"/>
    <w:pPr>
      <w:keepNext/>
      <w:keepLines/>
      <w:numPr>
        <w:ilvl w:val="6"/>
        <w:numId w:val="1"/>
      </w:numPr>
      <w:spacing w:before="240" w:beforeLines="0" w:after="64" w:afterLines="0" w:line="320" w:lineRule="auto"/>
      <w:outlineLvl w:val="6"/>
    </w:pPr>
    <w:rPr>
      <w:b/>
      <w:sz w:val="24"/>
    </w:rPr>
  </w:style>
  <w:style w:type="paragraph" w:styleId="10">
    <w:name w:val="heading 8"/>
    <w:basedOn w:val="1"/>
    <w:next w:val="7"/>
    <w:qFormat/>
    <w:uiPriority w:val="0"/>
    <w:pPr>
      <w:keepNext/>
      <w:keepLines/>
      <w:numPr>
        <w:ilvl w:val="7"/>
        <w:numId w:val="1"/>
      </w:numPr>
      <w:spacing w:before="240" w:beforeLines="0" w:after="64" w:afterLines="0" w:line="320" w:lineRule="auto"/>
      <w:outlineLvl w:val="7"/>
    </w:pPr>
    <w:rPr>
      <w:rFonts w:ascii="Arial" w:hAnsi="Arial" w:eastAsia="黑体"/>
      <w:sz w:val="24"/>
    </w:rPr>
  </w:style>
  <w:style w:type="paragraph" w:styleId="11">
    <w:name w:val="heading 9"/>
    <w:basedOn w:val="1"/>
    <w:next w:val="7"/>
    <w:qFormat/>
    <w:uiPriority w:val="0"/>
    <w:pPr>
      <w:keepNext/>
      <w:keepLines/>
      <w:numPr>
        <w:ilvl w:val="8"/>
        <w:numId w:val="1"/>
      </w:numPr>
      <w:spacing w:before="240" w:beforeLines="0" w:after="64" w:afterLines="0" w:line="320" w:lineRule="auto"/>
      <w:outlineLvl w:val="8"/>
    </w:pPr>
    <w:rPr>
      <w:rFonts w:ascii="Arial" w:hAnsi="Arial" w:eastAsia="黑体"/>
    </w:rPr>
  </w:style>
  <w:style w:type="character" w:default="1" w:styleId="42">
    <w:name w:val="Default Paragraph Font"/>
    <w:semiHidden/>
    <w:qFormat/>
    <w:uiPriority w:val="0"/>
  </w:style>
  <w:style w:type="table" w:default="1" w:styleId="40">
    <w:name w:val="Normal Table"/>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index 8"/>
    <w:basedOn w:val="1"/>
    <w:next w:val="1"/>
    <w:qFormat/>
    <w:uiPriority w:val="0"/>
    <w:pPr>
      <w:ind w:left="2940"/>
    </w:pPr>
  </w:style>
  <w:style w:type="paragraph" w:styleId="13">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4">
    <w:name w:val="caption"/>
    <w:basedOn w:val="1"/>
    <w:next w:val="1"/>
    <w:qFormat/>
    <w:uiPriority w:val="0"/>
    <w:pPr>
      <w:spacing w:before="152" w:beforeLines="0" w:after="160" w:afterLines="0"/>
    </w:pPr>
    <w:rPr>
      <w:rFonts w:ascii="Arial" w:hAnsi="Arial" w:eastAsia="黑体" w:cs="Arial"/>
      <w:sz w:val="20"/>
      <w:szCs w:val="20"/>
    </w:rPr>
  </w:style>
  <w:style w:type="paragraph" w:styleId="15">
    <w:name w:val="Document Map"/>
    <w:basedOn w:val="1"/>
    <w:semiHidden/>
    <w:qFormat/>
    <w:uiPriority w:val="0"/>
    <w:pPr>
      <w:shd w:val="clear" w:color="auto" w:fill="000080"/>
    </w:pPr>
  </w:style>
  <w:style w:type="paragraph" w:styleId="16">
    <w:name w:val="annotation text"/>
    <w:basedOn w:val="1"/>
    <w:link w:val="50"/>
    <w:qFormat/>
    <w:uiPriority w:val="0"/>
    <w:pPr>
      <w:jc w:val="left"/>
    </w:pPr>
  </w:style>
  <w:style w:type="paragraph" w:styleId="17">
    <w:name w:val="Body Text 3"/>
    <w:basedOn w:val="1"/>
    <w:qFormat/>
    <w:uiPriority w:val="0"/>
    <w:pPr>
      <w:spacing w:line="500" w:lineRule="exact"/>
    </w:pPr>
    <w:rPr>
      <w:b/>
      <w:bCs/>
      <w:sz w:val="24"/>
    </w:rPr>
  </w:style>
  <w:style w:type="paragraph" w:styleId="18">
    <w:name w:val="Body Text"/>
    <w:basedOn w:val="1"/>
    <w:qFormat/>
    <w:uiPriority w:val="0"/>
    <w:pPr>
      <w:spacing w:line="380" w:lineRule="exact"/>
    </w:pPr>
    <w:rPr>
      <w:sz w:val="24"/>
    </w:rPr>
  </w:style>
  <w:style w:type="paragraph" w:styleId="19">
    <w:name w:val="Body Text Indent"/>
    <w:basedOn w:val="1"/>
    <w:link w:val="51"/>
    <w:qFormat/>
    <w:uiPriority w:val="0"/>
    <w:pPr>
      <w:ind w:firstLine="830" w:firstLineChars="352"/>
    </w:pPr>
    <w:rPr>
      <w:rFonts w:ascii="FangSong_GB2312" w:eastAsia="FangSong_GB2312"/>
      <w:sz w:val="32"/>
      <w:szCs w:val="20"/>
    </w:rPr>
  </w:style>
  <w:style w:type="paragraph" w:styleId="20">
    <w:name w:val="List Number 3"/>
    <w:basedOn w:val="1"/>
    <w:qFormat/>
    <w:uiPriority w:val="0"/>
    <w:pPr>
      <w:numPr>
        <w:ilvl w:val="0"/>
        <w:numId w:val="2"/>
      </w:numPr>
    </w:pPr>
  </w:style>
  <w:style w:type="paragraph" w:styleId="21">
    <w:name w:val="List 2"/>
    <w:basedOn w:val="1"/>
    <w:qFormat/>
    <w:uiPriority w:val="0"/>
    <w:pPr>
      <w:ind w:left="100" w:leftChars="200" w:hanging="200" w:hangingChars="200"/>
    </w:pPr>
    <w:rPr>
      <w:sz w:val="28"/>
    </w:rPr>
  </w:style>
  <w:style w:type="paragraph" w:styleId="22">
    <w:name w:val="Plain Text"/>
    <w:basedOn w:val="1"/>
    <w:next w:val="5"/>
    <w:link w:val="52"/>
    <w:qFormat/>
    <w:uiPriority w:val="0"/>
    <w:rPr>
      <w:rFonts w:ascii="宋体" w:hAnsi="Courier New" w:cs="Courier New"/>
      <w:szCs w:val="21"/>
    </w:rPr>
  </w:style>
  <w:style w:type="paragraph" w:styleId="23">
    <w:name w:val="Date"/>
    <w:basedOn w:val="1"/>
    <w:next w:val="1"/>
    <w:qFormat/>
    <w:uiPriority w:val="0"/>
    <w:pPr>
      <w:ind w:left="100" w:leftChars="2500"/>
    </w:pPr>
    <w:rPr>
      <w:rFonts w:ascii="宋体" w:hAnsi="Courier New" w:cs="Courier New"/>
      <w:szCs w:val="21"/>
    </w:rPr>
  </w:style>
  <w:style w:type="paragraph" w:styleId="24">
    <w:name w:val="Body Text Indent 2"/>
    <w:basedOn w:val="1"/>
    <w:qFormat/>
    <w:uiPriority w:val="0"/>
    <w:pPr>
      <w:ind w:firstLine="630"/>
    </w:pPr>
    <w:rPr>
      <w:sz w:val="32"/>
      <w:szCs w:val="20"/>
    </w:rPr>
  </w:style>
  <w:style w:type="paragraph" w:styleId="25">
    <w:name w:val="Balloon Text"/>
    <w:basedOn w:val="1"/>
    <w:semiHidden/>
    <w:qFormat/>
    <w:uiPriority w:val="0"/>
    <w:rPr>
      <w:sz w:val="18"/>
      <w:szCs w:val="18"/>
    </w:rPr>
  </w:style>
  <w:style w:type="paragraph" w:styleId="26">
    <w:name w:val="footer"/>
    <w:basedOn w:val="1"/>
    <w:qFormat/>
    <w:uiPriority w:val="0"/>
    <w:pPr>
      <w:tabs>
        <w:tab w:val="center" w:pos="4153"/>
        <w:tab w:val="right" w:pos="8306"/>
      </w:tabs>
      <w:snapToGrid w:val="0"/>
      <w:jc w:val="left"/>
    </w:pPr>
    <w:rPr>
      <w:sz w:val="18"/>
      <w:szCs w:val="18"/>
    </w:rPr>
  </w:style>
  <w:style w:type="paragraph" w:styleId="27">
    <w:name w:val="header"/>
    <w:basedOn w:val="1"/>
    <w:next w:val="1"/>
    <w:link w:val="53"/>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List"/>
    <w:basedOn w:val="1"/>
    <w:qFormat/>
    <w:uiPriority w:val="0"/>
    <w:pPr>
      <w:ind w:left="200" w:hanging="200" w:hangingChars="200"/>
    </w:pPr>
    <w:rPr>
      <w:sz w:val="28"/>
    </w:rPr>
  </w:style>
  <w:style w:type="paragraph" w:styleId="30">
    <w:name w:val="Body Text Indent 3"/>
    <w:basedOn w:val="1"/>
    <w:qFormat/>
    <w:uiPriority w:val="0"/>
    <w:pPr>
      <w:spacing w:after="120" w:afterLines="0"/>
      <w:ind w:left="420" w:leftChars="200"/>
    </w:pPr>
    <w:rPr>
      <w:sz w:val="16"/>
      <w:szCs w:val="16"/>
    </w:rPr>
  </w:style>
  <w:style w:type="paragraph" w:styleId="31">
    <w:name w:val="toc 2"/>
    <w:basedOn w:val="1"/>
    <w:next w:val="1"/>
    <w:qFormat/>
    <w:uiPriority w:val="0"/>
    <w:pPr>
      <w:ind w:left="420" w:leftChars="200"/>
    </w:pPr>
    <w:rPr>
      <w:szCs w:val="24"/>
    </w:rPr>
  </w:style>
  <w:style w:type="paragraph" w:styleId="32">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33">
    <w:name w:val="Body Text 2"/>
    <w:basedOn w:val="1"/>
    <w:qFormat/>
    <w:uiPriority w:val="0"/>
    <w:pPr>
      <w:spacing w:after="120" w:afterLines="0" w:line="480" w:lineRule="auto"/>
    </w:pPr>
  </w:style>
  <w:style w:type="paragraph" w:styleId="34">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35">
    <w:name w:val="index 1"/>
    <w:basedOn w:val="1"/>
    <w:next w:val="1"/>
    <w:semiHidden/>
    <w:qFormat/>
    <w:uiPriority w:val="0"/>
    <w:pPr>
      <w:spacing w:line="400" w:lineRule="exact"/>
      <w:ind w:firstLine="420" w:firstLineChars="200"/>
    </w:pPr>
    <w:rPr>
      <w:rFonts w:ascii="宋体" w:hAnsi="Courier New"/>
      <w:b/>
      <w:szCs w:val="20"/>
    </w:rPr>
  </w:style>
  <w:style w:type="paragraph" w:styleId="36">
    <w:name w:val="Title"/>
    <w:basedOn w:val="1"/>
    <w:next w:val="1"/>
    <w:link w:val="54"/>
    <w:qFormat/>
    <w:uiPriority w:val="0"/>
    <w:pPr>
      <w:spacing w:before="240" w:beforeLines="0" w:after="60" w:afterLines="0"/>
      <w:jc w:val="center"/>
      <w:outlineLvl w:val="0"/>
    </w:pPr>
    <w:rPr>
      <w:rFonts w:ascii="Cambria" w:hAnsi="Cambria"/>
      <w:b/>
      <w:bCs/>
      <w:sz w:val="32"/>
      <w:szCs w:val="32"/>
    </w:rPr>
  </w:style>
  <w:style w:type="paragraph" w:styleId="37">
    <w:name w:val="annotation subject"/>
    <w:basedOn w:val="16"/>
    <w:next w:val="16"/>
    <w:link w:val="55"/>
    <w:qFormat/>
    <w:uiPriority w:val="0"/>
    <w:rPr>
      <w:b/>
      <w:bCs/>
    </w:rPr>
  </w:style>
  <w:style w:type="paragraph" w:styleId="38">
    <w:name w:val="Body Text First Indent"/>
    <w:basedOn w:val="18"/>
    <w:qFormat/>
    <w:uiPriority w:val="0"/>
    <w:pPr>
      <w:spacing w:after="120" w:line="240" w:lineRule="auto"/>
      <w:ind w:firstLine="420" w:firstLineChars="100"/>
    </w:pPr>
    <w:rPr>
      <w:sz w:val="21"/>
    </w:rPr>
  </w:style>
  <w:style w:type="paragraph" w:styleId="39">
    <w:name w:val="Body Text First Indent 2"/>
    <w:basedOn w:val="19"/>
    <w:qFormat/>
    <w:uiPriority w:val="0"/>
    <w:pPr>
      <w:spacing w:after="0"/>
      <w:ind w:firstLine="420" w:firstLineChars="200"/>
    </w:pPr>
    <w:rPr>
      <w:szCs w:val="24"/>
    </w:rPr>
  </w:style>
  <w:style w:type="table" w:styleId="41">
    <w:name w:val="Table Grid"/>
    <w:basedOn w:val="4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page number"/>
    <w:qFormat/>
    <w:uiPriority w:val="0"/>
    <w:rPr>
      <w:rFonts w:ascii="Times New Roman" w:hAnsi="Times New Roman" w:eastAsia="宋体" w:cs="Times New Roman"/>
    </w:rPr>
  </w:style>
  <w:style w:type="character" w:styleId="44">
    <w:name w:val="FollowedHyperlink"/>
    <w:qFormat/>
    <w:uiPriority w:val="0"/>
    <w:rPr>
      <w:color w:val="0000CC"/>
      <w:sz w:val="18"/>
      <w:szCs w:val="18"/>
      <w:u w:val="single"/>
    </w:rPr>
  </w:style>
  <w:style w:type="character" w:styleId="45">
    <w:name w:val="Emphasis"/>
    <w:qFormat/>
    <w:uiPriority w:val="0"/>
    <w:rPr>
      <w:i/>
    </w:rPr>
  </w:style>
  <w:style w:type="character" w:styleId="46">
    <w:name w:val="Hyperlink"/>
    <w:qFormat/>
    <w:uiPriority w:val="99"/>
    <w:rPr>
      <w:color w:val="0000CC"/>
      <w:sz w:val="18"/>
      <w:szCs w:val="18"/>
      <w:u w:val="single"/>
    </w:rPr>
  </w:style>
  <w:style w:type="character" w:styleId="47">
    <w:name w:val="annotation reference"/>
    <w:qFormat/>
    <w:uiPriority w:val="0"/>
    <w:rPr>
      <w:sz w:val="21"/>
      <w:szCs w:val="21"/>
    </w:rPr>
  </w:style>
  <w:style w:type="character" w:customStyle="1" w:styleId="48">
    <w:name w:val="标题 1 字符"/>
    <w:link w:val="2"/>
    <w:qFormat/>
    <w:uiPriority w:val="0"/>
    <w:rPr>
      <w:rFonts w:eastAsia="宋体"/>
      <w:b/>
      <w:bCs/>
      <w:kern w:val="44"/>
      <w:sz w:val="44"/>
      <w:szCs w:val="44"/>
      <w:lang w:val="en-US" w:eastAsia="zh-CN" w:bidi="ar-SA"/>
    </w:rPr>
  </w:style>
  <w:style w:type="character" w:customStyle="1" w:styleId="49">
    <w:name w:val="标题 3 字符"/>
    <w:link w:val="4"/>
    <w:qFormat/>
    <w:uiPriority w:val="0"/>
    <w:rPr>
      <w:rFonts w:ascii="宋体" w:hAnsi="宋体"/>
      <w:b/>
      <w:sz w:val="27"/>
      <w:szCs w:val="27"/>
    </w:rPr>
  </w:style>
  <w:style w:type="character" w:customStyle="1" w:styleId="50">
    <w:name w:val="批注文字 字符1"/>
    <w:link w:val="16"/>
    <w:qFormat/>
    <w:uiPriority w:val="0"/>
    <w:rPr>
      <w:kern w:val="2"/>
      <w:sz w:val="21"/>
      <w:szCs w:val="24"/>
    </w:rPr>
  </w:style>
  <w:style w:type="character" w:customStyle="1" w:styleId="51">
    <w:name w:val="正文文本缩进 字符"/>
    <w:link w:val="19"/>
    <w:qFormat/>
    <w:uiPriority w:val="0"/>
    <w:rPr>
      <w:rFonts w:ascii="FangSong_GB2312" w:eastAsia="FangSong_GB2312"/>
      <w:kern w:val="2"/>
      <w:sz w:val="32"/>
    </w:rPr>
  </w:style>
  <w:style w:type="character" w:customStyle="1" w:styleId="52">
    <w:name w:val="纯文本 字符1"/>
    <w:link w:val="22"/>
    <w:qFormat/>
    <w:uiPriority w:val="0"/>
    <w:rPr>
      <w:rFonts w:ascii="宋体" w:hAnsi="Courier New" w:eastAsia="宋体" w:cs="Courier New"/>
      <w:kern w:val="2"/>
      <w:sz w:val="21"/>
      <w:szCs w:val="21"/>
      <w:lang w:val="en-US" w:eastAsia="zh-CN" w:bidi="ar-SA"/>
    </w:rPr>
  </w:style>
  <w:style w:type="character" w:customStyle="1" w:styleId="53">
    <w:name w:val="页眉 字符"/>
    <w:link w:val="27"/>
    <w:qFormat/>
    <w:uiPriority w:val="0"/>
    <w:rPr>
      <w:kern w:val="2"/>
      <w:sz w:val="18"/>
      <w:szCs w:val="18"/>
    </w:rPr>
  </w:style>
  <w:style w:type="character" w:customStyle="1" w:styleId="54">
    <w:name w:val="标题 字符"/>
    <w:link w:val="36"/>
    <w:qFormat/>
    <w:uiPriority w:val="0"/>
    <w:rPr>
      <w:rFonts w:ascii="Cambria" w:hAnsi="Cambria" w:cs="Times New Roman"/>
      <w:b/>
      <w:bCs/>
      <w:kern w:val="2"/>
      <w:sz w:val="32"/>
      <w:szCs w:val="32"/>
    </w:rPr>
  </w:style>
  <w:style w:type="character" w:customStyle="1" w:styleId="55">
    <w:name w:val="批注主题 字符"/>
    <w:link w:val="37"/>
    <w:qFormat/>
    <w:uiPriority w:val="0"/>
    <w:rPr>
      <w:b/>
      <w:bCs/>
      <w:kern w:val="2"/>
      <w:sz w:val="21"/>
      <w:szCs w:val="24"/>
    </w:rPr>
  </w:style>
  <w:style w:type="paragraph" w:customStyle="1" w:styleId="56">
    <w:name w:val="正文首行缩进 21"/>
    <w:basedOn w:val="57"/>
    <w:qFormat/>
    <w:uiPriority w:val="0"/>
    <w:pPr>
      <w:ind w:firstLine="420" w:firstLineChars="200"/>
    </w:pPr>
    <w:rPr>
      <w:rFonts w:ascii="Calibri" w:hAnsi="Calibri"/>
    </w:rPr>
  </w:style>
  <w:style w:type="paragraph" w:customStyle="1" w:styleId="57">
    <w:name w:val="Body Text Indent1"/>
    <w:basedOn w:val="1"/>
    <w:qFormat/>
    <w:uiPriority w:val="0"/>
    <w:pPr>
      <w:spacing w:after="120"/>
      <w:ind w:left="420" w:leftChars="200"/>
    </w:pPr>
  </w:style>
  <w:style w:type="paragraph" w:customStyle="1" w:styleId="5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9">
    <w:name w:val="ts_tip_2"/>
    <w:qFormat/>
    <w:uiPriority w:val="0"/>
    <w:rPr>
      <w:color w:val="E43023"/>
    </w:rPr>
  </w:style>
  <w:style w:type="character" w:customStyle="1" w:styleId="60">
    <w:name w:val="linebg"/>
    <w:qFormat/>
    <w:uiPriority w:val="0"/>
  </w:style>
  <w:style w:type="character" w:customStyle="1" w:styleId="61">
    <w:name w:val="普通文字 Char Char2"/>
    <w:qFormat/>
    <w:uiPriority w:val="0"/>
    <w:rPr>
      <w:rFonts w:ascii="宋体" w:hAnsi="Courier New" w:eastAsia="宋体"/>
      <w:kern w:val="2"/>
      <w:sz w:val="21"/>
      <w:lang w:val="en-US" w:eastAsia="zh-CN" w:bidi="ar-SA"/>
    </w:rPr>
  </w:style>
  <w:style w:type="character" w:customStyle="1" w:styleId="62">
    <w:name w:val="bus_type_tip"/>
    <w:qFormat/>
    <w:uiPriority w:val="0"/>
    <w:rPr>
      <w:color w:val="FFFFFF"/>
      <w:sz w:val="18"/>
      <w:szCs w:val="18"/>
    </w:rPr>
  </w:style>
  <w:style w:type="character" w:customStyle="1" w:styleId="63">
    <w:name w:val="linebg_on1"/>
    <w:qFormat/>
    <w:uiPriority w:val="0"/>
  </w:style>
  <w:style w:type="character" w:customStyle="1" w:styleId="64">
    <w:name w:val="ts_tip_1"/>
    <w:qFormat/>
    <w:uiPriority w:val="0"/>
    <w:rPr>
      <w:color w:val="468B02"/>
    </w:rPr>
  </w:style>
  <w:style w:type="character" w:customStyle="1" w:styleId="65">
    <w:name w:val="linebg1"/>
    <w:qFormat/>
    <w:uiPriority w:val="0"/>
  </w:style>
  <w:style w:type="character" w:customStyle="1" w:styleId="66">
    <w:name w:val="redfilefwwh"/>
    <w:qFormat/>
    <w:uiPriority w:val="0"/>
    <w:rPr>
      <w:color w:val="BA2636"/>
      <w:sz w:val="18"/>
      <w:szCs w:val="18"/>
    </w:rPr>
  </w:style>
  <w:style w:type="character" w:customStyle="1" w:styleId="67">
    <w:name w:val="map_taglist"/>
    <w:qFormat/>
    <w:uiPriority w:val="0"/>
    <w:rPr>
      <w:color w:val="666666"/>
    </w:rPr>
  </w:style>
  <w:style w:type="character" w:customStyle="1" w:styleId="68">
    <w:name w:val="bus_type_3"/>
    <w:qFormat/>
    <w:uiPriority w:val="0"/>
    <w:rPr>
      <w:shd w:val="clear" w:color="auto" w:fill="43CC8D"/>
    </w:rPr>
  </w:style>
  <w:style w:type="character" w:customStyle="1" w:styleId="69">
    <w:name w:val="active3"/>
    <w:qFormat/>
    <w:uiPriority w:val="0"/>
    <w:rPr>
      <w:shd w:val="clear" w:color="auto" w:fill="FFFFFF"/>
    </w:rPr>
  </w:style>
  <w:style w:type="character" w:customStyle="1" w:styleId="70">
    <w:name w:val="gjfg"/>
    <w:qFormat/>
    <w:uiPriority w:val="0"/>
  </w:style>
  <w:style w:type="character" w:customStyle="1" w:styleId="71">
    <w:name w:val="displayarti"/>
    <w:qFormat/>
    <w:uiPriority w:val="0"/>
    <w:rPr>
      <w:color w:val="FFFFFF"/>
      <w:shd w:val="clear" w:color="auto" w:fill="A00000"/>
    </w:rPr>
  </w:style>
  <w:style w:type="character" w:customStyle="1" w:styleId="72">
    <w:name w:val="linebg_on"/>
    <w:qFormat/>
    <w:uiPriority w:val="0"/>
  </w:style>
  <w:style w:type="character" w:customStyle="1" w:styleId="73">
    <w:name w:val="redfilenumber"/>
    <w:qFormat/>
    <w:uiPriority w:val="0"/>
    <w:rPr>
      <w:color w:val="BA2636"/>
      <w:sz w:val="18"/>
      <w:szCs w:val="18"/>
    </w:rPr>
  </w:style>
  <w:style w:type="character" w:customStyle="1" w:styleId="74">
    <w:name w:val="cfdate"/>
    <w:qFormat/>
    <w:uiPriority w:val="0"/>
    <w:rPr>
      <w:color w:val="333333"/>
      <w:sz w:val="18"/>
      <w:szCs w:val="18"/>
    </w:rPr>
  </w:style>
  <w:style w:type="character" w:customStyle="1" w:styleId="75">
    <w:name w:val="bus_type_2"/>
    <w:qFormat/>
    <w:uiPriority w:val="0"/>
    <w:rPr>
      <w:shd w:val="clear" w:color="auto" w:fill="FF4141"/>
    </w:rPr>
  </w:style>
  <w:style w:type="character" w:customStyle="1" w:styleId="76">
    <w:name w:val="bus_type_0"/>
    <w:qFormat/>
    <w:uiPriority w:val="0"/>
    <w:rPr>
      <w:shd w:val="clear" w:color="auto" w:fill="FF8853"/>
    </w:rPr>
  </w:style>
  <w:style w:type="character" w:customStyle="1" w:styleId="77">
    <w:name w:val="qxdate"/>
    <w:qFormat/>
    <w:uiPriority w:val="0"/>
    <w:rPr>
      <w:color w:val="333333"/>
      <w:sz w:val="18"/>
      <w:szCs w:val="18"/>
    </w:rPr>
  </w:style>
  <w:style w:type="character" w:customStyle="1" w:styleId="78">
    <w:name w:val="time_dis"/>
    <w:qFormat/>
    <w:uiPriority w:val="0"/>
  </w:style>
  <w:style w:type="character" w:customStyle="1" w:styleId="79">
    <w:name w:val="hover42"/>
    <w:qFormat/>
    <w:uiPriority w:val="0"/>
    <w:rPr>
      <w:bdr w:val="single" w:color="999999" w:sz="6" w:space="0"/>
    </w:rPr>
  </w:style>
  <w:style w:type="character" w:customStyle="1" w:styleId="80">
    <w:name w:val="input_span11"/>
    <w:qFormat/>
    <w:uiPriority w:val="0"/>
  </w:style>
  <w:style w:type="character" w:customStyle="1" w:styleId="81">
    <w:name w:val="bus_type_4"/>
    <w:qFormat/>
    <w:uiPriority w:val="0"/>
    <w:rPr>
      <w:shd w:val="clear" w:color="auto" w:fill="333F89"/>
    </w:rPr>
  </w:style>
  <w:style w:type="character" w:customStyle="1" w:styleId="82">
    <w:name w:val="纯文本 字符"/>
    <w:qFormat/>
    <w:uiPriority w:val="0"/>
    <w:rPr>
      <w:rFonts w:ascii="宋体" w:hAnsi="Courier New" w:eastAsia="宋体" w:cs="Courier New"/>
      <w:kern w:val="2"/>
      <w:sz w:val="21"/>
      <w:szCs w:val="21"/>
      <w:lang w:val="en-US" w:eastAsia="zh-CN" w:bidi="ar-SA"/>
    </w:rPr>
  </w:style>
  <w:style w:type="character" w:customStyle="1" w:styleId="83">
    <w:name w:val="active4"/>
    <w:qFormat/>
    <w:uiPriority w:val="0"/>
    <w:rPr>
      <w:shd w:val="clear" w:color="auto" w:fill="FFFFFF"/>
    </w:rPr>
  </w:style>
  <w:style w:type="character" w:customStyle="1" w:styleId="84">
    <w:name w:val="样式1 Char"/>
    <w:link w:val="85"/>
    <w:qFormat/>
    <w:uiPriority w:val="0"/>
    <w:rPr>
      <w:rFonts w:eastAsia="宋体"/>
      <w:kern w:val="2"/>
      <w:sz w:val="21"/>
      <w:szCs w:val="24"/>
      <w:lang w:val="en-US" w:eastAsia="zh-CN" w:bidi="ar-SA"/>
    </w:rPr>
  </w:style>
  <w:style w:type="paragraph" w:customStyle="1" w:styleId="85">
    <w:name w:val="样式1"/>
    <w:basedOn w:val="1"/>
    <w:link w:val="84"/>
    <w:qFormat/>
    <w:uiPriority w:val="0"/>
  </w:style>
  <w:style w:type="character" w:customStyle="1" w:styleId="86">
    <w:name w:val="generalinfo-address-text1"/>
    <w:qFormat/>
    <w:uiPriority w:val="0"/>
    <w:rPr>
      <w:sz w:val="18"/>
      <w:szCs w:val="18"/>
    </w:rPr>
  </w:style>
  <w:style w:type="character" w:customStyle="1" w:styleId="87">
    <w:name w:val="1ji Char"/>
    <w:link w:val="88"/>
    <w:qFormat/>
    <w:uiPriority w:val="0"/>
    <w:rPr>
      <w:rFonts w:ascii="宋体" w:hAnsi="宋体" w:eastAsia="宋体"/>
      <w:b/>
      <w:bCs/>
      <w:kern w:val="44"/>
      <w:sz w:val="36"/>
      <w:szCs w:val="44"/>
      <w:lang w:val="en-US" w:eastAsia="zh-CN" w:bidi="ar-SA"/>
    </w:rPr>
  </w:style>
  <w:style w:type="paragraph" w:customStyle="1" w:styleId="88">
    <w:name w:val="1ji"/>
    <w:basedOn w:val="2"/>
    <w:link w:val="87"/>
    <w:qFormat/>
    <w:uiPriority w:val="0"/>
    <w:pPr>
      <w:keepLines w:val="0"/>
      <w:widowControl/>
      <w:spacing w:before="0" w:beforeLines="0" w:after="0" w:afterLines="0" w:line="240" w:lineRule="auto"/>
      <w:jc w:val="center"/>
    </w:pPr>
    <w:rPr>
      <w:rFonts w:ascii="宋体" w:hAnsi="宋体"/>
      <w:sz w:val="36"/>
    </w:rPr>
  </w:style>
  <w:style w:type="character" w:customStyle="1" w:styleId="89">
    <w:name w:val="自定义标题一 Char"/>
    <w:link w:val="90"/>
    <w:qFormat/>
    <w:uiPriority w:val="0"/>
    <w:rPr>
      <w:rFonts w:ascii="黑体" w:hAnsi="黑体" w:eastAsia="黑体"/>
      <w:b/>
      <w:bCs/>
      <w:kern w:val="44"/>
      <w:sz w:val="44"/>
      <w:szCs w:val="44"/>
      <w14:shadow w14:blurRad="50800" w14:dist="38100" w14:dir="2700000" w14:sx="100000" w14:sy="100000" w14:kx="0" w14:ky="0" w14:algn="tl">
        <w14:srgbClr w14:val="000000">
          <w14:alpha w14:val="60000"/>
        </w14:srgbClr>
      </w14:shadow>
    </w:rPr>
  </w:style>
  <w:style w:type="paragraph" w:customStyle="1" w:styleId="90">
    <w:name w:val="自定义标题一"/>
    <w:basedOn w:val="2"/>
    <w:link w:val="89"/>
    <w:qFormat/>
    <w:uiPriority w:val="0"/>
    <w:pPr>
      <w:pageBreakBefore/>
      <w:tabs>
        <w:tab w:val="left" w:pos="144"/>
      </w:tabs>
      <w:spacing w:before="0" w:beforeLines="0" w:after="0" w:afterLines="0" w:line="360" w:lineRule="auto"/>
      <w:ind w:left="144" w:hanging="144"/>
      <w:jc w:val="center"/>
    </w:pPr>
    <w:rPr>
      <w:rFonts w:ascii="黑体" w:hAnsi="黑体" w:eastAsia="黑体"/>
      <w14:shadow w14:blurRad="50800" w14:dist="38100" w14:dir="2700000" w14:sx="100000" w14:sy="100000" w14:kx="0" w14:ky="0" w14:algn="tl">
        <w14:srgbClr w14:val="000000">
          <w14:alpha w14:val="60000"/>
        </w14:srgbClr>
      </w14:shadow>
    </w:rPr>
  </w:style>
  <w:style w:type="character" w:customStyle="1" w:styleId="91">
    <w:name w:val="font21"/>
    <w:qFormat/>
    <w:uiPriority w:val="0"/>
    <w:rPr>
      <w:rFonts w:hint="default" w:ascii="Times New Roman" w:hAnsi="Times New Roman" w:cs="Times New Roman"/>
      <w:color w:val="000000"/>
      <w:sz w:val="21"/>
      <w:szCs w:val="21"/>
      <w:u w:val="none"/>
    </w:rPr>
  </w:style>
  <w:style w:type="character" w:customStyle="1" w:styleId="92">
    <w:name w:val="普通文字 Char Char3"/>
    <w:qFormat/>
    <w:uiPriority w:val="0"/>
    <w:rPr>
      <w:rFonts w:ascii="宋体" w:hAnsi="Courier New" w:eastAsia="宋体" w:cs="Courier New"/>
      <w:kern w:val="2"/>
      <w:sz w:val="21"/>
      <w:szCs w:val="21"/>
      <w:lang w:val="en-US" w:eastAsia="zh-CN" w:bidi="ar-SA"/>
    </w:rPr>
  </w:style>
  <w:style w:type="character" w:customStyle="1" w:styleId="93">
    <w:name w:val="curpage"/>
    <w:qFormat/>
    <w:uiPriority w:val="0"/>
    <w:rPr>
      <w:b/>
    </w:rPr>
  </w:style>
  <w:style w:type="character" w:customStyle="1" w:styleId="94">
    <w:name w:val="纯文本 Char1"/>
    <w:qFormat/>
    <w:uiPriority w:val="0"/>
    <w:rPr>
      <w:rFonts w:ascii="宋体" w:hAnsi="Courier New" w:eastAsia="宋体" w:cs="Courier New"/>
      <w:kern w:val="2"/>
      <w:sz w:val="21"/>
      <w:szCs w:val="21"/>
      <w:lang w:val="en-US" w:eastAsia="zh-CN" w:bidi="ar-SA"/>
    </w:rPr>
  </w:style>
  <w:style w:type="character" w:customStyle="1" w:styleId="95">
    <w:name w:val="apple-style-span"/>
    <w:qFormat/>
    <w:uiPriority w:val="99"/>
  </w:style>
  <w:style w:type="paragraph" w:customStyle="1" w:styleId="96">
    <w:name w:val="Char"/>
    <w:basedOn w:val="15"/>
    <w:qFormat/>
    <w:uiPriority w:val="0"/>
    <w:pPr>
      <w:widowControl/>
      <w:ind w:firstLine="454"/>
      <w:jc w:val="left"/>
    </w:pPr>
    <w:rPr>
      <w:rFonts w:ascii="Tahoma" w:hAnsi="Tahoma" w:cs="宋体"/>
      <w:kern w:val="0"/>
      <w:sz w:val="24"/>
      <w:szCs w:val="20"/>
    </w:rPr>
  </w:style>
  <w:style w:type="paragraph" w:customStyle="1" w:styleId="97">
    <w:name w:val="正文段"/>
    <w:basedOn w:val="1"/>
    <w:qFormat/>
    <w:uiPriority w:val="0"/>
    <w:pPr>
      <w:widowControl/>
      <w:snapToGrid w:val="0"/>
      <w:spacing w:after="156" w:afterLines="50"/>
      <w:ind w:firstLine="200" w:firstLineChars="200"/>
    </w:pPr>
    <w:rPr>
      <w:kern w:val="0"/>
      <w:sz w:val="24"/>
      <w:szCs w:val="20"/>
    </w:rPr>
  </w:style>
  <w:style w:type="paragraph" w:customStyle="1" w:styleId="98">
    <w:name w:val="_Style 97"/>
    <w:basedOn w:val="2"/>
    <w:next w:val="1"/>
    <w:qFormat/>
    <w:uiPriority w:val="39"/>
    <w:pPr>
      <w:widowControl/>
      <w:spacing w:before="480" w:beforeLines="0" w:after="0" w:afterLines="0" w:line="276" w:lineRule="auto"/>
      <w:jc w:val="left"/>
      <w:outlineLvl w:val="9"/>
    </w:pPr>
    <w:rPr>
      <w:rFonts w:ascii="Cambria" w:hAnsi="Cambria" w:eastAsia="宋体" w:cs="Times New Roman"/>
      <w:color w:val="365F91"/>
      <w:kern w:val="0"/>
      <w:sz w:val="28"/>
      <w:szCs w:val="28"/>
    </w:rPr>
  </w:style>
  <w:style w:type="paragraph" w:customStyle="1" w:styleId="99">
    <w:name w:val="_Style 35"/>
    <w:basedOn w:val="15"/>
    <w:qFormat/>
    <w:uiPriority w:val="0"/>
    <w:pPr>
      <w:widowControl/>
      <w:ind w:firstLine="454"/>
      <w:jc w:val="left"/>
    </w:pPr>
  </w:style>
  <w:style w:type="paragraph" w:customStyle="1" w:styleId="100">
    <w:name w:val="表内文字"/>
    <w:basedOn w:val="1"/>
    <w:qFormat/>
    <w:uiPriority w:val="0"/>
    <w:pPr>
      <w:snapToGrid w:val="0"/>
      <w:spacing w:before="50" w:beforeLines="0" w:after="50" w:afterLines="0"/>
      <w:jc w:val="center"/>
    </w:pPr>
    <w:rPr>
      <w:rFonts w:ascii="FangSong_GB2312" w:hAnsi="宋体" w:eastAsia="FangSong_GB2312"/>
      <w:b/>
      <w:color w:val="000000"/>
      <w:sz w:val="32"/>
      <w:szCs w:val="32"/>
    </w:rPr>
  </w:style>
  <w:style w:type="paragraph" w:customStyle="1" w:styleId="101">
    <w:name w:val="列出段落1"/>
    <w:basedOn w:val="1"/>
    <w:qFormat/>
    <w:uiPriority w:val="0"/>
    <w:pPr>
      <w:spacing w:line="312" w:lineRule="auto"/>
      <w:ind w:firstLine="420" w:firstLineChars="200"/>
    </w:pPr>
  </w:style>
  <w:style w:type="paragraph" w:customStyle="1" w:styleId="102">
    <w:name w:val="1"/>
    <w:basedOn w:val="1"/>
    <w:next w:val="22"/>
    <w:qFormat/>
    <w:uiPriority w:val="0"/>
    <w:rPr>
      <w:rFonts w:ascii="宋体" w:hAnsi="Courier New"/>
      <w:szCs w:val="20"/>
    </w:rPr>
  </w:style>
  <w:style w:type="paragraph" w:customStyle="1" w:styleId="103">
    <w:name w:val=" Char"/>
    <w:basedOn w:val="15"/>
    <w:qFormat/>
    <w:uiPriority w:val="0"/>
    <w:pPr>
      <w:widowControl/>
      <w:ind w:firstLine="454"/>
      <w:jc w:val="left"/>
    </w:pPr>
    <w:rPr>
      <w:rFonts w:ascii="Tahoma" w:hAnsi="Tahoma" w:cs="宋体"/>
      <w:kern w:val="0"/>
      <w:sz w:val="24"/>
      <w:szCs w:val="20"/>
    </w:rPr>
  </w:style>
  <w:style w:type="paragraph" w:customStyle="1" w:styleId="104">
    <w:name w:val="xl31"/>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105">
    <w:name w:val="_Style 10"/>
    <w:basedOn w:val="1"/>
    <w:qFormat/>
    <w:uiPriority w:val="0"/>
    <w:pPr>
      <w:ind w:firstLine="420" w:firstLineChars="200"/>
    </w:pPr>
    <w:rPr>
      <w:rFonts w:ascii="Calibri" w:hAnsi="Calibri"/>
      <w:szCs w:val="20"/>
    </w:rPr>
  </w:style>
  <w:style w:type="paragraph" w:customStyle="1" w:styleId="106">
    <w:name w:val="List Paragraph1"/>
    <w:basedOn w:val="1"/>
    <w:qFormat/>
    <w:uiPriority w:val="34"/>
    <w:pPr>
      <w:widowControl/>
      <w:ind w:firstLine="420" w:firstLineChars="200"/>
      <w:jc w:val="left"/>
    </w:pPr>
    <w:rPr>
      <w:rFonts w:ascii="宋体" w:hAnsi="宋体" w:cs="宋体"/>
      <w:kern w:val="0"/>
    </w:rPr>
  </w:style>
  <w:style w:type="paragraph" w:customStyle="1" w:styleId="107">
    <w:name w:val="默认段落字体 Para Char Char Char Char Char Char Char Char Char1 Char Char Char Char"/>
    <w:basedOn w:val="1"/>
    <w:qFormat/>
    <w:uiPriority w:val="0"/>
    <w:rPr>
      <w:rFonts w:ascii="Tahoma" w:hAnsi="Tahoma"/>
      <w:sz w:val="24"/>
      <w:szCs w:val="20"/>
    </w:rPr>
  </w:style>
  <w:style w:type="paragraph" w:styleId="108">
    <w:name w:val="List Paragraph"/>
    <w:basedOn w:val="1"/>
    <w:qFormat/>
    <w:uiPriority w:val="34"/>
    <w:pPr>
      <w:ind w:firstLine="420" w:firstLineChars="200"/>
    </w:pPr>
  </w:style>
  <w:style w:type="paragraph" w:customStyle="1" w:styleId="109">
    <w:name w:val="_Style 108"/>
    <w:unhideWhenUsed/>
    <w:qFormat/>
    <w:uiPriority w:val="99"/>
    <w:rPr>
      <w:rFonts w:ascii="Times New Roman" w:hAnsi="Times New Roman" w:eastAsia="宋体" w:cs="Times New Roman"/>
      <w:kern w:val="2"/>
      <w:sz w:val="21"/>
      <w:szCs w:val="24"/>
      <w:lang w:val="en-US" w:eastAsia="zh-CN" w:bidi="ar-SA"/>
    </w:rPr>
  </w:style>
  <w:style w:type="character" w:customStyle="1" w:styleId="110">
    <w:name w:val="批注文字 字符"/>
    <w:qFormat/>
    <w:uiPriority w:val="0"/>
    <w:rPr>
      <w:kern w:val="2"/>
      <w:sz w:val="21"/>
      <w:szCs w:val="24"/>
    </w:rPr>
  </w:style>
  <w:style w:type="paragraph" w:customStyle="1" w:styleId="111">
    <w:name w:val="p15"/>
    <w:basedOn w:val="1"/>
    <w:qFormat/>
    <w:uiPriority w:val="0"/>
    <w:pPr>
      <w:widowControl/>
    </w:pPr>
    <w:rPr>
      <w:rFonts w:ascii="宋体" w:hAnsi="宋体" w:cs="宋体"/>
      <w:kern w:val="0"/>
      <w:szCs w:val="21"/>
    </w:rPr>
  </w:style>
  <w:style w:type="character" w:customStyle="1" w:styleId="112">
    <w:name w:val="纯文本 Char2"/>
    <w:qFormat/>
    <w:uiPriority w:val="0"/>
    <w:rPr>
      <w:rFonts w:ascii="宋体" w:hAnsi="宋体" w:eastAsia="宋体" w:cs="Courier New"/>
      <w:color w:val="000000"/>
      <w:kern w:val="1"/>
      <w:sz w:val="21"/>
      <w:szCs w:val="21"/>
      <w:lang w:val="en-US" w:eastAsia="zh-CN" w:bidi="ar-SA"/>
    </w:rPr>
  </w:style>
  <w:style w:type="paragraph" w:customStyle="1" w:styleId="113">
    <w:name w:val="Heading1"/>
    <w:basedOn w:val="1"/>
    <w:next w:val="1"/>
    <w:qFormat/>
    <w:uiPriority w:val="0"/>
    <w:pPr>
      <w:spacing w:before="43"/>
      <w:jc w:val="center"/>
      <w:textAlignment w:val="baseline"/>
    </w:pPr>
    <w:rPr>
      <w:rFonts w:ascii="黑体" w:hAnsi="黑体" w:eastAsia="黑体" w:cs="黑体"/>
      <w:b/>
      <w:bCs/>
      <w:sz w:val="32"/>
      <w:szCs w:val="32"/>
      <w:lang w:val="zh-CN" w:bidi="zh-CN"/>
    </w:rPr>
  </w:style>
  <w:style w:type="paragraph" w:customStyle="1" w:styleId="114">
    <w:name w:val="PlainText"/>
    <w:basedOn w:val="1"/>
    <w:qFormat/>
    <w:uiPriority w:val="0"/>
    <w:pPr>
      <w:widowControl/>
      <w:textAlignment w:val="baseline"/>
    </w:pPr>
    <w:rPr>
      <w:rFonts w:ascii="宋体" w:hAnsi="宋体" w:cs="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73</Pages>
  <Words>23545</Words>
  <Characters>26005</Characters>
  <Lines>392</Lines>
  <Paragraphs>110</Paragraphs>
  <TotalTime>10</TotalTime>
  <ScaleCrop>false</ScaleCrop>
  <LinksUpToDate>false</LinksUpToDate>
  <CharactersWithSpaces>26353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2017-11-03T00:55:00Z</dcterms:created>
  <dc:creator>聂泉源</dc:creator>
  <cp:lastModifiedBy>Admin</cp:lastModifiedBy>
  <cp:lastPrinted>2017-08-14T00:48:00Z</cp:lastPrinted>
  <dcterms:modified xsi:type="dcterms:W3CDTF">2024-12-12T07:36:38Z</dcterms:modified>
  <dc:title>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3E91E00080094CDDAC6F351408133ABD_13</vt:lpwstr>
  </property>
</Properties>
</file>