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88CBD">
      <w:pPr>
        <w:spacing w:line="360" w:lineRule="auto"/>
        <w:jc w:val="center"/>
        <w:rPr>
          <w:rFonts w:hint="eastAsia" w:ascii="宋体" w:hAnsi="宋体" w:eastAsia="宋体" w:cs="宋体"/>
          <w:color w:val="auto"/>
          <w:sz w:val="52"/>
          <w:szCs w:val="52"/>
          <w:highlight w:val="none"/>
        </w:rPr>
      </w:pPr>
    </w:p>
    <w:p w14:paraId="4706E4A6">
      <w:pPr>
        <w:spacing w:line="360" w:lineRule="auto"/>
        <w:jc w:val="center"/>
        <w:rPr>
          <w:rFonts w:hint="eastAsia" w:ascii="宋体" w:hAnsi="宋体" w:eastAsia="宋体" w:cs="宋体"/>
          <w:color w:val="auto"/>
          <w:sz w:val="56"/>
          <w:szCs w:val="28"/>
          <w:highlight w:val="none"/>
        </w:rPr>
      </w:pPr>
      <w:r>
        <w:rPr>
          <w:rFonts w:hint="eastAsia" w:ascii="宋体" w:hAnsi="宋体" w:eastAsia="宋体" w:cs="宋体"/>
          <w:b/>
          <w:bCs/>
          <w:color w:val="auto"/>
          <w:sz w:val="72"/>
          <w:szCs w:val="32"/>
          <w:highlight w:val="none"/>
          <w:lang w:eastAsia="zh-CN"/>
        </w:rPr>
        <w:t>广西汉昌工程咨询有限公司</w:t>
      </w:r>
      <w:r>
        <w:rPr>
          <w:rFonts w:hint="eastAsia" w:ascii="宋体" w:hAnsi="宋体" w:eastAsia="宋体" w:cs="宋体"/>
          <w:color w:val="auto"/>
          <w:sz w:val="56"/>
          <w:szCs w:val="28"/>
          <w:highlight w:val="none"/>
        </w:rPr>
        <w:cr/>
      </w:r>
    </w:p>
    <w:p w14:paraId="0B69E2DC">
      <w:pPr>
        <w:pStyle w:val="28"/>
        <w:rPr>
          <w:rFonts w:hint="eastAsia" w:ascii="宋体" w:hAnsi="宋体" w:eastAsia="宋体" w:cs="宋体"/>
          <w:color w:val="auto"/>
          <w:highlight w:val="none"/>
        </w:rPr>
      </w:pPr>
    </w:p>
    <w:p w14:paraId="486298AF">
      <w:pPr>
        <w:pStyle w:val="24"/>
        <w:snapToGrid w:val="0"/>
        <w:spacing w:before="120" w:after="120" w:line="360" w:lineRule="auto"/>
        <w:jc w:val="center"/>
        <w:rPr>
          <w:rFonts w:hint="eastAsia" w:ascii="宋体" w:hAnsi="宋体" w:eastAsia="宋体" w:cs="宋体"/>
          <w:b/>
          <w:color w:val="auto"/>
          <w:sz w:val="84"/>
          <w:szCs w:val="84"/>
          <w:highlight w:val="none"/>
        </w:rPr>
      </w:pPr>
      <w:r>
        <w:rPr>
          <w:rFonts w:hint="eastAsia" w:ascii="宋体" w:hAnsi="宋体" w:eastAsia="宋体" w:cs="宋体"/>
          <w:color w:val="auto"/>
          <w:sz w:val="84"/>
          <w:szCs w:val="84"/>
          <w:highlight w:val="none"/>
        </w:rPr>
        <w:drawing>
          <wp:inline distT="0" distB="0" distL="114300" distR="114300">
            <wp:extent cx="4781550" cy="1638300"/>
            <wp:effectExtent l="0" t="0" r="0" b="0"/>
            <wp:docPr id="6" name="图片 1" descr="QQ截图2022062718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截图20220627182503"/>
                    <pic:cNvPicPr>
                      <a:picLocks noChangeAspect="1"/>
                    </pic:cNvPicPr>
                  </pic:nvPicPr>
                  <pic:blipFill>
                    <a:blip r:embed="rId11" cstate="print"/>
                    <a:stretch>
                      <a:fillRect/>
                    </a:stretch>
                  </pic:blipFill>
                  <pic:spPr>
                    <a:xfrm>
                      <a:off x="0" y="0"/>
                      <a:ext cx="4781550" cy="1638300"/>
                    </a:xfrm>
                    <a:prstGeom prst="rect">
                      <a:avLst/>
                    </a:prstGeom>
                    <a:noFill/>
                    <a:ln>
                      <a:noFill/>
                    </a:ln>
                  </pic:spPr>
                </pic:pic>
              </a:graphicData>
            </a:graphic>
          </wp:inline>
        </w:drawing>
      </w:r>
    </w:p>
    <w:p w14:paraId="4B7E2D0A">
      <w:pPr>
        <w:pStyle w:val="24"/>
        <w:snapToGrid w:val="0"/>
        <w:spacing w:before="120" w:after="120" w:line="360" w:lineRule="auto"/>
        <w:rPr>
          <w:rFonts w:hint="eastAsia" w:ascii="宋体" w:hAnsi="宋体" w:eastAsia="宋体" w:cs="宋体"/>
          <w:b/>
          <w:color w:val="auto"/>
          <w:sz w:val="84"/>
          <w:szCs w:val="84"/>
          <w:highlight w:val="none"/>
        </w:rPr>
      </w:pPr>
    </w:p>
    <w:p w14:paraId="685B6EDC">
      <w:pPr>
        <w:pStyle w:val="24"/>
        <w:snapToGrid w:val="0"/>
        <w:spacing w:before="120" w:after="120"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14:paraId="68140B37">
      <w:pPr>
        <w:pStyle w:val="24"/>
        <w:spacing w:line="360" w:lineRule="auto"/>
        <w:rPr>
          <w:rFonts w:hint="eastAsia" w:ascii="宋体" w:hAnsi="宋体" w:eastAsia="宋体" w:cs="宋体"/>
          <w:color w:val="auto"/>
          <w:highlight w:val="none"/>
        </w:rPr>
      </w:pPr>
    </w:p>
    <w:p w14:paraId="56360B80">
      <w:pPr>
        <w:spacing w:line="360" w:lineRule="auto"/>
        <w:ind w:firstLine="643" w:firstLineChars="200"/>
        <w:rPr>
          <w:rFonts w:hint="eastAsia" w:ascii="宋体" w:hAnsi="宋体" w:eastAsia="宋体" w:cs="宋体"/>
          <w:b/>
          <w:color w:val="auto"/>
          <w:sz w:val="32"/>
          <w:szCs w:val="32"/>
          <w:highlight w:val="none"/>
        </w:rPr>
      </w:pPr>
    </w:p>
    <w:p w14:paraId="03B489E7">
      <w:pPr>
        <w:spacing w:line="36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lang w:eastAsia="zh-CN"/>
        </w:rPr>
        <w:t>教育部纵向课题成果培育项目</w:t>
      </w:r>
    </w:p>
    <w:p w14:paraId="3EC6BF2F">
      <w:pPr>
        <w:spacing w:line="36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项目编号：GXZC2024-C3-006358-HCZX</w:t>
      </w:r>
      <w:r>
        <w:rPr>
          <w:rFonts w:hint="eastAsia" w:ascii="宋体" w:hAnsi="宋体" w:eastAsia="宋体" w:cs="宋体"/>
          <w:b/>
          <w:color w:val="auto"/>
          <w:sz w:val="32"/>
          <w:szCs w:val="32"/>
          <w:highlight w:val="none"/>
          <w:lang w:eastAsia="zh-CN"/>
        </w:rPr>
        <w:t xml:space="preserve">    </w:t>
      </w:r>
    </w:p>
    <w:p w14:paraId="759DE1C0">
      <w:pPr>
        <w:spacing w:line="36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eastAsia="宋体" w:cs="宋体"/>
          <w:b/>
          <w:color w:val="auto"/>
          <w:sz w:val="32"/>
          <w:szCs w:val="32"/>
          <w:highlight w:val="none"/>
          <w:lang w:eastAsia="zh-CN"/>
        </w:rPr>
        <w:t>广西农业工程职业技术学院</w:t>
      </w:r>
    </w:p>
    <w:p w14:paraId="64C9BC83">
      <w:pPr>
        <w:spacing w:line="36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广西汉昌工程咨询有限公司</w:t>
      </w:r>
    </w:p>
    <w:p w14:paraId="1DBB3A88">
      <w:pPr>
        <w:spacing w:line="360" w:lineRule="auto"/>
        <w:ind w:firstLine="643" w:firstLineChars="200"/>
        <w:jc w:val="center"/>
        <w:rPr>
          <w:rFonts w:hint="eastAsia" w:ascii="宋体" w:hAnsi="宋体" w:eastAsia="宋体" w:cs="宋体"/>
          <w:b/>
          <w:color w:val="auto"/>
          <w:sz w:val="32"/>
          <w:szCs w:val="32"/>
          <w:highlight w:val="none"/>
        </w:rPr>
      </w:pPr>
    </w:p>
    <w:p w14:paraId="64FF70CE">
      <w:pPr>
        <w:spacing w:line="360" w:lineRule="auto"/>
        <w:ind w:firstLine="643" w:firstLineChars="200"/>
        <w:jc w:val="center"/>
        <w:rPr>
          <w:rFonts w:hint="eastAsia" w:ascii="宋体" w:hAnsi="宋体" w:eastAsia="宋体" w:cs="宋体"/>
          <w:b/>
          <w:color w:val="auto"/>
          <w:sz w:val="32"/>
          <w:szCs w:val="32"/>
          <w:highlight w:val="none"/>
        </w:rPr>
        <w:sectPr>
          <w:headerReference r:id="rId3" w:type="default"/>
          <w:pgSz w:w="11906" w:h="16838"/>
          <w:pgMar w:top="1134" w:right="1134" w:bottom="1134" w:left="1134" w:header="851" w:footer="992" w:gutter="0"/>
          <w:cols w:space="720" w:num="1"/>
          <w:docGrid w:type="lines" w:linePitch="312" w:charSpace="0"/>
        </w:sectPr>
      </w:pPr>
      <w:r>
        <w:rPr>
          <w:rFonts w:hint="eastAsia" w:ascii="宋体" w:hAnsi="宋体" w:eastAsia="宋体" w:cs="宋体"/>
          <w:b/>
          <w:color w:val="auto"/>
          <w:sz w:val="32"/>
          <w:szCs w:val="32"/>
          <w:highlight w:val="none"/>
        </w:rPr>
        <w:t>2024年</w:t>
      </w:r>
      <w:r>
        <w:rPr>
          <w:rFonts w:hint="eastAsia" w:ascii="宋体" w:hAnsi="宋体" w:cs="宋体"/>
          <w:b/>
          <w:color w:val="auto"/>
          <w:sz w:val="32"/>
          <w:szCs w:val="32"/>
          <w:highlight w:val="none"/>
          <w:lang w:val="en-US" w:eastAsia="zh-CN"/>
        </w:rPr>
        <w:t>12</w:t>
      </w:r>
      <w:r>
        <w:rPr>
          <w:rFonts w:hint="eastAsia" w:ascii="宋体" w:hAnsi="宋体" w:eastAsia="宋体" w:cs="宋体"/>
          <w:b/>
          <w:color w:val="auto"/>
          <w:sz w:val="32"/>
          <w:szCs w:val="32"/>
          <w:highlight w:val="none"/>
        </w:rPr>
        <w:t>月</w:t>
      </w:r>
    </w:p>
    <w:p w14:paraId="546C20F2">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5FDE9CB3">
      <w:pPr>
        <w:pStyle w:val="30"/>
        <w:tabs>
          <w:tab w:val="right" w:leader="underscore" w:pos="9642"/>
        </w:tabs>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"1-1" \h \z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"_Toc17843"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_Toc17843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EEDD95D">
      <w:pPr>
        <w:pStyle w:val="30"/>
        <w:tabs>
          <w:tab w:val="right" w:leader="underscore" w:pos="9642"/>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"_Toc12523"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第二章  磋商供应商须知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_Toc12523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DE99A66">
      <w:pPr>
        <w:pStyle w:val="30"/>
        <w:tabs>
          <w:tab w:val="right" w:leader="underscore" w:pos="9642"/>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"_Toc14269"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_Toc14269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8E417C6">
      <w:pPr>
        <w:pStyle w:val="30"/>
        <w:tabs>
          <w:tab w:val="right" w:leader="underscore" w:pos="9642"/>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"_Toc28165"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8"/>
          <w:szCs w:val="28"/>
          <w:highlight w:val="none"/>
        </w:rPr>
        <w:t>第四章  评标标准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_Toc28165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07C064E">
      <w:pPr>
        <w:pStyle w:val="30"/>
        <w:tabs>
          <w:tab w:val="right" w:leader="underscore" w:pos="9642"/>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"_Toc15971"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第五章  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_Toc15971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14D76ED">
      <w:pPr>
        <w:pStyle w:val="30"/>
        <w:tabs>
          <w:tab w:val="right" w:leader="underscore" w:pos="9642"/>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"_Toc14681"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第六章  竞争性磋商响应文件格式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_Toc14681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3C6840A">
      <w:pPr>
        <w:pStyle w:val="30"/>
        <w:tabs>
          <w:tab w:val="right" w:leader="underscore" w:pos="9642"/>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"_Toc29496"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第七章 质疑、投诉材料格式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EB7F5E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fldChar w:fldCharType="end"/>
      </w:r>
    </w:p>
    <w:p w14:paraId="6806F680">
      <w:pPr>
        <w:spacing w:line="360" w:lineRule="auto"/>
        <w:jc w:val="center"/>
        <w:rPr>
          <w:rFonts w:hint="eastAsia" w:ascii="宋体" w:hAnsi="宋体" w:eastAsia="宋体" w:cs="宋体"/>
          <w:b/>
          <w:color w:val="auto"/>
          <w:sz w:val="32"/>
          <w:szCs w:val="32"/>
          <w:highlight w:val="none"/>
        </w:rPr>
      </w:pPr>
    </w:p>
    <w:p w14:paraId="28377E17">
      <w:pPr>
        <w:spacing w:line="360" w:lineRule="auto"/>
        <w:jc w:val="center"/>
        <w:rPr>
          <w:rFonts w:hint="eastAsia" w:ascii="宋体" w:hAnsi="宋体" w:eastAsia="宋体" w:cs="宋体"/>
          <w:b/>
          <w:color w:val="auto"/>
          <w:sz w:val="32"/>
          <w:szCs w:val="32"/>
          <w:highlight w:val="none"/>
        </w:rPr>
      </w:pPr>
    </w:p>
    <w:p w14:paraId="503726E6">
      <w:pPr>
        <w:spacing w:line="360" w:lineRule="auto"/>
        <w:jc w:val="center"/>
        <w:rPr>
          <w:rFonts w:hint="eastAsia" w:ascii="宋体" w:hAnsi="宋体" w:eastAsia="宋体" w:cs="宋体"/>
          <w:b/>
          <w:color w:val="auto"/>
          <w:sz w:val="32"/>
          <w:szCs w:val="32"/>
          <w:highlight w:val="none"/>
        </w:rPr>
      </w:pPr>
    </w:p>
    <w:p w14:paraId="68BB25CD">
      <w:pPr>
        <w:spacing w:line="360" w:lineRule="auto"/>
        <w:jc w:val="center"/>
        <w:rPr>
          <w:rFonts w:hint="eastAsia" w:ascii="宋体" w:hAnsi="宋体" w:eastAsia="宋体" w:cs="宋体"/>
          <w:b/>
          <w:color w:val="auto"/>
          <w:sz w:val="32"/>
          <w:szCs w:val="32"/>
          <w:highlight w:val="none"/>
        </w:rPr>
      </w:pPr>
    </w:p>
    <w:p w14:paraId="19C17B89">
      <w:pPr>
        <w:spacing w:line="360" w:lineRule="auto"/>
        <w:jc w:val="center"/>
        <w:rPr>
          <w:rFonts w:hint="eastAsia" w:ascii="宋体" w:hAnsi="宋体" w:eastAsia="宋体" w:cs="宋体"/>
          <w:b/>
          <w:color w:val="auto"/>
          <w:sz w:val="32"/>
          <w:szCs w:val="32"/>
          <w:highlight w:val="none"/>
        </w:rPr>
      </w:pPr>
    </w:p>
    <w:p w14:paraId="7D5BB530">
      <w:pPr>
        <w:spacing w:line="360" w:lineRule="auto"/>
        <w:jc w:val="center"/>
        <w:rPr>
          <w:rFonts w:hint="eastAsia" w:ascii="宋体" w:hAnsi="宋体" w:eastAsia="宋体" w:cs="宋体"/>
          <w:b/>
          <w:color w:val="auto"/>
          <w:sz w:val="32"/>
          <w:szCs w:val="32"/>
          <w:highlight w:val="none"/>
        </w:rPr>
      </w:pPr>
    </w:p>
    <w:p w14:paraId="36D0D3CC">
      <w:pPr>
        <w:spacing w:line="360" w:lineRule="auto"/>
        <w:jc w:val="center"/>
        <w:rPr>
          <w:rFonts w:hint="eastAsia" w:ascii="宋体" w:hAnsi="宋体" w:eastAsia="宋体" w:cs="宋体"/>
          <w:b/>
          <w:color w:val="auto"/>
          <w:sz w:val="32"/>
          <w:szCs w:val="32"/>
          <w:highlight w:val="none"/>
        </w:rPr>
      </w:pPr>
    </w:p>
    <w:p w14:paraId="71B38580">
      <w:pPr>
        <w:spacing w:line="360" w:lineRule="auto"/>
        <w:jc w:val="center"/>
        <w:rPr>
          <w:rFonts w:hint="eastAsia" w:ascii="宋体" w:hAnsi="宋体" w:eastAsia="宋体" w:cs="宋体"/>
          <w:b/>
          <w:color w:val="auto"/>
          <w:sz w:val="32"/>
          <w:szCs w:val="32"/>
          <w:highlight w:val="none"/>
        </w:rPr>
      </w:pPr>
    </w:p>
    <w:p w14:paraId="0779D183">
      <w:pPr>
        <w:spacing w:line="360" w:lineRule="auto"/>
        <w:jc w:val="center"/>
        <w:rPr>
          <w:rFonts w:hint="eastAsia" w:ascii="宋体" w:hAnsi="宋体" w:eastAsia="宋体" w:cs="宋体"/>
          <w:b/>
          <w:color w:val="auto"/>
          <w:sz w:val="32"/>
          <w:szCs w:val="32"/>
          <w:highlight w:val="none"/>
        </w:rPr>
      </w:pPr>
    </w:p>
    <w:p w14:paraId="6913AEE8">
      <w:pPr>
        <w:spacing w:line="360" w:lineRule="auto"/>
        <w:jc w:val="center"/>
        <w:rPr>
          <w:rFonts w:hint="eastAsia" w:ascii="宋体" w:hAnsi="宋体" w:eastAsia="宋体" w:cs="宋体"/>
          <w:b/>
          <w:color w:val="auto"/>
          <w:sz w:val="32"/>
          <w:szCs w:val="32"/>
          <w:highlight w:val="none"/>
        </w:rPr>
      </w:pPr>
    </w:p>
    <w:p w14:paraId="29863A00">
      <w:pPr>
        <w:spacing w:line="360" w:lineRule="auto"/>
        <w:jc w:val="center"/>
        <w:rPr>
          <w:rFonts w:hint="eastAsia" w:ascii="宋体" w:hAnsi="宋体" w:eastAsia="宋体" w:cs="宋体"/>
          <w:b/>
          <w:color w:val="auto"/>
          <w:sz w:val="32"/>
          <w:szCs w:val="32"/>
          <w:highlight w:val="none"/>
        </w:rPr>
      </w:pPr>
    </w:p>
    <w:p w14:paraId="4A7A7AB0">
      <w:pPr>
        <w:spacing w:line="360" w:lineRule="auto"/>
        <w:jc w:val="center"/>
        <w:rPr>
          <w:rFonts w:hint="eastAsia" w:ascii="宋体" w:hAnsi="宋体" w:eastAsia="宋体" w:cs="宋体"/>
          <w:b/>
          <w:color w:val="auto"/>
          <w:sz w:val="32"/>
          <w:szCs w:val="32"/>
          <w:highlight w:val="none"/>
        </w:rPr>
      </w:pPr>
    </w:p>
    <w:p w14:paraId="7B5C3196">
      <w:pPr>
        <w:spacing w:line="360" w:lineRule="auto"/>
        <w:jc w:val="center"/>
        <w:rPr>
          <w:rFonts w:hint="eastAsia" w:ascii="宋体" w:hAnsi="宋体" w:eastAsia="宋体" w:cs="宋体"/>
          <w:b/>
          <w:color w:val="auto"/>
          <w:sz w:val="32"/>
          <w:szCs w:val="32"/>
          <w:highlight w:val="none"/>
        </w:rPr>
      </w:pPr>
    </w:p>
    <w:p w14:paraId="78881507">
      <w:pPr>
        <w:spacing w:line="360" w:lineRule="auto"/>
        <w:jc w:val="center"/>
        <w:rPr>
          <w:rFonts w:hint="eastAsia" w:ascii="宋体" w:hAnsi="宋体" w:eastAsia="宋体" w:cs="宋体"/>
          <w:b/>
          <w:color w:val="auto"/>
          <w:sz w:val="32"/>
          <w:szCs w:val="32"/>
          <w:highlight w:val="none"/>
        </w:rPr>
      </w:pPr>
    </w:p>
    <w:p w14:paraId="20C19F26">
      <w:pPr>
        <w:widowControl/>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D95F698">
      <w:pPr>
        <w:spacing w:line="360" w:lineRule="auto"/>
        <w:jc w:val="center"/>
        <w:rPr>
          <w:rFonts w:hint="eastAsia" w:ascii="宋体" w:hAnsi="宋体" w:eastAsia="宋体" w:cs="宋体"/>
          <w:b/>
          <w:color w:val="auto"/>
          <w:sz w:val="32"/>
          <w:szCs w:val="32"/>
          <w:highlight w:val="none"/>
        </w:rPr>
        <w:sectPr>
          <w:pgSz w:w="11910" w:h="16840"/>
          <w:pgMar w:top="1134" w:right="1134" w:bottom="1134" w:left="1134" w:header="720" w:footer="720" w:gutter="0"/>
          <w:cols w:space="720" w:num="1"/>
        </w:sectPr>
      </w:pPr>
    </w:p>
    <w:p w14:paraId="220D4909">
      <w:pPr>
        <w:spacing w:line="360" w:lineRule="auto"/>
        <w:jc w:val="center"/>
        <w:rPr>
          <w:rFonts w:hint="eastAsia" w:ascii="宋体" w:hAnsi="宋体" w:eastAsia="宋体" w:cs="宋体"/>
          <w:b/>
          <w:color w:val="auto"/>
          <w:sz w:val="32"/>
          <w:szCs w:val="32"/>
          <w:highlight w:val="none"/>
        </w:rPr>
      </w:pPr>
    </w:p>
    <w:p w14:paraId="4A07D6CA">
      <w:pPr>
        <w:spacing w:line="360" w:lineRule="auto"/>
        <w:jc w:val="center"/>
        <w:rPr>
          <w:rFonts w:hint="eastAsia" w:ascii="宋体" w:hAnsi="宋体" w:eastAsia="宋体" w:cs="宋体"/>
          <w:b/>
          <w:color w:val="auto"/>
          <w:sz w:val="32"/>
          <w:szCs w:val="32"/>
          <w:highlight w:val="none"/>
        </w:rPr>
      </w:pPr>
    </w:p>
    <w:p w14:paraId="425819EB">
      <w:pPr>
        <w:spacing w:line="360" w:lineRule="auto"/>
        <w:jc w:val="center"/>
        <w:rPr>
          <w:rFonts w:hint="eastAsia" w:ascii="宋体" w:hAnsi="宋体" w:eastAsia="宋体" w:cs="宋体"/>
          <w:b/>
          <w:color w:val="auto"/>
          <w:sz w:val="32"/>
          <w:szCs w:val="32"/>
          <w:highlight w:val="none"/>
        </w:rPr>
      </w:pPr>
    </w:p>
    <w:p w14:paraId="5DB7FAFE">
      <w:pPr>
        <w:spacing w:line="360" w:lineRule="auto"/>
        <w:jc w:val="center"/>
        <w:rPr>
          <w:rFonts w:hint="eastAsia" w:ascii="宋体" w:hAnsi="宋体" w:eastAsia="宋体" w:cs="宋体"/>
          <w:b/>
          <w:color w:val="auto"/>
          <w:sz w:val="32"/>
          <w:szCs w:val="32"/>
          <w:highlight w:val="none"/>
        </w:rPr>
      </w:pPr>
    </w:p>
    <w:p w14:paraId="1E2E358B">
      <w:pPr>
        <w:pStyle w:val="28"/>
        <w:rPr>
          <w:rFonts w:hint="eastAsia" w:ascii="宋体" w:hAnsi="宋体" w:eastAsia="宋体" w:cs="宋体"/>
          <w:b/>
          <w:color w:val="auto"/>
          <w:sz w:val="32"/>
          <w:szCs w:val="32"/>
          <w:highlight w:val="none"/>
        </w:rPr>
      </w:pPr>
    </w:p>
    <w:p w14:paraId="7031FE64">
      <w:pPr>
        <w:pStyle w:val="28"/>
        <w:rPr>
          <w:rFonts w:hint="eastAsia" w:ascii="宋体" w:hAnsi="宋体" w:eastAsia="宋体" w:cs="宋体"/>
          <w:b/>
          <w:color w:val="auto"/>
          <w:sz w:val="32"/>
          <w:szCs w:val="32"/>
          <w:highlight w:val="none"/>
        </w:rPr>
      </w:pPr>
    </w:p>
    <w:p w14:paraId="3E7F8FD2">
      <w:pPr>
        <w:pStyle w:val="28"/>
        <w:rPr>
          <w:rFonts w:hint="eastAsia" w:ascii="宋体" w:hAnsi="宋体" w:eastAsia="宋体" w:cs="宋体"/>
          <w:b/>
          <w:color w:val="auto"/>
          <w:sz w:val="32"/>
          <w:szCs w:val="32"/>
          <w:highlight w:val="none"/>
        </w:rPr>
      </w:pPr>
    </w:p>
    <w:p w14:paraId="32C2B2AB">
      <w:pPr>
        <w:pStyle w:val="28"/>
        <w:rPr>
          <w:rFonts w:hint="eastAsia" w:ascii="宋体" w:hAnsi="宋体" w:eastAsia="宋体" w:cs="宋体"/>
          <w:b/>
          <w:color w:val="auto"/>
          <w:sz w:val="32"/>
          <w:szCs w:val="32"/>
          <w:highlight w:val="none"/>
        </w:rPr>
      </w:pPr>
    </w:p>
    <w:p w14:paraId="676D7CC9">
      <w:pPr>
        <w:spacing w:line="360" w:lineRule="auto"/>
        <w:jc w:val="center"/>
        <w:rPr>
          <w:rFonts w:hint="eastAsia" w:ascii="宋体" w:hAnsi="宋体" w:eastAsia="宋体" w:cs="宋体"/>
          <w:b/>
          <w:color w:val="auto"/>
          <w:sz w:val="32"/>
          <w:szCs w:val="32"/>
          <w:highlight w:val="none"/>
        </w:rPr>
      </w:pPr>
    </w:p>
    <w:p w14:paraId="07EC3DB2">
      <w:pPr>
        <w:spacing w:line="360" w:lineRule="auto"/>
        <w:rPr>
          <w:rFonts w:hint="eastAsia" w:ascii="宋体" w:hAnsi="宋体" w:eastAsia="宋体" w:cs="宋体"/>
          <w:b/>
          <w:color w:val="auto"/>
          <w:sz w:val="32"/>
          <w:szCs w:val="32"/>
          <w:highlight w:val="none"/>
        </w:rPr>
      </w:pPr>
    </w:p>
    <w:p w14:paraId="0F0FC3EB">
      <w:pPr>
        <w:pStyle w:val="38"/>
        <w:spacing w:line="360" w:lineRule="auto"/>
        <w:rPr>
          <w:rFonts w:hint="eastAsia" w:ascii="宋体" w:hAnsi="宋体" w:eastAsia="宋体" w:cs="宋体"/>
          <w:color w:val="auto"/>
          <w:sz w:val="44"/>
          <w:szCs w:val="44"/>
          <w:highlight w:val="none"/>
        </w:rPr>
      </w:pPr>
      <w:bookmarkStart w:id="0" w:name="_Toc17843"/>
      <w:bookmarkStart w:id="1" w:name="_Toc476258662"/>
      <w:r>
        <w:rPr>
          <w:rFonts w:hint="eastAsia" w:ascii="宋体" w:hAnsi="宋体" w:eastAsia="宋体" w:cs="宋体"/>
          <w:color w:val="auto"/>
          <w:sz w:val="44"/>
          <w:szCs w:val="44"/>
          <w:highlight w:val="none"/>
        </w:rPr>
        <w:t>第一章  竞争性磋商公告</w:t>
      </w:r>
      <w:bookmarkEnd w:id="0"/>
      <w:bookmarkEnd w:id="1"/>
    </w:p>
    <w:p w14:paraId="7A9C9933">
      <w:pPr>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14:paraId="1DEAF0DE">
      <w:pPr>
        <w:spacing w:line="360" w:lineRule="auto"/>
        <w:jc w:val="center"/>
        <w:rPr>
          <w:rFonts w:hint="eastAsia" w:ascii="宋体" w:hAnsi="宋体" w:eastAsia="宋体" w:cs="宋体"/>
          <w:color w:val="auto"/>
          <w:sz w:val="44"/>
          <w:szCs w:val="44"/>
          <w:highlight w:val="none"/>
        </w:rPr>
        <w:sectPr>
          <w:footerReference r:id="rId4" w:type="default"/>
          <w:pgSz w:w="11910" w:h="16840"/>
          <w:pgMar w:top="1134" w:right="1134" w:bottom="1134" w:left="1134" w:header="720" w:footer="720" w:gutter="0"/>
          <w:pgNumType w:fmt="decimal" w:start="1"/>
          <w:cols w:space="720" w:num="1"/>
        </w:sectPr>
      </w:pPr>
    </w:p>
    <w:p w14:paraId="08555EAC">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竞争性磋商公告</w:t>
      </w:r>
    </w:p>
    <w:p w14:paraId="66E4F48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项目概况</w:t>
      </w:r>
      <w:r>
        <w:rPr>
          <w:rFonts w:hint="eastAsia" w:ascii="宋体" w:hAnsi="宋体" w:cs="宋体"/>
          <w:color w:val="auto"/>
          <w:szCs w:val="21"/>
          <w:highlight w:val="none"/>
          <w:lang w:eastAsia="zh-CN"/>
        </w:rPr>
        <w:t>：</w:t>
      </w:r>
    </w:p>
    <w:p w14:paraId="358FA8F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u w:val="single"/>
        </w:rPr>
        <w:t>教育部纵向课题</w:t>
      </w:r>
      <w:r>
        <w:rPr>
          <w:rFonts w:hint="eastAsia" w:ascii="宋体" w:hAnsi="宋体" w:eastAsia="宋体" w:cs="宋体"/>
          <w:color w:val="auto"/>
          <w:kern w:val="0"/>
          <w:szCs w:val="21"/>
          <w:u w:val="single"/>
          <w:lang w:val="en-US" w:eastAsia="zh-CN"/>
        </w:rPr>
        <w:t>成果</w:t>
      </w:r>
      <w:r>
        <w:rPr>
          <w:rFonts w:hint="eastAsia" w:ascii="宋体" w:hAnsi="宋体" w:eastAsia="宋体" w:cs="宋体"/>
          <w:color w:val="auto"/>
          <w:szCs w:val="21"/>
          <w:highlight w:val="none"/>
          <w:u w:val="single"/>
          <w:lang w:eastAsia="zh-CN"/>
        </w:rPr>
        <w:t>培育项目</w:t>
      </w:r>
      <w:r>
        <w:rPr>
          <w:rFonts w:hint="eastAsia" w:ascii="宋体" w:hAnsi="宋体" w:eastAsia="宋体" w:cs="宋体"/>
          <w:color w:val="auto"/>
          <w:szCs w:val="21"/>
          <w:highlight w:val="none"/>
        </w:rPr>
        <w:t>的潜在供应商应在</w:t>
      </w:r>
      <w:r>
        <w:rPr>
          <w:rFonts w:hint="eastAsia" w:ascii="宋体" w:hAnsi="宋体" w:eastAsia="宋体" w:cs="宋体"/>
          <w:b w:val="0"/>
          <w:bCs w:val="0"/>
          <w:color w:val="auto"/>
          <w:szCs w:val="21"/>
          <w:highlight w:val="none"/>
          <w:u w:val="single"/>
          <w:lang w:eastAsia="zh-CN"/>
        </w:rPr>
        <w:t>广西政府采购云平台（https://www.gcy.zfcg.gxzf.gov.cn/）</w:t>
      </w:r>
      <w:r>
        <w:rPr>
          <w:rFonts w:hint="eastAsia" w:ascii="宋体" w:hAnsi="宋体" w:eastAsia="宋体" w:cs="宋体"/>
          <w:color w:val="auto"/>
          <w:szCs w:val="21"/>
          <w:highlight w:val="none"/>
        </w:rPr>
        <w:t>获取采购文件，并于</w:t>
      </w:r>
      <w:r>
        <w:rPr>
          <w:rFonts w:hint="eastAsia" w:ascii="宋体" w:hAnsi="宋体" w:eastAsia="宋体" w:cs="宋体"/>
          <w:color w:val="auto"/>
          <w:szCs w:val="21"/>
          <w:highlight w:val="none"/>
          <w:u w:val="single"/>
        </w:rPr>
        <w:t>2024年</w:t>
      </w:r>
      <w:r>
        <w:rPr>
          <w:rFonts w:hint="eastAsia" w:ascii="宋体" w:hAnsi="宋体" w:cs="宋体"/>
          <w:bCs/>
          <w:color w:val="auto"/>
          <w:szCs w:val="21"/>
          <w:highlight w:val="none"/>
          <w:u w:val="single"/>
          <w:lang w:val="en-US" w:eastAsia="zh-CN"/>
        </w:rPr>
        <w:t>12</w:t>
      </w:r>
      <w:r>
        <w:rPr>
          <w:rFonts w:hint="eastAsia" w:ascii="宋体" w:hAnsi="宋体" w:eastAsia="宋体" w:cs="宋体"/>
          <w:bCs/>
          <w:color w:val="auto"/>
          <w:szCs w:val="21"/>
          <w:highlight w:val="none"/>
          <w:u w:val="single"/>
        </w:rPr>
        <w:t>月</w:t>
      </w:r>
      <w:r>
        <w:rPr>
          <w:rFonts w:hint="eastAsia" w:ascii="宋体" w:hAnsi="宋体" w:cs="宋体"/>
          <w:bCs/>
          <w:color w:val="auto"/>
          <w:szCs w:val="21"/>
          <w:highlight w:val="none"/>
          <w:u w:val="single"/>
          <w:lang w:val="en-US" w:eastAsia="zh-CN"/>
        </w:rPr>
        <w:t>23</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09</w:t>
      </w:r>
      <w:r>
        <w:rPr>
          <w:rFonts w:hint="eastAsia" w:ascii="宋体" w:hAnsi="宋体" w:eastAsia="宋体" w:cs="宋体"/>
          <w:bCs/>
          <w:color w:val="auto"/>
          <w:szCs w:val="21"/>
          <w:highlight w:val="none"/>
          <w:u w:val="single"/>
        </w:rPr>
        <w:t>点</w:t>
      </w:r>
      <w:r>
        <w:rPr>
          <w:rFonts w:hint="eastAsia" w:ascii="宋体" w:hAnsi="宋体" w:eastAsia="宋体" w:cs="宋体"/>
          <w:bCs/>
          <w:color w:val="auto"/>
          <w:szCs w:val="21"/>
          <w:highlight w:val="none"/>
          <w:u w:val="single"/>
          <w:lang w:val="en-US" w:eastAsia="zh-CN"/>
        </w:rPr>
        <w:t>30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0FCEEF31">
      <w:pPr>
        <w:spacing w:line="360" w:lineRule="auto"/>
        <w:rPr>
          <w:rFonts w:hint="eastAsia" w:ascii="宋体" w:hAnsi="宋体" w:eastAsia="宋体" w:cs="宋体"/>
          <w:b/>
          <w:color w:val="auto"/>
          <w:highlight w:val="none"/>
        </w:rPr>
      </w:pPr>
      <w:bookmarkStart w:id="2" w:name="_Toc35393629"/>
      <w:bookmarkStart w:id="3" w:name="_Toc35393798"/>
      <w:bookmarkStart w:id="4" w:name="_Toc28359089"/>
      <w:bookmarkStart w:id="5" w:name="_Toc28359012"/>
      <w:r>
        <w:rPr>
          <w:rFonts w:hint="eastAsia" w:ascii="宋体" w:hAnsi="宋体" w:eastAsia="宋体" w:cs="宋体"/>
          <w:b/>
          <w:color w:val="auto"/>
          <w:highlight w:val="none"/>
        </w:rPr>
        <w:t>一、项目基本情况</w:t>
      </w:r>
      <w:bookmarkEnd w:id="2"/>
      <w:bookmarkEnd w:id="3"/>
      <w:bookmarkEnd w:id="4"/>
      <w:bookmarkEnd w:id="5"/>
    </w:p>
    <w:p w14:paraId="386DB78E">
      <w:pPr>
        <w:widowControl/>
        <w:adjustRightInd w:val="0"/>
        <w:snapToGrid w:val="0"/>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eastAsia="zh-CN"/>
        </w:rPr>
        <w:t>项目编号：GXZC2024-C3-006358-HCZX</w:t>
      </w:r>
      <w:r>
        <w:rPr>
          <w:rFonts w:hint="eastAsia" w:ascii="宋体" w:hAnsi="宋体" w:eastAsia="宋体" w:cs="宋体"/>
          <w:color w:val="auto"/>
          <w:kern w:val="0"/>
          <w:szCs w:val="21"/>
          <w:highlight w:val="none"/>
          <w:lang w:eastAsia="zh-CN"/>
        </w:rPr>
        <w:t xml:space="preserve">    </w:t>
      </w:r>
    </w:p>
    <w:p w14:paraId="729633AD">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rPr>
        <w:t>教育部纵向课题</w:t>
      </w:r>
      <w:r>
        <w:rPr>
          <w:rFonts w:hint="eastAsia" w:ascii="宋体" w:hAnsi="宋体" w:eastAsia="宋体" w:cs="宋体"/>
          <w:color w:val="auto"/>
          <w:kern w:val="0"/>
          <w:szCs w:val="21"/>
          <w:highlight w:val="none"/>
          <w:lang w:eastAsia="zh-CN"/>
        </w:rPr>
        <w:t>成果培育项目</w:t>
      </w:r>
    </w:p>
    <w:p w14:paraId="0391A1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数量：1项</w:t>
      </w:r>
    </w:p>
    <w:p w14:paraId="3896C4E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highlight w:val="none"/>
        </w:rPr>
        <w:t>预算金额（元）：</w:t>
      </w:r>
      <w:r>
        <w:rPr>
          <w:rFonts w:hint="eastAsia" w:ascii="宋体" w:hAnsi="宋体" w:eastAsia="宋体" w:cs="宋体"/>
          <w:color w:val="auto"/>
          <w:kern w:val="0"/>
          <w:szCs w:val="21"/>
          <w:highlight w:val="none"/>
          <w:lang w:val="en-US" w:eastAsia="zh-CN"/>
        </w:rPr>
        <w:t>1200000.00</w:t>
      </w:r>
      <w:r>
        <w:rPr>
          <w:rFonts w:hint="eastAsia" w:ascii="宋体" w:hAnsi="宋体" w:eastAsia="宋体" w:cs="宋体"/>
          <w:color w:val="auto"/>
          <w:kern w:val="0"/>
          <w:szCs w:val="21"/>
          <w:highlight w:val="none"/>
        </w:rPr>
        <w:t>元</w:t>
      </w:r>
    </w:p>
    <w:p w14:paraId="65E8B7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简要规格描述或项目基本概况介绍、用途：采购</w:t>
      </w:r>
      <w:r>
        <w:rPr>
          <w:rFonts w:hint="eastAsia" w:ascii="宋体" w:hAnsi="宋体" w:eastAsia="宋体" w:cs="宋体"/>
          <w:color w:val="auto"/>
          <w:kern w:val="0"/>
          <w:szCs w:val="21"/>
        </w:rPr>
        <w:t>教育部纵向课题</w:t>
      </w:r>
      <w:r>
        <w:rPr>
          <w:rFonts w:hint="eastAsia" w:ascii="宋体" w:hAnsi="宋体" w:eastAsia="宋体" w:cs="宋体"/>
          <w:color w:val="auto"/>
          <w:highlight w:val="none"/>
          <w:lang w:eastAsia="zh-CN"/>
        </w:rPr>
        <w:t>培育项目</w:t>
      </w:r>
      <w:r>
        <w:rPr>
          <w:rFonts w:hint="eastAsia" w:ascii="宋体" w:hAnsi="宋体" w:eastAsia="宋体" w:cs="宋体"/>
          <w:color w:val="auto"/>
          <w:highlight w:val="none"/>
        </w:rPr>
        <w:t>1项</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rPr>
        <w:t>如需进一步了解详细内容，详见竞争性磋商文件。</w:t>
      </w:r>
    </w:p>
    <w:p w14:paraId="6990E5BA">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rPr>
        <w:t>最高限价（如有）：</w:t>
      </w:r>
      <w:r>
        <w:rPr>
          <w:rFonts w:hint="eastAsia" w:ascii="宋体" w:hAnsi="宋体" w:eastAsia="宋体" w:cs="宋体"/>
          <w:color w:val="auto"/>
          <w:kern w:val="0"/>
          <w:szCs w:val="21"/>
          <w:highlight w:val="none"/>
          <w:lang w:eastAsia="zh-CN"/>
        </w:rPr>
        <w:t>1200000.00元</w:t>
      </w:r>
    </w:p>
    <w:p w14:paraId="05925E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服务时间：详见采购需求</w:t>
      </w:r>
    </w:p>
    <w:p w14:paraId="50C8C6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本标项不接受联合体投标</w:t>
      </w:r>
    </w:p>
    <w:p w14:paraId="272A984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备注：本项目为线上电子招标项目，有意向参与本项目的供应商应当做好参与全流程电子招投标交易的充分准备。</w:t>
      </w:r>
    </w:p>
    <w:p w14:paraId="08884C46">
      <w:pPr>
        <w:spacing w:line="360" w:lineRule="auto"/>
        <w:rPr>
          <w:rFonts w:hint="eastAsia" w:ascii="宋体" w:hAnsi="宋体" w:eastAsia="宋体" w:cs="宋体"/>
          <w:b/>
          <w:color w:val="auto"/>
          <w:highlight w:val="none"/>
        </w:rPr>
      </w:pPr>
      <w:bookmarkStart w:id="6" w:name="_Toc35393799"/>
      <w:bookmarkStart w:id="7" w:name="_Toc28359090"/>
      <w:bookmarkStart w:id="8" w:name="_Toc35393630"/>
      <w:bookmarkStart w:id="9" w:name="_Toc28359013"/>
      <w:r>
        <w:rPr>
          <w:rFonts w:hint="eastAsia" w:ascii="宋体" w:hAnsi="宋体" w:eastAsia="宋体" w:cs="宋体"/>
          <w:b/>
          <w:color w:val="auto"/>
          <w:highlight w:val="none"/>
        </w:rPr>
        <w:t>二、申请人的资格要求：</w:t>
      </w:r>
      <w:bookmarkEnd w:id="6"/>
      <w:bookmarkEnd w:id="7"/>
      <w:bookmarkEnd w:id="8"/>
      <w:bookmarkEnd w:id="9"/>
    </w:p>
    <w:p w14:paraId="7C2F82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65B98952">
      <w:pPr>
        <w:spacing w:before="1" w:line="360" w:lineRule="auto"/>
        <w:ind w:firstLine="420" w:firstLineChars="200"/>
        <w:rPr>
          <w:rFonts w:hint="eastAsia" w:ascii="宋体" w:hAnsi="宋体" w:eastAsia="宋体" w:cs="宋体"/>
          <w:color w:val="auto"/>
          <w:szCs w:val="21"/>
          <w:highlight w:val="none"/>
        </w:rPr>
      </w:pPr>
      <w:bookmarkStart w:id="10" w:name="_Toc28359014"/>
      <w:bookmarkStart w:id="11" w:name="_Toc28359091"/>
      <w:r>
        <w:rPr>
          <w:rFonts w:hint="eastAsia" w:ascii="宋体" w:hAnsi="宋体" w:eastAsia="宋体" w:cs="宋体"/>
          <w:color w:val="auto"/>
          <w:highlight w:val="none"/>
        </w:rPr>
        <w:t>2.落实政府采购政策需满足的资格要求：</w:t>
      </w:r>
    </w:p>
    <w:p w14:paraId="24B99350">
      <w:pPr>
        <w:spacing w:before="68" w:line="360" w:lineRule="auto"/>
        <w:ind w:firstLine="618" w:firstLineChars="300"/>
        <w:rPr>
          <w:rFonts w:hint="eastAsia" w:ascii="宋体" w:hAnsi="宋体" w:eastAsia="宋体" w:cs="宋体"/>
          <w:color w:val="auto"/>
          <w:szCs w:val="21"/>
          <w:highlight w:val="none"/>
        </w:rPr>
      </w:pPr>
      <w:r>
        <w:rPr>
          <w:rFonts w:hint="eastAsia" w:ascii="宋体" w:hAnsi="宋体" w:cs="宋体"/>
          <w:color w:val="auto"/>
          <w:spacing w:val="-2"/>
          <w:szCs w:val="21"/>
          <w:highlight w:val="none"/>
          <w:lang w:eastAsia="zh-CN"/>
        </w:rPr>
        <w:t>☑</w:t>
      </w:r>
      <w:r>
        <w:rPr>
          <w:rFonts w:hint="eastAsia" w:ascii="宋体" w:hAnsi="宋体" w:eastAsia="宋体" w:cs="宋体"/>
          <w:color w:val="auto"/>
          <w:spacing w:val="-1"/>
          <w:szCs w:val="21"/>
          <w:highlight w:val="none"/>
        </w:rPr>
        <w:t>专门面向中小企业采购的项目（供应商应为中小微企业、监狱企业、残疾人福利性单位</w:t>
      </w:r>
      <w:r>
        <w:rPr>
          <w:rFonts w:hint="eastAsia" w:ascii="宋体" w:hAnsi="宋体" w:eastAsia="宋体" w:cs="宋体"/>
          <w:color w:val="auto"/>
          <w:spacing w:val="-1"/>
          <w:szCs w:val="21"/>
          <w:highlight w:val="none"/>
          <w:lang w:eastAsia="zh-CN"/>
        </w:rPr>
        <w:t>）</w:t>
      </w:r>
    </w:p>
    <w:p w14:paraId="1B8D1EB8">
      <w:pPr>
        <w:spacing w:before="66" w:line="360" w:lineRule="auto"/>
        <w:ind w:firstLine="618" w:firstLineChars="3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□非专门面向中小企业采购的项目</w:t>
      </w:r>
    </w:p>
    <w:p w14:paraId="62DF46CB">
      <w:pPr>
        <w:spacing w:line="360" w:lineRule="auto"/>
        <w:ind w:firstLine="420" w:firstLineChars="200"/>
        <w:rPr>
          <w:rFonts w:hint="eastAsia" w:ascii="宋体" w:hAnsi="宋体" w:eastAsia="宋体" w:cs="宋体"/>
          <w:i/>
          <w:iCs/>
          <w:color w:val="auto"/>
          <w:highlight w:val="none"/>
          <w:u w:val="single"/>
        </w:rPr>
      </w:pPr>
      <w:r>
        <w:rPr>
          <w:rFonts w:hint="eastAsia" w:ascii="宋体" w:hAnsi="宋体" w:eastAsia="宋体" w:cs="宋体"/>
          <w:color w:val="auto"/>
          <w:highlight w:val="none"/>
        </w:rPr>
        <w:t>3.本项目的特定资格要求（如有）：/。</w:t>
      </w:r>
    </w:p>
    <w:p w14:paraId="1498391E">
      <w:pPr>
        <w:spacing w:line="360" w:lineRule="auto"/>
        <w:rPr>
          <w:rFonts w:hint="eastAsia" w:ascii="宋体" w:hAnsi="宋体" w:eastAsia="宋体" w:cs="宋体"/>
          <w:b/>
          <w:color w:val="auto"/>
          <w:highlight w:val="none"/>
        </w:rPr>
      </w:pPr>
      <w:bookmarkStart w:id="12" w:name="_Toc35393631"/>
      <w:bookmarkStart w:id="13" w:name="_Toc35393800"/>
      <w:r>
        <w:rPr>
          <w:rFonts w:hint="eastAsia" w:ascii="宋体" w:hAnsi="宋体" w:eastAsia="宋体" w:cs="宋体"/>
          <w:b/>
          <w:color w:val="auto"/>
          <w:highlight w:val="none"/>
        </w:rPr>
        <w:t>三、获取采购文件</w:t>
      </w:r>
      <w:bookmarkEnd w:id="10"/>
      <w:bookmarkEnd w:id="11"/>
      <w:bookmarkEnd w:id="12"/>
      <w:bookmarkEnd w:id="13"/>
    </w:p>
    <w:p w14:paraId="47E85F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u w:val="single"/>
        </w:rPr>
        <w:t>2024年</w:t>
      </w:r>
      <w:r>
        <w:rPr>
          <w:rFonts w:hint="eastAsia" w:ascii="宋体" w:hAnsi="宋体" w:cs="宋体"/>
          <w:color w:val="auto"/>
          <w:highlight w:val="none"/>
          <w:u w:val="single"/>
          <w:lang w:val="en-US" w:eastAsia="zh-CN"/>
        </w:rPr>
        <w:t>12</w:t>
      </w:r>
      <w:r>
        <w:rPr>
          <w:rFonts w:hint="eastAsia" w:ascii="宋体" w:hAnsi="宋体" w:eastAsia="宋体" w:cs="宋体"/>
          <w:color w:val="auto"/>
          <w:highlight w:val="none"/>
          <w:u w:val="single"/>
        </w:rPr>
        <w:t>月</w:t>
      </w:r>
      <w:r>
        <w:rPr>
          <w:rFonts w:hint="eastAsia" w:ascii="宋体" w:hAnsi="宋体" w:cs="宋体"/>
          <w:color w:val="auto"/>
          <w:highlight w:val="none"/>
          <w:u w:val="single"/>
          <w:lang w:val="en-US" w:eastAsia="zh-CN"/>
        </w:rPr>
        <w:t>12</w:t>
      </w:r>
      <w:r>
        <w:rPr>
          <w:rFonts w:hint="eastAsia" w:ascii="宋体" w:hAnsi="宋体" w:eastAsia="宋体" w:cs="宋体"/>
          <w:color w:val="auto"/>
          <w:highlight w:val="none"/>
          <w:u w:val="single"/>
        </w:rPr>
        <w:t>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2024年</w:t>
      </w:r>
      <w:r>
        <w:rPr>
          <w:rFonts w:hint="eastAsia" w:ascii="宋体" w:hAnsi="宋体" w:cs="宋体"/>
          <w:color w:val="auto"/>
          <w:highlight w:val="none"/>
          <w:u w:val="single"/>
          <w:lang w:val="en-US" w:eastAsia="zh-CN"/>
        </w:rPr>
        <w:t>12</w:t>
      </w:r>
      <w:r>
        <w:rPr>
          <w:rFonts w:hint="eastAsia" w:ascii="宋体" w:hAnsi="宋体" w:eastAsia="宋体" w:cs="宋体"/>
          <w:color w:val="auto"/>
          <w:highlight w:val="none"/>
          <w:u w:val="single"/>
        </w:rPr>
        <w:t>月</w:t>
      </w:r>
      <w:r>
        <w:rPr>
          <w:rFonts w:hint="eastAsia" w:ascii="宋体" w:hAnsi="宋体" w:cs="宋体"/>
          <w:color w:val="auto"/>
          <w:highlight w:val="none"/>
          <w:u w:val="single"/>
          <w:lang w:val="en-US" w:eastAsia="zh-CN"/>
        </w:rPr>
        <w:t>19</w:t>
      </w:r>
      <w:r>
        <w:rPr>
          <w:rFonts w:hint="eastAsia" w:ascii="宋体" w:hAnsi="宋体" w:eastAsia="宋体" w:cs="宋体"/>
          <w:color w:val="auto"/>
          <w:highlight w:val="none"/>
          <w:u w:val="single"/>
        </w:rPr>
        <w:t>日</w:t>
      </w:r>
      <w:r>
        <w:rPr>
          <w:rFonts w:hint="eastAsia" w:ascii="宋体" w:hAnsi="宋体" w:eastAsia="宋体" w:cs="宋体"/>
          <w:color w:val="auto"/>
          <w:highlight w:val="none"/>
        </w:rPr>
        <w:t>，每天上午</w:t>
      </w:r>
      <w:r>
        <w:rPr>
          <w:rFonts w:hint="eastAsia" w:ascii="宋体" w:hAnsi="宋体" w:eastAsia="宋体" w:cs="宋体"/>
          <w:color w:val="auto"/>
          <w:highlight w:val="none"/>
          <w:u w:val="single"/>
        </w:rPr>
        <w:t>09时00分</w:t>
      </w:r>
      <w:r>
        <w:rPr>
          <w:rFonts w:hint="eastAsia" w:ascii="宋体" w:hAnsi="宋体" w:eastAsia="宋体" w:cs="宋体"/>
          <w:color w:val="auto"/>
          <w:highlight w:val="none"/>
        </w:rPr>
        <w:t>至</w:t>
      </w:r>
      <w:r>
        <w:rPr>
          <w:rFonts w:hint="eastAsia" w:ascii="宋体" w:hAnsi="宋体" w:eastAsia="宋体" w:cs="宋体"/>
          <w:color w:val="auto"/>
          <w:highlight w:val="none"/>
          <w:u w:val="single"/>
        </w:rPr>
        <w:t>12时00分</w:t>
      </w:r>
      <w:r>
        <w:rPr>
          <w:rFonts w:hint="eastAsia" w:ascii="宋体" w:hAnsi="宋体" w:eastAsia="宋体" w:cs="宋体"/>
          <w:color w:val="auto"/>
          <w:highlight w:val="none"/>
        </w:rPr>
        <w:t>，下午</w:t>
      </w:r>
      <w:r>
        <w:rPr>
          <w:rFonts w:hint="eastAsia" w:ascii="宋体" w:hAnsi="宋体" w:eastAsia="宋体" w:cs="宋体"/>
          <w:color w:val="auto"/>
          <w:highlight w:val="none"/>
          <w:u w:val="single"/>
        </w:rPr>
        <w:t>15时00分</w:t>
      </w:r>
      <w:r>
        <w:rPr>
          <w:rFonts w:hint="eastAsia" w:ascii="宋体" w:hAnsi="宋体" w:eastAsia="宋体" w:cs="宋体"/>
          <w:color w:val="auto"/>
          <w:highlight w:val="none"/>
        </w:rPr>
        <w:t>至</w:t>
      </w:r>
      <w:r>
        <w:rPr>
          <w:rFonts w:hint="eastAsia" w:ascii="宋体" w:hAnsi="宋体" w:eastAsia="宋体" w:cs="宋体"/>
          <w:color w:val="auto"/>
          <w:highlight w:val="none"/>
          <w:u w:val="single"/>
        </w:rPr>
        <w:t>18时00分</w:t>
      </w:r>
      <w:r>
        <w:rPr>
          <w:rFonts w:hint="eastAsia" w:ascii="宋体" w:hAnsi="宋体" w:eastAsia="宋体" w:cs="宋体"/>
          <w:color w:val="auto"/>
          <w:highlight w:val="none"/>
        </w:rPr>
        <w:t>（北京时间，法定节假日除外）</w:t>
      </w:r>
    </w:p>
    <w:p w14:paraId="4433EE33">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地点：“广西政府采购云平台”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https://www.gcy.zfcg.gxzf.gov.cn/）；</w:t>
      </w:r>
    </w:p>
    <w:p w14:paraId="6AF29E7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方式：请登录“广西政府采购云平台”（https://www.gcy.zfcg.gxzf.gov.cn/）进行报名并获取采购文件；未注册的供应商可在政采云平台完成注册后再行报名。如在操作过程中遇到问题或需技术支持，请致电政采云客服热线：95763。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46BE9A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售价（元）：0</w:t>
      </w:r>
    </w:p>
    <w:p w14:paraId="48A0C11D">
      <w:pPr>
        <w:spacing w:line="360" w:lineRule="auto"/>
        <w:rPr>
          <w:rFonts w:hint="eastAsia" w:ascii="宋体" w:hAnsi="宋体" w:eastAsia="宋体" w:cs="宋体"/>
          <w:b/>
          <w:color w:val="auto"/>
          <w:highlight w:val="none"/>
        </w:rPr>
      </w:pPr>
      <w:bookmarkStart w:id="14" w:name="_Toc35393632"/>
      <w:bookmarkStart w:id="15" w:name="_Toc28359092"/>
      <w:bookmarkStart w:id="16" w:name="_Toc28359015"/>
      <w:bookmarkStart w:id="17" w:name="_Toc35393801"/>
      <w:r>
        <w:rPr>
          <w:rFonts w:hint="eastAsia" w:ascii="宋体" w:hAnsi="宋体" w:eastAsia="宋体" w:cs="宋体"/>
          <w:b/>
          <w:color w:val="auto"/>
          <w:highlight w:val="none"/>
        </w:rPr>
        <w:t>四、响应文件提交</w:t>
      </w:r>
      <w:bookmarkEnd w:id="14"/>
      <w:bookmarkEnd w:id="15"/>
      <w:bookmarkEnd w:id="16"/>
      <w:bookmarkEnd w:id="17"/>
    </w:p>
    <w:p w14:paraId="2B34E65C">
      <w:pPr>
        <w:spacing w:line="360" w:lineRule="auto"/>
        <w:ind w:firstLine="420" w:firstLineChars="200"/>
        <w:rPr>
          <w:rFonts w:hint="eastAsia" w:ascii="宋体" w:hAnsi="宋体" w:eastAsia="宋体" w:cs="宋体"/>
          <w:bCs/>
          <w:color w:val="auto"/>
          <w:highlight w:val="none"/>
          <w:u w:val="single"/>
        </w:rPr>
      </w:pPr>
      <w:r>
        <w:rPr>
          <w:rFonts w:hint="eastAsia" w:ascii="宋体" w:hAnsi="宋体" w:eastAsia="宋体" w:cs="宋体"/>
          <w:color w:val="auto"/>
          <w:highlight w:val="none"/>
        </w:rPr>
        <w:t>截止时间：</w:t>
      </w:r>
      <w:r>
        <w:rPr>
          <w:rFonts w:hint="eastAsia" w:ascii="宋体" w:hAnsi="宋体" w:eastAsia="宋体" w:cs="宋体"/>
          <w:bCs/>
          <w:color w:val="auto"/>
          <w:highlight w:val="none"/>
        </w:rPr>
        <w:t>2024年</w:t>
      </w:r>
      <w:r>
        <w:rPr>
          <w:rFonts w:hint="eastAsia" w:ascii="宋体" w:hAnsi="宋体" w:cs="宋体"/>
          <w:bCs/>
          <w:color w:val="auto"/>
          <w:highlight w:val="none"/>
          <w:lang w:val="en-US" w:eastAsia="zh-CN"/>
        </w:rPr>
        <w:t>12</w:t>
      </w:r>
      <w:r>
        <w:rPr>
          <w:rFonts w:hint="eastAsia" w:ascii="宋体" w:hAnsi="宋体" w:eastAsia="宋体" w:cs="宋体"/>
          <w:bCs/>
          <w:color w:val="auto"/>
          <w:highlight w:val="none"/>
        </w:rPr>
        <w:t>月</w:t>
      </w:r>
      <w:r>
        <w:rPr>
          <w:rFonts w:hint="eastAsia" w:ascii="宋体" w:hAnsi="宋体" w:cs="宋体"/>
          <w:bCs/>
          <w:color w:val="auto"/>
          <w:highlight w:val="none"/>
          <w:lang w:val="en-US" w:eastAsia="zh-CN"/>
        </w:rPr>
        <w:t>23</w:t>
      </w:r>
      <w:r>
        <w:rPr>
          <w:rFonts w:hint="eastAsia" w:ascii="宋体" w:hAnsi="宋体" w:eastAsia="宋体" w:cs="宋体"/>
          <w:bCs/>
          <w:color w:val="auto"/>
          <w:highlight w:val="none"/>
        </w:rPr>
        <w:t>日 09:30（北京时间）</w:t>
      </w:r>
    </w:p>
    <w:p w14:paraId="1D73D3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地点（网址）：“广西政府采购云平台”（https://www.gcy.zfcg.gxzf.gov.cn/）</w:t>
      </w:r>
      <w:r>
        <w:rPr>
          <w:rFonts w:hint="eastAsia" w:ascii="宋体" w:hAnsi="宋体" w:eastAsia="宋体" w:cs="宋体"/>
          <w:color w:val="auto"/>
          <w:szCs w:val="21"/>
          <w:highlight w:val="none"/>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377EAECD">
      <w:pPr>
        <w:spacing w:line="360" w:lineRule="auto"/>
        <w:rPr>
          <w:rFonts w:hint="eastAsia" w:ascii="宋体" w:hAnsi="宋体" w:eastAsia="宋体" w:cs="宋体"/>
          <w:b/>
          <w:color w:val="auto"/>
          <w:highlight w:val="none"/>
        </w:rPr>
      </w:pPr>
      <w:bookmarkStart w:id="18" w:name="_Toc28359016"/>
      <w:bookmarkStart w:id="19" w:name="_Toc35393802"/>
      <w:bookmarkStart w:id="20" w:name="_Toc35393633"/>
      <w:bookmarkStart w:id="21" w:name="_Toc28359093"/>
      <w:bookmarkStart w:id="22" w:name="_Toc35393803"/>
      <w:bookmarkStart w:id="23" w:name="_Toc35393634"/>
      <w:bookmarkStart w:id="24" w:name="_Toc28359094"/>
      <w:bookmarkStart w:id="25" w:name="_Toc28359017"/>
      <w:r>
        <w:rPr>
          <w:rFonts w:hint="eastAsia" w:ascii="宋体" w:hAnsi="宋体" w:eastAsia="宋体" w:cs="宋体"/>
          <w:b/>
          <w:color w:val="auto"/>
          <w:highlight w:val="none"/>
        </w:rPr>
        <w:t>五、开启</w:t>
      </w:r>
      <w:bookmarkEnd w:id="18"/>
      <w:bookmarkEnd w:id="19"/>
      <w:bookmarkEnd w:id="20"/>
      <w:bookmarkEnd w:id="21"/>
    </w:p>
    <w:p w14:paraId="49B1978A">
      <w:pPr>
        <w:spacing w:line="360" w:lineRule="auto"/>
        <w:ind w:firstLine="420" w:firstLineChars="200"/>
        <w:rPr>
          <w:rFonts w:hint="eastAsia" w:ascii="宋体" w:hAnsi="宋体" w:eastAsia="宋体" w:cs="宋体"/>
          <w:bCs/>
          <w:color w:val="auto"/>
          <w:highlight w:val="none"/>
          <w:u w:val="single"/>
        </w:rPr>
      </w:pPr>
      <w:r>
        <w:rPr>
          <w:rFonts w:hint="eastAsia" w:ascii="宋体" w:hAnsi="宋体" w:eastAsia="宋体" w:cs="宋体"/>
          <w:color w:val="auto"/>
          <w:highlight w:val="none"/>
        </w:rPr>
        <w:t>开启时间：</w:t>
      </w:r>
      <w:r>
        <w:rPr>
          <w:rFonts w:hint="eastAsia" w:ascii="宋体" w:hAnsi="宋体" w:eastAsia="宋体" w:cs="宋体"/>
          <w:bCs/>
          <w:color w:val="auto"/>
          <w:highlight w:val="none"/>
        </w:rPr>
        <w:t>2024年</w:t>
      </w:r>
      <w:r>
        <w:rPr>
          <w:rFonts w:hint="eastAsia" w:ascii="宋体" w:hAnsi="宋体" w:cs="宋体"/>
          <w:bCs/>
          <w:color w:val="auto"/>
          <w:highlight w:val="none"/>
          <w:lang w:val="en-US" w:eastAsia="zh-CN"/>
        </w:rPr>
        <w:t>12</w:t>
      </w:r>
      <w:r>
        <w:rPr>
          <w:rFonts w:hint="eastAsia" w:ascii="宋体" w:hAnsi="宋体" w:eastAsia="宋体" w:cs="宋体"/>
          <w:bCs/>
          <w:color w:val="auto"/>
          <w:highlight w:val="none"/>
        </w:rPr>
        <w:t>月</w:t>
      </w:r>
      <w:r>
        <w:rPr>
          <w:rFonts w:hint="eastAsia" w:ascii="宋体" w:hAnsi="宋体" w:cs="宋体"/>
          <w:bCs/>
          <w:color w:val="auto"/>
          <w:highlight w:val="none"/>
          <w:lang w:val="en-US" w:eastAsia="zh-CN"/>
        </w:rPr>
        <w:t>23</w:t>
      </w:r>
      <w:r>
        <w:rPr>
          <w:rFonts w:hint="eastAsia" w:ascii="宋体" w:hAnsi="宋体" w:eastAsia="宋体" w:cs="宋体"/>
          <w:bCs/>
          <w:color w:val="auto"/>
          <w:highlight w:val="none"/>
        </w:rPr>
        <w:t>日 09:30（北京时间）</w:t>
      </w:r>
    </w:p>
    <w:p w14:paraId="575BBC47">
      <w:pPr>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地点：“广西政府采购云平台”（https://www.gcy.zfcg.gxzf.gov.cn/）</w:t>
      </w:r>
      <w:r>
        <w:rPr>
          <w:rFonts w:hint="eastAsia" w:ascii="宋体" w:hAnsi="宋体" w:eastAsia="宋体" w:cs="宋体"/>
          <w:color w:val="auto"/>
          <w:szCs w:val="21"/>
          <w:highlight w:val="none"/>
        </w:rPr>
        <w:t>。</w:t>
      </w:r>
    </w:p>
    <w:p w14:paraId="30AEDE12">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六、公告期限</w:t>
      </w:r>
      <w:bookmarkEnd w:id="22"/>
      <w:bookmarkEnd w:id="23"/>
      <w:bookmarkEnd w:id="24"/>
      <w:bookmarkEnd w:id="25"/>
    </w:p>
    <w:p w14:paraId="192DD7CA">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自本公告发布之日起</w:t>
      </w:r>
      <w:r>
        <w:rPr>
          <w:rFonts w:hint="eastAsia" w:ascii="宋体" w:hAnsi="宋体" w:eastAsia="宋体" w:cs="宋体"/>
          <w:color w:val="auto"/>
          <w:lang w:val="en-US" w:eastAsia="zh-CN"/>
        </w:rPr>
        <w:t>5</w:t>
      </w:r>
      <w:r>
        <w:rPr>
          <w:rFonts w:hint="eastAsia" w:ascii="宋体" w:hAnsi="宋体" w:eastAsia="宋体" w:cs="宋体"/>
          <w:color w:val="auto"/>
          <w:kern w:val="0"/>
          <w:highlight w:val="none"/>
        </w:rPr>
        <w:t>个工作日。</w:t>
      </w:r>
    </w:p>
    <w:p w14:paraId="23E919FC">
      <w:pPr>
        <w:spacing w:line="360" w:lineRule="auto"/>
        <w:rPr>
          <w:rFonts w:hint="eastAsia" w:ascii="宋体" w:hAnsi="宋体" w:eastAsia="宋体" w:cs="宋体"/>
          <w:b/>
          <w:color w:val="auto"/>
          <w:highlight w:val="none"/>
        </w:rPr>
      </w:pPr>
      <w:bookmarkStart w:id="26" w:name="_Toc35393804"/>
      <w:bookmarkStart w:id="27" w:name="_Toc35393635"/>
      <w:r>
        <w:rPr>
          <w:rFonts w:hint="eastAsia" w:ascii="宋体" w:hAnsi="宋体" w:eastAsia="宋体" w:cs="宋体"/>
          <w:b/>
          <w:color w:val="auto"/>
          <w:highlight w:val="none"/>
        </w:rPr>
        <w:t>七、其他补充事宜</w:t>
      </w:r>
      <w:bookmarkEnd w:id="26"/>
      <w:bookmarkEnd w:id="27"/>
    </w:p>
    <w:p w14:paraId="54CC1A15">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1.</w:t>
      </w:r>
      <w:r>
        <w:rPr>
          <w:rFonts w:hint="eastAsia" w:ascii="宋体" w:hAnsi="宋体" w:eastAsia="宋体" w:cs="宋体"/>
          <w:b/>
          <w:bCs/>
          <w:color w:val="auto"/>
          <w:highlight w:val="none"/>
        </w:rPr>
        <w:t xml:space="preserve"> </w:t>
      </w:r>
      <w:r>
        <w:rPr>
          <w:rFonts w:hint="eastAsia" w:ascii="宋体" w:hAnsi="宋体" w:eastAsia="宋体" w:cs="宋体"/>
          <w:b/>
          <w:color w:val="auto"/>
          <w:szCs w:val="21"/>
          <w:highlight w:val="none"/>
        </w:rPr>
        <w:t>磋商</w:t>
      </w:r>
      <w:r>
        <w:rPr>
          <w:rFonts w:hint="eastAsia" w:ascii="宋体" w:hAnsi="宋体" w:eastAsia="宋体" w:cs="宋体"/>
          <w:b/>
          <w:bCs/>
          <w:color w:val="auto"/>
          <w:highlight w:val="none"/>
        </w:rPr>
        <w:t>保证金</w:t>
      </w:r>
      <w:r>
        <w:rPr>
          <w:rFonts w:hint="eastAsia" w:ascii="宋体" w:hAnsi="宋体" w:eastAsia="宋体" w:cs="宋体"/>
          <w:b/>
          <w:color w:val="auto"/>
          <w:highlight w:val="none"/>
        </w:rPr>
        <w:t>（人民币）：</w:t>
      </w:r>
      <w:r>
        <w:rPr>
          <w:rFonts w:hint="eastAsia" w:ascii="宋体" w:hAnsi="宋体" w:eastAsia="宋体" w:cs="宋体"/>
          <w:b/>
          <w:color w:val="auto"/>
          <w:highlight w:val="none"/>
          <w:lang w:val="en-US" w:eastAsia="zh-CN"/>
        </w:rPr>
        <w:t>12000.00</w:t>
      </w:r>
      <w:r>
        <w:rPr>
          <w:rFonts w:hint="eastAsia" w:ascii="宋体" w:hAnsi="宋体" w:eastAsia="宋体" w:cs="宋体"/>
          <w:b/>
          <w:color w:val="auto"/>
          <w:highlight w:val="none"/>
        </w:rPr>
        <w:t>元</w:t>
      </w:r>
      <w:r>
        <w:rPr>
          <w:rFonts w:hint="eastAsia" w:ascii="宋体" w:hAnsi="宋体" w:eastAsia="宋体" w:cs="宋体"/>
          <w:color w:val="auto"/>
          <w:highlight w:val="none"/>
        </w:rPr>
        <w:t>。</w:t>
      </w:r>
      <w:r>
        <w:rPr>
          <w:rFonts w:hint="eastAsia" w:ascii="宋体" w:hAnsi="宋体" w:eastAsia="宋体" w:cs="宋体"/>
          <w:b/>
          <w:color w:val="auto"/>
          <w:highlight w:val="none"/>
        </w:rPr>
        <w:t>（必须足额</w:t>
      </w:r>
      <w:r>
        <w:rPr>
          <w:rFonts w:hint="eastAsia" w:ascii="宋体" w:hAnsi="宋体" w:eastAsia="宋体" w:cs="宋体"/>
          <w:b/>
          <w:color w:val="auto"/>
          <w:highlight w:val="none"/>
          <w:lang w:eastAsia="zh-CN"/>
        </w:rPr>
        <w:t>缴</w:t>
      </w:r>
      <w:r>
        <w:rPr>
          <w:rFonts w:hint="eastAsia" w:ascii="宋体" w:hAnsi="宋体" w:eastAsia="宋体" w:cs="宋体"/>
          <w:b/>
          <w:color w:val="auto"/>
          <w:highlight w:val="none"/>
        </w:rPr>
        <w:t>纳）</w:t>
      </w:r>
    </w:p>
    <w:p w14:paraId="70DFC1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（1）磋商保证金的交纳方式：支票、汇票、本票、网上银行或者</w:t>
      </w:r>
      <w:r>
        <w:rPr>
          <w:rFonts w:hint="eastAsia" w:ascii="宋体" w:hAnsi="宋体" w:eastAsia="宋体" w:cs="宋体"/>
          <w:color w:val="auto"/>
          <w:szCs w:val="21"/>
          <w:highlight w:val="none"/>
          <w:lang w:val="en-US" w:eastAsia="zh-CN"/>
        </w:rPr>
        <w:t>金融机构</w:t>
      </w:r>
      <w:r>
        <w:rPr>
          <w:rFonts w:hint="eastAsia" w:ascii="宋体" w:hAnsi="宋体" w:eastAsia="宋体" w:cs="宋体"/>
          <w:color w:val="auto"/>
          <w:szCs w:val="21"/>
          <w:highlight w:val="none"/>
        </w:rPr>
        <w:t>、保险机构出具的保函等非现金形式。</w:t>
      </w:r>
    </w:p>
    <w:p w14:paraId="531E3E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（2）采用银行转账方式的，供应商应于响应文件提交截止时间前将磋商保证金交至以下账户：</w:t>
      </w:r>
    </w:p>
    <w:p w14:paraId="387900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开户名称：广西汉昌工程咨询有限公司第七分公司；</w:t>
      </w:r>
    </w:p>
    <w:p w14:paraId="482AA0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开户银行：中国工商银行股份有限公司南宁市五象支行；</w:t>
      </w:r>
    </w:p>
    <w:p w14:paraId="43CE4E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银行账号：2102116009300145703 </w:t>
      </w:r>
    </w:p>
    <w:p w14:paraId="66620327">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备注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项目名称或项目编号</w:t>
      </w:r>
      <w:r>
        <w:rPr>
          <w:rFonts w:hint="eastAsia" w:ascii="宋体" w:hAnsi="宋体" w:eastAsia="宋体" w:cs="宋体"/>
          <w:b/>
          <w:bCs/>
          <w:color w:val="auto"/>
          <w:szCs w:val="21"/>
          <w:highlight w:val="none"/>
          <w:u w:val="single"/>
        </w:rPr>
        <w:t>投标保证金</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 xml:space="preserve">   </w:t>
      </w:r>
    </w:p>
    <w:p w14:paraId="0A3E27AA">
      <w:pPr>
        <w:numPr>
          <w:ilvl w:val="0"/>
          <w:numId w:val="1"/>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采用支票、汇票、本票或者保函等方式的，供应商应于响应文件提交截止时间前递交单独密封的支票、汇票、本票或者保函原件至我公司。（地址：</w:t>
      </w:r>
      <w:r>
        <w:rPr>
          <w:rFonts w:hint="eastAsia" w:ascii="宋体" w:hAnsi="宋体" w:eastAsia="宋体" w:cs="宋体"/>
          <w:color w:val="auto"/>
          <w:szCs w:val="21"/>
          <w:highlight w:val="none"/>
          <w:lang w:eastAsia="zh-CN"/>
        </w:rPr>
        <w:t>广西南宁市那洪大道7号研祥智谷A1栋7楼</w:t>
      </w:r>
      <w:r>
        <w:rPr>
          <w:rFonts w:hint="eastAsia" w:ascii="宋体" w:hAnsi="宋体" w:eastAsia="宋体" w:cs="宋体"/>
          <w:color w:val="auto"/>
          <w:szCs w:val="21"/>
          <w:highlight w:val="none"/>
        </w:rPr>
        <w:t>；电话：</w:t>
      </w:r>
      <w:r>
        <w:rPr>
          <w:rFonts w:hint="eastAsia" w:ascii="宋体" w:hAnsi="宋体" w:eastAsia="宋体" w:cs="宋体"/>
          <w:color w:val="auto"/>
          <w:sz w:val="21"/>
          <w:szCs w:val="21"/>
          <w:highlight w:val="none"/>
        </w:rPr>
        <w:t>0771-3313954</w:t>
      </w:r>
      <w:r>
        <w:rPr>
          <w:rFonts w:hint="eastAsia" w:ascii="宋体" w:hAnsi="宋体" w:eastAsia="宋体" w:cs="宋体"/>
          <w:color w:val="auto"/>
          <w:szCs w:val="21"/>
          <w:highlight w:val="none"/>
        </w:rPr>
        <w:t>）</w:t>
      </w:r>
    </w:p>
    <w:p w14:paraId="2FB45D1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2.本项目需要落实的政府采购政策</w:t>
      </w:r>
    </w:p>
    <w:p w14:paraId="386BBB48">
      <w:pPr>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szCs w:val="21"/>
          <w:highlight w:val="none"/>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14:paraId="50DD665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3.网上公告媒体查询</w:t>
      </w:r>
    </w:p>
    <w:p w14:paraId="37C6E5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中国政府采购网（www.ccgp.gov.cn）、广西壮族自治区政府采购网（zfcg.gxzf.gov.cn）</w:t>
      </w:r>
      <w:r>
        <w:rPr>
          <w:rFonts w:hint="eastAsia" w:ascii="宋体" w:hAnsi="宋体" w:eastAsia="宋体" w:cs="宋体"/>
          <w:color w:val="auto"/>
          <w:highlight w:val="none"/>
        </w:rPr>
        <w:t>。</w:t>
      </w:r>
    </w:p>
    <w:p w14:paraId="2DDF1506">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highlight w:val="none"/>
        </w:rPr>
        <w:t>4.</w:t>
      </w:r>
      <w:r>
        <w:rPr>
          <w:rFonts w:hint="eastAsia" w:ascii="宋体" w:hAnsi="宋体" w:eastAsia="宋体" w:cs="宋体"/>
          <w:b/>
          <w:color w:val="auto"/>
          <w:szCs w:val="21"/>
          <w:highlight w:val="none"/>
        </w:rPr>
        <w:t>其他注意事项</w:t>
      </w:r>
    </w:p>
    <w:p w14:paraId="6C0CAF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实行电子竞标，供应商应按照本项目招标文件和政采云平台的要求编制、加密并提交竞标响应文件。供应商在使用系统参与竞标过程中遇到涉及平台使用的任何问题，可致电政采云平台技术支持热线咨询，联系方式：95763。</w:t>
      </w:r>
    </w:p>
    <w:p w14:paraId="7747AA9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（2）供应商应及时熟悉掌握电子标系统操作指南（见政采云电子卖场首页右上角—服务中心—帮助文档—项目采购）：https://service.zcygov.cn/#/knowledges/tree?tag=AG1DtGwBFdiHxlNdhY0r。</w:t>
      </w:r>
    </w:p>
    <w:p w14:paraId="50CED8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（3）供应商应及时完成CA申领和绑定（见广西壮族自治区政府采购网—办事服务—下载专区-政采云CA证书办理操作指南）；</w:t>
      </w:r>
    </w:p>
    <w:p w14:paraId="51CF3B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通过政采云投标客户端软件制作竞标响应文件，政采云投标客户端软件请供应商自行前往下载并安装（见广西壮族自治区政府采购网—办事服务—下载专区-广西壮族自治区全流程电子招投标项目管理系统--供应商客户端）。</w:t>
      </w:r>
    </w:p>
    <w:p w14:paraId="76D409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（5）因未注册入库、未办理CA数字证书、CA证书故障、操作不当等原因造成无法投标或投标失败等后果由供应商自行承担。</w:t>
      </w:r>
    </w:p>
    <w:p w14:paraId="5A9EF5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竞标响应文件网上提交截止后，政采云（电子标系统）自动提取所有竞标响应文件，各供应商须在开标开始后30分钟内对上传政采云的竞标响应文件进行解密，所有供应商在规定的解密时限内解密完成或解密时限结束后，本公司开启竞标响应文件；供应商超过解密时限的，系统默认自动放弃。</w:t>
      </w:r>
    </w:p>
    <w:p w14:paraId="474FF01B">
      <w:pPr>
        <w:spacing w:line="360" w:lineRule="auto"/>
        <w:rPr>
          <w:rFonts w:hint="eastAsia" w:ascii="宋体" w:hAnsi="宋体" w:eastAsia="宋体" w:cs="宋体"/>
          <w:b/>
          <w:color w:val="auto"/>
          <w:highlight w:val="none"/>
        </w:rPr>
      </w:pPr>
      <w:bookmarkStart w:id="28" w:name="_Toc28359018"/>
      <w:bookmarkStart w:id="29" w:name="_Toc35393805"/>
      <w:bookmarkStart w:id="30" w:name="_Toc28359095"/>
      <w:bookmarkStart w:id="31" w:name="_Toc35393636"/>
      <w:r>
        <w:rPr>
          <w:rFonts w:hint="eastAsia" w:ascii="宋体" w:hAnsi="宋体" w:eastAsia="宋体" w:cs="宋体"/>
          <w:b/>
          <w:color w:val="auto"/>
          <w:highlight w:val="none"/>
        </w:rPr>
        <w:t>八、凡对本次采购提出询问，请按以下方式联系。</w:t>
      </w:r>
      <w:bookmarkEnd w:id="28"/>
      <w:bookmarkEnd w:id="29"/>
      <w:bookmarkEnd w:id="30"/>
      <w:bookmarkEnd w:id="31"/>
    </w:p>
    <w:p w14:paraId="71EA817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14:paraId="0B85FBA7">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广西农业工程职业技术学院</w:t>
      </w:r>
    </w:p>
    <w:p w14:paraId="418E7FC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szCs w:val="21"/>
          <w:highlight w:val="none"/>
          <w:lang w:eastAsia="zh-CN"/>
        </w:rPr>
        <w:t>广西壮族自治区崇左市扶绥县空港大道25号</w:t>
      </w:r>
    </w:p>
    <w:p w14:paraId="0CA5D3BB">
      <w:pPr>
        <w:spacing w:line="360" w:lineRule="auto"/>
        <w:ind w:firstLine="420" w:firstLineChars="200"/>
        <w:rPr>
          <w:rFonts w:hint="eastAsia" w:ascii="宋体" w:hAnsi="宋体" w:eastAsia="宋体" w:cs="宋体"/>
          <w:color w:val="auto"/>
          <w:highlight w:val="none"/>
          <w:u w:val="none"/>
          <w:lang w:eastAsia="zh-CN"/>
        </w:rPr>
      </w:pPr>
      <w:bookmarkStart w:id="32" w:name="_Toc28359086"/>
      <w:bookmarkStart w:id="33" w:name="_Toc28359009"/>
      <w:r>
        <w:rPr>
          <w:rFonts w:hint="eastAsia" w:ascii="宋体" w:hAnsi="宋体" w:eastAsia="宋体" w:cs="宋体"/>
          <w:color w:val="auto"/>
          <w:highlight w:val="none"/>
        </w:rPr>
        <w:t>项目联系人：</w:t>
      </w:r>
      <w:r>
        <w:rPr>
          <w:rFonts w:hint="eastAsia" w:ascii="宋体" w:hAnsi="宋体" w:eastAsia="宋体" w:cs="宋体"/>
          <w:color w:val="auto"/>
          <w:szCs w:val="21"/>
          <w:highlight w:val="none"/>
          <w:lang w:val="en-US" w:eastAsia="zh-CN"/>
        </w:rPr>
        <w:t>吴老师</w:t>
      </w:r>
    </w:p>
    <w:p w14:paraId="06BF4340">
      <w:pPr>
        <w:spacing w:line="360" w:lineRule="auto"/>
        <w:ind w:firstLine="420" w:firstLineChars="200"/>
        <w:rPr>
          <w:rFonts w:hint="eastAsia" w:ascii="宋体" w:hAnsi="宋体" w:eastAsia="宋体" w:cs="宋体"/>
          <w:color w:val="auto"/>
          <w:highlight w:val="none"/>
          <w:u w:val="none"/>
        </w:rPr>
      </w:pPr>
      <w:r>
        <w:rPr>
          <w:rFonts w:hint="eastAsia" w:ascii="宋体" w:hAnsi="宋体" w:eastAsia="宋体" w:cs="宋体"/>
          <w:color w:val="auto"/>
          <w:highlight w:val="none"/>
        </w:rPr>
        <w:t>项目联系方式：</w:t>
      </w:r>
      <w:r>
        <w:rPr>
          <w:rFonts w:hint="eastAsia" w:ascii="宋体" w:hAnsi="宋体" w:eastAsia="宋体" w:cs="宋体"/>
          <w:color w:val="auto"/>
          <w:szCs w:val="21"/>
          <w:highlight w:val="none"/>
        </w:rPr>
        <w:t>0771-6600648</w:t>
      </w:r>
    </w:p>
    <w:bookmarkEnd w:id="32"/>
    <w:bookmarkEnd w:id="33"/>
    <w:p w14:paraId="36BB4B7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14:paraId="070B917B">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广西汉昌工程咨询有限公司</w:t>
      </w:r>
    </w:p>
    <w:p w14:paraId="4C437404">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南宁市青秀区仙葫大道西16号鼎丰国际美食广场A栋11楼HC区域</w:t>
      </w:r>
    </w:p>
    <w:p w14:paraId="58AF77F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李</w:t>
      </w:r>
      <w:r>
        <w:rPr>
          <w:rFonts w:hint="eastAsia" w:ascii="宋体" w:hAnsi="宋体" w:eastAsia="宋体" w:cs="宋体"/>
          <w:color w:val="auto"/>
          <w:highlight w:val="none"/>
        </w:rPr>
        <w:t>工</w:t>
      </w:r>
    </w:p>
    <w:p w14:paraId="09C5E0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项目联系方式：0771-3313954</w:t>
      </w:r>
    </w:p>
    <w:p w14:paraId="46E7390F">
      <w:pPr>
        <w:spacing w:line="360" w:lineRule="auto"/>
        <w:ind w:firstLine="420" w:firstLineChars="200"/>
        <w:rPr>
          <w:rFonts w:hint="eastAsia" w:ascii="宋体" w:hAnsi="宋体" w:eastAsia="宋体" w:cs="宋体"/>
          <w:color w:val="auto"/>
          <w:highlight w:val="none"/>
          <w:u w:val="single"/>
        </w:rPr>
      </w:pPr>
    </w:p>
    <w:p w14:paraId="20CD5477">
      <w:pPr>
        <w:snapToGrid w:val="0"/>
        <w:spacing w:line="360" w:lineRule="auto"/>
        <w:ind w:left="238"/>
        <w:jc w:val="right"/>
        <w:rPr>
          <w:rFonts w:hint="eastAsia" w:ascii="宋体" w:hAnsi="宋体" w:eastAsia="宋体" w:cs="宋体"/>
          <w:color w:val="auto"/>
          <w:highlight w:val="none"/>
        </w:rPr>
      </w:pPr>
    </w:p>
    <w:p w14:paraId="4D009BA9">
      <w:pPr>
        <w:spacing w:line="360" w:lineRule="auto"/>
        <w:ind w:right="105" w:firstLine="420" w:firstLineChars="200"/>
        <w:jc w:val="right"/>
        <w:rPr>
          <w:rFonts w:hint="eastAsia" w:ascii="宋体" w:hAnsi="宋体" w:eastAsia="宋体" w:cs="宋体"/>
          <w:color w:val="auto"/>
          <w:highlight w:val="none"/>
          <w:u w:val="single"/>
        </w:rPr>
      </w:pPr>
      <w:r>
        <w:rPr>
          <w:rFonts w:hint="eastAsia" w:ascii="宋体" w:hAnsi="宋体" w:eastAsia="宋体" w:cs="宋体"/>
          <w:color w:val="auto"/>
          <w:highlight w:val="none"/>
        </w:rPr>
        <w:t>2024年</w:t>
      </w:r>
      <w:r>
        <w:rPr>
          <w:rFonts w:hint="eastAsia" w:ascii="宋体" w:hAnsi="宋体" w:cs="宋体"/>
          <w:color w:val="auto"/>
          <w:highlight w:val="none"/>
          <w:lang w:val="en-US" w:eastAsia="zh-CN"/>
        </w:rPr>
        <w:t>12</w:t>
      </w:r>
      <w:r>
        <w:rPr>
          <w:rFonts w:hint="eastAsia" w:ascii="宋体" w:hAnsi="宋体" w:eastAsia="宋体" w:cs="宋体"/>
          <w:color w:val="auto"/>
          <w:highlight w:val="none"/>
        </w:rPr>
        <w:t>月</w:t>
      </w:r>
      <w:r>
        <w:rPr>
          <w:rFonts w:hint="eastAsia" w:ascii="宋体" w:hAnsi="宋体" w:cs="宋体"/>
          <w:color w:val="auto"/>
          <w:highlight w:val="none"/>
          <w:lang w:val="en-US" w:eastAsia="zh-CN"/>
        </w:rPr>
        <w:t>12</w:t>
      </w:r>
      <w:r>
        <w:rPr>
          <w:rFonts w:hint="eastAsia" w:ascii="宋体" w:hAnsi="宋体" w:eastAsia="宋体" w:cs="宋体"/>
          <w:color w:val="auto"/>
          <w:highlight w:val="none"/>
        </w:rPr>
        <w:t>日</w:t>
      </w:r>
    </w:p>
    <w:p w14:paraId="686A5E1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97C15BC">
      <w:pPr>
        <w:spacing w:line="360" w:lineRule="auto"/>
        <w:jc w:val="center"/>
        <w:rPr>
          <w:rFonts w:hint="eastAsia" w:ascii="宋体" w:hAnsi="宋体" w:eastAsia="宋体" w:cs="宋体"/>
          <w:b/>
          <w:color w:val="auto"/>
          <w:sz w:val="32"/>
          <w:szCs w:val="32"/>
          <w:highlight w:val="none"/>
        </w:rPr>
      </w:pPr>
    </w:p>
    <w:p w14:paraId="7557D46E">
      <w:pPr>
        <w:spacing w:line="360" w:lineRule="auto"/>
        <w:jc w:val="center"/>
        <w:rPr>
          <w:rFonts w:hint="eastAsia" w:ascii="宋体" w:hAnsi="宋体" w:eastAsia="宋体" w:cs="宋体"/>
          <w:b/>
          <w:color w:val="auto"/>
          <w:sz w:val="32"/>
          <w:szCs w:val="32"/>
          <w:highlight w:val="none"/>
        </w:rPr>
      </w:pPr>
    </w:p>
    <w:p w14:paraId="7B9FCC9A">
      <w:pPr>
        <w:spacing w:line="360" w:lineRule="auto"/>
        <w:jc w:val="center"/>
        <w:rPr>
          <w:rFonts w:hint="eastAsia" w:ascii="宋体" w:hAnsi="宋体" w:eastAsia="宋体" w:cs="宋体"/>
          <w:b/>
          <w:color w:val="auto"/>
          <w:sz w:val="32"/>
          <w:szCs w:val="32"/>
          <w:highlight w:val="none"/>
        </w:rPr>
      </w:pPr>
    </w:p>
    <w:p w14:paraId="092D0154">
      <w:pPr>
        <w:spacing w:line="360" w:lineRule="auto"/>
        <w:jc w:val="center"/>
        <w:rPr>
          <w:rFonts w:hint="eastAsia" w:ascii="宋体" w:hAnsi="宋体" w:eastAsia="宋体" w:cs="宋体"/>
          <w:b/>
          <w:color w:val="auto"/>
          <w:sz w:val="32"/>
          <w:szCs w:val="32"/>
          <w:highlight w:val="none"/>
        </w:rPr>
      </w:pPr>
    </w:p>
    <w:p w14:paraId="4D9F22B0">
      <w:pPr>
        <w:spacing w:line="360" w:lineRule="auto"/>
        <w:jc w:val="center"/>
        <w:rPr>
          <w:rFonts w:hint="eastAsia" w:ascii="宋体" w:hAnsi="宋体" w:eastAsia="宋体" w:cs="宋体"/>
          <w:b/>
          <w:color w:val="auto"/>
          <w:sz w:val="32"/>
          <w:szCs w:val="32"/>
          <w:highlight w:val="none"/>
        </w:rPr>
      </w:pPr>
    </w:p>
    <w:p w14:paraId="162EC227">
      <w:pPr>
        <w:spacing w:line="360" w:lineRule="auto"/>
        <w:jc w:val="center"/>
        <w:rPr>
          <w:rFonts w:hint="eastAsia" w:ascii="宋体" w:hAnsi="宋体" w:eastAsia="宋体" w:cs="宋体"/>
          <w:b/>
          <w:color w:val="auto"/>
          <w:sz w:val="32"/>
          <w:szCs w:val="32"/>
          <w:highlight w:val="none"/>
        </w:rPr>
      </w:pPr>
    </w:p>
    <w:p w14:paraId="26037662">
      <w:pPr>
        <w:spacing w:line="360" w:lineRule="auto"/>
        <w:rPr>
          <w:rFonts w:hint="eastAsia" w:ascii="宋体" w:hAnsi="宋体" w:eastAsia="宋体" w:cs="宋体"/>
          <w:b/>
          <w:color w:val="auto"/>
          <w:sz w:val="32"/>
          <w:szCs w:val="32"/>
          <w:highlight w:val="none"/>
        </w:rPr>
      </w:pPr>
    </w:p>
    <w:p w14:paraId="764320C9">
      <w:pPr>
        <w:pStyle w:val="38"/>
        <w:spacing w:line="360" w:lineRule="auto"/>
        <w:rPr>
          <w:rFonts w:hint="eastAsia" w:ascii="宋体" w:hAnsi="宋体" w:eastAsia="宋体" w:cs="宋体"/>
          <w:color w:val="auto"/>
          <w:sz w:val="44"/>
          <w:szCs w:val="44"/>
          <w:highlight w:val="none"/>
        </w:rPr>
      </w:pPr>
      <w:bookmarkStart w:id="34" w:name="_Toc476258663"/>
      <w:bookmarkStart w:id="35" w:name="_Toc12523"/>
      <w:r>
        <w:rPr>
          <w:rFonts w:hint="eastAsia" w:ascii="宋体" w:hAnsi="宋体" w:eastAsia="宋体" w:cs="宋体"/>
          <w:color w:val="auto"/>
          <w:sz w:val="44"/>
          <w:szCs w:val="44"/>
          <w:highlight w:val="none"/>
        </w:rPr>
        <w:t>第二章  磋商供应商须知</w:t>
      </w:r>
      <w:bookmarkEnd w:id="34"/>
      <w:bookmarkEnd w:id="35"/>
    </w:p>
    <w:p w14:paraId="07A817A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磋商供应商须知前附表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679"/>
      </w:tblGrid>
      <w:tr w14:paraId="1D6C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Pr>
          <w:p w14:paraId="00E49EF8">
            <w:pPr>
              <w:pStyle w:val="10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679" w:type="dxa"/>
          </w:tcPr>
          <w:p w14:paraId="4964D219">
            <w:pPr>
              <w:pStyle w:val="10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内    容</w:t>
            </w:r>
          </w:p>
        </w:tc>
      </w:tr>
      <w:tr w14:paraId="1921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40" w:type="dxa"/>
            <w:vAlign w:val="center"/>
          </w:tcPr>
          <w:p w14:paraId="14CC47B1">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44392923">
            <w:pPr>
              <w:pStyle w:val="100"/>
              <w:spacing w:line="360" w:lineRule="auto"/>
              <w:rPr>
                <w:rFonts w:hint="eastAsia" w:ascii="宋体" w:hAnsi="宋体" w:eastAsia="宋体" w:cs="宋体"/>
                <w:bCs/>
                <w:color w:val="auto"/>
                <w:szCs w:val="21"/>
                <w:highlight w:val="none"/>
                <w:lang w:eastAsia="zh-CN"/>
              </w:rPr>
            </w:pPr>
            <w:r>
              <w:rPr>
                <w:rFonts w:hint="eastAsia" w:ascii="宋体" w:hAnsi="宋体" w:eastAsia="宋体" w:cs="宋体"/>
                <w:color w:val="auto"/>
                <w:highlight w:val="none"/>
              </w:rPr>
              <w:t>采购项目名称：</w:t>
            </w:r>
            <w:r>
              <w:rPr>
                <w:rFonts w:hint="eastAsia" w:hAnsi="宋体" w:cs="宋体"/>
                <w:color w:val="auto"/>
                <w:highlight w:val="none"/>
                <w:lang w:eastAsia="zh-CN"/>
              </w:rPr>
              <w:t>教育部纵向课题成果培育项目</w:t>
            </w:r>
          </w:p>
          <w:p w14:paraId="713CAA6D">
            <w:pPr>
              <w:pStyle w:val="100"/>
              <w:spacing w:line="360" w:lineRule="auto"/>
              <w:rPr>
                <w:rFonts w:hint="eastAsia" w:ascii="宋体" w:hAnsi="宋体" w:eastAsia="宋体" w:cs="宋体"/>
                <w:bCs/>
                <w:color w:val="auto"/>
                <w:szCs w:val="21"/>
                <w:highlight w:val="none"/>
                <w:lang w:eastAsia="zh-CN"/>
              </w:rPr>
            </w:pPr>
            <w:r>
              <w:rPr>
                <w:rFonts w:hint="eastAsia" w:ascii="宋体" w:hAnsi="宋体" w:eastAsia="宋体" w:cs="宋体"/>
                <w:color w:val="auto"/>
                <w:highlight w:val="none"/>
              </w:rPr>
              <w:t>采购</w:t>
            </w:r>
            <w:r>
              <w:rPr>
                <w:rFonts w:hint="eastAsia" w:hAnsi="宋体" w:cs="宋体"/>
                <w:color w:val="auto"/>
                <w:highlight w:val="none"/>
                <w:lang w:eastAsia="zh-CN"/>
              </w:rPr>
              <w:t>项目编号：GXZC2024-C3-006358-HCZX</w:t>
            </w:r>
            <w:r>
              <w:rPr>
                <w:rFonts w:hint="eastAsia" w:ascii="宋体" w:hAnsi="宋体" w:eastAsia="宋体" w:cs="宋体"/>
                <w:color w:val="auto"/>
                <w:highlight w:val="none"/>
                <w:lang w:eastAsia="zh-CN"/>
              </w:rPr>
              <w:t xml:space="preserve"> </w:t>
            </w:r>
          </w:p>
        </w:tc>
      </w:tr>
      <w:tr w14:paraId="6A07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40" w:type="dxa"/>
            <w:vAlign w:val="center"/>
          </w:tcPr>
          <w:p w14:paraId="3C22C17B">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6E63BDDA">
            <w:pPr>
              <w:pStyle w:val="100"/>
              <w:spacing w:line="360" w:lineRule="auto"/>
              <w:ind w:left="-36" w:firstLine="36"/>
              <w:rPr>
                <w:rFonts w:hint="eastAsia" w:ascii="宋体" w:hAnsi="宋体" w:eastAsia="宋体" w:cs="宋体"/>
                <w:color w:val="auto"/>
                <w:highlight w:val="none"/>
              </w:rPr>
            </w:pPr>
            <w:r>
              <w:rPr>
                <w:rFonts w:hint="eastAsia" w:ascii="宋体" w:hAnsi="宋体" w:eastAsia="宋体" w:cs="宋体"/>
                <w:color w:val="auto"/>
                <w:highlight w:val="none"/>
              </w:rPr>
              <w:t>供应商资格：按第一章竞争性磋商第二条规定。</w:t>
            </w:r>
          </w:p>
        </w:tc>
      </w:tr>
      <w:tr w14:paraId="2867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0" w:type="dxa"/>
            <w:vAlign w:val="center"/>
          </w:tcPr>
          <w:p w14:paraId="7C60F907">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59DA3452">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磋商报价：供应商必须就所竞项目的全部内容作完整唯一报价，漏项报价的或有选择的或有条件的报价，其响应文件将视为无效。</w:t>
            </w:r>
          </w:p>
        </w:tc>
      </w:tr>
      <w:tr w14:paraId="6549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40" w:type="dxa"/>
            <w:vAlign w:val="center"/>
          </w:tcPr>
          <w:p w14:paraId="38D9CE04">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2D87F2C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成交服务费：本项目的成交服务费按本须知16.1款规定的标准采用差额定率累进计费方式计取，由成交供应商在发布成交结果公告后，一次性向采购代理机构支付。</w:t>
            </w:r>
          </w:p>
        </w:tc>
      </w:tr>
      <w:tr w14:paraId="6526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740" w:type="dxa"/>
            <w:vAlign w:val="center"/>
          </w:tcPr>
          <w:p w14:paraId="18E74238">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2FF2FC80">
            <w:pPr>
              <w:pStyle w:val="2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响应文件的上传和提交：本项目通过“广西政府采购云平台”（https://www.gcy.zfcg.gxzf.gov.cn/）实行在线竞标响应（电子标），竞标供应商应当在</w:t>
            </w:r>
            <w:r>
              <w:rPr>
                <w:rFonts w:hint="eastAsia" w:ascii="宋体" w:hAnsi="宋体" w:eastAsia="宋体" w:cs="宋体"/>
                <w:b/>
                <w:color w:val="auto"/>
                <w:highlight w:val="none"/>
              </w:rPr>
              <w:t>响应文件提交截止时间</w:t>
            </w:r>
            <w:r>
              <w:rPr>
                <w:rFonts w:hint="eastAsia" w:ascii="宋体" w:hAnsi="宋体" w:eastAsia="宋体" w:cs="宋体"/>
                <w:color w:val="auto"/>
                <w:highlight w:val="none"/>
              </w:rPr>
              <w:t>前，将生成的“电子加密响应文件”上传提交至“政采云平台”。</w:t>
            </w:r>
          </w:p>
          <w:p w14:paraId="76E5B4D6">
            <w:pPr>
              <w:pStyle w:val="2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“电子加密响应文件”的上传、提交：</w:t>
            </w:r>
          </w:p>
          <w:p w14:paraId="4EB3FC9D">
            <w:pPr>
              <w:pStyle w:val="2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a.磋商供应商应在</w:t>
            </w:r>
            <w:r>
              <w:rPr>
                <w:rFonts w:hint="eastAsia" w:ascii="宋体" w:hAnsi="宋体" w:eastAsia="宋体" w:cs="宋体"/>
                <w:b/>
                <w:color w:val="auto"/>
                <w:highlight w:val="none"/>
              </w:rPr>
              <w:t>响应文件提交截止时间</w:t>
            </w:r>
            <w:r>
              <w:rPr>
                <w:rFonts w:hint="eastAsia" w:ascii="宋体" w:hAnsi="宋体" w:eastAsia="宋体" w:cs="宋体"/>
                <w:color w:val="auto"/>
                <w:highlight w:val="none"/>
              </w:rPr>
              <w:t>前将“电子加密响应文件”成功上传提交至“政采云平台”，否则磋商无效。</w:t>
            </w:r>
          </w:p>
          <w:p w14:paraId="78915C65">
            <w:pPr>
              <w:pStyle w:val="2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b.“电子加密磋商响应文件”成功上传提交后，供应商可自行打印响应文件接收回执。</w:t>
            </w:r>
          </w:p>
        </w:tc>
      </w:tr>
      <w:tr w14:paraId="3C2D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40" w:type="dxa"/>
            <w:vAlign w:val="center"/>
          </w:tcPr>
          <w:p w14:paraId="300545C2">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6468C359">
            <w:pPr>
              <w:pStyle w:val="100"/>
              <w:spacing w:line="360" w:lineRule="auto"/>
              <w:rPr>
                <w:rFonts w:hint="eastAsia" w:ascii="宋体" w:hAnsi="宋体" w:eastAsia="宋体" w:cs="宋体"/>
                <w:bCs/>
                <w:color w:val="auto"/>
                <w:highlight w:val="none"/>
              </w:rPr>
            </w:pPr>
            <w:r>
              <w:rPr>
                <w:rFonts w:hint="eastAsia" w:ascii="宋体" w:hAnsi="宋体" w:eastAsia="宋体" w:cs="宋体"/>
                <w:color w:val="auto"/>
                <w:highlight w:val="none"/>
              </w:rPr>
              <w:t>响应文件递交截止时间：</w:t>
            </w:r>
            <w:r>
              <w:rPr>
                <w:rFonts w:hint="eastAsia" w:ascii="宋体" w:hAnsi="宋体" w:eastAsia="宋体" w:cs="宋体"/>
                <w:color w:val="auto"/>
                <w:szCs w:val="21"/>
                <w:highlight w:val="none"/>
              </w:rPr>
              <w:t>详见竞争性磋商公告</w:t>
            </w:r>
          </w:p>
          <w:p w14:paraId="03E42785">
            <w:pPr>
              <w:pStyle w:val="2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响应文件递交地址：详见竞争性磋商公告</w:t>
            </w:r>
          </w:p>
        </w:tc>
      </w:tr>
      <w:tr w14:paraId="35D7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0" w:type="dxa"/>
            <w:vAlign w:val="center"/>
          </w:tcPr>
          <w:p w14:paraId="468462C8">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3E8FEF43">
            <w:pPr>
              <w:pStyle w:val="10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竞争性磋商响应文件有效期：响应文件递交截止日期后60日。</w:t>
            </w:r>
          </w:p>
        </w:tc>
      </w:tr>
      <w:tr w14:paraId="28EE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14:paraId="54D7D199">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1E08215F">
            <w:pPr>
              <w:pStyle w:val="2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磋商保证金（人民币）：详见竞争性磋商公告</w:t>
            </w:r>
          </w:p>
        </w:tc>
      </w:tr>
      <w:tr w14:paraId="6300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40" w:type="dxa"/>
            <w:vAlign w:val="center"/>
          </w:tcPr>
          <w:p w14:paraId="5F540C74">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5EE39FF6">
            <w:pPr>
              <w:pStyle w:val="10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磋商时间：</w:t>
            </w:r>
            <w:r>
              <w:rPr>
                <w:rFonts w:hint="eastAsia" w:ascii="宋体" w:hAnsi="宋体" w:eastAsia="宋体" w:cs="宋体"/>
                <w:color w:val="auto"/>
                <w:szCs w:val="21"/>
                <w:highlight w:val="none"/>
              </w:rPr>
              <w:t>详见竞争性磋商公告</w:t>
            </w:r>
          </w:p>
          <w:p w14:paraId="39A5595A">
            <w:pPr>
              <w:pStyle w:val="100"/>
              <w:spacing w:line="360" w:lineRule="auto"/>
              <w:rPr>
                <w:rFonts w:hint="eastAsia" w:ascii="宋体" w:hAnsi="宋体" w:eastAsia="宋体" w:cs="宋体"/>
                <w:color w:val="auto"/>
                <w:highlight w:val="none"/>
              </w:rPr>
            </w:pPr>
            <w:r>
              <w:rPr>
                <w:rFonts w:hint="eastAsia" w:ascii="宋体" w:hAnsi="宋体" w:eastAsia="宋体" w:cs="宋体"/>
                <w:bCs/>
                <w:color w:val="auto"/>
                <w:highlight w:val="none"/>
              </w:rPr>
              <w:t>磋商地点：</w:t>
            </w:r>
            <w:r>
              <w:rPr>
                <w:rFonts w:hint="eastAsia" w:ascii="宋体" w:hAnsi="宋体" w:eastAsia="宋体" w:cs="宋体"/>
                <w:color w:val="auto"/>
                <w:highlight w:val="none"/>
              </w:rPr>
              <w:t>详见竞争性磋商</w:t>
            </w:r>
            <w:r>
              <w:rPr>
                <w:rFonts w:hint="eastAsia" w:ascii="宋体" w:hAnsi="宋体" w:eastAsia="宋体" w:cs="宋体"/>
                <w:color w:val="auto"/>
                <w:szCs w:val="21"/>
                <w:highlight w:val="none"/>
              </w:rPr>
              <w:t>公告</w:t>
            </w:r>
          </w:p>
        </w:tc>
      </w:tr>
      <w:tr w14:paraId="5E1A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0" w:type="dxa"/>
            <w:vAlign w:val="center"/>
          </w:tcPr>
          <w:p w14:paraId="2C7C6F5B">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6367614C">
            <w:pPr>
              <w:pStyle w:val="10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评标方法：综合评分法（</w:t>
            </w:r>
            <w:r>
              <w:rPr>
                <w:rFonts w:hint="eastAsia" w:ascii="宋体" w:hAnsi="宋体" w:eastAsia="宋体" w:cs="宋体"/>
                <w:color w:val="auto"/>
                <w:highlight w:val="none"/>
                <w:lang w:eastAsia="zh-CN"/>
              </w:rPr>
              <w:t>详</w:t>
            </w:r>
            <w:r>
              <w:rPr>
                <w:rFonts w:hint="eastAsia" w:ascii="宋体" w:hAnsi="宋体" w:eastAsia="宋体" w:cs="宋体"/>
                <w:color w:val="auto"/>
                <w:highlight w:val="none"/>
              </w:rPr>
              <w:t>见第六章）</w:t>
            </w:r>
          </w:p>
        </w:tc>
      </w:tr>
      <w:tr w14:paraId="1624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740" w:type="dxa"/>
            <w:vAlign w:val="center"/>
          </w:tcPr>
          <w:p w14:paraId="4F99C464">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04EC944B">
            <w:pPr>
              <w:spacing w:line="360" w:lineRule="auto"/>
              <w:rPr>
                <w:rFonts w:hint="eastAsia" w:ascii="宋体" w:hAnsi="宋体" w:eastAsia="宋体" w:cs="宋体"/>
                <w:snapToGrid w:val="0"/>
                <w:color w:val="auto"/>
                <w:szCs w:val="21"/>
                <w:highlight w:val="none"/>
              </w:rPr>
            </w:pPr>
            <w:r>
              <w:rPr>
                <w:rFonts w:hint="eastAsia" w:ascii="宋体" w:hAnsi="宋体" w:eastAsia="宋体" w:cs="宋体"/>
                <w:color w:val="auto"/>
                <w:szCs w:val="21"/>
                <w:highlight w:val="none"/>
              </w:rPr>
              <w:t>响应文件形式：</w:t>
            </w:r>
            <w:r>
              <w:rPr>
                <w:rFonts w:hint="eastAsia" w:ascii="宋体" w:hAnsi="宋体" w:eastAsia="宋体" w:cs="宋体"/>
                <w:snapToGrid w:val="0"/>
                <w:color w:val="auto"/>
                <w:szCs w:val="21"/>
                <w:highlight w:val="none"/>
              </w:rPr>
              <w:t>磋商供应商应准备电子响应文件。</w:t>
            </w:r>
          </w:p>
          <w:p w14:paraId="59992E94">
            <w:pPr>
              <w:pStyle w:val="100"/>
              <w:spacing w:line="360" w:lineRule="auto"/>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电子响应文件是指通过“政采云电子投标客户端”完成响应文件编制后生成并加密的数据电文形式的电子加密响应文件。</w:t>
            </w:r>
          </w:p>
        </w:tc>
      </w:tr>
      <w:tr w14:paraId="7E67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40" w:type="dxa"/>
            <w:vAlign w:val="center"/>
          </w:tcPr>
          <w:p w14:paraId="64B09811">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4BE0B287">
            <w:pPr>
              <w:pStyle w:val="100"/>
              <w:spacing w:line="360" w:lineRule="auto"/>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响应文件的编制：供应商应先安装“政采云电子投标客户端”，并按照本竞争性磋商文件和“政采云平台”的要求，通过“政采云电子投标客户端”编制并加密响应文件。</w:t>
            </w:r>
          </w:p>
        </w:tc>
      </w:tr>
      <w:tr w14:paraId="427D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0" w:type="dxa"/>
            <w:vAlign w:val="center"/>
          </w:tcPr>
          <w:p w14:paraId="0D90A703">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0DA529F5">
            <w:pPr>
              <w:pStyle w:val="100"/>
              <w:spacing w:line="360" w:lineRule="auto"/>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响应文件的盖章：响应文件中所涉及的加盖公章均采用CA电子签章。</w:t>
            </w:r>
          </w:p>
        </w:tc>
      </w:tr>
      <w:tr w14:paraId="43AD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40" w:type="dxa"/>
            <w:vAlign w:val="center"/>
          </w:tcPr>
          <w:p w14:paraId="7C4E5C46">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27FA3858">
            <w:pPr>
              <w:pStyle w:val="100"/>
              <w:spacing w:line="360" w:lineRule="auto"/>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法定代表人或其授权代表签字或盖章：本竞争性磋商文件所涉及的法定代表人或其授权代表签字或盖章的内容，如果磋商供应商没有法定代表人电子签章，涉及到法定代表人或其授权代表签字或盖章的内容，磋商供应商可以线下签字或盖章后扫描上传。</w:t>
            </w:r>
          </w:p>
        </w:tc>
      </w:tr>
      <w:tr w14:paraId="5C7C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0" w:type="dxa"/>
            <w:vAlign w:val="center"/>
          </w:tcPr>
          <w:p w14:paraId="56B62028">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0F36CFAD">
            <w:pPr>
              <w:pStyle w:val="100"/>
              <w:spacing w:line="360" w:lineRule="auto"/>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响应文件份数：电子加密响应文件在线上传提交一份。</w:t>
            </w:r>
          </w:p>
        </w:tc>
      </w:tr>
      <w:tr w14:paraId="0028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40" w:type="dxa"/>
            <w:vAlign w:val="center"/>
          </w:tcPr>
          <w:p w14:paraId="4A412A01">
            <w:pPr>
              <w:pStyle w:val="100"/>
              <w:numPr>
                <w:ilvl w:val="0"/>
                <w:numId w:val="2"/>
              </w:numPr>
              <w:spacing w:line="360" w:lineRule="auto"/>
              <w:jc w:val="center"/>
              <w:rPr>
                <w:rFonts w:hint="eastAsia" w:ascii="宋体" w:hAnsi="宋体" w:eastAsia="宋体" w:cs="宋体"/>
                <w:color w:val="auto"/>
                <w:highlight w:val="none"/>
              </w:rPr>
            </w:pPr>
          </w:p>
        </w:tc>
        <w:tc>
          <w:tcPr>
            <w:tcW w:w="8679" w:type="dxa"/>
            <w:vAlign w:val="center"/>
          </w:tcPr>
          <w:p w14:paraId="406A2F62">
            <w:pPr>
              <w:pStyle w:val="100"/>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电子加密响应文件的解密：</w:t>
            </w:r>
          </w:p>
          <w:p w14:paraId="7AEE5392">
            <w:pPr>
              <w:pStyle w:val="100"/>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磋商响应文件开启后，本公司将向各参与磋商供应商发出“电子加密响应文件”的解密通知，各磋商供应商代表应当在接到解密通知后30分钟内自行完成“电子加密响应文件”的在线解密。</w:t>
            </w:r>
          </w:p>
        </w:tc>
      </w:tr>
    </w:tbl>
    <w:p w14:paraId="752B4A92">
      <w:pPr>
        <w:spacing w:line="360" w:lineRule="auto"/>
        <w:jc w:val="center"/>
        <w:rPr>
          <w:rFonts w:hint="eastAsia" w:ascii="宋体" w:hAnsi="宋体" w:eastAsia="宋体" w:cs="宋体"/>
          <w:b/>
          <w:color w:val="auto"/>
          <w:sz w:val="32"/>
          <w:szCs w:val="32"/>
          <w:highlight w:val="none"/>
        </w:rPr>
      </w:pPr>
    </w:p>
    <w:p w14:paraId="5DB62899">
      <w:pPr>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磋商供应商须知</w:t>
      </w:r>
    </w:p>
    <w:p w14:paraId="3586E77E">
      <w:pPr>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一、总　则</w:t>
      </w:r>
    </w:p>
    <w:p w14:paraId="669D74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适用范围</w:t>
      </w:r>
    </w:p>
    <w:p w14:paraId="4E66D7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本文件仅适用于本文件中所叙述的</w:t>
      </w:r>
      <w:r>
        <w:rPr>
          <w:rFonts w:hint="eastAsia" w:ascii="宋体" w:hAnsi="宋体" w:eastAsia="宋体" w:cs="宋体"/>
          <w:b/>
          <w:color w:val="auto"/>
          <w:szCs w:val="21"/>
          <w:highlight w:val="none"/>
        </w:rPr>
        <w:t>服务类</w:t>
      </w:r>
      <w:r>
        <w:rPr>
          <w:rFonts w:hint="eastAsia" w:ascii="宋体" w:hAnsi="宋体" w:eastAsia="宋体" w:cs="宋体"/>
          <w:color w:val="auto"/>
          <w:szCs w:val="21"/>
          <w:highlight w:val="none"/>
        </w:rPr>
        <w:t>政府采购项目。</w:t>
      </w:r>
    </w:p>
    <w:p w14:paraId="26613A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定义</w:t>
      </w:r>
    </w:p>
    <w:p w14:paraId="50DF7B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w:t>
      </w:r>
      <w:r>
        <w:rPr>
          <w:rFonts w:hint="eastAsia" w:ascii="宋体" w:hAnsi="宋体" w:eastAsia="宋体" w:cs="宋体"/>
          <w:color w:val="auto"/>
          <w:highlight w:val="none"/>
        </w:rPr>
        <w:t>指组织本次采购的采购单位</w:t>
      </w:r>
      <w:r>
        <w:rPr>
          <w:rFonts w:hint="eastAsia" w:ascii="宋体" w:hAnsi="宋体" w:eastAsia="宋体" w:cs="宋体"/>
          <w:color w:val="auto"/>
          <w:szCs w:val="21"/>
          <w:highlight w:val="none"/>
        </w:rPr>
        <w:t>。</w:t>
      </w:r>
    </w:p>
    <w:p w14:paraId="4494DE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2.2“采购代理机构”是指：</w:t>
      </w:r>
      <w:r>
        <w:rPr>
          <w:rFonts w:hint="eastAsia" w:ascii="宋体" w:hAnsi="宋体" w:eastAsia="宋体" w:cs="宋体"/>
          <w:color w:val="auto"/>
          <w:szCs w:val="21"/>
          <w:highlight w:val="none"/>
          <w:lang w:val="en-US" w:eastAsia="zh-CN"/>
        </w:rPr>
        <w:t>广西汉昌工程咨询有限公司</w:t>
      </w:r>
      <w:r>
        <w:rPr>
          <w:rFonts w:hint="eastAsia" w:ascii="宋体" w:hAnsi="宋体" w:eastAsia="宋体" w:cs="宋体"/>
          <w:color w:val="auto"/>
          <w:highlight w:val="none"/>
        </w:rPr>
        <w:t>。</w:t>
      </w:r>
    </w:p>
    <w:p w14:paraId="63D6C9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2.3“磋商供应商”是指响应本文件要求，参加磋商的法人或者其他组织和自然人。如果该供应商在本次磋商中成交,即成为“成交供应商”。</w:t>
      </w:r>
    </w:p>
    <w:p w14:paraId="0C8063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33762E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2.5“服务”是指除货物和工程以外的其他政府采购对象。</w:t>
      </w:r>
    </w:p>
    <w:p w14:paraId="1A303F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2.6“竞争性磋商响应文件”是指：供应商根据本文件要求，编制包含报价、技术和服务等所有内容的文件。</w:t>
      </w:r>
    </w:p>
    <w:p w14:paraId="1335E0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磋商供应商的基本条件：详见须知前附表。</w:t>
      </w:r>
    </w:p>
    <w:p w14:paraId="793A96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磋商费用、代理服务费</w:t>
      </w:r>
    </w:p>
    <w:p w14:paraId="5FF9D2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4.1磋商供应商应自行承担所有与编写和提交竞争性磋商响应文件有关的费用，不论磋商结果如何，采购</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在任何情况下无义务和责任承担此类费用。</w:t>
      </w:r>
    </w:p>
    <w:p w14:paraId="6B656F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4.2本项目的代理服务费按须知前附表的规定执行，由成交供应商在发布成交结果公告后，一次性向采购代理机构支付。</w:t>
      </w:r>
    </w:p>
    <w:p w14:paraId="669CB6A0">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highlight w:val="none"/>
        </w:rPr>
        <w:t xml:space="preserve">5. </w:t>
      </w:r>
      <w:r>
        <w:rPr>
          <w:rFonts w:hint="eastAsia" w:ascii="宋体" w:hAnsi="宋体" w:eastAsia="宋体" w:cs="宋体"/>
          <w:b/>
          <w:color w:val="auto"/>
          <w:szCs w:val="21"/>
          <w:highlight w:val="none"/>
        </w:rPr>
        <w:t>竞争性</w:t>
      </w:r>
      <w:r>
        <w:rPr>
          <w:rFonts w:hint="eastAsia" w:ascii="宋体" w:hAnsi="宋体" w:eastAsia="宋体" w:cs="宋体"/>
          <w:b/>
          <w:color w:val="auto"/>
          <w:highlight w:val="none"/>
        </w:rPr>
        <w:t>磋商文件的澄清和修改：</w:t>
      </w:r>
    </w:p>
    <w:p w14:paraId="1ACE9F4E">
      <w:pPr>
        <w:widowControl/>
        <w:wordWrap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5.1供应商应认真阅读磋商文件，供应商认为采购文件使自己的权益受到损害的，供应商必须在获取竞争性磋商文件之日起7个工作日内，以书面形式向采购人、采购代理机构提出，</w:t>
      </w:r>
      <w:r>
        <w:rPr>
          <w:rFonts w:hint="eastAsia" w:ascii="宋体" w:hAnsi="宋体" w:eastAsia="宋体" w:cs="宋体"/>
          <w:color w:val="auto"/>
          <w:highlight w:val="none"/>
        </w:rPr>
        <w:t>供应商在法定质疑期内必须一次性提出针对同一采购程序环节的质疑</w:t>
      </w:r>
      <w:r>
        <w:rPr>
          <w:rFonts w:hint="eastAsia" w:ascii="宋体" w:hAnsi="宋体" w:eastAsia="宋体" w:cs="宋体"/>
          <w:color w:val="auto"/>
          <w:szCs w:val="21"/>
          <w:highlight w:val="none"/>
        </w:rPr>
        <w:t>。</w:t>
      </w:r>
    </w:p>
    <w:p w14:paraId="34F241B0">
      <w:pPr>
        <w:widowControl/>
        <w:wordWrap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5.2供应商提出质疑应当提交质疑函和必要的证明材料。质疑函应当包括下列内容：</w:t>
      </w:r>
    </w:p>
    <w:p w14:paraId="1A84C5FD">
      <w:pPr>
        <w:widowControl/>
        <w:wordWrap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（1）供应商的姓名或者名称、地址、邮编、联系人及联系电话；</w:t>
      </w:r>
    </w:p>
    <w:p w14:paraId="09810215">
      <w:pPr>
        <w:widowControl/>
        <w:wordWrap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（2）质疑项目的名称、编号；</w:t>
      </w:r>
    </w:p>
    <w:p w14:paraId="048DE107">
      <w:pPr>
        <w:widowControl/>
        <w:wordWrap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（3）具体、明确的质疑事项和与质疑事项相关的请求；</w:t>
      </w:r>
    </w:p>
    <w:p w14:paraId="4F927196">
      <w:pPr>
        <w:widowControl/>
        <w:wordWrap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（4）事实依据；</w:t>
      </w:r>
    </w:p>
    <w:p w14:paraId="0AF3F670">
      <w:pPr>
        <w:widowControl/>
        <w:wordWrap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（5）必要的法律依据；</w:t>
      </w:r>
    </w:p>
    <w:p w14:paraId="171CFA8C">
      <w:pPr>
        <w:widowControl/>
        <w:wordWrap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（6）提出质疑的日期。</w:t>
      </w:r>
    </w:p>
    <w:p w14:paraId="72A631E0">
      <w:pPr>
        <w:widowControl/>
        <w:wordWrap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供应商为自然人的，应当由本人签字；供应商为法人或者其他组织的，应当由法定代表人、主要负责人，或者其授权代表签字或者盖章，并加盖公章。</w:t>
      </w:r>
    </w:p>
    <w:p w14:paraId="38369A9E">
      <w:pPr>
        <w:widowControl/>
        <w:wordWrap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14:paraId="0A1B85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0"/>
          <w:highlight w:val="none"/>
        </w:rPr>
        <w:t>5.4磋商</w:t>
      </w:r>
      <w:r>
        <w:rPr>
          <w:rFonts w:hint="eastAsia" w:ascii="宋体" w:hAnsi="宋体" w:eastAsia="宋体" w:cs="宋体"/>
          <w:color w:val="auto"/>
          <w:highlight w:val="none"/>
        </w:rPr>
        <w:t>供应商</w:t>
      </w:r>
      <w:r>
        <w:rPr>
          <w:rFonts w:hint="eastAsia" w:ascii="宋体" w:hAnsi="宋体" w:eastAsia="宋体" w:cs="宋体"/>
          <w:color w:val="auto"/>
          <w:highlight w:val="none"/>
          <w:lang w:eastAsia="zh-CN"/>
        </w:rPr>
        <w:t>接到</w:t>
      </w:r>
      <w:r>
        <w:rPr>
          <w:rFonts w:hint="eastAsia" w:ascii="宋体" w:hAnsi="宋体" w:eastAsia="宋体" w:cs="宋体"/>
          <w:color w:val="auto"/>
          <w:highlight w:val="none"/>
        </w:rPr>
        <w:t>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w:t>
      </w:r>
    </w:p>
    <w:p w14:paraId="1EFE06C8">
      <w:pPr>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二、竞争性磋商响应文件的编制</w:t>
      </w:r>
    </w:p>
    <w:p w14:paraId="3857BA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竞争性磋商响应文件编制基本要求</w:t>
      </w:r>
    </w:p>
    <w:p w14:paraId="4CD35B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14:paraId="61FF6F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6.2响应文件须由磋商供应商在规定位置盖章并由法定代表人或法定代表人的授权委托人签署，磋商供应商应写全称。</w:t>
      </w:r>
    </w:p>
    <w:p w14:paraId="359ED4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6.3响应文件不得涂改，若有修改错漏处，须加盖单位公章或者法定代表人或授权委托人签字或盖章。响应文件因扫描不清晰或乱码或表达不清所引起的后果由磋商供应商负责。</w:t>
      </w:r>
    </w:p>
    <w:p w14:paraId="23D5ED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6.4竞争性磋商响应文件的组成：竞争性磋商响应文件应分为资格文件、价格文件和商务技术文件三个部分组成</w:t>
      </w:r>
      <w:r>
        <w:rPr>
          <w:rFonts w:hint="eastAsia" w:ascii="宋体" w:hAnsi="宋体" w:eastAsia="宋体" w:cs="宋体"/>
          <w:b/>
          <w:color w:val="auto"/>
          <w:szCs w:val="21"/>
          <w:highlight w:val="none"/>
        </w:rPr>
        <w:t>（扫描件或其他电子文件）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（以下文件要求必须提供的文件如未提供，磋商小组有权拒绝其竞争性磋商响应文件）</w:t>
      </w:r>
    </w:p>
    <w:p w14:paraId="5651285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6.4.1资格文件</w:t>
      </w:r>
    </w:p>
    <w:p w14:paraId="50AC0624">
      <w:pPr>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1）磋商供应商有效的“主体资格证明文件”复印件（如营业执照、事业单位法人证书、执业许可证、自然人身份证等）；</w:t>
      </w:r>
      <w:r>
        <w:rPr>
          <w:rFonts w:hint="eastAsia" w:ascii="宋体" w:hAnsi="宋体" w:eastAsia="宋体" w:cs="宋体"/>
          <w:b/>
          <w:color w:val="auto"/>
          <w:highlight w:val="none"/>
        </w:rPr>
        <w:t xml:space="preserve">[必须提供] </w:t>
      </w:r>
    </w:p>
    <w:p w14:paraId="5AAC7BA7">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2）法定代表人身份证正、反面复印件；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 xml:space="preserve"> </w:t>
      </w:r>
    </w:p>
    <w:p w14:paraId="675EDB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w:t>
      </w:r>
      <w:r>
        <w:rPr>
          <w:rFonts w:hint="eastAsia" w:ascii="宋体" w:hAnsi="宋体" w:eastAsia="宋体" w:cs="宋体"/>
          <w:color w:val="auto"/>
          <w:highlight w:val="none"/>
        </w:rPr>
        <w:t>和委托代理人身份证正、反面复印件</w:t>
      </w:r>
      <w:r>
        <w:rPr>
          <w:rFonts w:hint="eastAsia" w:ascii="宋体" w:hAnsi="宋体" w:eastAsia="宋体" w:cs="宋体"/>
          <w:color w:val="auto"/>
          <w:szCs w:val="21"/>
          <w:highlight w:val="none"/>
        </w:rPr>
        <w:t>；</w:t>
      </w:r>
      <w:r>
        <w:rPr>
          <w:rFonts w:hint="eastAsia" w:ascii="宋体" w:hAnsi="宋体" w:eastAsia="宋体" w:cs="宋体"/>
          <w:b/>
          <w:color w:val="auto"/>
          <w:highlight w:val="none"/>
        </w:rPr>
        <w:t>[委托代理时</w:t>
      </w:r>
      <w:r>
        <w:rPr>
          <w:rFonts w:hint="eastAsia" w:ascii="宋体" w:hAnsi="宋体" w:eastAsia="宋体" w:cs="宋体"/>
          <w:b/>
          <w:bCs/>
          <w:color w:val="auto"/>
          <w:highlight w:val="none"/>
        </w:rPr>
        <w:t>必须提供</w:t>
      </w:r>
      <w:r>
        <w:rPr>
          <w:rFonts w:hint="eastAsia" w:ascii="宋体" w:hAnsi="宋体" w:eastAsia="宋体" w:cs="宋体"/>
          <w:b/>
          <w:color w:val="auto"/>
          <w:highlight w:val="none"/>
        </w:rPr>
        <w:t>]</w:t>
      </w:r>
    </w:p>
    <w:p w14:paraId="35239C8B">
      <w:pPr>
        <w:spacing w:line="360" w:lineRule="auto"/>
        <w:ind w:firstLine="420" w:firstLineChars="200"/>
        <w:rPr>
          <w:rFonts w:hint="eastAsia" w:ascii="宋体" w:hAnsi="宋体" w:eastAsia="宋体" w:cs="宋体"/>
          <w:b/>
          <w:bCs w:val="0"/>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rPr>
        <w:t>供应商财务状况报告（</w:t>
      </w:r>
      <w:r>
        <w:rPr>
          <w:rFonts w:hint="eastAsia" w:ascii="宋体" w:hAnsi="宋体" w:eastAsia="宋体" w:cs="宋体"/>
          <w:color w:val="auto"/>
          <w:szCs w:val="21"/>
          <w:u w:val="single"/>
        </w:rPr>
        <w:t>2022年或2023年</w:t>
      </w:r>
      <w:r>
        <w:rPr>
          <w:rFonts w:hint="eastAsia" w:ascii="宋体" w:hAnsi="宋体" w:eastAsia="宋体" w:cs="宋体"/>
          <w:color w:val="auto"/>
          <w:szCs w:val="21"/>
        </w:rPr>
        <w:t>度财务报表复印件），或者银行出具的资信证明，或者中国人民银行征信中心出具的信用报告（企业竞标的提供企业信用报告，自然人竞标的提供个人信用报告）；供应商属于</w:t>
      </w:r>
      <w:r>
        <w:rPr>
          <w:rFonts w:hint="eastAsia" w:ascii="宋体" w:hAnsi="宋体" w:eastAsia="宋体" w:cs="宋体"/>
          <w:color w:val="auto"/>
        </w:rPr>
        <w:t>成立时间</w:t>
      </w:r>
      <w:r>
        <w:rPr>
          <w:rFonts w:hint="eastAsia" w:ascii="宋体" w:hAnsi="宋体" w:eastAsia="宋体" w:cs="宋体"/>
          <w:color w:val="auto"/>
          <w:kern w:val="0"/>
        </w:rPr>
        <w:t>在规定年度之后</w:t>
      </w:r>
      <w:r>
        <w:rPr>
          <w:rFonts w:hint="eastAsia" w:ascii="宋体" w:hAnsi="宋体" w:eastAsia="宋体" w:cs="宋体"/>
          <w:color w:val="auto"/>
        </w:rPr>
        <w:t>的</w:t>
      </w:r>
      <w:r>
        <w:rPr>
          <w:rFonts w:hint="eastAsia" w:ascii="宋体" w:hAnsi="宋体" w:eastAsia="宋体" w:cs="宋体"/>
          <w:color w:val="auto"/>
          <w:szCs w:val="21"/>
        </w:rPr>
        <w:t>法人或其他组织</w:t>
      </w:r>
      <w:r>
        <w:rPr>
          <w:rFonts w:hint="eastAsia" w:ascii="宋体" w:hAnsi="宋体" w:eastAsia="宋体" w:cs="宋体"/>
          <w:color w:val="auto"/>
        </w:rPr>
        <w:t>，需提供成立之日起至响应文件提交截止时间前的月报表</w:t>
      </w:r>
      <w:r>
        <w:rPr>
          <w:rFonts w:hint="eastAsia" w:ascii="宋体" w:hAnsi="宋体" w:eastAsia="宋体" w:cs="宋体"/>
          <w:color w:val="auto"/>
          <w:szCs w:val="21"/>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eastAsia="宋体" w:cs="宋体"/>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必须提供，否则作无效响应处理]</w:t>
      </w:r>
    </w:p>
    <w:p w14:paraId="413CE8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5）响应文件递交截止之日前一年内磋商供应商任意</w:t>
      </w:r>
      <w:r>
        <w:rPr>
          <w:rFonts w:hint="eastAsia" w:ascii="宋体" w:hAnsi="宋体" w:eastAsia="宋体" w:cs="宋体"/>
          <w:color w:val="auto"/>
          <w:szCs w:val="21"/>
          <w:highlight w:val="none"/>
          <w:lang w:val="en-US" w:eastAsia="zh-CN"/>
        </w:rPr>
        <w:t>连续</w:t>
      </w:r>
      <w:r>
        <w:rPr>
          <w:rFonts w:hint="eastAsia" w:ascii="宋体" w:hAnsi="宋体" w:eastAsia="宋体" w:cs="宋体"/>
          <w:color w:val="auto"/>
          <w:szCs w:val="21"/>
          <w:highlight w:val="none"/>
        </w:rPr>
        <w:t>三个月的依法缴纳税费或依法免缴税费的证明复印件；无纳税记录的，应提供由磋商供应商所在地的税务部门出具的《依法纳税或依法免税证明》复印件；</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必须提供，新成立单位按实际提供]</w:t>
      </w:r>
    </w:p>
    <w:p w14:paraId="330667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6）响应文件递交截止之日前一年内磋商供应商任意</w:t>
      </w:r>
      <w:r>
        <w:rPr>
          <w:rFonts w:hint="eastAsia" w:ascii="宋体" w:hAnsi="宋体" w:eastAsia="宋体" w:cs="宋体"/>
          <w:color w:val="auto"/>
          <w:szCs w:val="21"/>
          <w:highlight w:val="none"/>
          <w:lang w:val="en-US" w:eastAsia="zh-CN"/>
        </w:rPr>
        <w:t>连续</w:t>
      </w:r>
      <w:r>
        <w:rPr>
          <w:rFonts w:hint="eastAsia" w:ascii="宋体" w:hAnsi="宋体" w:eastAsia="宋体" w:cs="宋体"/>
          <w:color w:val="auto"/>
          <w:szCs w:val="21"/>
          <w:highlight w:val="none"/>
        </w:rPr>
        <w:t>三个月的依法缴纳社保费的缴费凭证复印件；无缴费记录的，应提供由磋商供应商所在地社保等相关部门出具的《依法缴纳或依法免缴社保费证明》复印件；</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必须提供，新成立单位按实际提供]</w:t>
      </w:r>
    </w:p>
    <w:p w14:paraId="12E51546">
      <w:pPr>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szCs w:val="21"/>
          <w:highlight w:val="none"/>
        </w:rPr>
        <w:t>7）磋商保证金的提交凭证；</w:t>
      </w:r>
      <w:r>
        <w:rPr>
          <w:rFonts w:hint="eastAsia" w:ascii="宋体" w:hAnsi="宋体" w:eastAsia="宋体" w:cs="宋体"/>
          <w:b/>
          <w:color w:val="auto"/>
          <w:highlight w:val="none"/>
        </w:rPr>
        <w:t>[必须提供]</w:t>
      </w:r>
    </w:p>
    <w:p w14:paraId="2C1379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8）中小企业声明函；</w:t>
      </w:r>
      <w:r>
        <w:rPr>
          <w:rFonts w:hint="eastAsia" w:ascii="宋体" w:hAnsi="宋体" w:eastAsia="宋体" w:cs="宋体"/>
          <w:b/>
          <w:bCs/>
          <w:color w:val="auto"/>
          <w:szCs w:val="21"/>
          <w:highlight w:val="none"/>
        </w:rPr>
        <w:t>[按最新相关政策执行，格式见第六章，如有必须提供</w:t>
      </w:r>
      <w:r>
        <w:rPr>
          <w:rFonts w:hint="eastAsia" w:ascii="宋体" w:hAnsi="宋体" w:eastAsia="宋体" w:cs="宋体"/>
          <w:b/>
          <w:bCs/>
          <w:color w:val="auto"/>
          <w:kern w:val="0"/>
          <w:sz w:val="21"/>
          <w:szCs w:val="21"/>
          <w:highlight w:val="none"/>
        </w:rPr>
        <w:t>]</w:t>
      </w:r>
    </w:p>
    <w:p w14:paraId="2C00F3E9">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9）符合特定资格条件（如有）的有关证明材料（复印件）；</w:t>
      </w:r>
      <w:r>
        <w:rPr>
          <w:rFonts w:hint="eastAsia" w:ascii="宋体" w:hAnsi="宋体" w:eastAsia="宋体" w:cs="宋体"/>
          <w:b/>
          <w:color w:val="auto"/>
          <w:highlight w:val="none"/>
        </w:rPr>
        <w:t>[</w:t>
      </w:r>
      <w:r>
        <w:rPr>
          <w:rFonts w:hint="eastAsia" w:ascii="宋体" w:hAnsi="宋体" w:eastAsia="宋体" w:cs="宋体"/>
          <w:b/>
          <w:color w:val="auto"/>
          <w:szCs w:val="21"/>
          <w:highlight w:val="none"/>
        </w:rPr>
        <w:t>如有要求，则</w:t>
      </w:r>
      <w:r>
        <w:rPr>
          <w:rFonts w:hint="eastAsia" w:ascii="宋体" w:hAnsi="宋体" w:eastAsia="宋体" w:cs="宋体"/>
          <w:b/>
          <w:color w:val="auto"/>
          <w:highlight w:val="none"/>
        </w:rPr>
        <w:t>必须提供]</w:t>
      </w:r>
    </w:p>
    <w:p w14:paraId="26345004">
      <w:pPr>
        <w:wordWrap w:val="0"/>
        <w:snapToGrid w:val="0"/>
        <w:spacing w:line="360" w:lineRule="auto"/>
        <w:ind w:firstLine="411" w:firstLineChars="196"/>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kern w:val="0"/>
          <w:szCs w:val="21"/>
          <w:highlight w:val="none"/>
        </w:rPr>
        <w:t>参加政府采购活动前三年内在经营活动中没有重大违法记录和不良信用记录的书面声明</w:t>
      </w:r>
      <w:r>
        <w:rPr>
          <w:rFonts w:hint="eastAsia" w:ascii="宋体" w:hAnsi="宋体" w:eastAsia="宋体" w:cs="宋体"/>
          <w:color w:val="auto"/>
          <w:kern w:val="0"/>
          <w:sz w:val="24"/>
          <w:highlight w:val="none"/>
        </w:rPr>
        <w:t>；</w:t>
      </w:r>
      <w:r>
        <w:rPr>
          <w:rFonts w:hint="eastAsia" w:ascii="宋体" w:hAnsi="宋体" w:eastAsia="宋体" w:cs="宋体"/>
          <w:b/>
          <w:color w:val="auto"/>
          <w:szCs w:val="21"/>
          <w:highlight w:val="none"/>
        </w:rPr>
        <w:t>[格式自拟，必须提供]</w:t>
      </w:r>
    </w:p>
    <w:p w14:paraId="6572E7A2">
      <w:pPr>
        <w:wordWrap w:val="0"/>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注：供应商进行信用查询</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并附响应文件内</w:t>
      </w:r>
    </w:p>
    <w:p w14:paraId="4FEF9177">
      <w:pPr>
        <w:wordWrap w:val="0"/>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查询渠道：“信用中国”网站(www.creditchina.gov.cn) 、中国政府采购网(www.ccgp.gov.cn)</w:t>
      </w:r>
    </w:p>
    <w:p w14:paraId="6515E5D5">
      <w:pPr>
        <w:wordWrap w:val="0"/>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查询截止时间：资格审查结束前。</w:t>
      </w:r>
    </w:p>
    <w:p w14:paraId="3F6A4D58">
      <w:pPr>
        <w:wordWrap w:val="0"/>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查询记录和证据留存方式：在查询网站中直接打印查询记录，打印材料作为评审资料保存。</w:t>
      </w:r>
    </w:p>
    <w:p w14:paraId="33CCC327">
      <w:pPr>
        <w:wordWrap w:val="0"/>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将拒绝其参与政府采购活动。</w:t>
      </w:r>
    </w:p>
    <w:p w14:paraId="25F25B6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6.4.2价格文件</w:t>
      </w:r>
    </w:p>
    <w:p w14:paraId="034816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1）磋商书及磋商声明书；</w:t>
      </w:r>
      <w:r>
        <w:rPr>
          <w:rFonts w:hint="eastAsia" w:ascii="宋体" w:hAnsi="宋体" w:eastAsia="宋体" w:cs="宋体"/>
          <w:b/>
          <w:color w:val="auto"/>
          <w:szCs w:val="21"/>
          <w:highlight w:val="none"/>
        </w:rPr>
        <w:t>[必须提供]</w:t>
      </w:r>
    </w:p>
    <w:p w14:paraId="70EB05D0">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报价表</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[必须提供]</w:t>
      </w:r>
    </w:p>
    <w:p w14:paraId="0322C414">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）供应商认为需要提供的其他有关资料。</w:t>
      </w:r>
    </w:p>
    <w:p w14:paraId="2EFC6CE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6.4.3商务技术文件</w:t>
      </w:r>
    </w:p>
    <w:p w14:paraId="592F05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1）商务、技术响应、偏离情况说明表；</w:t>
      </w:r>
      <w:r>
        <w:rPr>
          <w:rFonts w:hint="eastAsia" w:ascii="宋体" w:hAnsi="宋体" w:eastAsia="宋体" w:cs="宋体"/>
          <w:b/>
          <w:color w:val="auto"/>
          <w:szCs w:val="21"/>
          <w:highlight w:val="none"/>
        </w:rPr>
        <w:t>[必须提供]</w:t>
      </w:r>
    </w:p>
    <w:p w14:paraId="34E20F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2）技术方案；[格式自拟]</w:t>
      </w:r>
    </w:p>
    <w:p w14:paraId="4081D98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3）项目实施人员一览表</w:t>
      </w:r>
    </w:p>
    <w:p w14:paraId="2AC04BE6">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4）业绩一览表</w:t>
      </w:r>
    </w:p>
    <w:p w14:paraId="186D20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w:t>
      </w:r>
    </w:p>
    <w:p w14:paraId="54CADECA">
      <w:pPr>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三、报价要求</w:t>
      </w:r>
    </w:p>
    <w:p w14:paraId="317DAD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7.1对于本文件中未列明，而磋商供应商认为必需的费用也需列入总报价。在合同实施时，采购人将不予支付成交供应商没有列入的项目费用，并认为此项目的费用已包括在总报价中。</w:t>
      </w:r>
    </w:p>
    <w:p w14:paraId="163872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7.2成交供应商负责本项目所需服务提供、实施、售后服务等全部工作。</w:t>
      </w:r>
    </w:p>
    <w:p w14:paraId="6CF3C044">
      <w:pPr>
        <w:pStyle w:val="2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6A34B9D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szCs w:val="21"/>
          <w:highlight w:val="none"/>
        </w:rPr>
        <w:t>7.4</w:t>
      </w:r>
      <w:r>
        <w:rPr>
          <w:rFonts w:hint="eastAsia" w:ascii="宋体" w:hAnsi="宋体" w:eastAsia="宋体" w:cs="宋体"/>
          <w:b/>
          <w:color w:val="auto"/>
          <w:highlight w:val="none"/>
        </w:rPr>
        <w:t>磋商报价：供应商必须就所竞项目的全部内容作完整唯一报价，漏项报价的或有选择的或有条件的报价，其响应文件将视为无效。</w:t>
      </w:r>
    </w:p>
    <w:p w14:paraId="7F4E4DE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7.5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3714554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w:t>
      </w:r>
      <w:r>
        <w:rPr>
          <w:rFonts w:hint="eastAsia" w:ascii="宋体" w:hAnsi="宋体" w:eastAsia="宋体" w:cs="宋体"/>
          <w:b/>
          <w:bCs/>
          <w:color w:val="auto"/>
          <w:highlight w:val="none"/>
        </w:rPr>
        <w:t>竞争性磋商响应文件</w:t>
      </w:r>
      <w:r>
        <w:rPr>
          <w:rFonts w:hint="eastAsia" w:ascii="宋体" w:hAnsi="宋体" w:eastAsia="宋体" w:cs="宋体"/>
          <w:b/>
          <w:color w:val="auto"/>
          <w:szCs w:val="21"/>
          <w:highlight w:val="none"/>
        </w:rPr>
        <w:t>的份数、</w:t>
      </w:r>
      <w:r>
        <w:rPr>
          <w:rFonts w:hint="eastAsia" w:ascii="宋体" w:hAnsi="宋体" w:eastAsia="宋体" w:cs="宋体"/>
          <w:b/>
          <w:bCs/>
          <w:color w:val="auto"/>
          <w:highlight w:val="none"/>
        </w:rPr>
        <w:t>上传、提交、修改、撤回和解密</w:t>
      </w:r>
    </w:p>
    <w:p w14:paraId="224613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 竞争性磋商响应文件的份数、上传、提交、解密</w:t>
      </w:r>
    </w:p>
    <w:p w14:paraId="70C8B9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见须知前附表。</w:t>
      </w:r>
    </w:p>
    <w:p w14:paraId="40D661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 磋商响应文件的修改和撤回：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14:paraId="661A1434">
      <w:pPr>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五、磋商保证金</w:t>
      </w:r>
    </w:p>
    <w:p w14:paraId="118F8EB6">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10.1</w:t>
      </w:r>
      <w:r>
        <w:rPr>
          <w:rFonts w:hint="eastAsia" w:ascii="宋体" w:hAnsi="宋体" w:eastAsia="宋体" w:cs="宋体"/>
          <w:color w:val="auto"/>
          <w:highlight w:val="none"/>
        </w:rPr>
        <w:t>保证金应用人民币，</w:t>
      </w:r>
      <w:r>
        <w:rPr>
          <w:rFonts w:hint="eastAsia" w:ascii="宋体" w:hAnsi="宋体" w:eastAsia="宋体" w:cs="宋体"/>
          <w:bCs/>
          <w:color w:val="auto"/>
          <w:szCs w:val="21"/>
          <w:highlight w:val="none"/>
        </w:rPr>
        <w:t>具体金额及缴纳方式详见竞争性磋商。</w:t>
      </w:r>
    </w:p>
    <w:p w14:paraId="1D0682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10.2</w:t>
      </w:r>
      <w:r>
        <w:rPr>
          <w:rFonts w:hint="eastAsia" w:ascii="宋体" w:hAnsi="宋体" w:eastAsia="宋体" w:cs="宋体"/>
          <w:color w:val="auto"/>
          <w:highlight w:val="none"/>
        </w:rPr>
        <w:t>未成交磋商供应商的保证金，将在成交通知书发出后四个工作日内予以退还，不计利息。成交供应商</w:t>
      </w:r>
      <w:r>
        <w:rPr>
          <w:rFonts w:hint="eastAsia" w:ascii="宋体" w:hAnsi="宋体" w:eastAsia="宋体" w:cs="宋体"/>
          <w:color w:val="auto"/>
          <w:szCs w:val="21"/>
          <w:highlight w:val="none"/>
        </w:rPr>
        <w:t>的保证金在合同签订后四个工作日内退还（</w:t>
      </w:r>
      <w:r>
        <w:rPr>
          <w:rFonts w:hint="eastAsia" w:ascii="宋体" w:hAnsi="宋体" w:eastAsia="宋体" w:cs="宋体"/>
          <w:color w:val="auto"/>
          <w:highlight w:val="none"/>
        </w:rPr>
        <w:t>合同签订后送达</w:t>
      </w:r>
      <w:r>
        <w:rPr>
          <w:rFonts w:hint="eastAsia" w:ascii="宋体" w:hAnsi="宋体" w:eastAsia="宋体" w:cs="宋体"/>
          <w:color w:val="auto"/>
          <w:szCs w:val="21"/>
          <w:highlight w:val="none"/>
        </w:rPr>
        <w:t>），不计利息。</w:t>
      </w:r>
    </w:p>
    <w:p w14:paraId="1864CB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10.3</w:t>
      </w:r>
      <w:r>
        <w:rPr>
          <w:rFonts w:hint="eastAsia" w:ascii="宋体" w:hAnsi="宋体" w:eastAsia="宋体" w:cs="宋体"/>
          <w:color w:val="auto"/>
          <w:kern w:val="0"/>
          <w:szCs w:val="21"/>
          <w:highlight w:val="none"/>
        </w:rPr>
        <w:t>供应商为联合体的，可以由联合体中的一方或者多方共同交纳保证金，其交纳的保证金对联合体各方均具有约束力。</w:t>
      </w:r>
    </w:p>
    <w:p w14:paraId="1F94EC24">
      <w:pPr>
        <w:tabs>
          <w:tab w:val="left" w:pos="975"/>
        </w:tabs>
        <w:snapToGrid w:val="0"/>
        <w:spacing w:line="360" w:lineRule="auto"/>
        <w:ind w:firstLine="413" w:firstLineChars="196"/>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10.4磋商供应商有下列情形之一的，保证金将不予退还：</w:t>
      </w:r>
    </w:p>
    <w:p w14:paraId="5303E0ED">
      <w:pPr>
        <w:tabs>
          <w:tab w:val="left" w:pos="975"/>
        </w:tabs>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1）磋商供应商在提交</w:t>
      </w:r>
      <w:r>
        <w:rPr>
          <w:rFonts w:hint="eastAsia" w:ascii="宋体" w:hAnsi="宋体" w:eastAsia="宋体" w:cs="宋体"/>
          <w:color w:val="auto"/>
          <w:szCs w:val="21"/>
          <w:highlight w:val="none"/>
        </w:rPr>
        <w:t>竞争性磋商</w:t>
      </w:r>
      <w:r>
        <w:rPr>
          <w:rFonts w:hint="eastAsia" w:ascii="宋体" w:hAnsi="宋体" w:eastAsia="宋体" w:cs="宋体"/>
          <w:color w:val="auto"/>
          <w:kern w:val="0"/>
          <w:szCs w:val="21"/>
          <w:highlight w:val="none"/>
        </w:rPr>
        <w:t>响应文件截止时间后撤回</w:t>
      </w:r>
      <w:r>
        <w:rPr>
          <w:rFonts w:hint="eastAsia" w:ascii="宋体" w:hAnsi="宋体" w:eastAsia="宋体" w:cs="宋体"/>
          <w:color w:val="auto"/>
          <w:szCs w:val="21"/>
          <w:highlight w:val="none"/>
        </w:rPr>
        <w:t>竞争性磋商</w:t>
      </w:r>
      <w:r>
        <w:rPr>
          <w:rFonts w:hint="eastAsia" w:ascii="宋体" w:hAnsi="宋体" w:eastAsia="宋体" w:cs="宋体"/>
          <w:color w:val="auto"/>
          <w:kern w:val="0"/>
          <w:szCs w:val="21"/>
          <w:highlight w:val="none"/>
        </w:rPr>
        <w:t>响应文件的；</w:t>
      </w:r>
    </w:p>
    <w:p w14:paraId="6220F1C4">
      <w:pPr>
        <w:tabs>
          <w:tab w:val="left" w:pos="975"/>
        </w:tabs>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2）磋商供应商在</w:t>
      </w:r>
      <w:r>
        <w:rPr>
          <w:rFonts w:hint="eastAsia" w:ascii="宋体" w:hAnsi="宋体" w:eastAsia="宋体" w:cs="宋体"/>
          <w:color w:val="auto"/>
          <w:szCs w:val="21"/>
          <w:highlight w:val="none"/>
        </w:rPr>
        <w:t>竞争性磋商</w:t>
      </w:r>
      <w:r>
        <w:rPr>
          <w:rFonts w:hint="eastAsia" w:ascii="宋体" w:hAnsi="宋体" w:eastAsia="宋体" w:cs="宋体"/>
          <w:color w:val="auto"/>
          <w:kern w:val="0"/>
          <w:szCs w:val="21"/>
          <w:highlight w:val="none"/>
        </w:rPr>
        <w:t>响应文件中提供虚假材料的；</w:t>
      </w:r>
    </w:p>
    <w:p w14:paraId="0ED037B2">
      <w:pPr>
        <w:tabs>
          <w:tab w:val="left" w:pos="975"/>
        </w:tabs>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3）除因不可抗力或</w:t>
      </w:r>
      <w:r>
        <w:rPr>
          <w:rFonts w:hint="eastAsia" w:ascii="宋体" w:hAnsi="宋体" w:eastAsia="宋体" w:cs="宋体"/>
          <w:color w:val="auto"/>
          <w:szCs w:val="21"/>
          <w:highlight w:val="none"/>
        </w:rPr>
        <w:t>竞争性</w:t>
      </w:r>
      <w:r>
        <w:rPr>
          <w:rFonts w:hint="eastAsia" w:ascii="宋体" w:hAnsi="宋体" w:eastAsia="宋体" w:cs="宋体"/>
          <w:color w:val="auto"/>
          <w:kern w:val="0"/>
          <w:szCs w:val="21"/>
          <w:highlight w:val="none"/>
        </w:rPr>
        <w:t>磋商文件认可的情形以外，成交供应商不与采购人签订合同的；</w:t>
      </w:r>
    </w:p>
    <w:p w14:paraId="4D5A667E">
      <w:pPr>
        <w:tabs>
          <w:tab w:val="left" w:pos="975"/>
        </w:tabs>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4）磋商供应商与采购人、其他供应商或者采购代理机构恶意串通的。</w:t>
      </w:r>
    </w:p>
    <w:p w14:paraId="7235398F">
      <w:pPr>
        <w:tabs>
          <w:tab w:val="left" w:pos="975"/>
        </w:tabs>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5）法律法规规定的其他情形。</w:t>
      </w:r>
    </w:p>
    <w:p w14:paraId="45898EB0">
      <w:pPr>
        <w:tabs>
          <w:tab w:val="left" w:pos="975"/>
        </w:tabs>
        <w:snapToGrid w:val="0"/>
        <w:spacing w:line="360" w:lineRule="auto"/>
        <w:ind w:firstLine="413" w:firstLineChars="196"/>
        <w:jc w:val="left"/>
        <w:rPr>
          <w:rFonts w:hint="eastAsia" w:ascii="宋体" w:hAnsi="宋体" w:eastAsia="宋体" w:cs="宋体"/>
          <w:b/>
          <w:color w:val="auto"/>
          <w:highlight w:val="none"/>
        </w:rPr>
      </w:pPr>
      <w:r>
        <w:rPr>
          <w:rFonts w:hint="eastAsia" w:ascii="宋体" w:hAnsi="宋体" w:eastAsia="宋体" w:cs="宋体"/>
          <w:b/>
          <w:bCs/>
          <w:color w:val="auto"/>
          <w:szCs w:val="21"/>
          <w:highlight w:val="none"/>
        </w:rPr>
        <w:t>注：</w:t>
      </w:r>
      <w:r>
        <w:rPr>
          <w:rFonts w:hint="eastAsia" w:ascii="宋体" w:hAnsi="宋体" w:eastAsia="宋体" w:cs="宋体"/>
          <w:b/>
          <w:color w:val="auto"/>
          <w:kern w:val="0"/>
          <w:szCs w:val="21"/>
          <w:highlight w:val="none"/>
        </w:rPr>
        <w:t>磋商供应商</w:t>
      </w:r>
      <w:r>
        <w:rPr>
          <w:rFonts w:hint="eastAsia" w:ascii="宋体" w:hAnsi="宋体" w:eastAsia="宋体" w:cs="宋体"/>
          <w:b/>
          <w:color w:val="auto"/>
          <w:highlight w:val="none"/>
        </w:rPr>
        <w:t>已经被推荐为第一成交候选供应商后撤回</w:t>
      </w:r>
      <w:r>
        <w:rPr>
          <w:rFonts w:hint="eastAsia" w:ascii="宋体" w:hAnsi="宋体" w:eastAsia="宋体" w:cs="宋体"/>
          <w:b/>
          <w:color w:val="auto"/>
          <w:szCs w:val="21"/>
          <w:highlight w:val="none"/>
        </w:rPr>
        <w:t>竞争性磋商</w:t>
      </w:r>
      <w:r>
        <w:rPr>
          <w:rFonts w:hint="eastAsia" w:ascii="宋体" w:hAnsi="宋体" w:eastAsia="宋体" w:cs="宋体"/>
          <w:b/>
          <w:color w:val="auto"/>
          <w:kern w:val="0"/>
          <w:szCs w:val="21"/>
          <w:highlight w:val="none"/>
        </w:rPr>
        <w:t>响应文件</w:t>
      </w:r>
      <w:r>
        <w:rPr>
          <w:rFonts w:hint="eastAsia" w:ascii="宋体" w:hAnsi="宋体" w:eastAsia="宋体" w:cs="宋体"/>
          <w:b/>
          <w:color w:val="auto"/>
          <w:highlight w:val="none"/>
        </w:rPr>
        <w:t>或</w:t>
      </w:r>
      <w:r>
        <w:rPr>
          <w:rFonts w:hint="eastAsia" w:ascii="宋体" w:hAnsi="宋体" w:eastAsia="宋体" w:cs="宋体"/>
          <w:b/>
          <w:color w:val="auto"/>
          <w:kern w:val="0"/>
          <w:szCs w:val="21"/>
          <w:highlight w:val="none"/>
        </w:rPr>
        <w:t>拒绝签订政府采购合同的</w:t>
      </w:r>
      <w:r>
        <w:rPr>
          <w:rFonts w:hint="eastAsia" w:ascii="宋体" w:hAnsi="宋体" w:eastAsia="宋体" w:cs="宋体"/>
          <w:b/>
          <w:color w:val="auto"/>
          <w:highlight w:val="none"/>
        </w:rPr>
        <w:t>，其保证金将不予退还</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给采购人造成损失的，还应当赔偿损失，并作为不良行为记录在案。</w:t>
      </w:r>
    </w:p>
    <w:p w14:paraId="10014D5C">
      <w:pPr>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六、磋商程序及评标方法</w:t>
      </w:r>
    </w:p>
    <w:p w14:paraId="2907DDCF">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（一）竞争性磋商响应文件无效的情形：</w:t>
      </w:r>
    </w:p>
    <w:p w14:paraId="1FE12F57">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1.未实质性响应竞争性磋商文件的竞争性磋商响应文件按无效处理。</w:t>
      </w:r>
    </w:p>
    <w:p w14:paraId="28FB74C5">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2.有下列情形之一的视为供应商相互串通参与磋商活动，竞争性磋商响应文件将被视为无效：</w:t>
      </w:r>
    </w:p>
    <w:p w14:paraId="3EA932A9">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（1）不同供应商的竞争性磋商响应文件由同一单位或者个人编制；或不同供应商报名的IP地址一致的；</w:t>
      </w:r>
    </w:p>
    <w:p w14:paraId="62332A68">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（2）不同供应商委托同一单位或者个人办理磋商活动事宜；</w:t>
      </w:r>
    </w:p>
    <w:p w14:paraId="31043705">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（3）不同的供应商的竞争性磋商响应文件载明的项目管理员或者联系人员为同一个人；</w:t>
      </w:r>
    </w:p>
    <w:p w14:paraId="0C75CE29">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（4）不同供应商的竞争性磋商响应文件异常一致或磋商报价呈规律性差异；</w:t>
      </w:r>
    </w:p>
    <w:p w14:paraId="7B6DCFD2">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（5）不同供应商的竞争性磋商响应文件相互混装；</w:t>
      </w:r>
    </w:p>
    <w:p w14:paraId="6969692F">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（6）不同供应商的保证金从同一单位或者个人账户转出。</w:t>
      </w:r>
    </w:p>
    <w:p w14:paraId="6E0ABCE4">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3.有下列情形之一的视为关联供应商参加同一合同项下政府采购活动，竞争性磋商响应文件将被视为无效：</w:t>
      </w:r>
    </w:p>
    <w:p w14:paraId="42C14EB7">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（1）单位负责人为同一人或者存在直接控股、管理关系的不同供应商，参加同一合同项下政府采购活动；</w:t>
      </w:r>
    </w:p>
    <w:p w14:paraId="6D1BCFF0">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（2）生产厂商授权给供应商后又参加同一合同项下的政府采购活动；生产厂商对同一品牌同一型号的货物委托多个代理商参加磋商活动。</w:t>
      </w:r>
    </w:p>
    <w:p w14:paraId="03BF7944">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4. 其他竞标无效的情形：</w:t>
      </w:r>
    </w:p>
    <w:p w14:paraId="5A70FF7B">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（1）竞争性磋商响应文件未按竞争性磋商文件要求签署或CA电子签章的；</w:t>
      </w:r>
    </w:p>
    <w:p w14:paraId="5B98C8F0">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（2）供应商提交两份或两份以上内容不同的竞争性磋商响应文件；</w:t>
      </w:r>
    </w:p>
    <w:p w14:paraId="2AFE1718">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（3）磋商供应商在线制作竞争性磋商响应文件时填写的报价金额与解密后“电子加密响应文件”中《报价文件》填写的金额不一致并拒绝按采购文件要求接受调整的；</w:t>
      </w:r>
    </w:p>
    <w:p w14:paraId="5CB5062F">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（4）法律、法规和采购文件规定的其他无效情形（或出现重大偏差）。  </w:t>
      </w:r>
    </w:p>
    <w:p w14:paraId="2156E8F1">
      <w:pPr>
        <w:tabs>
          <w:tab w:val="left" w:pos="975"/>
        </w:tabs>
        <w:snapToGrid w:val="0"/>
        <w:spacing w:line="360" w:lineRule="auto"/>
        <w:ind w:firstLine="411" w:firstLineChars="196"/>
        <w:jc w:val="left"/>
        <w:rPr>
          <w:rFonts w:hint="eastAsia" w:ascii="宋体" w:hAnsi="宋体" w:eastAsia="宋体" w:cs="宋体"/>
          <w:bCs/>
          <w:color w:val="auto"/>
          <w:highlight w:val="none"/>
        </w:rPr>
      </w:pPr>
      <w:r>
        <w:rPr>
          <w:rFonts w:hint="eastAsia" w:ascii="宋体" w:hAnsi="宋体" w:eastAsia="宋体" w:cs="宋体"/>
          <w:bCs/>
          <w:color w:val="auto"/>
          <w:kern w:val="0"/>
          <w:szCs w:val="21"/>
          <w:highlight w:val="none"/>
        </w:rPr>
        <w:t>5.</w:t>
      </w:r>
      <w:r>
        <w:rPr>
          <w:rFonts w:hint="eastAsia" w:ascii="宋体" w:hAnsi="宋体" w:eastAsia="宋体" w:cs="宋体"/>
          <w:bCs/>
          <w:color w:val="auto"/>
          <w:highlight w:val="none"/>
        </w:rPr>
        <w:t xml:space="preserve"> 被拒绝的响应文件为无效。</w:t>
      </w:r>
    </w:p>
    <w:p w14:paraId="2CB0D035">
      <w:pPr>
        <w:tabs>
          <w:tab w:val="left" w:pos="975"/>
        </w:tabs>
        <w:snapToGrid w:val="0"/>
        <w:spacing w:line="360" w:lineRule="auto"/>
        <w:ind w:firstLine="411" w:firstLineChars="196"/>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磋商供应商竞争性磋商响应文件无效的，磋商小组应当告知有关供应商。</w:t>
      </w:r>
    </w:p>
    <w:p w14:paraId="75C366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（二）磋商</w:t>
      </w:r>
    </w:p>
    <w:p w14:paraId="38A66D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11.1第一轮磋商</w:t>
      </w:r>
    </w:p>
    <w:p w14:paraId="40E3ADE9">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1.磋商会由本公司主持，主持人宣布磋商会议开始；</w:t>
      </w:r>
    </w:p>
    <w:p w14:paraId="12E9D63E">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2.主持人介绍参加磋商会的人员名单； </w:t>
      </w:r>
    </w:p>
    <w:p w14:paraId="06FDB9C2">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3.主持人宣布磋商会议纪律及评审期间的有关事项；告知应当回避的情形,提请有关人员回避；</w:t>
      </w:r>
    </w:p>
    <w:p w14:paraId="7025B677">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4.磋商及评审程序</w:t>
      </w:r>
    </w:p>
    <w:p w14:paraId="3B12A356">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（1）在磋商开始时间截止后30分钟内由各供应商自行对磋商响应文件进行解密；</w:t>
      </w:r>
    </w:p>
    <w:p w14:paraId="08BEC6DC">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（2）由磋商小组进行资格审查和符合性审查，审查结束后，在线通知无效磋商供应商磋商响应文件无效理由，有效磋商供应商进入磋商程序。</w:t>
      </w:r>
    </w:p>
    <w:p w14:paraId="3665F73F">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（3）系统对各供应商的商务技术进行汇总；</w:t>
      </w:r>
    </w:p>
    <w:p w14:paraId="7BDA287A">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（4）磋商小组所有成员应当集中与单一供应商分别进行在线磋商，并给予所有参加磋商的供应商平等的磋商机会。</w:t>
      </w:r>
    </w:p>
    <w:p w14:paraId="330CC65E">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当磋商小组一致确定供应商的竞争性磋商响应文件能够详细列明采购标的的技术、服务要求且符合竞争性磋商文件要求，无需再磋商的，磋商小组按竞争性磋商文件设定的11.4、11.6程序和综合评分法确定成交候选供应商。第一轮磋商后竞争性磋商文件有实质性变动或仍需磋商的，磋商小组对竞争性磋商文件变动或提出磋商意见后进行第二轮磋商。</w:t>
      </w:r>
    </w:p>
    <w:p w14:paraId="61393D61">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11.2竞争性磋商文件变动</w:t>
      </w:r>
    </w:p>
    <w:p w14:paraId="55CE5D8D">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65B4410D">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对竞争性磋商文件作出的实质性变动是竞争性磋商文件的有效组成部分，磋商小组应当在询标规定时间内及时通知所有参加磋商的供应商，并要求供应商做出响应（需盖CA电子签章）。</w:t>
      </w:r>
    </w:p>
    <w:p w14:paraId="00615A4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11.3第二轮磋商</w:t>
      </w:r>
    </w:p>
    <w:p w14:paraId="3AB14D20">
      <w:pPr>
        <w:widowControl/>
        <w:tabs>
          <w:tab w:val="left" w:pos="540"/>
        </w:tabs>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磋商小组集中就重新递交的响应材料或磋商小组提出的磋商意见与单一响应供应商分别进行在线磋商。</w:t>
      </w:r>
    </w:p>
    <w:p w14:paraId="619C51DA">
      <w:pPr>
        <w:widowControl/>
        <w:tabs>
          <w:tab w:val="left" w:pos="540"/>
        </w:tabs>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磋商后，在询标规定时间内供应商根据磋商小组统一整理的磋商记录要求做出承诺（需盖CA电子签章）。</w:t>
      </w:r>
    </w:p>
    <w:p w14:paraId="29FED7EB">
      <w:pPr>
        <w:widowControl/>
        <w:tabs>
          <w:tab w:val="left" w:pos="540"/>
        </w:tabs>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当磋商小组一致确定供应商的竞争性磋商响应文件能够详细列明采购标的的技术、服务要求且符合竞争性磋商文件要求，无需再磋商的，磋商小组按竞争性磋商文件设定的11.4、11.6程序和综合评分法确定成交候选供应商。第二轮磋商后竞争性磋商文件仍有实质性变动的或仍需磋商的，磋商小组对竞争性磋商文件变动或提出磋商意见后进行第三轮磋商。以此类推。</w:t>
      </w:r>
    </w:p>
    <w:p w14:paraId="0C055D60">
      <w:pPr>
        <w:widowControl/>
        <w:tabs>
          <w:tab w:val="left" w:pos="540"/>
        </w:tabs>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w:t>
      </w:r>
    </w:p>
    <w:p w14:paraId="7A1EAF22">
      <w:pPr>
        <w:widowControl/>
        <w:tabs>
          <w:tab w:val="left" w:pos="540"/>
        </w:tabs>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政采云公司如对电子化开标及评审程序有调整的，按调整后的程序操作。</w:t>
      </w:r>
    </w:p>
    <w:p w14:paraId="03F64764">
      <w:pPr>
        <w:widowControl/>
        <w:tabs>
          <w:tab w:val="left" w:pos="540"/>
        </w:tabs>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磋商评审在严格保密的情况下进行，磋商的任何一方不得透露与磋商有关的其他供应商的技术资料、价格和其他信息。</w:t>
      </w:r>
    </w:p>
    <w:p w14:paraId="1652D893">
      <w:pPr>
        <w:widowControl/>
        <w:tabs>
          <w:tab w:val="left" w:pos="540"/>
        </w:tabs>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电子磋商过程中需要供应商在线确认的所有内容，供应商不予确认的应说明理由，超过规定时间未确认的，将被视为放弃确认或者无异议。</w:t>
      </w:r>
    </w:p>
    <w:p w14:paraId="79FE8DE7">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14:paraId="7788AF20">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11.4最后报价及成交候选供应商推荐</w:t>
      </w:r>
    </w:p>
    <w:p w14:paraId="65ED3E2A">
      <w:pPr>
        <w:widowControl/>
        <w:tabs>
          <w:tab w:val="left" w:pos="540"/>
        </w:tabs>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磋商结束后，磋商小组要求所有继续参加磋商的供应商在规定时间内在线提交最后报价。继续参加磋商的供应商作最后报价，由其法定代表人(负责人)或授权代表CA电子签章后提交。</w:t>
      </w:r>
    </w:p>
    <w:p w14:paraId="2D3C7B74">
      <w:pPr>
        <w:widowControl/>
        <w:tabs>
          <w:tab w:val="left" w:pos="540"/>
        </w:tabs>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14:paraId="252902CF">
      <w:pPr>
        <w:widowControl/>
        <w:tabs>
          <w:tab w:val="left" w:pos="540"/>
        </w:tabs>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磋商小组按照少数服从多数的原则推荐成交候选供应商，采购程序继续进行。对评审报告有异议的磋商小组成员，应当明确不同意见并说明理由。磋商小组成员拒绝提出理由的，视为同意评审结果。</w:t>
      </w:r>
    </w:p>
    <w:p w14:paraId="7A684B9C">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11.5供应商的报价均超过了政府采购最高限价，采购人不能支付的，磋商活动终止。</w:t>
      </w:r>
    </w:p>
    <w:p w14:paraId="189B5670">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11.6</w:t>
      </w:r>
      <w:r>
        <w:rPr>
          <w:rFonts w:hint="eastAsia" w:ascii="宋体" w:hAnsi="宋体" w:eastAsia="宋体" w:cs="宋体"/>
          <w:color w:val="auto"/>
          <w:highlight w:val="none"/>
        </w:rPr>
        <w:t>本采购项目的评审依据为竞争性磋商文件和竞争性磋商响应文件，采用的评标方法为</w:t>
      </w:r>
      <w:r>
        <w:rPr>
          <w:rFonts w:hint="eastAsia" w:ascii="宋体" w:hAnsi="宋体" w:eastAsia="宋体" w:cs="宋体"/>
          <w:b/>
          <w:color w:val="auto"/>
          <w:highlight w:val="none"/>
        </w:rPr>
        <w:t>综合评分法</w:t>
      </w:r>
      <w:r>
        <w:rPr>
          <w:rFonts w:hint="eastAsia" w:ascii="宋体" w:hAnsi="宋体" w:eastAsia="宋体" w:cs="宋体"/>
          <w:color w:val="auto"/>
          <w:highlight w:val="none"/>
        </w:rPr>
        <w:t>。</w:t>
      </w:r>
    </w:p>
    <w:p w14:paraId="6DF5E460">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11.7可中止电子交易活动的情形</w:t>
      </w:r>
    </w:p>
    <w:p w14:paraId="39F25FB5">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采购过程中出现以下情形，导致电子交易平台无法正常运行，或者无法保证电子交易的公平、公正和安全时，本公司可中止电子交易活动：</w:t>
      </w:r>
    </w:p>
    <w:p w14:paraId="65E375AF">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(1)电子交易平台发生故障而无法登录访问的；</w:t>
      </w:r>
    </w:p>
    <w:p w14:paraId="7C8AE954">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7D500F14">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0D246498">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(4)病毒发作导致不能进行正常操作的；</w:t>
      </w:r>
    </w:p>
    <w:p w14:paraId="35808F7B">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14:paraId="75C7ABB3">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出现前款规定情形，不影响采购公平、公正性的，本公司待上述情形消除后继续组织电子交易活动；影响或可能影响采购公平、公正性的，重新组织采购活动。</w:t>
      </w:r>
    </w:p>
    <w:p w14:paraId="524D273A">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11.8.终止竞争性磋商采购活动</w:t>
      </w:r>
    </w:p>
    <w:p w14:paraId="242A0996">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在竞争性磋商采购活动过程中，出现下列情形之一的，采购人或者本公司将终止竞争性磋商采购活动，发布项目终止公告并说明原因，重新开展采购活动：</w:t>
      </w:r>
    </w:p>
    <w:p w14:paraId="4D0BB4F8">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14:paraId="3E82B7B4">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3A9D47C0">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(3)在采购过程中符合要求的供应商不足 3 家的。（符合磋商文件规定的特殊情形除外；符合《政府采购竞争性磋商采购方式管理暂行办法》第三条第四项情形除外；符合财库〔2015〕124 号文件规定情形的除外。）</w:t>
      </w:r>
    </w:p>
    <w:p w14:paraId="1CA257CD">
      <w:pPr>
        <w:widowControl/>
        <w:tabs>
          <w:tab w:val="left" w:pos="54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在采购活动中因重大变故，采购任务取消的，采购人或者本公司将终止采购活动，通知所有参加采购活动的供应商，并将项目实施情况和采购任务取消原因报送本级财政部门。</w:t>
      </w:r>
    </w:p>
    <w:p w14:paraId="71314FA6">
      <w:pPr>
        <w:widowControl/>
        <w:tabs>
          <w:tab w:val="left" w:pos="540"/>
        </w:tabs>
        <w:spacing w:line="360" w:lineRule="auto"/>
        <w:ind w:firstLine="422" w:firstLineChars="200"/>
        <w:jc w:val="left"/>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七、确定成交供应商办法</w:t>
      </w:r>
    </w:p>
    <w:p w14:paraId="1CB89EB1">
      <w:pPr>
        <w:widowControl/>
        <w:tabs>
          <w:tab w:val="left" w:pos="540"/>
        </w:tabs>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12.根据以下原则确定成交供应商：质量和服务均能满足</w:t>
      </w:r>
      <w:r>
        <w:rPr>
          <w:rFonts w:hint="eastAsia" w:ascii="宋体" w:hAnsi="宋体" w:eastAsia="宋体" w:cs="宋体"/>
          <w:color w:val="auto"/>
          <w:highlight w:val="none"/>
        </w:rPr>
        <w:t>竞争性磋商文件</w:t>
      </w:r>
      <w:r>
        <w:rPr>
          <w:rFonts w:hint="eastAsia" w:ascii="宋体" w:hAnsi="宋体" w:eastAsia="宋体" w:cs="宋体"/>
          <w:color w:val="auto"/>
          <w:kern w:val="0"/>
          <w:szCs w:val="21"/>
          <w:highlight w:val="none"/>
        </w:rPr>
        <w:t>实质性响应要求的供应商中按综合评分法的成交候选供应商推荐原则确定成交供应商。</w:t>
      </w:r>
    </w:p>
    <w:p w14:paraId="02C4E655">
      <w:pPr>
        <w:widowControl/>
        <w:tabs>
          <w:tab w:val="left" w:pos="540"/>
        </w:tabs>
        <w:spacing w:line="360" w:lineRule="auto"/>
        <w:ind w:firstLine="422" w:firstLineChars="200"/>
        <w:jc w:val="left"/>
        <w:outlineLvl w:val="2"/>
        <w:rPr>
          <w:rFonts w:hint="eastAsia" w:ascii="宋体" w:hAnsi="宋体" w:eastAsia="宋体" w:cs="宋体"/>
          <w:b/>
          <w:color w:val="auto"/>
          <w:highlight w:val="none"/>
        </w:rPr>
      </w:pPr>
      <w:r>
        <w:rPr>
          <w:rFonts w:hint="eastAsia" w:ascii="宋体" w:hAnsi="宋体" w:eastAsia="宋体" w:cs="宋体"/>
          <w:b/>
          <w:color w:val="auto"/>
          <w:highlight w:val="none"/>
        </w:rPr>
        <w:t>八、成交结果公告</w:t>
      </w:r>
    </w:p>
    <w:p w14:paraId="2CAB0B34">
      <w:pPr>
        <w:widowControl/>
        <w:tabs>
          <w:tab w:val="left" w:pos="540"/>
        </w:tabs>
        <w:wordWrap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13.1</w:t>
      </w:r>
      <w:r>
        <w:rPr>
          <w:rFonts w:hint="eastAsia" w:ascii="宋体" w:hAnsi="宋体" w:eastAsia="宋体" w:cs="宋体"/>
          <w:color w:val="auto"/>
          <w:highlight w:val="none"/>
        </w:rPr>
        <w:t>采购代理机构在评审结束后2个工作日内将磋商评审报告送采购人确认，</w:t>
      </w:r>
      <w:r>
        <w:rPr>
          <w:rFonts w:hint="eastAsia" w:ascii="宋体" w:hAnsi="宋体" w:eastAsia="宋体" w:cs="宋体"/>
          <w:color w:val="auto"/>
          <w:kern w:val="0"/>
          <w:highlight w:val="none"/>
        </w:rPr>
        <w:t>采购人</w:t>
      </w:r>
      <w:r>
        <w:rPr>
          <w:rFonts w:hint="eastAsia" w:ascii="宋体" w:hAnsi="宋体" w:eastAsia="宋体" w:cs="宋体"/>
          <w:color w:val="auto"/>
          <w:highlight w:val="none"/>
        </w:rPr>
        <w:t>确认后，成交结果公告将在财政部门指定的政府采购信息发布媒体上发布，</w:t>
      </w:r>
      <w:r>
        <w:rPr>
          <w:rFonts w:hint="eastAsia" w:ascii="宋体" w:hAnsi="宋体" w:eastAsia="宋体" w:cs="宋体"/>
          <w:color w:val="auto"/>
          <w:kern w:val="0"/>
          <w:highlight w:val="none"/>
        </w:rPr>
        <w:t>同时向成交供应商发出成交通知书</w:t>
      </w:r>
      <w:r>
        <w:rPr>
          <w:rFonts w:hint="eastAsia" w:ascii="宋体" w:hAnsi="宋体" w:eastAsia="宋体" w:cs="宋体"/>
          <w:color w:val="auto"/>
          <w:highlight w:val="none"/>
        </w:rPr>
        <w:t>。</w:t>
      </w:r>
    </w:p>
    <w:p w14:paraId="67B2E360">
      <w:pPr>
        <w:pStyle w:val="24"/>
        <w:spacing w:line="360" w:lineRule="auto"/>
        <w:ind w:left="105" w:firstLine="315"/>
        <w:rPr>
          <w:rFonts w:hint="eastAsia" w:ascii="宋体" w:hAnsi="宋体" w:eastAsia="宋体" w:cs="宋体"/>
          <w:bCs/>
          <w:color w:val="auto"/>
          <w:highlight w:val="none"/>
        </w:rPr>
      </w:pPr>
      <w:r>
        <w:rPr>
          <w:rFonts w:hint="eastAsia" w:ascii="宋体" w:hAnsi="宋体" w:eastAsia="宋体" w:cs="宋体"/>
          <w:color w:val="auto"/>
          <w:highlight w:val="none"/>
        </w:rPr>
        <w:t>13.2磋商供应商</w:t>
      </w:r>
      <w:r>
        <w:rPr>
          <w:rFonts w:hint="eastAsia" w:ascii="宋体" w:hAnsi="宋体" w:eastAsia="宋体" w:cs="宋体"/>
          <w:color w:val="auto"/>
          <w:kern w:val="0"/>
          <w:highlight w:val="none"/>
        </w:rPr>
        <w:t>认为采购过程、成交结果使自己的权益受到损害的</w:t>
      </w:r>
      <w:r>
        <w:rPr>
          <w:rFonts w:hint="eastAsia" w:ascii="宋体" w:hAnsi="宋体" w:eastAsia="宋体" w:cs="宋体"/>
          <w:color w:val="auto"/>
          <w:highlight w:val="none"/>
        </w:rPr>
        <w:t>，</w:t>
      </w:r>
      <w:r>
        <w:rPr>
          <w:rFonts w:hint="eastAsia" w:ascii="宋体" w:hAnsi="宋体" w:eastAsia="宋体" w:cs="宋体"/>
          <w:color w:val="auto"/>
          <w:kern w:val="0"/>
          <w:highlight w:val="none"/>
        </w:rPr>
        <w:t>可以在成交结果公告期限届满之日起</w:t>
      </w:r>
      <w:r>
        <w:rPr>
          <w:rFonts w:hint="eastAsia" w:ascii="宋体" w:hAnsi="宋体" w:eastAsia="宋体" w:cs="宋体"/>
          <w:bCs/>
          <w:color w:val="auto"/>
          <w:highlight w:val="none"/>
        </w:rPr>
        <w:t>七个工作日内以书面形式向采购代理机构提出质疑</w:t>
      </w:r>
      <w:r>
        <w:rPr>
          <w:rFonts w:hint="eastAsia" w:ascii="宋体" w:hAnsi="宋体" w:eastAsia="宋体" w:cs="宋体"/>
          <w:color w:val="auto"/>
          <w:highlight w:val="none"/>
        </w:rPr>
        <w:t>，供应商在法定质疑期内必须一次性提出针对同一采购程序环节的质疑</w:t>
      </w:r>
      <w:r>
        <w:rPr>
          <w:rFonts w:hint="eastAsia" w:ascii="宋体" w:hAnsi="宋体" w:eastAsia="宋体" w:cs="宋体"/>
          <w:bCs/>
          <w:color w:val="auto"/>
          <w:highlight w:val="none"/>
        </w:rPr>
        <w:t>。采购代理机构将在收到</w:t>
      </w:r>
      <w:r>
        <w:rPr>
          <w:rFonts w:hint="eastAsia" w:ascii="宋体" w:hAnsi="宋体" w:eastAsia="宋体" w:cs="宋体"/>
          <w:color w:val="auto"/>
          <w:highlight w:val="none"/>
        </w:rPr>
        <w:t>磋商供应商</w:t>
      </w:r>
      <w:r>
        <w:rPr>
          <w:rFonts w:hint="eastAsia" w:ascii="宋体" w:hAnsi="宋体" w:eastAsia="宋体" w:cs="宋体"/>
          <w:bCs/>
          <w:color w:val="auto"/>
          <w:highlight w:val="none"/>
        </w:rPr>
        <w:t>的书面质疑后七个工作日内</w:t>
      </w:r>
      <w:r>
        <w:rPr>
          <w:rFonts w:hint="eastAsia" w:ascii="宋体" w:hAnsi="宋体" w:eastAsia="宋体" w:cs="宋体"/>
          <w:bCs/>
          <w:color w:val="auto"/>
          <w:highlight w:val="none"/>
          <w:lang w:eastAsia="zh-CN"/>
        </w:rPr>
        <w:t>作出</w:t>
      </w:r>
      <w:r>
        <w:rPr>
          <w:rFonts w:hint="eastAsia" w:ascii="宋体" w:hAnsi="宋体" w:eastAsia="宋体" w:cs="宋体"/>
          <w:bCs/>
          <w:color w:val="auto"/>
          <w:highlight w:val="none"/>
        </w:rPr>
        <w:t>答复，但答复的内容不得涉及商业秘密。</w:t>
      </w:r>
    </w:p>
    <w:p w14:paraId="145B2C2C">
      <w:pPr>
        <w:pStyle w:val="24"/>
        <w:spacing w:line="360" w:lineRule="auto"/>
        <w:ind w:firstLine="420"/>
        <w:rPr>
          <w:rFonts w:hint="eastAsia" w:ascii="宋体" w:hAnsi="宋体" w:eastAsia="宋体" w:cs="宋体"/>
          <w:bCs/>
          <w:color w:val="auto"/>
          <w:highlight w:val="none"/>
        </w:rPr>
      </w:pPr>
      <w:r>
        <w:rPr>
          <w:rFonts w:hint="eastAsia" w:ascii="宋体" w:hAnsi="宋体" w:eastAsia="宋体" w:cs="宋体"/>
          <w:color w:val="auto"/>
          <w:highlight w:val="none"/>
        </w:rPr>
        <w:t>13.3</w:t>
      </w:r>
      <w:r>
        <w:rPr>
          <w:rFonts w:hint="eastAsia" w:ascii="宋体" w:hAnsi="宋体" w:eastAsia="宋体" w:cs="宋体"/>
          <w:bCs/>
          <w:color w:val="auto"/>
          <w:highlight w:val="none"/>
        </w:rPr>
        <w:t>质疑</w:t>
      </w:r>
      <w:r>
        <w:rPr>
          <w:rFonts w:hint="eastAsia" w:ascii="宋体" w:hAnsi="宋体" w:eastAsia="宋体" w:cs="宋体"/>
          <w:color w:val="auto"/>
          <w:highlight w:val="none"/>
        </w:rPr>
        <w:t>磋商供应商</w:t>
      </w:r>
      <w:r>
        <w:rPr>
          <w:rFonts w:hint="eastAsia" w:ascii="宋体" w:hAnsi="宋体" w:eastAsia="宋体" w:cs="宋体"/>
          <w:bCs/>
          <w:color w:val="auto"/>
          <w:highlight w:val="none"/>
        </w:rPr>
        <w:t>必须首先经过质疑程序，在对采购代理机构的答复不满意或者采购代理机构未在规定的时间内</w:t>
      </w:r>
      <w:r>
        <w:rPr>
          <w:rFonts w:hint="eastAsia" w:ascii="宋体" w:hAnsi="宋体" w:eastAsia="宋体" w:cs="宋体"/>
          <w:bCs/>
          <w:color w:val="auto"/>
          <w:highlight w:val="none"/>
          <w:lang w:eastAsia="zh-CN"/>
        </w:rPr>
        <w:t>作出</w:t>
      </w:r>
      <w:r>
        <w:rPr>
          <w:rFonts w:hint="eastAsia" w:ascii="宋体" w:hAnsi="宋体" w:eastAsia="宋体" w:cs="宋体"/>
          <w:bCs/>
          <w:color w:val="auto"/>
          <w:highlight w:val="none"/>
        </w:rPr>
        <w:t>答复的，可以在答复期满后十五个工作日内书面向相关监督管理部门投诉。</w:t>
      </w:r>
    </w:p>
    <w:p w14:paraId="43B9D858">
      <w:pPr>
        <w:pStyle w:val="2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质疑联系部门及电话为：</w:t>
      </w:r>
      <w:r>
        <w:rPr>
          <w:rFonts w:hint="eastAsia" w:ascii="宋体" w:hAnsi="宋体" w:eastAsia="宋体" w:cs="宋体"/>
          <w:color w:val="auto"/>
          <w:highlight w:val="none"/>
          <w:lang w:eastAsia="zh-CN"/>
        </w:rPr>
        <w:t>广西汉昌工程咨询有限公司</w:t>
      </w:r>
      <w:r>
        <w:rPr>
          <w:rFonts w:hint="eastAsia" w:ascii="宋体" w:hAnsi="宋体" w:eastAsia="宋体" w:cs="宋体"/>
          <w:color w:val="auto"/>
          <w:highlight w:val="none"/>
        </w:rPr>
        <w:t>、 0771-3154419</w:t>
      </w:r>
    </w:p>
    <w:p w14:paraId="23CFBCBB">
      <w:pPr>
        <w:pStyle w:val="24"/>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通讯地址：</w:t>
      </w:r>
      <w:r>
        <w:rPr>
          <w:rFonts w:hint="eastAsia" w:ascii="宋体" w:hAnsi="宋体" w:eastAsia="宋体" w:cs="宋体"/>
          <w:color w:val="auto"/>
          <w:highlight w:val="none"/>
          <w:lang w:eastAsia="zh-CN"/>
        </w:rPr>
        <w:t>广西南宁市那洪大道7号研祥智谷A1栋7楼</w:t>
      </w:r>
    </w:p>
    <w:p w14:paraId="74746121">
      <w:pPr>
        <w:pStyle w:val="24"/>
        <w:spacing w:line="360" w:lineRule="auto"/>
        <w:ind w:firstLine="420"/>
        <w:outlineLvl w:val="2"/>
        <w:rPr>
          <w:rFonts w:hint="eastAsia" w:ascii="宋体" w:hAnsi="宋体" w:eastAsia="宋体" w:cs="宋体"/>
          <w:b/>
          <w:color w:val="auto"/>
          <w:highlight w:val="none"/>
        </w:rPr>
      </w:pPr>
      <w:r>
        <w:rPr>
          <w:rFonts w:hint="eastAsia" w:ascii="宋体" w:hAnsi="宋体" w:eastAsia="宋体" w:cs="宋体"/>
          <w:b/>
          <w:color w:val="auto"/>
          <w:highlight w:val="none"/>
        </w:rPr>
        <w:t>九、签订合同</w:t>
      </w:r>
    </w:p>
    <w:p w14:paraId="3A1DC7C2">
      <w:pPr>
        <w:pStyle w:val="2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14.1成交供应商自成交通知书发出之日起</w:t>
      </w:r>
      <w:r>
        <w:rPr>
          <w:rFonts w:hint="eastAsia" w:ascii="宋体" w:hAnsi="宋体" w:eastAsia="宋体" w:cs="宋体"/>
          <w:b/>
          <w:bCs/>
          <w:color w:val="auto"/>
          <w:highlight w:val="none"/>
          <w:lang w:val="en-US" w:eastAsia="zh-CN"/>
        </w:rPr>
        <w:t>25</w:t>
      </w:r>
      <w:r>
        <w:rPr>
          <w:rFonts w:hint="eastAsia" w:ascii="宋体" w:hAnsi="宋体" w:eastAsia="宋体" w:cs="宋体"/>
          <w:b/>
          <w:bCs/>
          <w:color w:val="auto"/>
          <w:highlight w:val="none"/>
        </w:rPr>
        <w:t>个日历日</w:t>
      </w:r>
      <w:r>
        <w:rPr>
          <w:rFonts w:hint="eastAsia" w:ascii="宋体" w:hAnsi="宋体" w:eastAsia="宋体" w:cs="宋体"/>
          <w:color w:val="auto"/>
          <w:highlight w:val="none"/>
        </w:rPr>
        <w:t>内与采购人签订合同。</w:t>
      </w:r>
    </w:p>
    <w:p w14:paraId="6863CDAD">
      <w:pPr>
        <w:pStyle w:val="24"/>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14.2</w:t>
      </w:r>
      <w:r>
        <w:rPr>
          <w:rFonts w:hint="eastAsia" w:ascii="宋体" w:hAnsi="宋体" w:eastAsia="宋体" w:cs="宋体"/>
          <w:color w:val="auto"/>
          <w:kern w:val="0"/>
          <w:highlight w:val="none"/>
        </w:rPr>
        <w:t>成交供应商拒绝签订政府采购合同的</w:t>
      </w:r>
      <w:r>
        <w:rPr>
          <w:rFonts w:hint="eastAsia" w:ascii="宋体" w:hAnsi="宋体" w:eastAsia="宋体" w:cs="宋体"/>
          <w:color w:val="auto"/>
          <w:highlight w:val="none"/>
        </w:rPr>
        <w:t>，采购人可以根据磋商评审报告确定成交供应商之后排名第一的成交候选供应商</w:t>
      </w:r>
      <w:r>
        <w:rPr>
          <w:rFonts w:hint="eastAsia" w:ascii="宋体" w:hAnsi="宋体" w:eastAsia="宋体" w:cs="宋体"/>
          <w:color w:val="auto"/>
          <w:kern w:val="0"/>
          <w:highlight w:val="none"/>
        </w:rPr>
        <w:t>作为</w:t>
      </w:r>
      <w:r>
        <w:rPr>
          <w:rFonts w:hint="eastAsia" w:ascii="宋体" w:hAnsi="宋体" w:eastAsia="宋体" w:cs="宋体"/>
          <w:color w:val="auto"/>
          <w:highlight w:val="none"/>
        </w:rPr>
        <w:t>成交供应商</w:t>
      </w:r>
      <w:r>
        <w:rPr>
          <w:rFonts w:hint="eastAsia" w:ascii="宋体" w:hAnsi="宋体" w:eastAsia="宋体" w:cs="宋体"/>
          <w:color w:val="auto"/>
          <w:kern w:val="0"/>
          <w:highlight w:val="none"/>
        </w:rPr>
        <w:t>并签订政府采购合同，也可以重新开展采购活动。拒绝签订政府采购合同的成交供应商不得参加对该项目重新开展的采购活动。</w:t>
      </w:r>
    </w:p>
    <w:p w14:paraId="1DD2A3EE">
      <w:pPr>
        <w:pStyle w:val="24"/>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14.3</w:t>
      </w:r>
      <w:r>
        <w:rPr>
          <w:rFonts w:hint="eastAsia" w:ascii="宋体" w:hAnsi="宋体" w:eastAsia="宋体" w:cs="宋体"/>
          <w:b/>
          <w:color w:val="auto"/>
          <w:kern w:val="0"/>
          <w:highlight w:val="none"/>
        </w:rPr>
        <w:t>成交供应商拒绝签订政府采购合同的</w:t>
      </w:r>
      <w:r>
        <w:rPr>
          <w:rFonts w:hint="eastAsia" w:ascii="宋体" w:hAnsi="宋体" w:eastAsia="宋体" w:cs="宋体"/>
          <w:b/>
          <w:color w:val="auto"/>
          <w:highlight w:val="none"/>
        </w:rPr>
        <w:t>，其保证金将不予退还，并上缴国库，给采购人造成损失的，还应当赔偿损失，并作为不良行为记录在案。</w:t>
      </w:r>
    </w:p>
    <w:p w14:paraId="1E2DBFF6">
      <w:pPr>
        <w:pStyle w:val="24"/>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14.4履约保证金</w:t>
      </w:r>
    </w:p>
    <w:p w14:paraId="69C4DD7D">
      <w:pPr>
        <w:pStyle w:val="2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1.成交人须于签订合同前按本项目关于履约保证金的规定进行办理。否则，不予签订合同。</w:t>
      </w:r>
    </w:p>
    <w:p w14:paraId="52630A12">
      <w:pPr>
        <w:pStyle w:val="2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2.签订合同后，如成交人不按双方签订的合同规定履约，则没收其全部履约保证金，履约保证金不足以赔偿损失的，按实际损失赔偿。</w:t>
      </w:r>
    </w:p>
    <w:p w14:paraId="5130E0D8">
      <w:pPr>
        <w:pStyle w:val="2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3.履约保证金在成交人按合同约定交货验收合格后，由成交人提供《政府采购项目履约保证金退付意见书》及《政府采购项目合同验收报告》（详见附件），履约保证金在收到合格材料后5个工作日内以</w:t>
      </w:r>
      <w:r>
        <w:rPr>
          <w:rFonts w:hint="eastAsia" w:ascii="宋体" w:hAnsi="宋体" w:eastAsia="宋体" w:cs="宋体"/>
          <w:color w:val="auto"/>
          <w:highlight w:val="none"/>
          <w:lang w:eastAsia="zh-CN"/>
        </w:rPr>
        <w:t>银行转账</w:t>
      </w:r>
      <w:r>
        <w:rPr>
          <w:rFonts w:hint="eastAsia" w:ascii="宋体" w:hAnsi="宋体" w:eastAsia="宋体" w:cs="宋体"/>
          <w:color w:val="auto"/>
          <w:highlight w:val="none"/>
        </w:rPr>
        <w:t>方式如数退还（不计利息）。</w:t>
      </w:r>
    </w:p>
    <w:p w14:paraId="3A14A19B">
      <w:pPr>
        <w:pStyle w:val="2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4.在履约保证金退还日期前，若成交人的开户名称、开户银行、</w:t>
      </w:r>
      <w:r>
        <w:rPr>
          <w:rFonts w:hint="eastAsia" w:ascii="宋体" w:hAnsi="宋体" w:eastAsia="宋体" w:cs="宋体"/>
          <w:color w:val="auto"/>
          <w:highlight w:val="none"/>
          <w:lang w:eastAsia="zh-CN"/>
        </w:rPr>
        <w:t>账号</w:t>
      </w:r>
      <w:r>
        <w:rPr>
          <w:rFonts w:hint="eastAsia" w:ascii="宋体" w:hAnsi="宋体" w:eastAsia="宋体" w:cs="宋体"/>
          <w:color w:val="auto"/>
          <w:highlight w:val="none"/>
        </w:rPr>
        <w:t>有变动的，请以书面形式通知履约保证金收取机构，否则由此产生的后果由成交人自负。</w:t>
      </w:r>
    </w:p>
    <w:p w14:paraId="5DE81B38">
      <w:pPr>
        <w:pStyle w:val="24"/>
        <w:spacing w:line="360" w:lineRule="auto"/>
        <w:ind w:firstLine="420"/>
        <w:outlineLvl w:val="2"/>
        <w:rPr>
          <w:rFonts w:hint="eastAsia" w:ascii="宋体" w:hAnsi="宋体" w:eastAsia="宋体" w:cs="宋体"/>
          <w:b/>
          <w:color w:val="auto"/>
          <w:highlight w:val="none"/>
        </w:rPr>
      </w:pPr>
      <w:r>
        <w:rPr>
          <w:rFonts w:hint="eastAsia" w:ascii="宋体" w:hAnsi="宋体" w:eastAsia="宋体" w:cs="宋体"/>
          <w:b/>
          <w:color w:val="auto"/>
          <w:highlight w:val="none"/>
        </w:rPr>
        <w:t>十、适用法律</w:t>
      </w:r>
    </w:p>
    <w:p w14:paraId="06A45212">
      <w:pPr>
        <w:pStyle w:val="2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15.采购当事人的一切活动均适用于《中华人民共和国政府采购法》及相关规定。最终磋商结束后，</w:t>
      </w:r>
    </w:p>
    <w:p w14:paraId="577EAB7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磋商小组不得再与磋商供应商进行任何形式的商谈。</w:t>
      </w:r>
    </w:p>
    <w:p w14:paraId="681D0743">
      <w:pPr>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十一、其他事项</w:t>
      </w:r>
    </w:p>
    <w:p w14:paraId="791FB50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16.1成交服务费</w:t>
      </w:r>
    </w:p>
    <w:p w14:paraId="3FAF0A80">
      <w:pPr>
        <w:pStyle w:val="24"/>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（1）采购代理机构参照桂价费[2011]55号收费标准（服务招标类型）采用差额定率累进法计算，不足</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000元按</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000元/标项，向成交供应商收取。发布成交结果公告后，成交人</w:t>
      </w:r>
      <w:r>
        <w:rPr>
          <w:rFonts w:hint="eastAsia" w:ascii="宋体" w:hAnsi="宋体" w:eastAsia="宋体" w:cs="宋体"/>
          <w:color w:val="auto"/>
          <w:highlight w:val="none"/>
          <w:lang w:eastAsia="zh-CN"/>
        </w:rPr>
        <w:t>须</w:t>
      </w:r>
      <w:r>
        <w:rPr>
          <w:rFonts w:hint="eastAsia" w:ascii="宋体" w:hAnsi="宋体" w:eastAsia="宋体" w:cs="宋体"/>
          <w:color w:val="auto"/>
          <w:highlight w:val="none"/>
        </w:rPr>
        <w:t>一次付清成交服务费。</w:t>
      </w:r>
    </w:p>
    <w:p w14:paraId="6C3388A9">
      <w:pPr>
        <w:pStyle w:val="24"/>
        <w:spacing w:line="360" w:lineRule="auto"/>
        <w:ind w:firstLine="435"/>
        <w:rPr>
          <w:rFonts w:hint="eastAsia" w:ascii="宋体" w:hAnsi="宋体" w:eastAsia="宋体" w:cs="宋体"/>
          <w:color w:val="auto"/>
          <w:highlight w:val="none"/>
        </w:rPr>
      </w:pPr>
      <w:r>
        <w:rPr>
          <w:rFonts w:hint="eastAsia" w:ascii="宋体" w:hAnsi="宋体" w:eastAsia="宋体" w:cs="宋体"/>
          <w:color w:val="auto"/>
          <w:highlight w:val="none"/>
        </w:rPr>
        <w:t>（2）代理服务收费标准：</w:t>
      </w:r>
    </w:p>
    <w:tbl>
      <w:tblPr>
        <w:tblStyle w:val="40"/>
        <w:tblpPr w:leftFromText="180" w:rightFromText="180" w:vertAnchor="text" w:horzAnchor="margin" w:tblpXSpec="center"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865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2C54890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4581C61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vAlign w:val="center"/>
          </w:tcPr>
          <w:p w14:paraId="3081D795">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vAlign w:val="center"/>
          </w:tcPr>
          <w:p w14:paraId="388696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vAlign w:val="center"/>
          </w:tcPr>
          <w:p w14:paraId="4E3B09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A17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4C7EC3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14:paraId="355C8289">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tcPr>
          <w:p w14:paraId="47E5A2E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tcPr>
          <w:p w14:paraId="6850BEC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25D3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001EA4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14:paraId="32359FC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tcPr>
          <w:p w14:paraId="152544C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tcPr>
          <w:p w14:paraId="7A0419C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524D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A29A6D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14:paraId="50122028">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tcPr>
          <w:p w14:paraId="4F7576B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tcPr>
          <w:p w14:paraId="4467B46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0760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7001F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14:paraId="7784DE9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tcPr>
          <w:p w14:paraId="6A7C516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tcPr>
          <w:p w14:paraId="0326A50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371D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8F1B8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14:paraId="251074E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tcPr>
          <w:p w14:paraId="3CB63D3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tcPr>
          <w:p w14:paraId="295BED9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6186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FCE37A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14:paraId="1E7A10E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tcPr>
          <w:p w14:paraId="7153F6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tcPr>
          <w:p w14:paraId="1731241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5911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01BD8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14:paraId="2FC91F93">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tcPr>
          <w:p w14:paraId="478D8EC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tcPr>
          <w:p w14:paraId="5BE6140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4B2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1E74D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14:paraId="525754B2">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tcPr>
          <w:p w14:paraId="49A36E5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tcPr>
          <w:p w14:paraId="0D1C1A75">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0C93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B673E3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14:paraId="0E6BDEF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tcPr>
          <w:p w14:paraId="07D4997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tcPr>
          <w:p w14:paraId="3F6F01DD">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0E3E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840AE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tcPr>
          <w:p w14:paraId="181559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tcPr>
          <w:p w14:paraId="1FB06CC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tcPr>
          <w:p w14:paraId="5EB4F402">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AFD1DC7">
      <w:pPr>
        <w:pStyle w:val="24"/>
        <w:spacing w:line="360" w:lineRule="auto"/>
        <w:ind w:firstLine="435"/>
        <w:rPr>
          <w:rFonts w:hint="eastAsia" w:ascii="宋体" w:hAnsi="宋体" w:eastAsia="宋体" w:cs="宋体"/>
          <w:color w:val="auto"/>
          <w:highlight w:val="none"/>
        </w:rPr>
      </w:pPr>
    </w:p>
    <w:p w14:paraId="10DDA9BE">
      <w:pPr>
        <w:pStyle w:val="24"/>
        <w:spacing w:line="360" w:lineRule="auto"/>
        <w:ind w:firstLine="435"/>
        <w:rPr>
          <w:rFonts w:hint="eastAsia" w:ascii="宋体" w:hAnsi="宋体" w:eastAsia="宋体" w:cs="宋体"/>
          <w:color w:val="auto"/>
          <w:highlight w:val="none"/>
        </w:rPr>
      </w:pPr>
    </w:p>
    <w:p w14:paraId="0FE784C6">
      <w:pPr>
        <w:pStyle w:val="24"/>
        <w:spacing w:line="360" w:lineRule="auto"/>
        <w:ind w:firstLine="435"/>
        <w:rPr>
          <w:rFonts w:hint="eastAsia" w:ascii="宋体" w:hAnsi="宋体" w:eastAsia="宋体" w:cs="宋体"/>
          <w:color w:val="auto"/>
          <w:highlight w:val="none"/>
        </w:rPr>
      </w:pPr>
      <w:r>
        <w:rPr>
          <w:rFonts w:hint="eastAsia" w:ascii="宋体" w:hAnsi="宋体" w:eastAsia="宋体" w:cs="宋体"/>
          <w:color w:val="auto"/>
          <w:highlight w:val="none"/>
        </w:rPr>
        <w:t>注:招标代理服务收费按差额定率累进法计算。</w:t>
      </w:r>
    </w:p>
    <w:p w14:paraId="50400039">
      <w:pPr>
        <w:pStyle w:val="24"/>
        <w:spacing w:line="360" w:lineRule="auto"/>
        <w:ind w:firstLine="435"/>
        <w:rPr>
          <w:rFonts w:hint="eastAsia" w:ascii="宋体" w:hAnsi="宋体" w:eastAsia="宋体" w:cs="宋体"/>
          <w:color w:val="auto"/>
          <w:highlight w:val="none"/>
        </w:rPr>
      </w:pPr>
      <w:r>
        <w:rPr>
          <w:rFonts w:hint="eastAsia" w:ascii="宋体" w:hAnsi="宋体" w:eastAsia="宋体" w:cs="宋体"/>
          <w:color w:val="auto"/>
          <w:highlight w:val="none"/>
        </w:rPr>
        <w:t>（3）服务费指定银行账户：</w:t>
      </w:r>
    </w:p>
    <w:p w14:paraId="665E595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开户名称：广西汉昌工程咨询有限公司第七分公司；</w:t>
      </w:r>
    </w:p>
    <w:p w14:paraId="77B8A7B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开户银行：中国工商银行股份有限公司南宁市五象支行；</w:t>
      </w:r>
    </w:p>
    <w:p w14:paraId="216BDE1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银行账号：2102116009300145703 </w:t>
      </w:r>
    </w:p>
    <w:p w14:paraId="40F0621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注：开票请提供开票资料，并说明是增值税普通发票还是专用发票；</w:t>
      </w:r>
    </w:p>
    <w:p w14:paraId="264342A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szCs w:val="21"/>
          <w:highlight w:val="none"/>
        </w:rPr>
        <w:t>16.2</w:t>
      </w:r>
      <w:r>
        <w:rPr>
          <w:rFonts w:hint="eastAsia" w:ascii="宋体" w:hAnsi="宋体" w:eastAsia="宋体" w:cs="宋体"/>
          <w:b/>
          <w:color w:val="auto"/>
          <w:highlight w:val="none"/>
        </w:rPr>
        <w:t>解释权</w:t>
      </w:r>
    </w:p>
    <w:p w14:paraId="671BD9E8">
      <w:pPr>
        <w:spacing w:line="360" w:lineRule="auto"/>
        <w:ind w:firstLine="404" w:firstLine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本竞争性磋商文件是根据国家有关法律、法规以及政府采购管理的有关规定和参照国际惯例编制，解释权属本采购代理机构。</w:t>
      </w:r>
    </w:p>
    <w:p w14:paraId="44FF1E4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szCs w:val="21"/>
          <w:highlight w:val="none"/>
        </w:rPr>
        <w:t>16.3</w:t>
      </w:r>
      <w:r>
        <w:rPr>
          <w:rFonts w:hint="eastAsia" w:ascii="宋体" w:hAnsi="宋体" w:eastAsia="宋体" w:cs="宋体"/>
          <w:b/>
          <w:color w:val="auto"/>
          <w:highlight w:val="none"/>
        </w:rPr>
        <w:t>有关事宜</w:t>
      </w:r>
    </w:p>
    <w:p w14:paraId="72B13F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所有与本竞争性磋商文件有关的函电请按下列通讯地址联系：</w:t>
      </w:r>
    </w:p>
    <w:p w14:paraId="0B3C523E">
      <w:pPr>
        <w:pStyle w:val="24"/>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广西汉昌工程咨询有限公司</w:t>
      </w:r>
    </w:p>
    <w:p w14:paraId="01E9845B">
      <w:pPr>
        <w:pStyle w:val="24"/>
        <w:tabs>
          <w:tab w:val="left" w:pos="1990"/>
        </w:tabs>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邮政编码：530000</w:t>
      </w:r>
    </w:p>
    <w:p w14:paraId="41AE12FF">
      <w:pPr>
        <w:pStyle w:val="24"/>
        <w:tabs>
          <w:tab w:val="left" w:pos="1990"/>
        </w:tabs>
        <w:spacing w:line="360" w:lineRule="auto"/>
        <w:ind w:firstLine="420" w:firstLineChars="200"/>
        <w:rPr>
          <w:rFonts w:hint="eastAsia" w:ascii="宋体" w:hAnsi="宋体" w:eastAsia="宋体" w:cs="宋体"/>
          <w:color w:val="auto"/>
          <w:spacing w:val="-4"/>
          <w:highlight w:val="none"/>
          <w:lang w:eastAsia="zh-CN"/>
        </w:rPr>
      </w:pPr>
      <w:r>
        <w:rPr>
          <w:rFonts w:hint="eastAsia" w:ascii="宋体" w:hAnsi="宋体" w:eastAsia="宋体" w:cs="宋体"/>
          <w:color w:val="auto"/>
          <w:highlight w:val="none"/>
        </w:rPr>
        <w:t>通讯地址：</w:t>
      </w:r>
      <w:r>
        <w:rPr>
          <w:rFonts w:hint="eastAsia" w:ascii="宋体" w:hAnsi="宋体" w:eastAsia="宋体" w:cs="宋体"/>
          <w:color w:val="auto"/>
          <w:highlight w:val="none"/>
          <w:lang w:eastAsia="zh-CN"/>
        </w:rPr>
        <w:t>广西南宁市那洪大道7号研祥智谷A1栋7楼</w:t>
      </w:r>
    </w:p>
    <w:p w14:paraId="5ED4C302">
      <w:pPr>
        <w:spacing w:line="360" w:lineRule="auto"/>
        <w:ind w:firstLine="420" w:firstLineChars="200"/>
        <w:rPr>
          <w:rFonts w:hint="eastAsia" w:ascii="宋体" w:hAnsi="宋体" w:eastAsia="宋体" w:cs="宋体"/>
          <w:b/>
          <w:color w:val="auto"/>
          <w:sz w:val="32"/>
          <w:szCs w:val="32"/>
          <w:highlight w:val="none"/>
        </w:rPr>
      </w:pPr>
      <w:r>
        <w:rPr>
          <w:rFonts w:hint="eastAsia" w:ascii="宋体" w:hAnsi="宋体" w:eastAsia="宋体" w:cs="宋体"/>
          <w:color w:val="auto"/>
          <w:highlight w:val="none"/>
        </w:rPr>
        <w:t>电    话：0771-3313954</w:t>
      </w:r>
      <w:r>
        <w:rPr>
          <w:rFonts w:hint="eastAsia" w:ascii="宋体" w:hAnsi="宋体" w:eastAsia="宋体" w:cs="宋体"/>
          <w:b/>
          <w:color w:val="auto"/>
          <w:sz w:val="32"/>
          <w:szCs w:val="32"/>
          <w:highlight w:val="none"/>
        </w:rPr>
        <w:br w:type="page"/>
      </w:r>
    </w:p>
    <w:p w14:paraId="00FF1E02">
      <w:pPr>
        <w:spacing w:line="360" w:lineRule="auto"/>
        <w:jc w:val="center"/>
        <w:rPr>
          <w:rFonts w:hint="eastAsia" w:ascii="宋体" w:hAnsi="宋体" w:eastAsia="宋体" w:cs="宋体"/>
          <w:b/>
          <w:color w:val="auto"/>
          <w:sz w:val="32"/>
          <w:szCs w:val="32"/>
          <w:highlight w:val="none"/>
        </w:rPr>
      </w:pPr>
    </w:p>
    <w:p w14:paraId="4AE4FB4C">
      <w:pPr>
        <w:spacing w:line="360" w:lineRule="auto"/>
        <w:jc w:val="center"/>
        <w:rPr>
          <w:rFonts w:hint="eastAsia" w:ascii="宋体" w:hAnsi="宋体" w:eastAsia="宋体" w:cs="宋体"/>
          <w:b/>
          <w:color w:val="auto"/>
          <w:sz w:val="32"/>
          <w:szCs w:val="32"/>
          <w:highlight w:val="none"/>
        </w:rPr>
      </w:pPr>
    </w:p>
    <w:p w14:paraId="524D8873">
      <w:pPr>
        <w:spacing w:line="360" w:lineRule="auto"/>
        <w:jc w:val="center"/>
        <w:rPr>
          <w:rFonts w:hint="eastAsia" w:ascii="宋体" w:hAnsi="宋体" w:eastAsia="宋体" w:cs="宋体"/>
          <w:b/>
          <w:color w:val="auto"/>
          <w:sz w:val="32"/>
          <w:szCs w:val="32"/>
          <w:highlight w:val="none"/>
        </w:rPr>
      </w:pPr>
    </w:p>
    <w:p w14:paraId="5536AA0F">
      <w:pPr>
        <w:spacing w:line="360" w:lineRule="auto"/>
        <w:jc w:val="center"/>
        <w:rPr>
          <w:rFonts w:hint="eastAsia" w:ascii="宋体" w:hAnsi="宋体" w:eastAsia="宋体" w:cs="宋体"/>
          <w:b/>
          <w:color w:val="auto"/>
          <w:sz w:val="32"/>
          <w:szCs w:val="32"/>
          <w:highlight w:val="none"/>
        </w:rPr>
      </w:pPr>
    </w:p>
    <w:p w14:paraId="797D5DEB">
      <w:pPr>
        <w:pStyle w:val="28"/>
        <w:rPr>
          <w:rFonts w:hint="eastAsia" w:ascii="宋体" w:hAnsi="宋体" w:eastAsia="宋体" w:cs="宋体"/>
          <w:b/>
          <w:color w:val="auto"/>
          <w:sz w:val="32"/>
          <w:szCs w:val="32"/>
          <w:highlight w:val="none"/>
        </w:rPr>
      </w:pPr>
    </w:p>
    <w:p w14:paraId="38CCA907">
      <w:pPr>
        <w:pStyle w:val="28"/>
        <w:rPr>
          <w:rFonts w:hint="eastAsia" w:ascii="宋体" w:hAnsi="宋体" w:eastAsia="宋体" w:cs="宋体"/>
          <w:b/>
          <w:color w:val="auto"/>
          <w:sz w:val="32"/>
          <w:szCs w:val="32"/>
          <w:highlight w:val="none"/>
        </w:rPr>
      </w:pPr>
    </w:p>
    <w:p w14:paraId="632099E0">
      <w:pPr>
        <w:pStyle w:val="28"/>
        <w:rPr>
          <w:rFonts w:hint="eastAsia" w:ascii="宋体" w:hAnsi="宋体" w:eastAsia="宋体" w:cs="宋体"/>
          <w:b/>
          <w:color w:val="auto"/>
          <w:sz w:val="32"/>
          <w:szCs w:val="32"/>
          <w:highlight w:val="none"/>
        </w:rPr>
      </w:pPr>
    </w:p>
    <w:p w14:paraId="0E224C63">
      <w:pPr>
        <w:pStyle w:val="28"/>
        <w:rPr>
          <w:rFonts w:hint="eastAsia" w:ascii="宋体" w:hAnsi="宋体" w:eastAsia="宋体" w:cs="宋体"/>
          <w:b/>
          <w:color w:val="auto"/>
          <w:sz w:val="32"/>
          <w:szCs w:val="32"/>
          <w:highlight w:val="none"/>
        </w:rPr>
      </w:pPr>
    </w:p>
    <w:p w14:paraId="636A8B06">
      <w:pPr>
        <w:pStyle w:val="28"/>
        <w:rPr>
          <w:rFonts w:hint="eastAsia" w:ascii="宋体" w:hAnsi="宋体" w:eastAsia="宋体" w:cs="宋体"/>
          <w:b/>
          <w:color w:val="auto"/>
          <w:sz w:val="32"/>
          <w:szCs w:val="32"/>
          <w:highlight w:val="none"/>
        </w:rPr>
      </w:pPr>
    </w:p>
    <w:p w14:paraId="7D51B354">
      <w:pPr>
        <w:spacing w:line="360" w:lineRule="auto"/>
        <w:rPr>
          <w:rFonts w:hint="eastAsia" w:ascii="宋体" w:hAnsi="宋体" w:eastAsia="宋体" w:cs="宋体"/>
          <w:b/>
          <w:color w:val="auto"/>
          <w:sz w:val="32"/>
          <w:szCs w:val="32"/>
          <w:highlight w:val="none"/>
        </w:rPr>
      </w:pPr>
    </w:p>
    <w:p w14:paraId="2180B543">
      <w:pPr>
        <w:pStyle w:val="38"/>
        <w:spacing w:line="360" w:lineRule="auto"/>
        <w:rPr>
          <w:rFonts w:hint="eastAsia" w:ascii="宋体" w:hAnsi="宋体" w:eastAsia="宋体" w:cs="宋体"/>
          <w:color w:val="auto"/>
          <w:sz w:val="44"/>
          <w:szCs w:val="44"/>
          <w:highlight w:val="none"/>
        </w:rPr>
      </w:pPr>
      <w:bookmarkStart w:id="36" w:name="_Toc476258664"/>
      <w:bookmarkStart w:id="37" w:name="_Toc14269"/>
      <w:r>
        <w:rPr>
          <w:rFonts w:hint="eastAsia" w:ascii="宋体" w:hAnsi="宋体" w:eastAsia="宋体" w:cs="宋体"/>
          <w:color w:val="auto"/>
          <w:sz w:val="44"/>
          <w:szCs w:val="44"/>
          <w:highlight w:val="none"/>
        </w:rPr>
        <w:t>第三章  采购需求</w:t>
      </w:r>
      <w:bookmarkEnd w:id="36"/>
      <w:bookmarkEnd w:id="37"/>
    </w:p>
    <w:p w14:paraId="743A72B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采购项目技术规格、参数及要求</w:t>
      </w:r>
    </w:p>
    <w:p w14:paraId="7089A872">
      <w:pPr>
        <w:tabs>
          <w:tab w:val="left" w:pos="180"/>
          <w:tab w:val="left" w:pos="1620"/>
        </w:tabs>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一、采购</w:t>
      </w:r>
      <w:r>
        <w:rPr>
          <w:rFonts w:hint="eastAsia" w:ascii="宋体" w:hAnsi="宋体" w:cs="宋体"/>
          <w:color w:val="auto"/>
          <w:szCs w:val="21"/>
          <w:highlight w:val="none"/>
          <w:lang w:eastAsia="zh-CN"/>
        </w:rPr>
        <w:t>项目编号：GXZC2024-C3-006358-HCZX</w:t>
      </w:r>
      <w:r>
        <w:rPr>
          <w:rFonts w:hint="eastAsia" w:ascii="宋体" w:hAnsi="宋体" w:eastAsia="宋体" w:cs="宋体"/>
          <w:color w:val="auto"/>
          <w:szCs w:val="21"/>
          <w:highlight w:val="none"/>
          <w:lang w:eastAsia="zh-CN"/>
        </w:rPr>
        <w:t xml:space="preserve"> </w:t>
      </w:r>
    </w:p>
    <w:p w14:paraId="25780368">
      <w:pPr>
        <w:tabs>
          <w:tab w:val="left" w:pos="180"/>
          <w:tab w:val="left" w:pos="1620"/>
        </w:tabs>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二、采购项目类别：</w:t>
      </w:r>
      <w:r>
        <w:rPr>
          <w:rFonts w:hint="eastAsia" w:ascii="宋体" w:hAnsi="宋体" w:eastAsia="宋体" w:cs="宋体"/>
          <w:color w:val="auto"/>
          <w:szCs w:val="21"/>
          <w:highlight w:val="none"/>
          <w:u w:val="single"/>
        </w:rPr>
        <w:t xml:space="preserve">  服务类  </w:t>
      </w:r>
    </w:p>
    <w:p w14:paraId="719499C4">
      <w:pPr>
        <w:tabs>
          <w:tab w:val="left" w:pos="180"/>
          <w:tab w:val="left" w:pos="162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三、采购需求一览表</w:t>
      </w:r>
    </w:p>
    <w:p w14:paraId="3EE344BE">
      <w:pPr>
        <w:tabs>
          <w:tab w:val="left" w:pos="180"/>
          <w:tab w:val="left" w:pos="162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79E9880A">
      <w:pPr>
        <w:tabs>
          <w:tab w:val="left" w:pos="180"/>
          <w:tab w:val="left" w:pos="162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1、本项目需求表中的品牌型号仅起参考作用，竞标人可选用其他品牌型号替代，但这些替代的品牌型号要实质上相当于或优于参考品牌型号及其技术参数性能（配置）要求。</w:t>
      </w:r>
    </w:p>
    <w:p w14:paraId="6E305B0F">
      <w:pPr>
        <w:tabs>
          <w:tab w:val="left" w:pos="180"/>
          <w:tab w:val="left" w:pos="162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、本项目需求表中带有“▲”的服务参数或要求为实质性要求，必须满足，竞标响应不得低于该技术指标或要求。未标注“▲”的参数或条款发生负偏离或不响应达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项（含）以上的，响应无效。</w:t>
      </w:r>
    </w:p>
    <w:p w14:paraId="6332ED18">
      <w:pPr>
        <w:tabs>
          <w:tab w:val="left" w:pos="180"/>
          <w:tab w:val="left" w:pos="162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、供应商所竞标货物或服务如国家有强制性要求的按国家规定执行，若执行标准有修改或更新按最新版本执行。</w:t>
      </w:r>
    </w:p>
    <w:p w14:paraId="3F449B05">
      <w:pPr>
        <w:tabs>
          <w:tab w:val="left" w:pos="180"/>
          <w:tab w:val="left" w:pos="162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、采购标的对应的中小企业划分标准所属行业：根据《关于印发中小企业划型标准规定的通知》（工信部联企业〔2011〕300号），本次采购标的属于：</w:t>
      </w:r>
      <w:r>
        <w:rPr>
          <w:rFonts w:hint="eastAsia" w:ascii="宋体" w:hAnsi="宋体" w:eastAsia="宋体" w:cs="宋体"/>
          <w:b/>
          <w:color w:val="auto"/>
          <w:szCs w:val="21"/>
          <w:highlight w:val="none"/>
        </w:rPr>
        <w:t>其他未列明行业</w:t>
      </w:r>
      <w:r>
        <w:rPr>
          <w:rFonts w:hint="eastAsia" w:ascii="宋体" w:hAnsi="宋体" w:eastAsia="宋体" w:cs="宋体"/>
          <w:color w:val="auto"/>
          <w:szCs w:val="21"/>
          <w:highlight w:val="none"/>
        </w:rPr>
        <w:t>。</w:t>
      </w:r>
    </w:p>
    <w:p w14:paraId="589ECCC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szCs w:val="21"/>
          <w:highlight w:val="none"/>
        </w:rPr>
        <w:t>本项目采购预算:</w:t>
      </w:r>
      <w:r>
        <w:rPr>
          <w:rFonts w:hint="eastAsia" w:ascii="宋体" w:hAnsi="宋体" w:eastAsia="宋体" w:cs="宋体"/>
          <w:b/>
          <w:color w:val="auto"/>
          <w:szCs w:val="21"/>
          <w:highlight w:val="none"/>
          <w:lang w:val="en-US" w:eastAsia="zh-CN"/>
        </w:rPr>
        <w:t>1200000.00</w:t>
      </w:r>
      <w:r>
        <w:rPr>
          <w:rFonts w:hint="eastAsia" w:ascii="宋体" w:hAnsi="宋体" w:eastAsia="宋体" w:cs="宋体"/>
          <w:b/>
          <w:color w:val="auto"/>
          <w:highlight w:val="none"/>
        </w:rPr>
        <w:t>（元）</w:t>
      </w:r>
    </w:p>
    <w:tbl>
      <w:tblPr>
        <w:tblStyle w:val="41"/>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570"/>
        <w:gridCol w:w="525"/>
        <w:gridCol w:w="7149"/>
        <w:gridCol w:w="951"/>
      </w:tblGrid>
      <w:tr w14:paraId="48A8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0094" w:type="dxa"/>
            <w:gridSpan w:val="5"/>
            <w:vAlign w:val="center"/>
          </w:tcPr>
          <w:p w14:paraId="52227D54">
            <w:pPr>
              <w:ind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一、技术需求</w:t>
            </w:r>
          </w:p>
        </w:tc>
      </w:tr>
      <w:tr w14:paraId="2238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99" w:type="dxa"/>
            <w:vAlign w:val="center"/>
          </w:tcPr>
          <w:p w14:paraId="0EC10C94">
            <w:pPr>
              <w:ind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570" w:type="dxa"/>
            <w:vAlign w:val="center"/>
          </w:tcPr>
          <w:p w14:paraId="1C5CC11B">
            <w:pPr>
              <w:ind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525" w:type="dxa"/>
            <w:vAlign w:val="center"/>
          </w:tcPr>
          <w:p w14:paraId="753141B5">
            <w:pPr>
              <w:ind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单位</w:t>
            </w:r>
          </w:p>
        </w:tc>
        <w:tc>
          <w:tcPr>
            <w:tcW w:w="7149" w:type="dxa"/>
            <w:vAlign w:val="center"/>
          </w:tcPr>
          <w:p w14:paraId="603A84B9">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服务内容及要求</w:t>
            </w:r>
          </w:p>
        </w:tc>
        <w:tc>
          <w:tcPr>
            <w:tcW w:w="951" w:type="dxa"/>
            <w:vAlign w:val="center"/>
          </w:tcPr>
          <w:p w14:paraId="199E4DEE">
            <w:pPr>
              <w:ind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最高限价（万元）</w:t>
            </w:r>
          </w:p>
        </w:tc>
      </w:tr>
      <w:tr w14:paraId="1467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99" w:type="dxa"/>
            <w:vAlign w:val="center"/>
          </w:tcPr>
          <w:p w14:paraId="37959961">
            <w:pPr>
              <w:ind w:firstLine="0" w:firstLineChars="0"/>
              <w:rPr>
                <w:rFonts w:hint="eastAsia" w:ascii="宋体" w:hAnsi="宋体" w:eastAsia="宋体" w:cs="宋体"/>
                <w:color w:val="auto"/>
                <w:sz w:val="21"/>
                <w:szCs w:val="21"/>
              </w:rPr>
            </w:pPr>
            <w:r>
              <w:rPr>
                <w:rFonts w:hint="eastAsia" w:ascii="宋体" w:hAnsi="宋体" w:eastAsia="宋体" w:cs="宋体"/>
                <w:color w:val="auto"/>
                <w:szCs w:val="21"/>
              </w:rPr>
              <w:t>教育部纵向课题</w:t>
            </w:r>
            <w:r>
              <w:rPr>
                <w:rFonts w:hint="eastAsia" w:ascii="宋体" w:hAnsi="宋体" w:eastAsia="宋体" w:cs="宋体"/>
                <w:color w:val="auto"/>
                <w:sz w:val="21"/>
                <w:szCs w:val="21"/>
              </w:rPr>
              <w:t>成果培育项目</w:t>
            </w:r>
          </w:p>
        </w:tc>
        <w:tc>
          <w:tcPr>
            <w:tcW w:w="570" w:type="dxa"/>
            <w:vAlign w:val="center"/>
          </w:tcPr>
          <w:p w14:paraId="112CB8F7">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25" w:type="dxa"/>
            <w:vAlign w:val="center"/>
          </w:tcPr>
          <w:p w14:paraId="61ACFF1B">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w:t>
            </w:r>
          </w:p>
        </w:tc>
        <w:tc>
          <w:tcPr>
            <w:tcW w:w="7149" w:type="dxa"/>
            <w:vAlign w:val="center"/>
          </w:tcPr>
          <w:p w14:paraId="0D21BAA5">
            <w:pPr>
              <w:ind w:firstLine="422"/>
              <w:rPr>
                <w:rFonts w:hint="eastAsia" w:ascii="宋体" w:hAnsi="宋体" w:eastAsia="宋体" w:cs="宋体"/>
                <w:b/>
                <w:color w:val="auto"/>
                <w:szCs w:val="21"/>
              </w:rPr>
            </w:pPr>
            <w:r>
              <w:rPr>
                <w:rFonts w:hint="eastAsia" w:ascii="宋体" w:hAnsi="宋体" w:eastAsia="宋体" w:cs="宋体"/>
                <w:b/>
                <w:color w:val="auto"/>
                <w:szCs w:val="21"/>
              </w:rPr>
              <w:t>1.建设内容</w:t>
            </w:r>
          </w:p>
          <w:p w14:paraId="24439270">
            <w:pPr>
              <w:ind w:firstLine="420"/>
              <w:rPr>
                <w:rFonts w:hint="eastAsia" w:ascii="宋体" w:hAnsi="宋体" w:eastAsia="宋体" w:cs="宋体"/>
                <w:color w:val="auto"/>
                <w:szCs w:val="21"/>
              </w:rPr>
            </w:pPr>
            <w:r>
              <w:rPr>
                <w:rFonts w:hint="eastAsia" w:ascii="宋体" w:hAnsi="宋体" w:eastAsia="宋体" w:cs="宋体"/>
                <w:color w:val="auto"/>
                <w:szCs w:val="21"/>
              </w:rPr>
              <w:t>以高校技术创新研究和成果转化</w:t>
            </w:r>
            <w:r>
              <w:rPr>
                <w:rFonts w:hint="eastAsia" w:ascii="宋体" w:hAnsi="宋体" w:eastAsia="宋体" w:cs="宋体"/>
                <w:color w:val="auto"/>
                <w:szCs w:val="21"/>
                <w:lang w:val="en-US" w:eastAsia="zh-CN"/>
              </w:rPr>
              <w:t>为目标</w:t>
            </w:r>
            <w:r>
              <w:rPr>
                <w:rFonts w:hint="eastAsia" w:ascii="宋体" w:hAnsi="宋体" w:eastAsia="宋体" w:cs="宋体"/>
                <w:color w:val="auto"/>
                <w:szCs w:val="21"/>
              </w:rPr>
              <w:t>，聚焦国家和广西“</w:t>
            </w:r>
            <w:r>
              <w:rPr>
                <w:rFonts w:hint="eastAsia" w:ascii="宋体" w:hAnsi="宋体" w:eastAsia="宋体" w:cs="宋体"/>
                <w:color w:val="auto"/>
                <w:szCs w:val="21"/>
                <w:lang w:val="en-US" w:eastAsia="zh-CN"/>
              </w:rPr>
              <w:t>双高</w:t>
            </w:r>
            <w:r>
              <w:rPr>
                <w:rFonts w:hint="eastAsia" w:ascii="宋体" w:hAnsi="宋体" w:eastAsia="宋体" w:cs="宋体"/>
                <w:color w:val="auto"/>
                <w:szCs w:val="21"/>
              </w:rPr>
              <w:t>计划”以打造技术技能创新服务平台为核心，通过教师团队能力提升、教学资源开发与创新、教学模式的创新等方面来开展研究，打造先进的技术创新服务机制为培养高素质人才和促进教育现代化做出积极贡献。</w:t>
            </w:r>
          </w:p>
          <w:p w14:paraId="2CE8CBCC">
            <w:pPr>
              <w:ind w:firstLine="420"/>
              <w:rPr>
                <w:rFonts w:hint="eastAsia" w:ascii="宋体" w:hAnsi="宋体" w:eastAsia="宋体" w:cs="宋体"/>
                <w:color w:val="auto"/>
                <w:szCs w:val="21"/>
              </w:rPr>
            </w:pPr>
            <w:r>
              <w:rPr>
                <w:rFonts w:hint="eastAsia" w:ascii="宋体" w:hAnsi="宋体" w:eastAsia="宋体" w:cs="宋体"/>
                <w:color w:val="auto"/>
                <w:szCs w:val="21"/>
              </w:rPr>
              <w:t>▲供应商需安排不少于10人的课题建设指导专家团队，团队包含课题指导专家、数据调研分析专家、信息化技术专家、课题报告撰写专家。其中课题指导专家不少于3人，具备副高级（含）以上职称，分别为农业类、工学类、教育管理类等专业领域并主持或参与过</w:t>
            </w:r>
            <w:r>
              <w:rPr>
                <w:rFonts w:hint="eastAsia" w:ascii="宋体" w:hAnsi="宋体" w:eastAsia="宋体" w:cs="宋体"/>
                <w:color w:val="auto"/>
                <w:szCs w:val="21"/>
                <w:lang w:val="en-US" w:eastAsia="zh-CN"/>
              </w:rPr>
              <w:t>国家或</w:t>
            </w:r>
            <w:r>
              <w:rPr>
                <w:rFonts w:hint="eastAsia" w:ascii="宋体" w:hAnsi="宋体" w:eastAsia="宋体" w:cs="宋体"/>
                <w:color w:val="auto"/>
                <w:szCs w:val="21"/>
              </w:rPr>
              <w:t>教育部纵向课题研究的专家。数据调研专家不少于2人，具备统计学、数学等相关专业背景。信息化技术专家不少于2人，具备计算机相关专业背景。课题报告撰写专家不少于3人，具备汉语言文学相关专业背景（以上人员均需提供相关证明文件，证明文件包含但不限于</w:t>
            </w:r>
            <w:r>
              <w:rPr>
                <w:rFonts w:hint="eastAsia" w:ascii="宋体" w:hAnsi="宋体" w:eastAsia="宋体" w:cs="宋体"/>
                <w:color w:val="auto"/>
              </w:rPr>
              <w:t>专家的资质证书扫描件，劳动合同或聘用合同扫描件</w:t>
            </w:r>
            <w:r>
              <w:rPr>
                <w:rFonts w:hint="eastAsia" w:ascii="宋体" w:hAnsi="宋体" w:eastAsia="宋体" w:cs="宋体"/>
                <w:color w:val="auto"/>
                <w:szCs w:val="21"/>
              </w:rPr>
              <w:t>）。深入指导与协助学校完成</w:t>
            </w:r>
            <w:r>
              <w:rPr>
                <w:rFonts w:hint="eastAsia" w:ascii="宋体" w:hAnsi="宋体" w:eastAsia="宋体" w:cs="宋体"/>
                <w:bCs/>
                <w:color w:val="auto"/>
                <w:szCs w:val="21"/>
              </w:rPr>
              <w:t>1个教育部纵向课题</w:t>
            </w:r>
            <w:r>
              <w:rPr>
                <w:rFonts w:hint="eastAsia" w:ascii="宋体" w:hAnsi="宋体" w:eastAsia="宋体" w:cs="宋体"/>
                <w:color w:val="auto"/>
                <w:szCs w:val="21"/>
              </w:rPr>
              <w:t>培育、申报、立项、研究、论证、成果总结输出及推广宣传工作。详细建设内容如下：</w:t>
            </w:r>
          </w:p>
          <w:p w14:paraId="455345FE">
            <w:pPr>
              <w:ind w:firstLine="422"/>
              <w:rPr>
                <w:rFonts w:hint="eastAsia" w:ascii="宋体" w:hAnsi="宋体" w:eastAsia="宋体" w:cs="宋体"/>
                <w:b/>
                <w:color w:val="auto"/>
                <w:szCs w:val="21"/>
              </w:rPr>
            </w:pPr>
            <w:r>
              <w:rPr>
                <w:rFonts w:hint="eastAsia" w:ascii="宋体" w:hAnsi="宋体" w:eastAsia="宋体" w:cs="宋体"/>
                <w:b/>
                <w:color w:val="auto"/>
                <w:szCs w:val="21"/>
              </w:rPr>
              <w:t>（1）课题培训</w:t>
            </w:r>
          </w:p>
          <w:p w14:paraId="2453E7F1">
            <w:pPr>
              <w:ind w:firstLine="420"/>
              <w:rPr>
                <w:rFonts w:hint="eastAsia" w:ascii="宋体" w:hAnsi="宋体" w:eastAsia="宋体" w:cs="宋体"/>
                <w:color w:val="auto"/>
                <w:szCs w:val="21"/>
              </w:rPr>
            </w:pPr>
            <w:r>
              <w:rPr>
                <w:rFonts w:hint="eastAsia" w:ascii="宋体" w:hAnsi="宋体" w:eastAsia="宋体" w:cs="宋体"/>
                <w:color w:val="auto"/>
                <w:szCs w:val="21"/>
              </w:rPr>
              <w:t>根据职业院校</w:t>
            </w:r>
            <w:r>
              <w:rPr>
                <w:rFonts w:hint="eastAsia" w:ascii="宋体" w:hAnsi="宋体" w:eastAsia="宋体" w:cs="宋体"/>
                <w:color w:val="auto"/>
                <w:szCs w:val="21"/>
                <w:lang w:val="en-US" w:eastAsia="zh-CN"/>
              </w:rPr>
              <w:t>教学改革</w:t>
            </w:r>
            <w:r>
              <w:rPr>
                <w:rFonts w:hint="eastAsia" w:ascii="宋体" w:hAnsi="宋体" w:eastAsia="宋体" w:cs="宋体"/>
                <w:color w:val="auto"/>
                <w:szCs w:val="21"/>
              </w:rPr>
              <w:t>要求，为参与本项目课题负责主持人、核心成员、专业教师及管理工作者等相关人员提供关于开展课题成果培育相关培训服务，培训内容围绕理论与实践相结合的原则展开，理论知识包括课题研究的基本概念、原理和培育方法。在此基础上，结合实际课题案例进行分析和讨论，帮助教师深入理解并掌握课题相关理论知识和培育方法和实践经验。</w:t>
            </w:r>
          </w:p>
          <w:p w14:paraId="5202133C">
            <w:pPr>
              <w:ind w:firstLine="420"/>
              <w:rPr>
                <w:rFonts w:hint="eastAsia" w:ascii="宋体" w:hAnsi="宋体" w:eastAsia="宋体" w:cs="宋体"/>
                <w:color w:val="auto"/>
                <w:szCs w:val="21"/>
              </w:rPr>
            </w:pPr>
            <w:r>
              <w:rPr>
                <w:rFonts w:hint="eastAsia" w:ascii="宋体" w:hAnsi="宋体" w:eastAsia="宋体" w:cs="宋体"/>
                <w:color w:val="auto"/>
                <w:szCs w:val="21"/>
              </w:rPr>
              <w:t>培训服务不少于2次，采用线上线下相结合的方式，通过专家讲座、案例分析、研讨交流等多种形式，对采购人进行课题成果培育服务。</w:t>
            </w:r>
          </w:p>
          <w:p w14:paraId="71002256">
            <w:pPr>
              <w:ind w:firstLine="422"/>
              <w:rPr>
                <w:rFonts w:hint="eastAsia" w:ascii="宋体" w:hAnsi="宋体" w:eastAsia="宋体" w:cs="宋体"/>
                <w:b/>
                <w:color w:val="auto"/>
                <w:szCs w:val="21"/>
              </w:rPr>
            </w:pPr>
            <w:r>
              <w:rPr>
                <w:rFonts w:hint="eastAsia" w:ascii="宋体" w:hAnsi="宋体" w:eastAsia="宋体" w:cs="宋体"/>
                <w:b/>
                <w:color w:val="auto"/>
                <w:szCs w:val="21"/>
              </w:rPr>
              <w:t>（2）课题选题指导</w:t>
            </w:r>
          </w:p>
          <w:p w14:paraId="2619ECAD">
            <w:pPr>
              <w:ind w:firstLine="420"/>
              <w:rPr>
                <w:rFonts w:hint="eastAsia" w:ascii="宋体" w:hAnsi="宋体" w:eastAsia="宋体" w:cs="宋体"/>
                <w:color w:val="auto"/>
                <w:szCs w:val="21"/>
              </w:rPr>
            </w:pPr>
            <w:r>
              <w:rPr>
                <w:rFonts w:hint="eastAsia" w:ascii="宋体" w:hAnsi="宋体" w:eastAsia="宋体" w:cs="宋体"/>
                <w:color w:val="auto"/>
                <w:szCs w:val="21"/>
              </w:rPr>
              <w:t>供应商安排专家团队进行实地调研，充分了解学校实际情况目标诉求。根据学校实际情况，在课题的选题方向、建设思路、研究路径等与学校开展深入交流研讨，指导和协助学校开展并完成课题选题。</w:t>
            </w:r>
          </w:p>
          <w:p w14:paraId="642F00E7">
            <w:pPr>
              <w:ind w:firstLine="422"/>
              <w:rPr>
                <w:rFonts w:hint="eastAsia" w:ascii="宋体" w:hAnsi="宋体" w:eastAsia="宋体" w:cs="宋体"/>
                <w:b/>
                <w:color w:val="auto"/>
                <w:szCs w:val="21"/>
              </w:rPr>
            </w:pPr>
            <w:r>
              <w:rPr>
                <w:rFonts w:hint="eastAsia" w:ascii="宋体" w:hAnsi="宋体" w:eastAsia="宋体" w:cs="宋体"/>
                <w:b/>
                <w:color w:val="auto"/>
                <w:szCs w:val="21"/>
              </w:rPr>
              <w:t>（3）课题申报</w:t>
            </w:r>
          </w:p>
          <w:p w14:paraId="4BE2D5DB">
            <w:pPr>
              <w:ind w:firstLine="420"/>
              <w:rPr>
                <w:rFonts w:hint="eastAsia" w:ascii="宋体" w:hAnsi="宋体" w:eastAsia="宋体" w:cs="宋体"/>
                <w:color w:val="auto"/>
                <w:szCs w:val="21"/>
              </w:rPr>
            </w:pPr>
            <w:r>
              <w:rPr>
                <w:rFonts w:hint="eastAsia" w:ascii="宋体" w:hAnsi="宋体" w:eastAsia="宋体" w:cs="宋体"/>
                <w:color w:val="auto"/>
                <w:szCs w:val="21"/>
              </w:rPr>
              <w:t>供应商安排具备副高级（含）以上职称，分别为农业类、工学类、教育管理类等专业领域并主持或参与过</w:t>
            </w:r>
            <w:r>
              <w:rPr>
                <w:rFonts w:hint="eastAsia" w:ascii="宋体" w:hAnsi="宋体" w:eastAsia="宋体" w:cs="宋体"/>
                <w:color w:val="auto"/>
                <w:szCs w:val="21"/>
                <w:lang w:val="en-US" w:eastAsia="zh-CN"/>
              </w:rPr>
              <w:t>国家或</w:t>
            </w:r>
            <w:r>
              <w:rPr>
                <w:rFonts w:hint="eastAsia" w:ascii="宋体" w:hAnsi="宋体" w:eastAsia="宋体" w:cs="宋体"/>
                <w:color w:val="auto"/>
                <w:szCs w:val="21"/>
              </w:rPr>
              <w:t>教育部纵向课题研究的专家，指导课题申报各项材料的准备、撰写、优化及完成课题申报工作。根据课题成果培育申报要求对申报材料准备过程中申报书的撰写，申报材料的完整性、准确性和规范性等注意事项做专业指导。指导内容包含但不限于选题原则与价值、研究背景与意义、研究内容与方法、预期成果与贡献、经费预算与使用、团队组成与分工以及申报材料准备等。通过专家的指导和优化，确保相关申报材料的质量。</w:t>
            </w:r>
          </w:p>
          <w:p w14:paraId="2C88BDF6">
            <w:pPr>
              <w:ind w:firstLine="422"/>
              <w:rPr>
                <w:rFonts w:hint="eastAsia" w:ascii="宋体" w:hAnsi="宋体" w:eastAsia="宋体" w:cs="宋体"/>
                <w:b/>
                <w:color w:val="auto"/>
                <w:szCs w:val="21"/>
              </w:rPr>
            </w:pPr>
            <w:r>
              <w:rPr>
                <w:rFonts w:hint="eastAsia" w:ascii="宋体" w:hAnsi="宋体" w:eastAsia="宋体" w:cs="宋体"/>
                <w:b/>
                <w:color w:val="auto"/>
                <w:szCs w:val="21"/>
              </w:rPr>
              <w:t>（4）课题立项</w:t>
            </w:r>
          </w:p>
          <w:p w14:paraId="25E20CEB">
            <w:pPr>
              <w:ind w:firstLine="420"/>
              <w:rPr>
                <w:rFonts w:hint="eastAsia" w:ascii="宋体" w:hAnsi="宋体" w:eastAsia="宋体" w:cs="宋体"/>
                <w:color w:val="auto"/>
                <w:szCs w:val="21"/>
              </w:rPr>
            </w:pPr>
            <w:r>
              <w:rPr>
                <w:rFonts w:hint="eastAsia" w:ascii="宋体" w:hAnsi="宋体" w:eastAsia="宋体" w:cs="宋体"/>
                <w:color w:val="auto"/>
                <w:szCs w:val="21"/>
              </w:rPr>
              <w:t>供应商安排具备副高级（含）以上职称，分别为农业类、工学类、教育管理类等专业领域并主持或参与过</w:t>
            </w:r>
            <w:r>
              <w:rPr>
                <w:rFonts w:hint="eastAsia" w:ascii="宋体" w:hAnsi="宋体" w:eastAsia="宋体" w:cs="宋体"/>
                <w:color w:val="auto"/>
                <w:szCs w:val="21"/>
                <w:lang w:val="en-US" w:eastAsia="zh-CN"/>
              </w:rPr>
              <w:t>国家或</w:t>
            </w:r>
            <w:r>
              <w:rPr>
                <w:rFonts w:hint="eastAsia" w:ascii="宋体" w:hAnsi="宋体" w:eastAsia="宋体" w:cs="宋体"/>
                <w:color w:val="auto"/>
                <w:szCs w:val="21"/>
              </w:rPr>
              <w:t>教育部纵向课题研究的专家，对课题的创新性、可行性、研究目标和意义进行深入评估，组织开展对课题申报相关资料二次深入审核和质量把关。跟踪和负责课题立项工作，确保本项目研究课题在教育部正式立项审批通过。</w:t>
            </w:r>
          </w:p>
          <w:p w14:paraId="030FC524">
            <w:pPr>
              <w:ind w:firstLine="422"/>
              <w:rPr>
                <w:rFonts w:hint="eastAsia" w:ascii="宋体" w:hAnsi="宋体" w:eastAsia="宋体" w:cs="宋体"/>
                <w:b/>
                <w:color w:val="auto"/>
                <w:szCs w:val="21"/>
              </w:rPr>
            </w:pPr>
            <w:r>
              <w:rPr>
                <w:rFonts w:hint="eastAsia" w:ascii="宋体" w:hAnsi="宋体" w:eastAsia="宋体" w:cs="宋体"/>
                <w:b/>
                <w:color w:val="auto"/>
                <w:szCs w:val="21"/>
              </w:rPr>
              <w:t>（5）课题研究</w:t>
            </w:r>
          </w:p>
          <w:p w14:paraId="59D1D945">
            <w:pPr>
              <w:ind w:firstLine="420"/>
              <w:rPr>
                <w:rFonts w:hint="eastAsia" w:ascii="宋体" w:hAnsi="宋体" w:eastAsia="宋体" w:cs="宋体"/>
                <w:color w:val="auto"/>
                <w:szCs w:val="21"/>
              </w:rPr>
            </w:pPr>
            <w:r>
              <w:rPr>
                <w:rFonts w:hint="eastAsia" w:ascii="宋体" w:hAnsi="宋体" w:eastAsia="宋体" w:cs="宋体"/>
                <w:color w:val="auto"/>
                <w:szCs w:val="21"/>
              </w:rPr>
              <w:t>基于课题研究理论框架，指导和协助学校制定课题研究计划、研究内容和研究方法，以确保制定出切实可行的课题研究实施方案。指导学校课题研究团队的组建、人员分工、工作计划等，确保每个阶段都有明确的目标和任务。协助学校建立有效的课题培育项目管理机制，使其对研究进度、质量、成本等方面进行监控和管理，以确保研究工作的顺利进行。</w:t>
            </w:r>
          </w:p>
          <w:p w14:paraId="48BB049C">
            <w:pPr>
              <w:ind w:firstLine="420"/>
              <w:rPr>
                <w:rFonts w:hint="eastAsia" w:ascii="宋体" w:hAnsi="宋体" w:eastAsia="宋体" w:cs="宋体"/>
                <w:color w:val="auto"/>
                <w:szCs w:val="21"/>
              </w:rPr>
            </w:pPr>
            <w:r>
              <w:rPr>
                <w:rFonts w:hint="eastAsia" w:ascii="宋体" w:hAnsi="宋体" w:eastAsia="宋体" w:cs="宋体"/>
                <w:color w:val="auto"/>
                <w:szCs w:val="21"/>
              </w:rPr>
              <w:t>指导和协助学校开展课题研究工作，指导和协助开展调研、资料收集整理、课题涉及方向的理论探讨、实践探索、教学方法和模式创新等研究工作，确保课题研究工作的落地实施，课题研究工作的高质量交付。</w:t>
            </w:r>
          </w:p>
          <w:p w14:paraId="049FE3E9">
            <w:pPr>
              <w:ind w:firstLine="422"/>
              <w:rPr>
                <w:rFonts w:hint="eastAsia" w:ascii="宋体" w:hAnsi="宋体" w:eastAsia="宋体" w:cs="宋体"/>
                <w:b/>
                <w:color w:val="auto"/>
                <w:szCs w:val="21"/>
              </w:rPr>
            </w:pPr>
            <w:r>
              <w:rPr>
                <w:rFonts w:hint="eastAsia" w:ascii="宋体" w:hAnsi="宋体" w:eastAsia="宋体" w:cs="宋体"/>
                <w:b/>
                <w:color w:val="auto"/>
                <w:szCs w:val="21"/>
              </w:rPr>
              <w:t>（6）成果总结</w:t>
            </w:r>
          </w:p>
          <w:p w14:paraId="16363A68">
            <w:pPr>
              <w:ind w:firstLine="420"/>
              <w:rPr>
                <w:rFonts w:hint="eastAsia" w:ascii="宋体" w:hAnsi="宋体" w:eastAsia="宋体" w:cs="宋体"/>
                <w:color w:val="auto"/>
                <w:szCs w:val="21"/>
              </w:rPr>
            </w:pPr>
            <w:r>
              <w:rPr>
                <w:rFonts w:hint="eastAsia" w:ascii="宋体" w:hAnsi="宋体" w:eastAsia="宋体" w:cs="宋体"/>
                <w:color w:val="auto"/>
                <w:szCs w:val="21"/>
              </w:rPr>
              <w:t>根据项目的研究目标、方法和结果并借鉴相关理论总结研究的结论和成果，撰写详尽的研究报告。在初稿完成后，邀请专家对项目研究情况进行评估、修订和完善，确保报告的质量。</w:t>
            </w:r>
          </w:p>
          <w:p w14:paraId="7FA30301">
            <w:pPr>
              <w:ind w:firstLine="422"/>
              <w:rPr>
                <w:rFonts w:hint="eastAsia" w:ascii="宋体" w:hAnsi="宋体" w:eastAsia="宋体" w:cs="宋体"/>
                <w:b/>
                <w:color w:val="auto"/>
                <w:szCs w:val="21"/>
              </w:rPr>
            </w:pPr>
            <w:r>
              <w:rPr>
                <w:rFonts w:hint="eastAsia" w:ascii="宋体" w:hAnsi="宋体" w:eastAsia="宋体" w:cs="宋体"/>
                <w:b/>
                <w:color w:val="auto"/>
                <w:szCs w:val="21"/>
              </w:rPr>
              <w:t>（7）宣传推广</w:t>
            </w:r>
          </w:p>
          <w:p w14:paraId="11E66725">
            <w:pPr>
              <w:ind w:firstLine="420"/>
              <w:rPr>
                <w:rFonts w:hint="eastAsia" w:ascii="宋体" w:hAnsi="宋体" w:eastAsia="宋体" w:cs="宋体"/>
                <w:color w:val="auto"/>
                <w:szCs w:val="21"/>
              </w:rPr>
            </w:pPr>
            <w:r>
              <w:rPr>
                <w:rFonts w:hint="eastAsia" w:ascii="宋体" w:hAnsi="宋体" w:eastAsia="宋体" w:cs="宋体"/>
                <w:color w:val="auto"/>
                <w:szCs w:val="21"/>
              </w:rPr>
              <w:t>▲课题立项通过后，在权威主流媒体开展不少于1次推广与宣传。课题研究成果完成后，在权威教育</w:t>
            </w:r>
            <w:r>
              <w:rPr>
                <w:rFonts w:hint="eastAsia" w:ascii="宋体" w:hAnsi="宋体" w:eastAsia="宋体" w:cs="宋体"/>
                <w:color w:val="auto"/>
                <w:szCs w:val="21"/>
                <w:lang w:val="en-US" w:eastAsia="zh-CN"/>
              </w:rPr>
              <w:t>媒体</w:t>
            </w:r>
            <w:r>
              <w:rPr>
                <w:rFonts w:hint="eastAsia" w:ascii="宋体" w:hAnsi="宋体" w:eastAsia="宋体" w:cs="宋体"/>
                <w:color w:val="auto"/>
                <w:szCs w:val="21"/>
              </w:rPr>
              <w:t>网发表课题成果总结宣传不少于1次。</w:t>
            </w:r>
          </w:p>
          <w:p w14:paraId="2E598906">
            <w:pPr>
              <w:ind w:firstLine="422"/>
              <w:rPr>
                <w:rFonts w:hint="eastAsia" w:ascii="宋体" w:hAnsi="宋体" w:eastAsia="宋体" w:cs="宋体"/>
                <w:b/>
                <w:color w:val="auto"/>
                <w:szCs w:val="21"/>
              </w:rPr>
            </w:pPr>
            <w:r>
              <w:rPr>
                <w:rFonts w:hint="eastAsia" w:ascii="宋体" w:hAnsi="宋体" w:eastAsia="宋体" w:cs="宋体"/>
                <w:b/>
                <w:color w:val="auto"/>
                <w:szCs w:val="21"/>
              </w:rPr>
              <w:t>2.交付成果</w:t>
            </w:r>
          </w:p>
          <w:p w14:paraId="57BCE7E0">
            <w:pPr>
              <w:ind w:firstLine="420"/>
              <w:rPr>
                <w:rFonts w:hint="eastAsia" w:ascii="宋体" w:hAnsi="宋体" w:eastAsia="宋体" w:cs="宋体"/>
                <w:color w:val="auto"/>
                <w:szCs w:val="21"/>
              </w:rPr>
            </w:pPr>
            <w:r>
              <w:rPr>
                <w:rFonts w:hint="eastAsia" w:ascii="宋体" w:hAnsi="宋体" w:eastAsia="宋体" w:cs="宋体"/>
                <w:color w:val="auto"/>
                <w:szCs w:val="21"/>
              </w:rPr>
              <w:t>（1）《课题调研报告》理论框架清晰完整，包含目录、摘要、引言、调研方法、调研结果、数据分析、结论与建议、附录等部分，能准确反应调研的主题和重点，内容完整、数据准确，论证严谨、语言规范，排版整齐美观。</w:t>
            </w:r>
          </w:p>
          <w:p w14:paraId="7A6F555A">
            <w:pPr>
              <w:ind w:firstLine="420"/>
              <w:rPr>
                <w:rFonts w:hint="eastAsia" w:ascii="宋体" w:hAnsi="宋体" w:eastAsia="宋体" w:cs="宋体"/>
                <w:color w:val="auto"/>
                <w:szCs w:val="21"/>
              </w:rPr>
            </w:pPr>
            <w:r>
              <w:rPr>
                <w:rFonts w:hint="eastAsia" w:ascii="宋体" w:hAnsi="宋体" w:eastAsia="宋体" w:cs="宋体"/>
                <w:color w:val="auto"/>
                <w:szCs w:val="21"/>
              </w:rPr>
              <w:t>（2）《课题研究报告》理论框架清晰完整，包含目录、摘要、引言、研究背景、研究方法、研究结果（含调研）、讨论与分析、结论、建议、建议执行情况、参考文献、附录等部分，理论与研究目的相吻合，重点突出。</w:t>
            </w:r>
          </w:p>
          <w:p w14:paraId="02C30CA1">
            <w:pPr>
              <w:ind w:firstLine="422"/>
              <w:rPr>
                <w:rFonts w:hint="eastAsia" w:ascii="宋体" w:hAnsi="宋体" w:eastAsia="宋体" w:cs="宋体"/>
                <w:b/>
                <w:color w:val="auto"/>
                <w:szCs w:val="21"/>
              </w:rPr>
            </w:pPr>
            <w:r>
              <w:rPr>
                <w:rFonts w:hint="eastAsia" w:ascii="宋体" w:hAnsi="宋体" w:eastAsia="宋体" w:cs="宋体"/>
                <w:b/>
                <w:color w:val="auto"/>
                <w:szCs w:val="21"/>
              </w:rPr>
              <w:t>3.知识产权</w:t>
            </w:r>
          </w:p>
          <w:p w14:paraId="2E7D811B">
            <w:pPr>
              <w:ind w:firstLine="420"/>
              <w:rPr>
                <w:rFonts w:hint="eastAsia" w:ascii="宋体" w:hAnsi="宋体" w:eastAsia="宋体" w:cs="宋体"/>
                <w:color w:val="auto"/>
                <w:szCs w:val="21"/>
              </w:rPr>
            </w:pPr>
            <w:r>
              <w:rPr>
                <w:rFonts w:hint="eastAsia" w:ascii="宋体" w:hAnsi="宋体" w:eastAsia="宋体" w:cs="宋体"/>
                <w:color w:val="auto"/>
                <w:szCs w:val="21"/>
              </w:rPr>
              <w:t>▲所有成果的知识产权属于采购人所有，由采购人相关单位具体使用及公开，成果完成第一单位署名为采购人，第一作者是采购人单位的教师。供应商须签署知识产权承诺书，确保项目实施过程中不侵犯任何第三方的知识产权。</w:t>
            </w:r>
          </w:p>
          <w:p w14:paraId="3BF51925">
            <w:pPr>
              <w:ind w:firstLine="422"/>
              <w:rPr>
                <w:rFonts w:hint="eastAsia" w:ascii="宋体" w:hAnsi="宋体" w:eastAsia="宋体" w:cs="宋体"/>
                <w:b/>
                <w:color w:val="auto"/>
                <w:szCs w:val="21"/>
              </w:rPr>
            </w:pPr>
            <w:r>
              <w:rPr>
                <w:rFonts w:hint="eastAsia" w:ascii="宋体" w:hAnsi="宋体" w:eastAsia="宋体" w:cs="宋体"/>
                <w:b/>
                <w:color w:val="auto"/>
                <w:szCs w:val="21"/>
              </w:rPr>
              <w:t>4.报告编写要求</w:t>
            </w:r>
          </w:p>
          <w:p w14:paraId="7DB7520E">
            <w:pPr>
              <w:ind w:firstLine="420"/>
              <w:rPr>
                <w:rFonts w:hint="eastAsia" w:ascii="宋体" w:hAnsi="宋体" w:eastAsia="宋体" w:cs="宋体"/>
                <w:color w:val="auto"/>
                <w:szCs w:val="21"/>
              </w:rPr>
            </w:pPr>
            <w:r>
              <w:rPr>
                <w:rFonts w:hint="eastAsia" w:ascii="宋体" w:hAnsi="宋体" w:eastAsia="宋体" w:cs="宋体"/>
                <w:color w:val="auto"/>
                <w:szCs w:val="21"/>
              </w:rPr>
              <w:t>（1）数据来源：各类数据须标明来源，数据来源具备权威性，如政府工作报告、政府官方网站数据、行业权威公开发展报告等，确保数据采样信息完整、采样周期合理、数据真实可信。</w:t>
            </w:r>
          </w:p>
          <w:p w14:paraId="6A3BFCF8">
            <w:pPr>
              <w:ind w:firstLine="420"/>
              <w:rPr>
                <w:rFonts w:hint="eastAsia" w:ascii="宋体" w:hAnsi="宋体" w:eastAsia="宋体" w:cs="宋体"/>
                <w:color w:val="auto"/>
                <w:szCs w:val="21"/>
              </w:rPr>
            </w:pPr>
            <w:r>
              <w:rPr>
                <w:rFonts w:hint="eastAsia" w:ascii="宋体" w:hAnsi="宋体" w:eastAsia="宋体" w:cs="宋体"/>
                <w:color w:val="auto"/>
                <w:szCs w:val="21"/>
              </w:rPr>
              <w:t>（2）分析方法：采用定量与定性相结合的分析方法，确保分析结果的准确性和科学性。</w:t>
            </w:r>
          </w:p>
          <w:p w14:paraId="3B372413">
            <w:pPr>
              <w:ind w:firstLine="420"/>
              <w:rPr>
                <w:rFonts w:hint="eastAsia" w:ascii="宋体" w:hAnsi="宋体" w:eastAsia="宋体" w:cs="宋体"/>
                <w:color w:val="auto"/>
                <w:szCs w:val="21"/>
              </w:rPr>
            </w:pPr>
            <w:r>
              <w:rPr>
                <w:rFonts w:hint="eastAsia" w:ascii="宋体" w:hAnsi="宋体" w:eastAsia="宋体" w:cs="宋体"/>
                <w:color w:val="auto"/>
                <w:szCs w:val="21"/>
              </w:rPr>
              <w:t>（3）图表展示：各项观点的论述图文并茂，图表数据详实，观点清晰，逻辑性强，论证有力。</w:t>
            </w:r>
          </w:p>
          <w:p w14:paraId="5E575B7E">
            <w:pPr>
              <w:ind w:firstLine="420"/>
              <w:rPr>
                <w:rFonts w:hint="eastAsia" w:ascii="宋体" w:hAnsi="宋体" w:eastAsia="宋体" w:cs="宋体"/>
                <w:color w:val="auto"/>
                <w:szCs w:val="21"/>
              </w:rPr>
            </w:pPr>
            <w:r>
              <w:rPr>
                <w:rFonts w:hint="eastAsia" w:ascii="宋体" w:hAnsi="宋体" w:eastAsia="宋体" w:cs="宋体"/>
                <w:color w:val="auto"/>
                <w:szCs w:val="21"/>
              </w:rPr>
              <w:t>（4）论证严谨：论证过程中注重逻辑性和条理性，确保报告内容的完整性和可信度。</w:t>
            </w:r>
          </w:p>
          <w:p w14:paraId="14DCFAB9">
            <w:pPr>
              <w:ind w:firstLine="420"/>
              <w:rPr>
                <w:rFonts w:hint="eastAsia" w:ascii="宋体" w:hAnsi="宋体" w:eastAsia="宋体" w:cs="宋体"/>
                <w:color w:val="auto"/>
                <w:sz w:val="21"/>
                <w:szCs w:val="21"/>
              </w:rPr>
            </w:pPr>
            <w:r>
              <w:rPr>
                <w:rFonts w:hint="eastAsia" w:ascii="宋体" w:hAnsi="宋体" w:eastAsia="宋体" w:cs="宋体"/>
                <w:color w:val="auto"/>
                <w:szCs w:val="21"/>
              </w:rPr>
              <w:t>（5）格式规范：符合学术规范，排版整洁，逻辑清晰，图表数据详实，图文并茂。</w:t>
            </w:r>
          </w:p>
        </w:tc>
        <w:tc>
          <w:tcPr>
            <w:tcW w:w="951" w:type="dxa"/>
            <w:vAlign w:val="center"/>
          </w:tcPr>
          <w:p w14:paraId="4B5E7708">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120</w:t>
            </w:r>
          </w:p>
        </w:tc>
      </w:tr>
      <w:tr w14:paraId="0135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0094" w:type="dxa"/>
            <w:gridSpan w:val="5"/>
            <w:vAlign w:val="center"/>
          </w:tcPr>
          <w:p w14:paraId="405548D1">
            <w:pPr>
              <w:ind w:firstLine="0" w:firstLineChars="0"/>
              <w:jc w:val="left"/>
              <w:rPr>
                <w:rFonts w:hint="eastAsia" w:ascii="宋体" w:hAnsi="宋体" w:eastAsia="宋体" w:cs="宋体"/>
                <w:color w:val="auto"/>
                <w:sz w:val="21"/>
                <w:szCs w:val="21"/>
              </w:rPr>
            </w:pPr>
            <w:r>
              <w:rPr>
                <w:rFonts w:hint="eastAsia" w:ascii="宋体" w:hAnsi="宋体" w:eastAsia="宋体" w:cs="宋体"/>
                <w:b/>
                <w:color w:val="auto"/>
                <w:szCs w:val="21"/>
              </w:rPr>
              <w:t>商务要求</w:t>
            </w:r>
          </w:p>
        </w:tc>
      </w:tr>
      <w:tr w14:paraId="3EA7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994" w:type="dxa"/>
            <w:gridSpan w:val="3"/>
            <w:vAlign w:val="center"/>
          </w:tcPr>
          <w:p w14:paraId="7DDB41F4">
            <w:pPr>
              <w:spacing w:line="380" w:lineRule="exact"/>
              <w:jc w:val="center"/>
              <w:rPr>
                <w:rFonts w:hint="eastAsia" w:ascii="宋体" w:hAnsi="宋体" w:eastAsia="宋体" w:cs="宋体"/>
                <w:color w:val="auto"/>
                <w:sz w:val="21"/>
                <w:szCs w:val="21"/>
              </w:rPr>
            </w:pPr>
            <w:r>
              <w:rPr>
                <w:rFonts w:hint="eastAsia" w:ascii="宋体" w:hAnsi="宋体" w:eastAsia="宋体" w:cs="宋体"/>
                <w:b w:val="0"/>
                <w:bCs w:val="0"/>
                <w:color w:val="auto"/>
                <w:szCs w:val="21"/>
              </w:rPr>
              <w:t>▲</w:t>
            </w:r>
            <w:r>
              <w:rPr>
                <w:rFonts w:hint="eastAsia" w:ascii="宋体" w:hAnsi="宋体" w:eastAsia="宋体" w:cs="宋体"/>
                <w:b w:val="0"/>
                <w:bCs w:val="0"/>
                <w:color w:val="auto"/>
                <w:sz w:val="21"/>
                <w:szCs w:val="21"/>
                <w:lang w:val="en-US" w:eastAsia="zh-CN"/>
              </w:rPr>
              <w:t>服务</w:t>
            </w:r>
            <w:r>
              <w:rPr>
                <w:rFonts w:hint="eastAsia" w:ascii="宋体" w:hAnsi="宋体" w:eastAsia="宋体" w:cs="宋体"/>
                <w:b w:val="0"/>
                <w:bCs w:val="0"/>
                <w:color w:val="auto"/>
                <w:sz w:val="21"/>
                <w:szCs w:val="21"/>
              </w:rPr>
              <w:t>时间及地点</w:t>
            </w:r>
          </w:p>
        </w:tc>
        <w:tc>
          <w:tcPr>
            <w:tcW w:w="8100" w:type="dxa"/>
            <w:gridSpan w:val="2"/>
            <w:vAlign w:val="center"/>
          </w:tcPr>
          <w:p w14:paraId="6FF3A6D5">
            <w:pPr>
              <w:spacing w:line="380" w:lineRule="exact"/>
              <w:rPr>
                <w:rFonts w:hint="eastAsia" w:ascii="宋体" w:hAnsi="宋体" w:eastAsia="宋体" w:cs="宋体"/>
                <w:color w:val="auto"/>
                <w:szCs w:val="21"/>
              </w:rPr>
            </w:pPr>
            <w:r>
              <w:rPr>
                <w:rFonts w:hint="eastAsia" w:ascii="宋体" w:hAnsi="宋体" w:eastAsia="宋体" w:cs="宋体"/>
                <w:color w:val="auto"/>
                <w:szCs w:val="21"/>
              </w:rPr>
              <w:t>1.服务时间：自签订合同之日起24个月</w:t>
            </w:r>
            <w:r>
              <w:rPr>
                <w:rFonts w:hint="eastAsia" w:ascii="宋体" w:hAnsi="宋体" w:eastAsia="宋体" w:cs="宋体"/>
                <w:color w:val="auto"/>
                <w:szCs w:val="21"/>
                <w:lang w:val="en-US" w:eastAsia="zh-CN"/>
              </w:rPr>
              <w:t>以</w:t>
            </w:r>
            <w:r>
              <w:rPr>
                <w:rFonts w:hint="eastAsia" w:ascii="宋体" w:hAnsi="宋体" w:eastAsia="宋体" w:cs="宋体"/>
                <w:color w:val="auto"/>
                <w:szCs w:val="21"/>
              </w:rPr>
              <w:t>内完成采购需求要求的所有内容并交付成果验收合格。</w:t>
            </w:r>
          </w:p>
          <w:p w14:paraId="6D071175">
            <w:pPr>
              <w:spacing w:line="380" w:lineRule="exact"/>
              <w:rPr>
                <w:rFonts w:hint="eastAsia" w:ascii="宋体" w:hAnsi="宋体" w:eastAsia="宋体" w:cs="宋体"/>
                <w:color w:val="auto"/>
                <w:sz w:val="21"/>
                <w:szCs w:val="21"/>
              </w:rPr>
            </w:pPr>
            <w:r>
              <w:rPr>
                <w:rFonts w:hint="eastAsia" w:ascii="宋体" w:hAnsi="宋体" w:eastAsia="宋体" w:cs="宋体"/>
                <w:color w:val="auto"/>
                <w:szCs w:val="21"/>
              </w:rPr>
              <w:t>2.服务地点：采购人指定地点。</w:t>
            </w:r>
          </w:p>
        </w:tc>
      </w:tr>
      <w:tr w14:paraId="3A6B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994" w:type="dxa"/>
            <w:gridSpan w:val="3"/>
            <w:vAlign w:val="center"/>
          </w:tcPr>
          <w:p w14:paraId="3832F4F4">
            <w:pPr>
              <w:spacing w:line="38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Cs w:val="21"/>
              </w:rPr>
              <w:t>▲</w:t>
            </w:r>
            <w:r>
              <w:rPr>
                <w:rFonts w:hint="eastAsia" w:ascii="宋体" w:hAnsi="宋体" w:eastAsia="宋体" w:cs="宋体"/>
                <w:color w:val="auto"/>
                <w:szCs w:val="21"/>
              </w:rPr>
              <w:t>付款条件</w:t>
            </w:r>
          </w:p>
        </w:tc>
        <w:tc>
          <w:tcPr>
            <w:tcW w:w="8100" w:type="dxa"/>
            <w:gridSpan w:val="2"/>
            <w:shd w:val="clear" w:color="auto" w:fill="auto"/>
            <w:vAlign w:val="center"/>
          </w:tcPr>
          <w:p w14:paraId="753D3819">
            <w:pPr>
              <w:spacing w:line="380" w:lineRule="exact"/>
              <w:rPr>
                <w:rFonts w:hint="eastAsia" w:ascii="宋体" w:hAnsi="宋体" w:eastAsia="宋体" w:cs="宋体"/>
                <w:color w:val="auto"/>
                <w:szCs w:val="21"/>
              </w:rPr>
            </w:pPr>
            <w:r>
              <w:rPr>
                <w:rFonts w:hint="eastAsia" w:ascii="宋体" w:hAnsi="宋体" w:eastAsia="宋体" w:cs="宋体"/>
                <w:color w:val="auto"/>
                <w:szCs w:val="21"/>
              </w:rPr>
              <w:t>1.在合同签订后7个工作日内，向成交方支付总合同额的</w:t>
            </w:r>
            <w:r>
              <w:rPr>
                <w:rFonts w:hint="eastAsia" w:ascii="宋体" w:hAnsi="宋体" w:cs="宋体"/>
                <w:color w:val="auto"/>
                <w:szCs w:val="21"/>
                <w:lang w:val="en-US" w:eastAsia="zh-CN"/>
              </w:rPr>
              <w:t>50</w:t>
            </w:r>
            <w:r>
              <w:rPr>
                <w:rFonts w:hint="eastAsia" w:ascii="宋体" w:hAnsi="宋体" w:eastAsia="宋体" w:cs="宋体"/>
                <w:color w:val="auto"/>
                <w:szCs w:val="21"/>
              </w:rPr>
              <w:t>%作为合同首期付款。</w:t>
            </w:r>
          </w:p>
          <w:p w14:paraId="59125A9F">
            <w:pPr>
              <w:spacing w:line="380" w:lineRule="exact"/>
              <w:rPr>
                <w:rFonts w:hint="eastAsia" w:ascii="宋体" w:hAnsi="宋体" w:eastAsia="宋体" w:cs="宋体"/>
                <w:color w:val="auto"/>
                <w:szCs w:val="21"/>
              </w:rPr>
            </w:pPr>
            <w:r>
              <w:rPr>
                <w:rFonts w:hint="eastAsia" w:ascii="宋体" w:hAnsi="宋体" w:eastAsia="宋体" w:cs="宋体"/>
                <w:color w:val="auto"/>
                <w:szCs w:val="21"/>
              </w:rPr>
              <w:t>2.在</w:t>
            </w:r>
            <w:r>
              <w:rPr>
                <w:rFonts w:hint="eastAsia" w:ascii="宋体" w:hAnsi="宋体" w:eastAsia="宋体" w:cs="宋体"/>
                <w:color w:val="auto"/>
                <w:szCs w:val="21"/>
                <w:lang w:val="en-US" w:eastAsia="zh-CN"/>
              </w:rPr>
              <w:t>本项目</w:t>
            </w:r>
            <w:r>
              <w:rPr>
                <w:rFonts w:hint="eastAsia" w:ascii="宋体" w:hAnsi="宋体" w:eastAsia="宋体" w:cs="宋体"/>
                <w:color w:val="auto"/>
                <w:szCs w:val="21"/>
              </w:rPr>
              <w:t>课题成果培育项目调研和培训完成后，采购方向成交方支付总合同额的</w:t>
            </w:r>
            <w:r>
              <w:rPr>
                <w:rFonts w:hint="eastAsia" w:ascii="宋体" w:hAnsi="宋体" w:cs="宋体"/>
                <w:color w:val="auto"/>
                <w:szCs w:val="21"/>
                <w:lang w:val="en-US" w:eastAsia="zh-CN"/>
              </w:rPr>
              <w:t>3</w:t>
            </w:r>
            <w:r>
              <w:rPr>
                <w:rFonts w:hint="eastAsia" w:ascii="宋体" w:hAnsi="宋体" w:eastAsia="宋体" w:cs="宋体"/>
                <w:color w:val="auto"/>
                <w:szCs w:val="21"/>
              </w:rPr>
              <w:t>0%款项。</w:t>
            </w:r>
          </w:p>
          <w:p w14:paraId="0F4CF68F">
            <w:pPr>
              <w:spacing w:line="380" w:lineRule="exact"/>
              <w:rPr>
                <w:rFonts w:hint="eastAsia" w:ascii="宋体" w:hAnsi="宋体" w:eastAsia="宋体" w:cs="宋体"/>
                <w:color w:val="auto"/>
                <w:szCs w:val="21"/>
              </w:rPr>
            </w:pPr>
            <w:r>
              <w:rPr>
                <w:rFonts w:hint="eastAsia" w:ascii="宋体" w:hAnsi="宋体" w:eastAsia="宋体" w:cs="宋体"/>
                <w:color w:val="auto"/>
                <w:szCs w:val="21"/>
              </w:rPr>
              <w:t>3.本项目全部成果交付并由采购方验收合格后，向成交方支付</w:t>
            </w:r>
            <w:r>
              <w:rPr>
                <w:rFonts w:hint="eastAsia" w:ascii="宋体" w:hAnsi="宋体" w:cs="宋体"/>
                <w:color w:val="auto"/>
                <w:szCs w:val="21"/>
                <w:lang w:val="en-US" w:eastAsia="zh-CN"/>
              </w:rPr>
              <w:t>2</w:t>
            </w:r>
            <w:r>
              <w:rPr>
                <w:rFonts w:hint="eastAsia" w:ascii="宋体" w:hAnsi="宋体" w:eastAsia="宋体" w:cs="宋体"/>
                <w:color w:val="auto"/>
                <w:szCs w:val="21"/>
              </w:rPr>
              <w:t>0%合同</w:t>
            </w:r>
            <w:r>
              <w:rPr>
                <w:rFonts w:hint="eastAsia" w:ascii="宋体" w:hAnsi="宋体" w:eastAsia="宋体" w:cs="宋体"/>
                <w:color w:val="auto"/>
                <w:szCs w:val="21"/>
                <w:lang w:val="en-US" w:eastAsia="zh-CN"/>
              </w:rPr>
              <w:t>尾</w:t>
            </w:r>
            <w:r>
              <w:rPr>
                <w:rFonts w:hint="eastAsia" w:ascii="宋体" w:hAnsi="宋体" w:eastAsia="宋体" w:cs="宋体"/>
                <w:color w:val="auto"/>
                <w:szCs w:val="21"/>
              </w:rPr>
              <w:t>款。</w:t>
            </w:r>
          </w:p>
          <w:p w14:paraId="05E57E60">
            <w:pPr>
              <w:spacing w:line="38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4.若本项目未通过教育部纵向课题立项，成交方向采购方退回所有已支付费用。</w:t>
            </w:r>
          </w:p>
        </w:tc>
      </w:tr>
      <w:tr w14:paraId="2588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994" w:type="dxa"/>
            <w:gridSpan w:val="3"/>
            <w:vAlign w:val="center"/>
          </w:tcPr>
          <w:p w14:paraId="5FFCDB2D">
            <w:pPr>
              <w:spacing w:line="360" w:lineRule="auto"/>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w:t>
            </w:r>
            <w:r>
              <w:rPr>
                <w:rFonts w:hint="eastAsia" w:ascii="宋体" w:hAnsi="宋体" w:eastAsia="宋体" w:cs="宋体"/>
                <w:color w:val="auto"/>
                <w:szCs w:val="21"/>
              </w:rPr>
              <w:t>服务要求</w:t>
            </w:r>
          </w:p>
        </w:tc>
        <w:tc>
          <w:tcPr>
            <w:tcW w:w="8100" w:type="dxa"/>
            <w:gridSpan w:val="2"/>
            <w:vAlign w:val="center"/>
          </w:tcPr>
          <w:p w14:paraId="2AB07BAD">
            <w:pPr>
              <w:spacing w:line="440" w:lineRule="exact"/>
              <w:ind w:firstLine="437"/>
              <w:rPr>
                <w:rFonts w:hint="eastAsia" w:ascii="宋体" w:hAnsi="宋体" w:eastAsia="宋体" w:cs="宋体"/>
                <w:color w:val="auto"/>
                <w:szCs w:val="21"/>
              </w:rPr>
            </w:pPr>
            <w:r>
              <w:rPr>
                <w:rFonts w:hint="eastAsia" w:ascii="宋体" w:hAnsi="宋体" w:eastAsia="宋体" w:cs="宋体"/>
                <w:color w:val="auto"/>
                <w:szCs w:val="21"/>
              </w:rPr>
              <w:t>1、合同签订期：自成交通知书发出之日起25日内。</w:t>
            </w:r>
          </w:p>
          <w:p w14:paraId="72560F6D">
            <w:pPr>
              <w:spacing w:line="440" w:lineRule="exact"/>
              <w:ind w:firstLine="437" w:firstLineChars="0"/>
              <w:rPr>
                <w:rFonts w:hint="eastAsia" w:ascii="宋体" w:hAnsi="宋体" w:eastAsia="宋体" w:cs="宋体"/>
                <w:b w:val="0"/>
                <w:bCs w:val="0"/>
                <w:color w:val="auto"/>
                <w:sz w:val="21"/>
                <w:szCs w:val="21"/>
              </w:rPr>
            </w:pPr>
            <w:r>
              <w:rPr>
                <w:rFonts w:hint="eastAsia" w:ascii="宋体" w:hAnsi="宋体" w:eastAsia="宋体" w:cs="宋体"/>
                <w:color w:val="auto"/>
                <w:szCs w:val="21"/>
              </w:rPr>
              <w:t>2、质量标准：严格执行国家、自治区管理法律法规的规定，符合国家相关标准、行业标准规范。</w:t>
            </w:r>
          </w:p>
        </w:tc>
      </w:tr>
      <w:tr w14:paraId="28CE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94" w:type="dxa"/>
            <w:gridSpan w:val="3"/>
            <w:vAlign w:val="center"/>
          </w:tcPr>
          <w:p w14:paraId="29CB730D">
            <w:pPr>
              <w:spacing w:line="440" w:lineRule="exact"/>
              <w:ind w:firstLine="210" w:firstLineChars="100"/>
              <w:rPr>
                <w:rFonts w:hint="eastAsia" w:ascii="宋体" w:hAnsi="宋体" w:eastAsia="宋体" w:cs="宋体"/>
                <w:color w:val="auto"/>
                <w:szCs w:val="21"/>
              </w:rPr>
            </w:pPr>
            <w:r>
              <w:rPr>
                <w:rFonts w:hint="eastAsia" w:ascii="宋体" w:hAnsi="宋体" w:eastAsia="宋体" w:cs="宋体"/>
                <w:b w:val="0"/>
                <w:bCs w:val="0"/>
                <w:color w:val="auto"/>
                <w:szCs w:val="21"/>
              </w:rPr>
              <w:t>▲</w:t>
            </w:r>
            <w:r>
              <w:rPr>
                <w:rFonts w:hint="eastAsia" w:ascii="宋体" w:hAnsi="宋体" w:eastAsia="宋体" w:cs="宋体"/>
                <w:color w:val="auto"/>
                <w:szCs w:val="21"/>
                <w:lang w:val="en-US" w:eastAsia="zh-CN"/>
              </w:rPr>
              <w:t xml:space="preserve">售后服务要求 </w:t>
            </w:r>
          </w:p>
        </w:tc>
        <w:tc>
          <w:tcPr>
            <w:tcW w:w="8100" w:type="dxa"/>
            <w:gridSpan w:val="2"/>
            <w:vAlign w:val="center"/>
          </w:tcPr>
          <w:p w14:paraId="58A5A4E4">
            <w:pPr>
              <w:spacing w:line="440" w:lineRule="exact"/>
              <w:ind w:firstLine="437"/>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rPr>
              <w:t>售后服务期限：12个月。(自项目验收之日起算）</w:t>
            </w:r>
          </w:p>
          <w:p w14:paraId="07096866">
            <w:pPr>
              <w:spacing w:line="440" w:lineRule="exact"/>
              <w:ind w:firstLine="437"/>
              <w:rPr>
                <w:rFonts w:hint="eastAsia" w:ascii="宋体" w:hAnsi="宋体" w:eastAsia="宋体" w:cs="宋体"/>
                <w:color w:val="auto"/>
                <w:szCs w:val="21"/>
              </w:rPr>
            </w:pPr>
            <w:r>
              <w:rPr>
                <w:rFonts w:hint="eastAsia" w:ascii="宋体" w:hAnsi="宋体" w:eastAsia="宋体" w:cs="宋体"/>
                <w:color w:val="auto"/>
                <w:szCs w:val="21"/>
              </w:rPr>
              <w:t>2.报价是履行合同的最终价格，完成项目实施所需的所有费用，包含但不限于竞标服务的成本、技术服务、培训、指导费、税费等所有费用，采购人不再支付合同金额以外的任何费用。（采购需求另有约定的，从其约定。）</w:t>
            </w:r>
          </w:p>
          <w:p w14:paraId="3CC48F9C">
            <w:pPr>
              <w:spacing w:line="440" w:lineRule="exact"/>
              <w:ind w:firstLine="437"/>
              <w:rPr>
                <w:rFonts w:hint="eastAsia" w:ascii="宋体" w:hAnsi="宋体" w:eastAsia="宋体" w:cs="宋体"/>
                <w:color w:val="auto"/>
                <w:szCs w:val="21"/>
              </w:rPr>
            </w:pPr>
            <w:r>
              <w:rPr>
                <w:rFonts w:hint="eastAsia" w:ascii="宋体" w:hAnsi="宋体" w:eastAsia="宋体" w:cs="宋体"/>
                <w:color w:val="auto"/>
                <w:szCs w:val="21"/>
              </w:rPr>
              <w:t>3.本项目报价采取固定总价包干形式，不得高于预算金额。</w:t>
            </w:r>
          </w:p>
          <w:p w14:paraId="10BAAF9F">
            <w:pPr>
              <w:spacing w:line="440" w:lineRule="exact"/>
              <w:ind w:firstLine="437"/>
              <w:rPr>
                <w:rFonts w:hint="eastAsia" w:ascii="宋体" w:hAnsi="宋体" w:eastAsia="宋体" w:cs="宋体"/>
                <w:color w:val="auto"/>
                <w:szCs w:val="21"/>
              </w:rPr>
            </w:pPr>
            <w:r>
              <w:rPr>
                <w:rFonts w:hint="eastAsia" w:ascii="宋体" w:hAnsi="宋体" w:eastAsia="宋体" w:cs="宋体"/>
                <w:color w:val="auto"/>
                <w:szCs w:val="21"/>
              </w:rPr>
              <w:t xml:space="preserve">4.咨询与解答： </w:t>
            </w:r>
          </w:p>
          <w:p w14:paraId="28324376">
            <w:pPr>
              <w:spacing w:line="440" w:lineRule="exact"/>
              <w:ind w:firstLine="437"/>
              <w:rPr>
                <w:rFonts w:hint="eastAsia" w:ascii="宋体" w:hAnsi="宋体" w:eastAsia="宋体" w:cs="宋体"/>
                <w:color w:val="auto"/>
                <w:szCs w:val="21"/>
              </w:rPr>
            </w:pPr>
            <w:r>
              <w:rPr>
                <w:rFonts w:hint="eastAsia" w:ascii="宋体" w:hAnsi="宋体" w:eastAsia="宋体" w:cs="宋体"/>
                <w:color w:val="auto"/>
                <w:szCs w:val="21"/>
              </w:rPr>
              <w:t xml:space="preserve">①为学校提供项目成果的咨询与支持服务，解答学校在使用过程中遇到的问题，指导学校正确使用项目成果。 </w:t>
            </w:r>
          </w:p>
          <w:p w14:paraId="31152451">
            <w:pPr>
              <w:spacing w:line="440" w:lineRule="exact"/>
              <w:ind w:firstLine="437"/>
              <w:rPr>
                <w:rFonts w:hint="eastAsia" w:ascii="宋体" w:hAnsi="宋体" w:eastAsia="宋体" w:cs="宋体"/>
                <w:color w:val="auto"/>
                <w:szCs w:val="21"/>
              </w:rPr>
            </w:pPr>
            <w:r>
              <w:rPr>
                <w:rFonts w:hint="eastAsia" w:ascii="宋体" w:hAnsi="宋体" w:eastAsia="宋体" w:cs="宋体"/>
                <w:color w:val="auto"/>
                <w:szCs w:val="21"/>
              </w:rPr>
              <w:t xml:space="preserve">②针对研究项目相关的理论、方法和技术等方面的问题，给予专业的解释和指导。 </w:t>
            </w:r>
          </w:p>
          <w:p w14:paraId="4BDC8FB3">
            <w:pPr>
              <w:spacing w:line="440" w:lineRule="exact"/>
              <w:ind w:firstLine="437"/>
              <w:rPr>
                <w:rFonts w:hint="eastAsia" w:ascii="宋体" w:hAnsi="宋体" w:eastAsia="宋体" w:cs="宋体"/>
                <w:color w:val="auto"/>
                <w:szCs w:val="21"/>
              </w:rPr>
            </w:pPr>
            <w:r>
              <w:rPr>
                <w:rFonts w:hint="eastAsia" w:ascii="宋体" w:hAnsi="宋体" w:eastAsia="宋体" w:cs="宋体"/>
                <w:color w:val="auto"/>
                <w:szCs w:val="21"/>
              </w:rPr>
              <w:t xml:space="preserve">5.售后服务内容： </w:t>
            </w:r>
          </w:p>
          <w:p w14:paraId="12008CC6">
            <w:pPr>
              <w:spacing w:line="440" w:lineRule="exact"/>
              <w:ind w:firstLine="437"/>
              <w:rPr>
                <w:rFonts w:hint="eastAsia" w:ascii="宋体" w:hAnsi="宋体" w:eastAsia="宋体" w:cs="宋体"/>
                <w:color w:val="auto"/>
                <w:szCs w:val="21"/>
              </w:rPr>
            </w:pPr>
            <w:r>
              <w:rPr>
                <w:rFonts w:hint="eastAsia" w:ascii="宋体" w:hAnsi="宋体" w:eastAsia="宋体" w:cs="宋体"/>
                <w:color w:val="auto"/>
                <w:szCs w:val="21"/>
              </w:rPr>
              <w:t xml:space="preserve">①根据学校的反馈和新的研究进展，对研究成果进行必要的更新和完善。 </w:t>
            </w:r>
          </w:p>
          <w:p w14:paraId="25D169E6">
            <w:pPr>
              <w:spacing w:line="440" w:lineRule="exact"/>
              <w:ind w:firstLine="437"/>
              <w:rPr>
                <w:rFonts w:hint="eastAsia" w:ascii="宋体" w:hAnsi="宋体" w:eastAsia="宋体" w:cs="宋体"/>
                <w:color w:val="auto"/>
                <w:szCs w:val="21"/>
              </w:rPr>
            </w:pPr>
            <w:r>
              <w:rPr>
                <w:rFonts w:hint="eastAsia" w:ascii="宋体" w:hAnsi="宋体" w:eastAsia="宋体" w:cs="宋体"/>
                <w:color w:val="auto"/>
                <w:szCs w:val="21"/>
              </w:rPr>
              <w:t xml:space="preserve">②持续跟踪相关领域的发展动态，及时为学校研究团队提供最新的信息和建议。 </w:t>
            </w:r>
          </w:p>
          <w:p w14:paraId="026E5786">
            <w:pPr>
              <w:spacing w:line="440" w:lineRule="exact"/>
              <w:ind w:firstLine="437"/>
              <w:rPr>
                <w:rFonts w:hint="eastAsia" w:ascii="宋体" w:hAnsi="宋体" w:eastAsia="宋体" w:cs="宋体"/>
                <w:color w:val="auto"/>
                <w:szCs w:val="21"/>
              </w:rPr>
            </w:pPr>
            <w:r>
              <w:rPr>
                <w:rFonts w:hint="eastAsia" w:ascii="宋体" w:hAnsi="宋体" w:eastAsia="宋体" w:cs="宋体"/>
                <w:color w:val="auto"/>
                <w:szCs w:val="21"/>
              </w:rPr>
              <w:t xml:space="preserve">③针对学校提出的项目咨询在2小时内做出响应，给予专业的解答意见。 </w:t>
            </w:r>
          </w:p>
          <w:p w14:paraId="605E0D93">
            <w:pPr>
              <w:spacing w:line="440" w:lineRule="exact"/>
              <w:ind w:firstLine="437"/>
              <w:rPr>
                <w:rFonts w:hint="eastAsia" w:ascii="宋体" w:hAnsi="宋体" w:eastAsia="宋体" w:cs="宋体"/>
                <w:color w:val="auto"/>
                <w:szCs w:val="21"/>
              </w:rPr>
            </w:pPr>
            <w:r>
              <w:rPr>
                <w:rFonts w:hint="eastAsia" w:ascii="宋体" w:hAnsi="宋体" w:eastAsia="宋体" w:cs="宋体"/>
                <w:color w:val="auto"/>
                <w:szCs w:val="21"/>
              </w:rPr>
              <w:t>④根据学校课题项目的提出的修改需求，提供修改服务保障项目成果的稳定运行。</w:t>
            </w:r>
          </w:p>
        </w:tc>
      </w:tr>
      <w:tr w14:paraId="1D62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1994" w:type="dxa"/>
            <w:gridSpan w:val="3"/>
            <w:vAlign w:val="center"/>
          </w:tcPr>
          <w:p w14:paraId="78259C53">
            <w:pPr>
              <w:spacing w:line="440" w:lineRule="exact"/>
              <w:ind w:firstLine="437"/>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其他要求</w:t>
            </w:r>
          </w:p>
        </w:tc>
        <w:tc>
          <w:tcPr>
            <w:tcW w:w="8100" w:type="dxa"/>
            <w:gridSpan w:val="2"/>
            <w:vAlign w:val="center"/>
          </w:tcPr>
          <w:p w14:paraId="55FC2928">
            <w:pPr>
              <w:spacing w:line="440" w:lineRule="exact"/>
              <w:ind w:firstLine="437"/>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1.成交人负责为学校提供国家级课题培育成果建设项目提供选题申报与指导。 </w:t>
            </w:r>
          </w:p>
          <w:p w14:paraId="5B9F90BC">
            <w:pPr>
              <w:spacing w:line="440" w:lineRule="exact"/>
              <w:ind w:firstLine="437"/>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2.成交人负责安排专家为课题立项论证提供具体的建议和指导。 </w:t>
            </w:r>
          </w:p>
          <w:p w14:paraId="727CA217">
            <w:pPr>
              <w:spacing w:line="440" w:lineRule="exact"/>
              <w:ind w:firstLine="437"/>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3.成交人负责安排工作人员制定问卷内容，进行项目数据调研分析，资料整理，并撰写调研报告。 </w:t>
            </w:r>
          </w:p>
          <w:p w14:paraId="40705E52">
            <w:pPr>
              <w:spacing w:line="440" w:lineRule="exact"/>
              <w:ind w:firstLine="437"/>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4.成交人负责邀请专家为教师提供项目培训服务。 </w:t>
            </w:r>
          </w:p>
          <w:p w14:paraId="1122F26A">
            <w:pPr>
              <w:spacing w:line="440" w:lineRule="exact"/>
              <w:ind w:firstLine="437"/>
              <w:rPr>
                <w:rFonts w:hint="eastAsia" w:ascii="宋体" w:hAnsi="宋体" w:eastAsia="宋体" w:cs="宋体"/>
                <w:color w:val="auto"/>
                <w:szCs w:val="21"/>
              </w:rPr>
            </w:pPr>
            <w:r>
              <w:rPr>
                <w:rFonts w:hint="eastAsia" w:ascii="宋体" w:hAnsi="宋体" w:eastAsia="宋体" w:cs="宋体"/>
                <w:color w:val="auto"/>
                <w:szCs w:val="21"/>
                <w:lang w:val="en-US" w:eastAsia="zh-CN"/>
              </w:rPr>
              <w:t>5.成交人负责根据项目的研究目标、方法和结果并借鉴相关理论总结研究的结论和成果，撰写详尽的研究报告。</w:t>
            </w:r>
          </w:p>
        </w:tc>
      </w:tr>
    </w:tbl>
    <w:p w14:paraId="21948D1E">
      <w:pPr>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38CAF4D">
      <w:pPr>
        <w:spacing w:line="360" w:lineRule="auto"/>
        <w:rPr>
          <w:rFonts w:hint="eastAsia" w:ascii="宋体" w:hAnsi="宋体" w:eastAsia="宋体" w:cs="宋体"/>
          <w:b/>
          <w:bCs/>
          <w:color w:val="auto"/>
          <w:sz w:val="24"/>
          <w:highlight w:val="none"/>
        </w:rPr>
      </w:pPr>
      <w:bookmarkStart w:id="38" w:name="_Toc17369"/>
      <w:r>
        <w:rPr>
          <w:rFonts w:hint="eastAsia" w:ascii="宋体" w:hAnsi="宋体" w:eastAsia="宋体" w:cs="宋体"/>
          <w:b/>
          <w:bCs/>
          <w:color w:val="auto"/>
          <w:sz w:val="24"/>
          <w:highlight w:val="none"/>
        </w:rPr>
        <w:t>附</w:t>
      </w:r>
      <w:bookmarkEnd w:id="38"/>
      <w:r>
        <w:rPr>
          <w:rFonts w:hint="eastAsia" w:ascii="宋体" w:hAnsi="宋体" w:eastAsia="宋体" w:cs="宋体"/>
          <w:b/>
          <w:bCs/>
          <w:color w:val="auto"/>
          <w:sz w:val="24"/>
          <w:highlight w:val="none"/>
        </w:rPr>
        <w:t>件1：</w:t>
      </w:r>
    </w:p>
    <w:p w14:paraId="10BF45B7">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中小微企业划型标准</w:t>
      </w:r>
    </w:p>
    <w:tbl>
      <w:tblPr>
        <w:tblStyle w:val="40"/>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1433B947">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6BF4F5F">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67D545E6">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6A4D93EE">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2429EA23">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中型</w:t>
            </w:r>
          </w:p>
        </w:tc>
        <w:tc>
          <w:tcPr>
            <w:tcW w:w="1701" w:type="dxa"/>
            <w:tcBorders>
              <w:top w:val="single" w:color="auto" w:sz="4" w:space="0"/>
              <w:left w:val="nil"/>
              <w:bottom w:val="single" w:color="auto" w:sz="4" w:space="0"/>
              <w:right w:val="single" w:color="auto" w:sz="4" w:space="0"/>
            </w:tcBorders>
            <w:vAlign w:val="center"/>
          </w:tcPr>
          <w:p w14:paraId="2D6AF074">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小型</w:t>
            </w:r>
          </w:p>
        </w:tc>
        <w:tc>
          <w:tcPr>
            <w:tcW w:w="1134" w:type="dxa"/>
            <w:tcBorders>
              <w:top w:val="single" w:color="auto" w:sz="4" w:space="0"/>
              <w:left w:val="nil"/>
              <w:bottom w:val="single" w:color="auto" w:sz="4" w:space="0"/>
              <w:right w:val="single" w:color="auto" w:sz="4" w:space="0"/>
            </w:tcBorders>
            <w:vAlign w:val="center"/>
          </w:tcPr>
          <w:p w14:paraId="2A04A157">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微型</w:t>
            </w:r>
          </w:p>
        </w:tc>
      </w:tr>
      <w:tr w14:paraId="2CB3727D">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13A826AA">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农、林、牧、渔</w:t>
            </w:r>
          </w:p>
        </w:tc>
        <w:tc>
          <w:tcPr>
            <w:tcW w:w="1984" w:type="dxa"/>
            <w:tcBorders>
              <w:top w:val="nil"/>
              <w:left w:val="nil"/>
              <w:bottom w:val="single" w:color="auto" w:sz="4" w:space="0"/>
              <w:right w:val="single" w:color="auto" w:sz="4" w:space="0"/>
            </w:tcBorders>
            <w:vAlign w:val="center"/>
          </w:tcPr>
          <w:p w14:paraId="439909E0">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5D7ED22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337733BA">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701" w:type="dxa"/>
            <w:tcBorders>
              <w:top w:val="nil"/>
              <w:left w:val="nil"/>
              <w:bottom w:val="single" w:color="auto" w:sz="4" w:space="0"/>
              <w:right w:val="single" w:color="auto" w:sz="4" w:space="0"/>
            </w:tcBorders>
            <w:vAlign w:val="center"/>
          </w:tcPr>
          <w:p w14:paraId="6B29E56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50≤Y＜500</w:t>
            </w:r>
          </w:p>
        </w:tc>
        <w:tc>
          <w:tcPr>
            <w:tcW w:w="1134" w:type="dxa"/>
            <w:tcBorders>
              <w:top w:val="nil"/>
              <w:left w:val="nil"/>
              <w:bottom w:val="single" w:color="auto" w:sz="4" w:space="0"/>
              <w:right w:val="single" w:color="auto" w:sz="4" w:space="0"/>
            </w:tcBorders>
            <w:vAlign w:val="center"/>
          </w:tcPr>
          <w:p w14:paraId="728350B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2F96118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320AF28">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工业</w:t>
            </w:r>
          </w:p>
        </w:tc>
        <w:tc>
          <w:tcPr>
            <w:tcW w:w="1984" w:type="dxa"/>
            <w:tcBorders>
              <w:top w:val="nil"/>
              <w:left w:val="nil"/>
              <w:bottom w:val="single" w:color="auto" w:sz="4" w:space="0"/>
              <w:right w:val="single" w:color="auto" w:sz="4" w:space="0"/>
            </w:tcBorders>
            <w:vAlign w:val="center"/>
          </w:tcPr>
          <w:p w14:paraId="58B9EEA5">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24271803">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723394F8">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701" w:type="dxa"/>
            <w:tcBorders>
              <w:top w:val="nil"/>
              <w:left w:val="nil"/>
              <w:bottom w:val="single" w:color="auto" w:sz="4" w:space="0"/>
              <w:right w:val="single" w:color="auto" w:sz="4" w:space="0"/>
            </w:tcBorders>
            <w:vAlign w:val="center"/>
          </w:tcPr>
          <w:p w14:paraId="5918937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1134" w:type="dxa"/>
            <w:tcBorders>
              <w:top w:val="nil"/>
              <w:left w:val="nil"/>
              <w:bottom w:val="single" w:color="auto" w:sz="4" w:space="0"/>
              <w:right w:val="single" w:color="auto" w:sz="4" w:space="0"/>
            </w:tcBorders>
            <w:vAlign w:val="center"/>
          </w:tcPr>
          <w:p w14:paraId="051FA52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224CF60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6DA128F">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7C0BB047">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7E0FE84D">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6E3BD944">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2000≤Y＜40000</w:t>
            </w:r>
          </w:p>
        </w:tc>
        <w:tc>
          <w:tcPr>
            <w:tcW w:w="1701" w:type="dxa"/>
            <w:tcBorders>
              <w:top w:val="nil"/>
              <w:left w:val="nil"/>
              <w:bottom w:val="single" w:color="auto" w:sz="4" w:space="0"/>
              <w:right w:val="single" w:color="auto" w:sz="4" w:space="0"/>
            </w:tcBorders>
            <w:vAlign w:val="center"/>
          </w:tcPr>
          <w:p w14:paraId="7365FCC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300≤Y＜2000</w:t>
            </w:r>
          </w:p>
        </w:tc>
        <w:tc>
          <w:tcPr>
            <w:tcW w:w="1134" w:type="dxa"/>
            <w:tcBorders>
              <w:top w:val="nil"/>
              <w:left w:val="nil"/>
              <w:bottom w:val="single" w:color="auto" w:sz="4" w:space="0"/>
              <w:right w:val="single" w:color="auto" w:sz="4" w:space="0"/>
            </w:tcBorders>
            <w:vAlign w:val="center"/>
          </w:tcPr>
          <w:p w14:paraId="66BBD680">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7AC17DE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0739288">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建筑业</w:t>
            </w:r>
          </w:p>
        </w:tc>
        <w:tc>
          <w:tcPr>
            <w:tcW w:w="1984" w:type="dxa"/>
            <w:tcBorders>
              <w:top w:val="nil"/>
              <w:left w:val="nil"/>
              <w:bottom w:val="single" w:color="auto" w:sz="4" w:space="0"/>
              <w:right w:val="single" w:color="auto" w:sz="4" w:space="0"/>
            </w:tcBorders>
            <w:vAlign w:val="center"/>
          </w:tcPr>
          <w:p w14:paraId="707FED0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31765BD2">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2F07CB3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6000≤Y＜80000</w:t>
            </w:r>
          </w:p>
        </w:tc>
        <w:tc>
          <w:tcPr>
            <w:tcW w:w="1701" w:type="dxa"/>
            <w:tcBorders>
              <w:top w:val="nil"/>
              <w:left w:val="nil"/>
              <w:bottom w:val="single" w:color="auto" w:sz="4" w:space="0"/>
              <w:right w:val="single" w:color="auto" w:sz="4" w:space="0"/>
            </w:tcBorders>
            <w:vAlign w:val="center"/>
          </w:tcPr>
          <w:p w14:paraId="7A069A85">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300≤Y＜6000</w:t>
            </w:r>
          </w:p>
        </w:tc>
        <w:tc>
          <w:tcPr>
            <w:tcW w:w="1134" w:type="dxa"/>
            <w:tcBorders>
              <w:top w:val="nil"/>
              <w:left w:val="nil"/>
              <w:bottom w:val="single" w:color="auto" w:sz="4" w:space="0"/>
              <w:right w:val="single" w:color="auto" w:sz="4" w:space="0"/>
            </w:tcBorders>
            <w:vAlign w:val="center"/>
          </w:tcPr>
          <w:p w14:paraId="158F993B">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4E2A9D3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D43B1A4">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5AEF454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59E1D240">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7F0A298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5000≤Z＜80000</w:t>
            </w:r>
          </w:p>
        </w:tc>
        <w:tc>
          <w:tcPr>
            <w:tcW w:w="1701" w:type="dxa"/>
            <w:tcBorders>
              <w:top w:val="nil"/>
              <w:left w:val="nil"/>
              <w:bottom w:val="single" w:color="auto" w:sz="4" w:space="0"/>
              <w:right w:val="single" w:color="auto" w:sz="4" w:space="0"/>
            </w:tcBorders>
            <w:vAlign w:val="center"/>
          </w:tcPr>
          <w:p w14:paraId="1AC13EF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300≤Z＜5000</w:t>
            </w:r>
          </w:p>
        </w:tc>
        <w:tc>
          <w:tcPr>
            <w:tcW w:w="1134" w:type="dxa"/>
            <w:tcBorders>
              <w:top w:val="nil"/>
              <w:left w:val="nil"/>
              <w:bottom w:val="single" w:color="auto" w:sz="4" w:space="0"/>
              <w:right w:val="single" w:color="auto" w:sz="4" w:space="0"/>
            </w:tcBorders>
            <w:vAlign w:val="center"/>
          </w:tcPr>
          <w:p w14:paraId="52CE9AE2">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Z＜300</w:t>
            </w:r>
          </w:p>
        </w:tc>
      </w:tr>
      <w:tr w14:paraId="52C4892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358561D">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批发业</w:t>
            </w:r>
          </w:p>
        </w:tc>
        <w:tc>
          <w:tcPr>
            <w:tcW w:w="1984" w:type="dxa"/>
            <w:tcBorders>
              <w:top w:val="nil"/>
              <w:left w:val="nil"/>
              <w:bottom w:val="single" w:color="auto" w:sz="4" w:space="0"/>
              <w:right w:val="single" w:color="auto" w:sz="4" w:space="0"/>
            </w:tcBorders>
            <w:vAlign w:val="center"/>
          </w:tcPr>
          <w:p w14:paraId="0339FDD8">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66C4807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5A867BEB">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20≤X＜200</w:t>
            </w:r>
          </w:p>
        </w:tc>
        <w:tc>
          <w:tcPr>
            <w:tcW w:w="1701" w:type="dxa"/>
            <w:tcBorders>
              <w:top w:val="nil"/>
              <w:left w:val="nil"/>
              <w:bottom w:val="single" w:color="auto" w:sz="4" w:space="0"/>
              <w:right w:val="single" w:color="auto" w:sz="4" w:space="0"/>
            </w:tcBorders>
            <w:vAlign w:val="center"/>
          </w:tcPr>
          <w:p w14:paraId="5C8A337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5≤X＜20</w:t>
            </w:r>
          </w:p>
        </w:tc>
        <w:tc>
          <w:tcPr>
            <w:tcW w:w="1134" w:type="dxa"/>
            <w:tcBorders>
              <w:top w:val="nil"/>
              <w:left w:val="nil"/>
              <w:bottom w:val="single" w:color="auto" w:sz="4" w:space="0"/>
              <w:right w:val="single" w:color="auto" w:sz="4" w:space="0"/>
            </w:tcBorders>
            <w:vAlign w:val="center"/>
          </w:tcPr>
          <w:p w14:paraId="78CFF78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X＜5</w:t>
            </w:r>
          </w:p>
        </w:tc>
      </w:tr>
      <w:tr w14:paraId="6C8C293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5A65182">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7ED2671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6FEEA665">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3E61FBA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5000≤Y＜40000</w:t>
            </w:r>
          </w:p>
        </w:tc>
        <w:tc>
          <w:tcPr>
            <w:tcW w:w="1701" w:type="dxa"/>
            <w:tcBorders>
              <w:top w:val="nil"/>
              <w:left w:val="nil"/>
              <w:bottom w:val="single" w:color="auto" w:sz="4" w:space="0"/>
              <w:right w:val="single" w:color="auto" w:sz="4" w:space="0"/>
            </w:tcBorders>
            <w:vAlign w:val="center"/>
          </w:tcPr>
          <w:p w14:paraId="0F3AEE7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1134" w:type="dxa"/>
            <w:tcBorders>
              <w:top w:val="nil"/>
              <w:left w:val="nil"/>
              <w:bottom w:val="single" w:color="auto" w:sz="4" w:space="0"/>
              <w:right w:val="single" w:color="auto" w:sz="4" w:space="0"/>
            </w:tcBorders>
            <w:vAlign w:val="center"/>
          </w:tcPr>
          <w:p w14:paraId="01E2D258">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Y＜1000</w:t>
            </w:r>
          </w:p>
        </w:tc>
      </w:tr>
      <w:tr w14:paraId="4334113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060D7F0">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零售业</w:t>
            </w:r>
          </w:p>
        </w:tc>
        <w:tc>
          <w:tcPr>
            <w:tcW w:w="1984" w:type="dxa"/>
            <w:tcBorders>
              <w:top w:val="nil"/>
              <w:left w:val="nil"/>
              <w:bottom w:val="single" w:color="auto" w:sz="4" w:space="0"/>
              <w:right w:val="single" w:color="auto" w:sz="4" w:space="0"/>
            </w:tcBorders>
            <w:vAlign w:val="center"/>
          </w:tcPr>
          <w:p w14:paraId="48F9CAD8">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5A796D11">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46905613">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50≤X＜300</w:t>
            </w:r>
          </w:p>
        </w:tc>
        <w:tc>
          <w:tcPr>
            <w:tcW w:w="1701" w:type="dxa"/>
            <w:tcBorders>
              <w:top w:val="nil"/>
              <w:left w:val="nil"/>
              <w:bottom w:val="single" w:color="auto" w:sz="4" w:space="0"/>
              <w:right w:val="single" w:color="auto" w:sz="4" w:space="0"/>
            </w:tcBorders>
            <w:vAlign w:val="center"/>
          </w:tcPr>
          <w:p w14:paraId="1DF03F34">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10≤X＜50</w:t>
            </w:r>
          </w:p>
        </w:tc>
        <w:tc>
          <w:tcPr>
            <w:tcW w:w="1134" w:type="dxa"/>
            <w:tcBorders>
              <w:top w:val="nil"/>
              <w:left w:val="nil"/>
              <w:bottom w:val="single" w:color="auto" w:sz="4" w:space="0"/>
              <w:right w:val="single" w:color="auto" w:sz="4" w:space="0"/>
            </w:tcBorders>
            <w:vAlign w:val="center"/>
          </w:tcPr>
          <w:p w14:paraId="64B337F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6FA835F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E76BD29">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7F4BA81B">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488ECDE5">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27214D9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701" w:type="dxa"/>
            <w:tcBorders>
              <w:top w:val="nil"/>
              <w:left w:val="nil"/>
              <w:bottom w:val="single" w:color="auto" w:sz="4" w:space="0"/>
              <w:right w:val="single" w:color="auto" w:sz="4" w:space="0"/>
            </w:tcBorders>
            <w:vAlign w:val="center"/>
          </w:tcPr>
          <w:p w14:paraId="38810640">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100≤Y＜500</w:t>
            </w:r>
          </w:p>
        </w:tc>
        <w:tc>
          <w:tcPr>
            <w:tcW w:w="1134" w:type="dxa"/>
            <w:tcBorders>
              <w:top w:val="nil"/>
              <w:left w:val="nil"/>
              <w:bottom w:val="single" w:color="auto" w:sz="4" w:space="0"/>
              <w:right w:val="single" w:color="auto" w:sz="4" w:space="0"/>
            </w:tcBorders>
            <w:vAlign w:val="center"/>
          </w:tcPr>
          <w:p w14:paraId="0C301C3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5F26D02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390223F">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交通运输业</w:t>
            </w:r>
          </w:p>
        </w:tc>
        <w:tc>
          <w:tcPr>
            <w:tcW w:w="1984" w:type="dxa"/>
            <w:tcBorders>
              <w:top w:val="nil"/>
              <w:left w:val="nil"/>
              <w:bottom w:val="single" w:color="auto" w:sz="4" w:space="0"/>
              <w:right w:val="single" w:color="auto" w:sz="4" w:space="0"/>
            </w:tcBorders>
            <w:vAlign w:val="center"/>
          </w:tcPr>
          <w:p w14:paraId="08F6137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A4BFA90">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0C8F2D0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701" w:type="dxa"/>
            <w:tcBorders>
              <w:top w:val="nil"/>
              <w:left w:val="nil"/>
              <w:bottom w:val="single" w:color="auto" w:sz="4" w:space="0"/>
              <w:right w:val="single" w:color="auto" w:sz="4" w:space="0"/>
            </w:tcBorders>
            <w:vAlign w:val="center"/>
          </w:tcPr>
          <w:p w14:paraId="7F075F8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1134" w:type="dxa"/>
            <w:tcBorders>
              <w:top w:val="nil"/>
              <w:left w:val="nil"/>
              <w:bottom w:val="single" w:color="auto" w:sz="4" w:space="0"/>
              <w:right w:val="single" w:color="auto" w:sz="4" w:space="0"/>
            </w:tcBorders>
            <w:vAlign w:val="center"/>
          </w:tcPr>
          <w:p w14:paraId="04138AE1">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66FDADA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2FC57E2">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489CEC5A">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10357FAB">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2556875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3000≤Y＜30000</w:t>
            </w:r>
          </w:p>
        </w:tc>
        <w:tc>
          <w:tcPr>
            <w:tcW w:w="1701" w:type="dxa"/>
            <w:tcBorders>
              <w:top w:val="nil"/>
              <w:left w:val="nil"/>
              <w:bottom w:val="single" w:color="auto" w:sz="4" w:space="0"/>
              <w:right w:val="single" w:color="auto" w:sz="4" w:space="0"/>
            </w:tcBorders>
            <w:vAlign w:val="center"/>
          </w:tcPr>
          <w:p w14:paraId="43BCFA7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200≤Y＜3000</w:t>
            </w:r>
          </w:p>
        </w:tc>
        <w:tc>
          <w:tcPr>
            <w:tcW w:w="1134" w:type="dxa"/>
            <w:tcBorders>
              <w:top w:val="nil"/>
              <w:left w:val="nil"/>
              <w:bottom w:val="single" w:color="auto" w:sz="4" w:space="0"/>
              <w:right w:val="single" w:color="auto" w:sz="4" w:space="0"/>
            </w:tcBorders>
            <w:vAlign w:val="center"/>
          </w:tcPr>
          <w:p w14:paraId="7C003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Y＜200</w:t>
            </w:r>
          </w:p>
        </w:tc>
      </w:tr>
      <w:tr w14:paraId="35676FA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9A8F17E">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仓储业</w:t>
            </w:r>
          </w:p>
        </w:tc>
        <w:tc>
          <w:tcPr>
            <w:tcW w:w="1984" w:type="dxa"/>
            <w:tcBorders>
              <w:top w:val="nil"/>
              <w:left w:val="nil"/>
              <w:bottom w:val="single" w:color="auto" w:sz="4" w:space="0"/>
              <w:right w:val="single" w:color="auto" w:sz="4" w:space="0"/>
            </w:tcBorders>
            <w:vAlign w:val="center"/>
          </w:tcPr>
          <w:p w14:paraId="5904A310">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10787EF3">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406BA094">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w:t>
            </w:r>
          </w:p>
        </w:tc>
        <w:tc>
          <w:tcPr>
            <w:tcW w:w="1701" w:type="dxa"/>
            <w:tcBorders>
              <w:top w:val="nil"/>
              <w:left w:val="nil"/>
              <w:bottom w:val="single" w:color="auto" w:sz="4" w:space="0"/>
              <w:right w:val="single" w:color="auto" w:sz="4" w:space="0"/>
            </w:tcBorders>
            <w:vAlign w:val="center"/>
          </w:tcPr>
          <w:p w14:paraId="1F74699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20≤X＜100</w:t>
            </w:r>
          </w:p>
        </w:tc>
        <w:tc>
          <w:tcPr>
            <w:tcW w:w="1134" w:type="dxa"/>
            <w:tcBorders>
              <w:top w:val="nil"/>
              <w:left w:val="nil"/>
              <w:bottom w:val="single" w:color="auto" w:sz="4" w:space="0"/>
              <w:right w:val="single" w:color="auto" w:sz="4" w:space="0"/>
            </w:tcBorders>
            <w:vAlign w:val="center"/>
          </w:tcPr>
          <w:p w14:paraId="7D5B8E97">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3D51744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372068D">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1BF29464">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34C4FB97">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7B521D7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1000≤Y＜30000</w:t>
            </w:r>
          </w:p>
        </w:tc>
        <w:tc>
          <w:tcPr>
            <w:tcW w:w="1701" w:type="dxa"/>
            <w:tcBorders>
              <w:top w:val="nil"/>
              <w:left w:val="nil"/>
              <w:bottom w:val="single" w:color="auto" w:sz="4" w:space="0"/>
              <w:right w:val="single" w:color="auto" w:sz="4" w:space="0"/>
            </w:tcBorders>
            <w:vAlign w:val="center"/>
          </w:tcPr>
          <w:p w14:paraId="2EE0CF72">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1134" w:type="dxa"/>
            <w:tcBorders>
              <w:top w:val="nil"/>
              <w:left w:val="nil"/>
              <w:bottom w:val="single" w:color="auto" w:sz="4" w:space="0"/>
              <w:right w:val="single" w:color="auto" w:sz="4" w:space="0"/>
            </w:tcBorders>
            <w:vAlign w:val="center"/>
          </w:tcPr>
          <w:p w14:paraId="4469FEC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422D8BB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C6618F4">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邮政业</w:t>
            </w:r>
          </w:p>
        </w:tc>
        <w:tc>
          <w:tcPr>
            <w:tcW w:w="1984" w:type="dxa"/>
            <w:tcBorders>
              <w:top w:val="nil"/>
              <w:left w:val="nil"/>
              <w:bottom w:val="single" w:color="auto" w:sz="4" w:space="0"/>
              <w:right w:val="single" w:color="auto" w:sz="4" w:space="0"/>
            </w:tcBorders>
            <w:vAlign w:val="center"/>
          </w:tcPr>
          <w:p w14:paraId="72A84782">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5AF92894">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540C5BD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701" w:type="dxa"/>
            <w:tcBorders>
              <w:top w:val="nil"/>
              <w:left w:val="nil"/>
              <w:bottom w:val="single" w:color="auto" w:sz="4" w:space="0"/>
              <w:right w:val="single" w:color="auto" w:sz="4" w:space="0"/>
            </w:tcBorders>
            <w:vAlign w:val="center"/>
          </w:tcPr>
          <w:p w14:paraId="2DE47E4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1134" w:type="dxa"/>
            <w:tcBorders>
              <w:top w:val="nil"/>
              <w:left w:val="nil"/>
              <w:bottom w:val="single" w:color="auto" w:sz="4" w:space="0"/>
              <w:right w:val="single" w:color="auto" w:sz="4" w:space="0"/>
            </w:tcBorders>
            <w:vAlign w:val="center"/>
          </w:tcPr>
          <w:p w14:paraId="560995B3">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75EBB95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366883F">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1A9F8592">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1BB8F247">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5BE7B19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2000≤Y＜30000</w:t>
            </w:r>
          </w:p>
        </w:tc>
        <w:tc>
          <w:tcPr>
            <w:tcW w:w="1701" w:type="dxa"/>
            <w:tcBorders>
              <w:top w:val="nil"/>
              <w:left w:val="nil"/>
              <w:bottom w:val="single" w:color="auto" w:sz="4" w:space="0"/>
              <w:right w:val="single" w:color="auto" w:sz="4" w:space="0"/>
            </w:tcBorders>
            <w:vAlign w:val="center"/>
          </w:tcPr>
          <w:p w14:paraId="3924378A">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1134" w:type="dxa"/>
            <w:tcBorders>
              <w:top w:val="nil"/>
              <w:left w:val="nil"/>
              <w:bottom w:val="single" w:color="auto" w:sz="4" w:space="0"/>
              <w:right w:val="single" w:color="auto" w:sz="4" w:space="0"/>
            </w:tcBorders>
            <w:vAlign w:val="center"/>
          </w:tcPr>
          <w:p w14:paraId="58C17744">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19B6BD1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F8077C3">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住宿业</w:t>
            </w:r>
          </w:p>
        </w:tc>
        <w:tc>
          <w:tcPr>
            <w:tcW w:w="1984" w:type="dxa"/>
            <w:tcBorders>
              <w:top w:val="nil"/>
              <w:left w:val="nil"/>
              <w:bottom w:val="single" w:color="auto" w:sz="4" w:space="0"/>
              <w:right w:val="single" w:color="auto" w:sz="4" w:space="0"/>
            </w:tcBorders>
            <w:vAlign w:val="center"/>
          </w:tcPr>
          <w:p w14:paraId="521B3C43">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52E9580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28952E3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542CABE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1220D8C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2F941EC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5ACDA37">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10847627">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0F22A6E3">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6175C24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701" w:type="dxa"/>
            <w:tcBorders>
              <w:top w:val="nil"/>
              <w:left w:val="nil"/>
              <w:bottom w:val="single" w:color="auto" w:sz="4" w:space="0"/>
              <w:right w:val="single" w:color="auto" w:sz="4" w:space="0"/>
            </w:tcBorders>
            <w:vAlign w:val="center"/>
          </w:tcPr>
          <w:p w14:paraId="3C8FE1E2">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1134" w:type="dxa"/>
            <w:tcBorders>
              <w:top w:val="nil"/>
              <w:left w:val="nil"/>
              <w:bottom w:val="single" w:color="auto" w:sz="4" w:space="0"/>
              <w:right w:val="single" w:color="auto" w:sz="4" w:space="0"/>
            </w:tcBorders>
            <w:vAlign w:val="center"/>
          </w:tcPr>
          <w:p w14:paraId="49DA704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6BC900F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DD46A85">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餐饮业</w:t>
            </w:r>
          </w:p>
        </w:tc>
        <w:tc>
          <w:tcPr>
            <w:tcW w:w="1984" w:type="dxa"/>
            <w:tcBorders>
              <w:top w:val="nil"/>
              <w:left w:val="nil"/>
              <w:bottom w:val="single" w:color="auto" w:sz="4" w:space="0"/>
              <w:right w:val="single" w:color="auto" w:sz="4" w:space="0"/>
            </w:tcBorders>
            <w:vAlign w:val="center"/>
          </w:tcPr>
          <w:p w14:paraId="2D1BDCAA">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36D544B8">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46A43DC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7ECDAB68">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392732E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2C7EA8E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CF43890">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4665563D">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2AB3260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5D5715E1">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701" w:type="dxa"/>
            <w:tcBorders>
              <w:top w:val="nil"/>
              <w:left w:val="nil"/>
              <w:bottom w:val="single" w:color="auto" w:sz="4" w:space="0"/>
              <w:right w:val="single" w:color="auto" w:sz="4" w:space="0"/>
            </w:tcBorders>
            <w:vAlign w:val="center"/>
          </w:tcPr>
          <w:p w14:paraId="55651A8A">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1134" w:type="dxa"/>
            <w:tcBorders>
              <w:top w:val="nil"/>
              <w:left w:val="nil"/>
              <w:bottom w:val="single" w:color="auto" w:sz="4" w:space="0"/>
              <w:right w:val="single" w:color="auto" w:sz="4" w:space="0"/>
            </w:tcBorders>
            <w:vAlign w:val="center"/>
          </w:tcPr>
          <w:p w14:paraId="516E3D1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0F4E683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DE22B94">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信息传输业</w:t>
            </w:r>
          </w:p>
        </w:tc>
        <w:tc>
          <w:tcPr>
            <w:tcW w:w="1984" w:type="dxa"/>
            <w:tcBorders>
              <w:top w:val="nil"/>
              <w:left w:val="nil"/>
              <w:bottom w:val="single" w:color="auto" w:sz="4" w:space="0"/>
              <w:right w:val="single" w:color="auto" w:sz="4" w:space="0"/>
            </w:tcBorders>
            <w:vAlign w:val="center"/>
          </w:tcPr>
          <w:p w14:paraId="189898A1">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148D28BD">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6C828AD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100≤X＜2000</w:t>
            </w:r>
          </w:p>
        </w:tc>
        <w:tc>
          <w:tcPr>
            <w:tcW w:w="1701" w:type="dxa"/>
            <w:tcBorders>
              <w:top w:val="nil"/>
              <w:left w:val="nil"/>
              <w:bottom w:val="single" w:color="auto" w:sz="4" w:space="0"/>
              <w:right w:val="single" w:color="auto" w:sz="4" w:space="0"/>
            </w:tcBorders>
            <w:vAlign w:val="center"/>
          </w:tcPr>
          <w:p w14:paraId="13B6848D">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572C7DF7">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2F110BD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F7F6D5A">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03081ED0">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3B7DC1D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279FB2CD">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1000≤Y＜100000</w:t>
            </w:r>
          </w:p>
        </w:tc>
        <w:tc>
          <w:tcPr>
            <w:tcW w:w="1701" w:type="dxa"/>
            <w:tcBorders>
              <w:top w:val="nil"/>
              <w:left w:val="nil"/>
              <w:bottom w:val="single" w:color="auto" w:sz="4" w:space="0"/>
              <w:right w:val="single" w:color="auto" w:sz="4" w:space="0"/>
            </w:tcBorders>
            <w:vAlign w:val="center"/>
          </w:tcPr>
          <w:p w14:paraId="59499194">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1134" w:type="dxa"/>
            <w:tcBorders>
              <w:top w:val="nil"/>
              <w:left w:val="nil"/>
              <w:bottom w:val="single" w:color="auto" w:sz="4" w:space="0"/>
              <w:right w:val="single" w:color="auto" w:sz="4" w:space="0"/>
            </w:tcBorders>
            <w:vAlign w:val="center"/>
          </w:tcPr>
          <w:p w14:paraId="30A7737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7CB9300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52C0838">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软件和信息技术服务业</w:t>
            </w:r>
          </w:p>
        </w:tc>
        <w:tc>
          <w:tcPr>
            <w:tcW w:w="1984" w:type="dxa"/>
            <w:tcBorders>
              <w:top w:val="nil"/>
              <w:left w:val="nil"/>
              <w:bottom w:val="single" w:color="auto" w:sz="4" w:space="0"/>
              <w:right w:val="single" w:color="auto" w:sz="4" w:space="0"/>
            </w:tcBorders>
            <w:vAlign w:val="center"/>
          </w:tcPr>
          <w:p w14:paraId="50971C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521F231A">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2F1DB62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2726F531">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230919A4">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5C79F37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1F2214A">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5ED57608">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10AB32B2">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459E6FF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w:t>
            </w:r>
          </w:p>
        </w:tc>
        <w:tc>
          <w:tcPr>
            <w:tcW w:w="1701" w:type="dxa"/>
            <w:tcBorders>
              <w:top w:val="nil"/>
              <w:left w:val="nil"/>
              <w:bottom w:val="single" w:color="auto" w:sz="4" w:space="0"/>
              <w:right w:val="single" w:color="auto" w:sz="4" w:space="0"/>
            </w:tcBorders>
            <w:vAlign w:val="center"/>
          </w:tcPr>
          <w:p w14:paraId="7FBB496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50≤Y＜1000</w:t>
            </w:r>
          </w:p>
        </w:tc>
        <w:tc>
          <w:tcPr>
            <w:tcW w:w="1134" w:type="dxa"/>
            <w:tcBorders>
              <w:top w:val="nil"/>
              <w:left w:val="nil"/>
              <w:bottom w:val="single" w:color="auto" w:sz="4" w:space="0"/>
              <w:right w:val="single" w:color="auto" w:sz="4" w:space="0"/>
            </w:tcBorders>
            <w:vAlign w:val="center"/>
          </w:tcPr>
          <w:p w14:paraId="4CFB658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1778DA3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1DB882C">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房地产开发经营</w:t>
            </w:r>
          </w:p>
        </w:tc>
        <w:tc>
          <w:tcPr>
            <w:tcW w:w="1984" w:type="dxa"/>
            <w:tcBorders>
              <w:top w:val="nil"/>
              <w:left w:val="nil"/>
              <w:bottom w:val="single" w:color="auto" w:sz="4" w:space="0"/>
              <w:right w:val="single" w:color="auto" w:sz="4" w:space="0"/>
            </w:tcBorders>
            <w:vAlign w:val="center"/>
          </w:tcPr>
          <w:p w14:paraId="0ADA7BC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3B27A3E4">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1376E925">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1000≤Y＜200000</w:t>
            </w:r>
          </w:p>
        </w:tc>
        <w:tc>
          <w:tcPr>
            <w:tcW w:w="1701" w:type="dxa"/>
            <w:tcBorders>
              <w:top w:val="nil"/>
              <w:left w:val="nil"/>
              <w:bottom w:val="single" w:color="auto" w:sz="4" w:space="0"/>
              <w:right w:val="single" w:color="auto" w:sz="4" w:space="0"/>
            </w:tcBorders>
            <w:vAlign w:val="center"/>
          </w:tcPr>
          <w:p w14:paraId="36CAC368">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100≤X＜1000</w:t>
            </w:r>
          </w:p>
        </w:tc>
        <w:tc>
          <w:tcPr>
            <w:tcW w:w="1134" w:type="dxa"/>
            <w:tcBorders>
              <w:top w:val="nil"/>
              <w:left w:val="nil"/>
              <w:bottom w:val="single" w:color="auto" w:sz="4" w:space="0"/>
              <w:right w:val="single" w:color="auto" w:sz="4" w:space="0"/>
            </w:tcBorders>
            <w:vAlign w:val="center"/>
          </w:tcPr>
          <w:p w14:paraId="47B9E86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4A58AA1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8921C5B">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06D3AFF3">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01733E2B">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7C8F285D">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5000≤Z＜10000</w:t>
            </w:r>
          </w:p>
        </w:tc>
        <w:tc>
          <w:tcPr>
            <w:tcW w:w="1701" w:type="dxa"/>
            <w:tcBorders>
              <w:top w:val="nil"/>
              <w:left w:val="nil"/>
              <w:bottom w:val="single" w:color="auto" w:sz="4" w:space="0"/>
              <w:right w:val="single" w:color="auto" w:sz="4" w:space="0"/>
            </w:tcBorders>
            <w:vAlign w:val="center"/>
          </w:tcPr>
          <w:p w14:paraId="5200AAE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2000≤Y＜5000</w:t>
            </w:r>
          </w:p>
        </w:tc>
        <w:tc>
          <w:tcPr>
            <w:tcW w:w="1134" w:type="dxa"/>
            <w:tcBorders>
              <w:top w:val="nil"/>
              <w:left w:val="nil"/>
              <w:bottom w:val="single" w:color="auto" w:sz="4" w:space="0"/>
              <w:right w:val="single" w:color="auto" w:sz="4" w:space="0"/>
            </w:tcBorders>
            <w:vAlign w:val="center"/>
          </w:tcPr>
          <w:p w14:paraId="1D865DD7">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Y＜2000</w:t>
            </w:r>
          </w:p>
        </w:tc>
      </w:tr>
      <w:tr w14:paraId="4988117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F1F238C">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物业管理</w:t>
            </w:r>
          </w:p>
        </w:tc>
        <w:tc>
          <w:tcPr>
            <w:tcW w:w="1984" w:type="dxa"/>
            <w:tcBorders>
              <w:top w:val="nil"/>
              <w:left w:val="nil"/>
              <w:bottom w:val="single" w:color="auto" w:sz="4" w:space="0"/>
              <w:right w:val="single" w:color="auto" w:sz="4" w:space="0"/>
            </w:tcBorders>
            <w:vAlign w:val="center"/>
          </w:tcPr>
          <w:p w14:paraId="0DE58FC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5AE3459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7B98824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701" w:type="dxa"/>
            <w:tcBorders>
              <w:top w:val="nil"/>
              <w:left w:val="nil"/>
              <w:bottom w:val="single" w:color="auto" w:sz="4" w:space="0"/>
              <w:right w:val="single" w:color="auto" w:sz="4" w:space="0"/>
            </w:tcBorders>
            <w:vAlign w:val="center"/>
          </w:tcPr>
          <w:p w14:paraId="6294CFDB">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134" w:type="dxa"/>
            <w:tcBorders>
              <w:top w:val="nil"/>
              <w:left w:val="nil"/>
              <w:bottom w:val="single" w:color="auto" w:sz="4" w:space="0"/>
              <w:right w:val="single" w:color="auto" w:sz="4" w:space="0"/>
            </w:tcBorders>
            <w:vAlign w:val="center"/>
          </w:tcPr>
          <w:p w14:paraId="18A30D47">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1D52D66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1D57FC8">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388904E5">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1867B86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3632CC4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1701" w:type="dxa"/>
            <w:tcBorders>
              <w:top w:val="nil"/>
              <w:left w:val="nil"/>
              <w:bottom w:val="single" w:color="auto" w:sz="4" w:space="0"/>
              <w:right w:val="single" w:color="auto" w:sz="4" w:space="0"/>
            </w:tcBorders>
            <w:vAlign w:val="center"/>
          </w:tcPr>
          <w:p w14:paraId="6C38224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500≤Y＜1000</w:t>
            </w:r>
          </w:p>
        </w:tc>
        <w:tc>
          <w:tcPr>
            <w:tcW w:w="1134" w:type="dxa"/>
            <w:tcBorders>
              <w:top w:val="nil"/>
              <w:left w:val="nil"/>
              <w:bottom w:val="single" w:color="auto" w:sz="4" w:space="0"/>
              <w:right w:val="single" w:color="auto" w:sz="4" w:space="0"/>
            </w:tcBorders>
            <w:vAlign w:val="center"/>
          </w:tcPr>
          <w:p w14:paraId="4AACA5D0">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Y＜500</w:t>
            </w:r>
          </w:p>
        </w:tc>
      </w:tr>
      <w:tr w14:paraId="5843829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C3F57B9">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租赁和商务服务业</w:t>
            </w:r>
          </w:p>
        </w:tc>
        <w:tc>
          <w:tcPr>
            <w:tcW w:w="1984" w:type="dxa"/>
            <w:tcBorders>
              <w:top w:val="nil"/>
              <w:left w:val="nil"/>
              <w:bottom w:val="single" w:color="auto" w:sz="4" w:space="0"/>
              <w:right w:val="single" w:color="auto" w:sz="4" w:space="0"/>
            </w:tcBorders>
            <w:vAlign w:val="center"/>
          </w:tcPr>
          <w:p w14:paraId="2E22A40D">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147DD53B">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6AB1235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0FA6137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7FB2483B">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1C95616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22BBFD6">
            <w:pPr>
              <w:widowControl/>
              <w:spacing w:line="360" w:lineRule="auto"/>
              <w:jc w:val="left"/>
              <w:rPr>
                <w:rFonts w:hint="eastAsia" w:ascii="宋体" w:hAnsi="宋体" w:eastAsia="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67D0B94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7C260EF8">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7F678087">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8000≤Z＜120000</w:t>
            </w:r>
          </w:p>
        </w:tc>
        <w:tc>
          <w:tcPr>
            <w:tcW w:w="1701" w:type="dxa"/>
            <w:tcBorders>
              <w:top w:val="nil"/>
              <w:left w:val="nil"/>
              <w:bottom w:val="single" w:color="auto" w:sz="4" w:space="0"/>
              <w:right w:val="single" w:color="auto" w:sz="4" w:space="0"/>
            </w:tcBorders>
            <w:vAlign w:val="center"/>
          </w:tcPr>
          <w:p w14:paraId="218D2696">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100≤Z＜8000</w:t>
            </w:r>
          </w:p>
        </w:tc>
        <w:tc>
          <w:tcPr>
            <w:tcW w:w="1134" w:type="dxa"/>
            <w:tcBorders>
              <w:top w:val="nil"/>
              <w:left w:val="nil"/>
              <w:bottom w:val="single" w:color="auto" w:sz="4" w:space="0"/>
              <w:right w:val="single" w:color="auto" w:sz="4" w:space="0"/>
            </w:tcBorders>
            <w:vAlign w:val="center"/>
          </w:tcPr>
          <w:p w14:paraId="2ACF97F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14E2CF8A">
        <w:tblPrEx>
          <w:tblCellMar>
            <w:top w:w="0" w:type="dxa"/>
            <w:left w:w="108" w:type="dxa"/>
            <w:bottom w:w="0" w:type="dxa"/>
            <w:right w:w="108" w:type="dxa"/>
          </w:tblCellMar>
        </w:tblPrEx>
        <w:trPr>
          <w:trHeight w:val="412" w:hRule="atLeast"/>
          <w:jc w:val="center"/>
        </w:trPr>
        <w:tc>
          <w:tcPr>
            <w:tcW w:w="1985" w:type="dxa"/>
            <w:tcBorders>
              <w:top w:val="nil"/>
              <w:left w:val="single" w:color="auto" w:sz="4" w:space="0"/>
              <w:bottom w:val="single" w:color="auto" w:sz="4" w:space="0"/>
              <w:right w:val="single" w:color="auto" w:sz="4" w:space="0"/>
            </w:tcBorders>
            <w:vAlign w:val="bottom"/>
          </w:tcPr>
          <w:p w14:paraId="18F704E2">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其他未列明行业</w:t>
            </w:r>
          </w:p>
        </w:tc>
        <w:tc>
          <w:tcPr>
            <w:tcW w:w="1984" w:type="dxa"/>
            <w:tcBorders>
              <w:top w:val="nil"/>
              <w:left w:val="nil"/>
              <w:bottom w:val="single" w:color="auto" w:sz="4" w:space="0"/>
              <w:right w:val="single" w:color="auto" w:sz="4" w:space="0"/>
            </w:tcBorders>
            <w:vAlign w:val="center"/>
          </w:tcPr>
          <w:p w14:paraId="33DE5C80">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20464D7A">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489CAAD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1A594F53">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1AAFD660">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bl>
    <w:p w14:paraId="362BF2FC">
      <w:pPr>
        <w:snapToGrid w:val="0"/>
        <w:spacing w:line="360" w:lineRule="auto"/>
        <w:ind w:firstLine="420" w:firstLineChars="20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p>
    <w:p w14:paraId="769F6EB6">
      <w:pPr>
        <w:snapToGrid w:val="0"/>
        <w:spacing w:line="360" w:lineRule="auto"/>
        <w:ind w:firstLine="420" w:firstLineChars="20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1.大型、中型和小型企业须同时满足所列指标的下限，否则下划一档；微型企业</w:t>
      </w:r>
      <w:r>
        <w:rPr>
          <w:rFonts w:hint="eastAsia" w:ascii="宋体" w:hAnsi="宋体" w:eastAsia="宋体" w:cs="宋体"/>
          <w:color w:val="auto"/>
          <w:kern w:val="0"/>
          <w:szCs w:val="21"/>
          <w:highlight w:val="none"/>
          <w:lang w:eastAsia="zh-CN"/>
        </w:rPr>
        <w:t>只需</w:t>
      </w:r>
      <w:r>
        <w:rPr>
          <w:rFonts w:hint="eastAsia" w:ascii="宋体" w:hAnsi="宋体" w:eastAsia="宋体" w:cs="宋体"/>
          <w:color w:val="auto"/>
          <w:kern w:val="0"/>
          <w:szCs w:val="21"/>
          <w:highlight w:val="none"/>
        </w:rPr>
        <w:t>满足所列指标中的一项即可。</w:t>
      </w:r>
    </w:p>
    <w:p w14:paraId="4F04E131">
      <w:pPr>
        <w:snapToGrid w:val="0"/>
        <w:spacing w:line="360" w:lineRule="auto"/>
        <w:ind w:firstLine="420" w:firstLineChars="20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60FB894">
      <w:pPr>
        <w:snapToGrid w:val="0"/>
        <w:spacing w:line="360" w:lineRule="auto"/>
        <w:ind w:firstLine="420" w:firstLineChars="20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63F848A">
      <w:pPr>
        <w:spacing w:line="360" w:lineRule="auto"/>
        <w:jc w:val="center"/>
        <w:rPr>
          <w:rFonts w:hint="eastAsia" w:ascii="宋体" w:hAnsi="宋体" w:eastAsia="宋体" w:cs="宋体"/>
          <w:b/>
          <w:color w:val="auto"/>
          <w:sz w:val="32"/>
          <w:szCs w:val="32"/>
          <w:highlight w:val="none"/>
        </w:rPr>
      </w:pPr>
    </w:p>
    <w:p w14:paraId="050BBCDE">
      <w:pPr>
        <w:spacing w:line="360" w:lineRule="auto"/>
        <w:jc w:val="center"/>
        <w:rPr>
          <w:rFonts w:hint="eastAsia" w:ascii="宋体" w:hAnsi="宋体" w:eastAsia="宋体" w:cs="宋体"/>
          <w:b/>
          <w:color w:val="auto"/>
          <w:sz w:val="32"/>
          <w:szCs w:val="32"/>
          <w:highlight w:val="none"/>
        </w:rPr>
      </w:pPr>
    </w:p>
    <w:p w14:paraId="5261A832">
      <w:pPr>
        <w:spacing w:line="360" w:lineRule="auto"/>
        <w:jc w:val="center"/>
        <w:rPr>
          <w:rFonts w:hint="eastAsia" w:ascii="宋体" w:hAnsi="宋体" w:eastAsia="宋体" w:cs="宋体"/>
          <w:b/>
          <w:color w:val="auto"/>
          <w:sz w:val="32"/>
          <w:szCs w:val="32"/>
          <w:highlight w:val="none"/>
        </w:rPr>
      </w:pPr>
    </w:p>
    <w:p w14:paraId="588332BE">
      <w:pPr>
        <w:spacing w:line="360" w:lineRule="auto"/>
        <w:jc w:val="center"/>
        <w:rPr>
          <w:rFonts w:hint="eastAsia" w:ascii="宋体" w:hAnsi="宋体" w:eastAsia="宋体" w:cs="宋体"/>
          <w:b/>
          <w:color w:val="auto"/>
          <w:sz w:val="32"/>
          <w:szCs w:val="32"/>
          <w:highlight w:val="none"/>
        </w:rPr>
      </w:pPr>
    </w:p>
    <w:p w14:paraId="563C8864">
      <w:pPr>
        <w:spacing w:line="360" w:lineRule="auto"/>
        <w:jc w:val="center"/>
        <w:rPr>
          <w:rFonts w:hint="eastAsia" w:ascii="宋体" w:hAnsi="宋体" w:eastAsia="宋体" w:cs="宋体"/>
          <w:b/>
          <w:color w:val="auto"/>
          <w:sz w:val="32"/>
          <w:szCs w:val="32"/>
          <w:highlight w:val="none"/>
        </w:rPr>
      </w:pPr>
    </w:p>
    <w:p w14:paraId="3EF4E76B">
      <w:pPr>
        <w:spacing w:line="360" w:lineRule="auto"/>
        <w:jc w:val="center"/>
        <w:rPr>
          <w:rFonts w:hint="eastAsia" w:ascii="宋体" w:hAnsi="宋体" w:eastAsia="宋体" w:cs="宋体"/>
          <w:b/>
          <w:color w:val="auto"/>
          <w:sz w:val="32"/>
          <w:szCs w:val="32"/>
          <w:highlight w:val="none"/>
        </w:rPr>
      </w:pPr>
    </w:p>
    <w:p w14:paraId="009184DD">
      <w:pPr>
        <w:spacing w:line="360" w:lineRule="auto"/>
        <w:jc w:val="center"/>
        <w:rPr>
          <w:rFonts w:hint="eastAsia" w:ascii="宋体" w:hAnsi="宋体" w:eastAsia="宋体" w:cs="宋体"/>
          <w:b/>
          <w:color w:val="auto"/>
          <w:sz w:val="32"/>
          <w:szCs w:val="32"/>
          <w:highlight w:val="none"/>
        </w:rPr>
      </w:pPr>
    </w:p>
    <w:p w14:paraId="6A7B5B6F">
      <w:pPr>
        <w:spacing w:line="360" w:lineRule="auto"/>
        <w:jc w:val="center"/>
        <w:rPr>
          <w:rFonts w:hint="eastAsia" w:ascii="宋体" w:hAnsi="宋体" w:eastAsia="宋体" w:cs="宋体"/>
          <w:b/>
          <w:color w:val="auto"/>
          <w:sz w:val="32"/>
          <w:szCs w:val="32"/>
          <w:highlight w:val="none"/>
        </w:rPr>
      </w:pPr>
    </w:p>
    <w:p w14:paraId="18F387D9">
      <w:pPr>
        <w:spacing w:line="360" w:lineRule="auto"/>
        <w:jc w:val="center"/>
        <w:rPr>
          <w:rFonts w:hint="eastAsia" w:ascii="宋体" w:hAnsi="宋体" w:eastAsia="宋体" w:cs="宋体"/>
          <w:b/>
          <w:color w:val="auto"/>
          <w:sz w:val="32"/>
          <w:szCs w:val="32"/>
          <w:highlight w:val="none"/>
        </w:rPr>
      </w:pPr>
    </w:p>
    <w:p w14:paraId="2210740D">
      <w:pPr>
        <w:spacing w:line="360" w:lineRule="auto"/>
        <w:jc w:val="center"/>
        <w:rPr>
          <w:rFonts w:hint="eastAsia" w:ascii="宋体" w:hAnsi="宋体" w:eastAsia="宋体" w:cs="宋体"/>
          <w:b/>
          <w:color w:val="auto"/>
          <w:sz w:val="32"/>
          <w:szCs w:val="32"/>
          <w:highlight w:val="none"/>
        </w:rPr>
      </w:pPr>
    </w:p>
    <w:p w14:paraId="306FEE58">
      <w:pPr>
        <w:spacing w:line="360" w:lineRule="auto"/>
        <w:jc w:val="center"/>
        <w:rPr>
          <w:rFonts w:hint="eastAsia" w:ascii="宋体" w:hAnsi="宋体" w:eastAsia="宋体" w:cs="宋体"/>
          <w:b/>
          <w:color w:val="auto"/>
          <w:sz w:val="32"/>
          <w:szCs w:val="32"/>
          <w:highlight w:val="none"/>
        </w:rPr>
      </w:pPr>
    </w:p>
    <w:p w14:paraId="320D49B1">
      <w:pPr>
        <w:spacing w:line="360" w:lineRule="auto"/>
        <w:jc w:val="center"/>
        <w:rPr>
          <w:rFonts w:hint="eastAsia" w:ascii="宋体" w:hAnsi="宋体" w:eastAsia="宋体" w:cs="宋体"/>
          <w:b/>
          <w:color w:val="auto"/>
          <w:sz w:val="32"/>
          <w:szCs w:val="32"/>
          <w:highlight w:val="none"/>
        </w:rPr>
      </w:pPr>
    </w:p>
    <w:p w14:paraId="2264B941">
      <w:pPr>
        <w:pStyle w:val="38"/>
        <w:spacing w:line="360" w:lineRule="auto"/>
        <w:outlineLvl w:val="9"/>
        <w:rPr>
          <w:rFonts w:hint="eastAsia" w:ascii="宋体" w:hAnsi="宋体" w:eastAsia="宋体" w:cs="宋体"/>
          <w:color w:val="auto"/>
          <w:sz w:val="44"/>
          <w:szCs w:val="44"/>
          <w:highlight w:val="none"/>
        </w:rPr>
      </w:pPr>
      <w:bookmarkStart w:id="39" w:name="_Toc476258665"/>
      <w:r>
        <w:rPr>
          <w:rFonts w:hint="eastAsia" w:ascii="宋体" w:hAnsi="宋体" w:eastAsia="宋体" w:cs="宋体"/>
          <w:color w:val="auto"/>
          <w:sz w:val="44"/>
          <w:szCs w:val="44"/>
          <w:highlight w:val="none"/>
        </w:rPr>
        <w:br w:type="page"/>
      </w:r>
    </w:p>
    <w:p w14:paraId="47B8F34E">
      <w:pPr>
        <w:pStyle w:val="38"/>
        <w:spacing w:line="360" w:lineRule="auto"/>
        <w:outlineLvl w:val="9"/>
        <w:rPr>
          <w:rFonts w:hint="eastAsia" w:ascii="宋体" w:hAnsi="宋体" w:eastAsia="宋体" w:cs="宋体"/>
          <w:color w:val="auto"/>
          <w:sz w:val="44"/>
          <w:szCs w:val="44"/>
          <w:highlight w:val="none"/>
        </w:rPr>
      </w:pPr>
    </w:p>
    <w:p w14:paraId="1B2A3D31">
      <w:pPr>
        <w:pStyle w:val="38"/>
        <w:spacing w:line="360" w:lineRule="auto"/>
        <w:outlineLvl w:val="9"/>
        <w:rPr>
          <w:rFonts w:hint="eastAsia" w:ascii="宋体" w:hAnsi="宋体" w:eastAsia="宋体" w:cs="宋体"/>
          <w:color w:val="auto"/>
          <w:sz w:val="44"/>
          <w:szCs w:val="44"/>
          <w:highlight w:val="none"/>
        </w:rPr>
      </w:pPr>
    </w:p>
    <w:p w14:paraId="24A67498">
      <w:pPr>
        <w:pStyle w:val="38"/>
        <w:spacing w:line="360" w:lineRule="auto"/>
        <w:outlineLvl w:val="9"/>
        <w:rPr>
          <w:rFonts w:hint="eastAsia" w:ascii="宋体" w:hAnsi="宋体" w:eastAsia="宋体" w:cs="宋体"/>
          <w:color w:val="auto"/>
          <w:sz w:val="44"/>
          <w:szCs w:val="44"/>
          <w:highlight w:val="none"/>
        </w:rPr>
      </w:pPr>
    </w:p>
    <w:p w14:paraId="457C8924">
      <w:pPr>
        <w:pStyle w:val="38"/>
        <w:spacing w:line="360" w:lineRule="auto"/>
        <w:outlineLvl w:val="9"/>
        <w:rPr>
          <w:rFonts w:hint="eastAsia" w:ascii="宋体" w:hAnsi="宋体" w:eastAsia="宋体" w:cs="宋体"/>
          <w:color w:val="auto"/>
          <w:sz w:val="44"/>
          <w:szCs w:val="44"/>
          <w:highlight w:val="none"/>
        </w:rPr>
      </w:pPr>
    </w:p>
    <w:p w14:paraId="7BE9375C">
      <w:pPr>
        <w:pStyle w:val="38"/>
        <w:spacing w:line="360" w:lineRule="auto"/>
        <w:outlineLvl w:val="9"/>
        <w:rPr>
          <w:rFonts w:hint="eastAsia" w:ascii="宋体" w:hAnsi="宋体" w:eastAsia="宋体" w:cs="宋体"/>
          <w:color w:val="auto"/>
          <w:sz w:val="44"/>
          <w:szCs w:val="44"/>
          <w:highlight w:val="none"/>
        </w:rPr>
      </w:pPr>
    </w:p>
    <w:p w14:paraId="322EA82E">
      <w:pPr>
        <w:pStyle w:val="38"/>
        <w:spacing w:line="360" w:lineRule="auto"/>
        <w:rPr>
          <w:rFonts w:hint="eastAsia" w:ascii="宋体" w:hAnsi="宋体" w:eastAsia="宋体" w:cs="宋体"/>
          <w:color w:val="auto"/>
          <w:kern w:val="0"/>
          <w:sz w:val="44"/>
          <w:szCs w:val="44"/>
          <w:highlight w:val="none"/>
        </w:rPr>
      </w:pPr>
      <w:bookmarkStart w:id="40" w:name="_Toc476258673"/>
      <w:bookmarkStart w:id="41" w:name="_Toc28165"/>
      <w:r>
        <w:rPr>
          <w:rFonts w:hint="eastAsia" w:ascii="宋体" w:hAnsi="宋体" w:eastAsia="宋体" w:cs="宋体"/>
          <w:color w:val="auto"/>
          <w:kern w:val="0"/>
          <w:sz w:val="44"/>
          <w:szCs w:val="44"/>
          <w:highlight w:val="none"/>
        </w:rPr>
        <w:t>第四章  评标标准</w:t>
      </w:r>
      <w:bookmarkEnd w:id="40"/>
      <w:bookmarkEnd w:id="41"/>
    </w:p>
    <w:p w14:paraId="532AABC4">
      <w:pPr>
        <w:pStyle w:val="24"/>
        <w:spacing w:line="360" w:lineRule="auto"/>
        <w:rPr>
          <w:rFonts w:hint="eastAsia" w:ascii="宋体" w:hAnsi="宋体" w:eastAsia="宋体" w:cs="宋体"/>
          <w:b/>
          <w:color w:val="auto"/>
          <w:kern w:val="0"/>
          <w:sz w:val="32"/>
          <w:szCs w:val="32"/>
          <w:highlight w:val="none"/>
        </w:rPr>
      </w:pPr>
    </w:p>
    <w:p w14:paraId="390B3D75">
      <w:pPr>
        <w:pStyle w:val="24"/>
        <w:spacing w:line="360" w:lineRule="auto"/>
        <w:rPr>
          <w:rFonts w:hint="eastAsia" w:ascii="宋体" w:hAnsi="宋体" w:eastAsia="宋体" w:cs="宋体"/>
          <w:b/>
          <w:color w:val="auto"/>
          <w:kern w:val="0"/>
          <w:sz w:val="32"/>
          <w:szCs w:val="32"/>
          <w:highlight w:val="none"/>
        </w:rPr>
      </w:pPr>
    </w:p>
    <w:p w14:paraId="4298FAE2">
      <w:pPr>
        <w:pStyle w:val="24"/>
        <w:spacing w:line="360" w:lineRule="auto"/>
        <w:rPr>
          <w:rFonts w:hint="eastAsia" w:ascii="宋体" w:hAnsi="宋体" w:eastAsia="宋体" w:cs="宋体"/>
          <w:b/>
          <w:color w:val="auto"/>
          <w:kern w:val="0"/>
          <w:sz w:val="32"/>
          <w:szCs w:val="32"/>
          <w:highlight w:val="none"/>
        </w:rPr>
      </w:pPr>
    </w:p>
    <w:p w14:paraId="2DD6D1A4">
      <w:pPr>
        <w:pStyle w:val="24"/>
        <w:spacing w:line="360" w:lineRule="auto"/>
        <w:rPr>
          <w:rFonts w:hint="eastAsia" w:ascii="宋体" w:hAnsi="宋体" w:eastAsia="宋体" w:cs="宋体"/>
          <w:b/>
          <w:color w:val="auto"/>
          <w:kern w:val="0"/>
          <w:sz w:val="32"/>
          <w:szCs w:val="32"/>
          <w:highlight w:val="none"/>
        </w:rPr>
      </w:pPr>
    </w:p>
    <w:p w14:paraId="575C8F29">
      <w:pPr>
        <w:pStyle w:val="24"/>
        <w:spacing w:line="360" w:lineRule="auto"/>
        <w:rPr>
          <w:rFonts w:hint="eastAsia" w:ascii="宋体" w:hAnsi="宋体" w:eastAsia="宋体" w:cs="宋体"/>
          <w:b/>
          <w:color w:val="auto"/>
          <w:kern w:val="0"/>
          <w:sz w:val="32"/>
          <w:szCs w:val="32"/>
          <w:highlight w:val="none"/>
        </w:rPr>
      </w:pPr>
    </w:p>
    <w:p w14:paraId="72E43392">
      <w:pPr>
        <w:pStyle w:val="24"/>
        <w:spacing w:line="360" w:lineRule="auto"/>
        <w:rPr>
          <w:rFonts w:hint="eastAsia" w:ascii="宋体" w:hAnsi="宋体" w:eastAsia="宋体" w:cs="宋体"/>
          <w:b/>
          <w:color w:val="auto"/>
          <w:kern w:val="0"/>
          <w:sz w:val="32"/>
          <w:szCs w:val="32"/>
          <w:highlight w:val="none"/>
        </w:rPr>
      </w:pPr>
    </w:p>
    <w:p w14:paraId="137032C6">
      <w:pPr>
        <w:pStyle w:val="24"/>
        <w:spacing w:line="360" w:lineRule="auto"/>
        <w:rPr>
          <w:rFonts w:hint="eastAsia" w:ascii="宋体" w:hAnsi="宋体" w:eastAsia="宋体" w:cs="宋体"/>
          <w:b/>
          <w:color w:val="auto"/>
          <w:kern w:val="0"/>
          <w:sz w:val="32"/>
          <w:szCs w:val="32"/>
          <w:highlight w:val="none"/>
        </w:rPr>
      </w:pPr>
    </w:p>
    <w:p w14:paraId="296509C6">
      <w:pPr>
        <w:pStyle w:val="24"/>
        <w:spacing w:line="360" w:lineRule="auto"/>
        <w:rPr>
          <w:rFonts w:hint="eastAsia" w:ascii="宋体" w:hAnsi="宋体" w:eastAsia="宋体" w:cs="宋体"/>
          <w:b/>
          <w:color w:val="auto"/>
          <w:kern w:val="0"/>
          <w:sz w:val="32"/>
          <w:szCs w:val="32"/>
          <w:highlight w:val="none"/>
        </w:rPr>
      </w:pPr>
    </w:p>
    <w:p w14:paraId="4017E8A6">
      <w:pPr>
        <w:pStyle w:val="24"/>
        <w:spacing w:line="360" w:lineRule="auto"/>
        <w:rPr>
          <w:rFonts w:hint="eastAsia" w:ascii="宋体" w:hAnsi="宋体" w:eastAsia="宋体" w:cs="宋体"/>
          <w:b/>
          <w:color w:val="auto"/>
          <w:kern w:val="0"/>
          <w:sz w:val="32"/>
          <w:szCs w:val="32"/>
          <w:highlight w:val="none"/>
        </w:rPr>
      </w:pPr>
    </w:p>
    <w:p w14:paraId="1E77F8CB">
      <w:pPr>
        <w:pStyle w:val="24"/>
        <w:spacing w:line="360" w:lineRule="auto"/>
        <w:rPr>
          <w:rFonts w:hint="eastAsia" w:ascii="宋体" w:hAnsi="宋体" w:eastAsia="宋体" w:cs="宋体"/>
          <w:b/>
          <w:color w:val="auto"/>
          <w:kern w:val="0"/>
          <w:sz w:val="32"/>
          <w:szCs w:val="32"/>
          <w:highlight w:val="none"/>
        </w:rPr>
      </w:pPr>
    </w:p>
    <w:p w14:paraId="12C4E0C9">
      <w:pPr>
        <w:pStyle w:val="24"/>
        <w:spacing w:line="360" w:lineRule="auto"/>
        <w:rPr>
          <w:rFonts w:hint="eastAsia" w:ascii="宋体" w:hAnsi="宋体" w:eastAsia="宋体" w:cs="宋体"/>
          <w:b/>
          <w:color w:val="auto"/>
          <w:kern w:val="0"/>
          <w:highlight w:val="none"/>
        </w:rPr>
      </w:pPr>
    </w:p>
    <w:p w14:paraId="31B0B427">
      <w:pPr>
        <w:pStyle w:val="24"/>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评标标准</w:t>
      </w:r>
    </w:p>
    <w:p w14:paraId="2B38051B">
      <w:pPr>
        <w:pStyle w:val="24"/>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46EA07CD">
      <w:pPr>
        <w:pStyle w:val="34"/>
        <w:spacing w:line="360" w:lineRule="auto"/>
        <w:ind w:lef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一、评标原则</w:t>
      </w:r>
    </w:p>
    <w:p w14:paraId="29BE3568">
      <w:pPr>
        <w:pStyle w:val="34"/>
        <w:spacing w:line="360" w:lineRule="auto"/>
        <w:ind w:lef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3307C5B9">
      <w:pPr>
        <w:spacing w:line="360" w:lineRule="auto"/>
        <w:rPr>
          <w:rFonts w:hint="eastAsia" w:ascii="宋体" w:hAnsi="宋体" w:eastAsia="宋体" w:cs="宋体"/>
          <w:b/>
          <w:color w:val="auto"/>
          <w:highlight w:val="none"/>
        </w:rPr>
      </w:pPr>
      <w:r>
        <w:rPr>
          <w:rFonts w:hint="eastAsia" w:ascii="宋体" w:hAnsi="宋体" w:eastAsia="宋体" w:cs="宋体"/>
          <w:bCs/>
          <w:color w:val="auto"/>
          <w:szCs w:val="21"/>
          <w:highlight w:val="none"/>
        </w:rPr>
        <w:t xml:space="preserve">    （二）评标依据：评委将以竞争性磋商文件和竞争性磋商响应文件为评标依据，对供应商的响应文件内容按百分制打分。</w:t>
      </w:r>
    </w:p>
    <w:p w14:paraId="4E1D91AE">
      <w:pPr>
        <w:pStyle w:val="34"/>
        <w:spacing w:line="360" w:lineRule="auto"/>
        <w:ind w:lef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4F99B052">
      <w:pPr>
        <w:pStyle w:val="34"/>
        <w:spacing w:line="360" w:lineRule="auto"/>
        <w:ind w:lef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二、评标方法</w:t>
      </w:r>
    </w:p>
    <w:p w14:paraId="1DC71850">
      <w:pPr>
        <w:pStyle w:val="34"/>
        <w:spacing w:line="360" w:lineRule="auto"/>
        <w:ind w:lef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（一）对进入详评的，采用百分制综合评分法。</w:t>
      </w:r>
    </w:p>
    <w:p w14:paraId="323EA2E5">
      <w:pPr>
        <w:pStyle w:val="34"/>
        <w:spacing w:line="360" w:lineRule="auto"/>
        <w:ind w:lef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（二）计分办法（按四舍五入取至百分位）：</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57"/>
        <w:gridCol w:w="884"/>
        <w:gridCol w:w="1365"/>
        <w:gridCol w:w="5646"/>
      </w:tblGrid>
      <w:tr w14:paraId="1B83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6" w:type="dxa"/>
            <w:noWrap w:val="0"/>
            <w:vAlign w:val="center"/>
          </w:tcPr>
          <w:p w14:paraId="7F73BBF1">
            <w:pPr>
              <w:adjustRightInd w:val="0"/>
              <w:spacing w:line="410" w:lineRule="exact"/>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rPr>
              <w:t>序号</w:t>
            </w:r>
          </w:p>
        </w:tc>
        <w:tc>
          <w:tcPr>
            <w:tcW w:w="957" w:type="dxa"/>
            <w:noWrap w:val="0"/>
            <w:vAlign w:val="center"/>
          </w:tcPr>
          <w:p w14:paraId="3163A820">
            <w:pPr>
              <w:adjustRightInd w:val="0"/>
              <w:spacing w:line="410" w:lineRule="exact"/>
              <w:jc w:val="center"/>
              <w:textAlignment w:val="baseline"/>
              <w:rPr>
                <w:rFonts w:hint="eastAsia" w:ascii="宋体" w:hAnsi="宋体" w:eastAsia="宋体" w:cs="宋体"/>
                <w:color w:val="auto"/>
                <w:szCs w:val="21"/>
              </w:rPr>
            </w:pPr>
            <w:r>
              <w:rPr>
                <w:rFonts w:hint="eastAsia" w:ascii="宋体" w:hAnsi="宋体" w:eastAsia="宋体" w:cs="宋体"/>
                <w:b/>
                <w:color w:val="auto"/>
                <w:szCs w:val="21"/>
              </w:rPr>
              <w:t>评审因素</w:t>
            </w:r>
          </w:p>
        </w:tc>
        <w:tc>
          <w:tcPr>
            <w:tcW w:w="884" w:type="dxa"/>
            <w:noWrap w:val="0"/>
            <w:vAlign w:val="center"/>
          </w:tcPr>
          <w:p w14:paraId="4C9E7BB4">
            <w:pPr>
              <w:adjustRightInd w:val="0"/>
              <w:spacing w:line="410" w:lineRule="exact"/>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rPr>
              <w:t>分值</w:t>
            </w:r>
          </w:p>
        </w:tc>
        <w:tc>
          <w:tcPr>
            <w:tcW w:w="7011" w:type="dxa"/>
            <w:gridSpan w:val="2"/>
            <w:noWrap w:val="0"/>
            <w:vAlign w:val="center"/>
          </w:tcPr>
          <w:p w14:paraId="5D5DD275">
            <w:pPr>
              <w:adjustRightInd w:val="0"/>
              <w:spacing w:line="410" w:lineRule="exact"/>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rPr>
              <w:t>评标标准</w:t>
            </w:r>
          </w:p>
        </w:tc>
      </w:tr>
      <w:tr w14:paraId="0E73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726" w:type="dxa"/>
            <w:noWrap w:val="0"/>
            <w:vAlign w:val="center"/>
          </w:tcPr>
          <w:p w14:paraId="6CA24FC8">
            <w:pPr>
              <w:adjustRightInd w:val="0"/>
              <w:spacing w:line="360" w:lineRule="auto"/>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rPr>
              <w:t>1</w:t>
            </w:r>
          </w:p>
        </w:tc>
        <w:tc>
          <w:tcPr>
            <w:tcW w:w="957" w:type="dxa"/>
            <w:noWrap w:val="0"/>
            <w:vAlign w:val="center"/>
          </w:tcPr>
          <w:p w14:paraId="795310C3">
            <w:pPr>
              <w:adjustRightInd w:val="0"/>
              <w:spacing w:line="360" w:lineRule="auto"/>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rPr>
              <w:t>报价</w:t>
            </w:r>
          </w:p>
        </w:tc>
        <w:tc>
          <w:tcPr>
            <w:tcW w:w="884" w:type="dxa"/>
            <w:noWrap w:val="0"/>
            <w:vAlign w:val="center"/>
          </w:tcPr>
          <w:p w14:paraId="4F098008">
            <w:pPr>
              <w:adjustRightInd w:val="0"/>
              <w:spacing w:line="360" w:lineRule="auto"/>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rPr>
              <w:t>1</w:t>
            </w:r>
            <w:r>
              <w:rPr>
                <w:rFonts w:hint="eastAsia" w:ascii="宋体" w:hAnsi="宋体" w:eastAsia="宋体" w:cs="宋体"/>
                <w:b/>
                <w:color w:val="auto"/>
                <w:szCs w:val="21"/>
                <w:lang w:val="en-US" w:eastAsia="zh-CN"/>
              </w:rPr>
              <w:t>5</w:t>
            </w:r>
            <w:r>
              <w:rPr>
                <w:rFonts w:hint="eastAsia" w:ascii="宋体" w:hAnsi="宋体" w:eastAsia="宋体" w:cs="宋体"/>
                <w:b/>
                <w:color w:val="auto"/>
                <w:szCs w:val="21"/>
              </w:rPr>
              <w:t>分</w:t>
            </w:r>
          </w:p>
        </w:tc>
        <w:tc>
          <w:tcPr>
            <w:tcW w:w="7011" w:type="dxa"/>
            <w:gridSpan w:val="2"/>
            <w:noWrap w:val="0"/>
            <w:vAlign w:val="center"/>
          </w:tcPr>
          <w:p w14:paraId="7B6152C7">
            <w:pPr>
              <w:pStyle w:val="24"/>
              <w:spacing w:line="360" w:lineRule="auto"/>
              <w:rPr>
                <w:rFonts w:hint="eastAsia" w:ascii="宋体" w:hAnsi="宋体" w:eastAsia="宋体" w:cs="宋体"/>
                <w:b/>
                <w:bCs/>
                <w:color w:val="auto"/>
                <w:kern w:val="2"/>
                <w:sz w:val="21"/>
              </w:rPr>
            </w:pPr>
            <w:r>
              <w:rPr>
                <w:rFonts w:hint="eastAsia" w:ascii="宋体" w:hAnsi="宋体" w:eastAsia="宋体" w:cs="宋体"/>
                <w:b/>
                <w:bCs/>
                <w:color w:val="auto"/>
                <w:kern w:val="2"/>
                <w:sz w:val="21"/>
              </w:rPr>
              <w:t>一、政府采购政策扣除</w:t>
            </w:r>
          </w:p>
          <w:p w14:paraId="2E21D643">
            <w:pPr>
              <w:pStyle w:val="24"/>
              <w:spacing w:line="420" w:lineRule="exact"/>
              <w:ind w:firstLine="420" w:firstLineChars="200"/>
              <w:rPr>
                <w:rFonts w:hint="eastAsia" w:ascii="宋体" w:hAnsi="宋体" w:eastAsia="宋体" w:cs="宋体"/>
                <w:bCs/>
                <w:color w:val="auto"/>
                <w:sz w:val="21"/>
              </w:rPr>
            </w:pPr>
            <w:r>
              <w:rPr>
                <w:rFonts w:hint="eastAsia" w:ascii="宋体" w:hAnsi="宋体" w:eastAsia="宋体" w:cs="宋体"/>
                <w:bCs/>
                <w:color w:val="auto"/>
                <w:sz w:val="21"/>
              </w:rPr>
              <w:t>1、根据《政府采购促进中小企业发展管理办法》（财库〔2020〕46 号）的规定，供应商属于小微企业的，对磋商报价给予</w:t>
            </w:r>
            <w:r>
              <w:rPr>
                <w:rFonts w:hint="eastAsia" w:ascii="宋体" w:hAnsi="宋体" w:eastAsia="宋体" w:cs="宋体"/>
                <w:bCs/>
                <w:color w:val="auto"/>
                <w:sz w:val="21"/>
                <w:lang w:val="en-US" w:eastAsia="zh-CN"/>
              </w:rPr>
              <w:t>10</w:t>
            </w:r>
            <w:r>
              <w:rPr>
                <w:rFonts w:hint="eastAsia" w:ascii="宋体" w:hAnsi="宋体" w:eastAsia="宋体" w:cs="宋体"/>
                <w:bCs/>
                <w:color w:val="auto"/>
                <w:sz w:val="21"/>
              </w:rPr>
              <w:t>%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w:t>
            </w:r>
            <w:r>
              <w:rPr>
                <w:rFonts w:hint="eastAsia" w:ascii="宋体" w:hAnsi="宋体" w:eastAsia="宋体" w:cs="宋体"/>
                <w:bCs/>
                <w:color w:val="auto"/>
                <w:sz w:val="21"/>
                <w:lang w:val="en-US" w:eastAsia="zh-CN"/>
              </w:rPr>
              <w:t>3</w:t>
            </w:r>
            <w:r>
              <w:rPr>
                <w:rFonts w:hint="eastAsia" w:ascii="宋体" w:hAnsi="宋体" w:eastAsia="宋体" w:cs="宋体"/>
                <w:bCs/>
                <w:color w:val="auto"/>
                <w:sz w:val="21"/>
              </w:rPr>
              <w:t>%的扣除，用扣除后的价格参加评审。符合上述规定对报价给予扣除的，扣除后的价格为评标价，即评标价=最后报价×（1 - 扣除比例）；不符合上述给予扣除情形的，评标价=最后报价。</w:t>
            </w:r>
          </w:p>
          <w:p w14:paraId="189FB06F">
            <w:pPr>
              <w:pStyle w:val="24"/>
              <w:spacing w:line="420" w:lineRule="exact"/>
              <w:ind w:firstLine="420" w:firstLineChars="200"/>
              <w:rPr>
                <w:rFonts w:hint="eastAsia" w:ascii="宋体" w:hAnsi="宋体" w:eastAsia="宋体" w:cs="宋体"/>
                <w:bCs/>
                <w:color w:val="auto"/>
                <w:sz w:val="21"/>
              </w:rPr>
            </w:pPr>
            <w:r>
              <w:rPr>
                <w:rFonts w:hint="eastAsia" w:ascii="宋体" w:hAnsi="宋体" w:eastAsia="宋体" w:cs="宋体"/>
                <w:bCs/>
                <w:color w:val="auto"/>
                <w:sz w:val="21"/>
              </w:rPr>
              <w:t>2、</w:t>
            </w:r>
            <w:r>
              <w:rPr>
                <w:rFonts w:hint="eastAsia" w:ascii="宋体" w:hAnsi="宋体" w:eastAsia="宋体" w:cs="宋体"/>
                <w:color w:val="auto"/>
                <w:sz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57B58AD">
            <w:pPr>
              <w:pStyle w:val="24"/>
              <w:spacing w:line="420" w:lineRule="exact"/>
              <w:ind w:firstLine="420" w:firstLineChars="200"/>
              <w:outlineLvl w:val="0"/>
              <w:rPr>
                <w:rFonts w:hint="eastAsia" w:ascii="宋体" w:hAnsi="宋体" w:eastAsia="宋体" w:cs="宋体"/>
                <w:color w:val="auto"/>
                <w:sz w:val="21"/>
              </w:rPr>
            </w:pPr>
            <w:bookmarkStart w:id="42" w:name="_Toc14105"/>
            <w:r>
              <w:rPr>
                <w:rFonts w:hint="eastAsia" w:ascii="宋体" w:hAnsi="宋体" w:eastAsia="宋体" w:cs="宋体"/>
                <w:bCs/>
                <w:color w:val="auto"/>
                <w:sz w:val="21"/>
              </w:rPr>
              <w:t>3、</w:t>
            </w:r>
            <w:r>
              <w:rPr>
                <w:rFonts w:hint="eastAsia" w:ascii="宋体" w:hAnsi="宋体" w:eastAsia="宋体" w:cs="宋体"/>
                <w:color w:val="auto"/>
                <w:sz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42"/>
          </w:p>
          <w:p w14:paraId="48E41FD2">
            <w:pPr>
              <w:pStyle w:val="24"/>
              <w:spacing w:line="420" w:lineRule="exact"/>
              <w:ind w:firstLine="422" w:firstLineChars="200"/>
              <w:outlineLvl w:val="0"/>
              <w:rPr>
                <w:rFonts w:hint="eastAsia" w:ascii="宋体" w:hAnsi="宋体" w:eastAsia="宋体" w:cs="宋体"/>
                <w:b/>
                <w:color w:val="auto"/>
                <w:sz w:val="21"/>
              </w:rPr>
            </w:pPr>
            <w:bookmarkStart w:id="43" w:name="_Toc13033"/>
            <w:r>
              <w:rPr>
                <w:rFonts w:hint="eastAsia" w:ascii="宋体" w:hAnsi="宋体" w:eastAsia="宋体" w:cs="宋体"/>
                <w:b/>
                <w:color w:val="auto"/>
                <w:sz w:val="21"/>
              </w:rPr>
              <w:t>二、报价分（满分1</w:t>
            </w:r>
            <w:r>
              <w:rPr>
                <w:rFonts w:hint="eastAsia" w:ascii="宋体" w:hAnsi="宋体" w:eastAsia="宋体" w:cs="宋体"/>
                <w:b/>
                <w:color w:val="auto"/>
                <w:sz w:val="21"/>
                <w:lang w:val="en-US" w:eastAsia="zh-CN"/>
              </w:rPr>
              <w:t>5</w:t>
            </w:r>
            <w:r>
              <w:rPr>
                <w:rFonts w:hint="eastAsia" w:ascii="宋体" w:hAnsi="宋体" w:eastAsia="宋体" w:cs="宋体"/>
                <w:b/>
                <w:color w:val="auto"/>
                <w:sz w:val="21"/>
              </w:rPr>
              <w:t>分）</w:t>
            </w:r>
            <w:bookmarkEnd w:id="43"/>
          </w:p>
          <w:p w14:paraId="391CF52E">
            <w:pPr>
              <w:pStyle w:val="24"/>
              <w:spacing w:line="420" w:lineRule="exact"/>
              <w:ind w:firstLine="420" w:firstLineChars="200"/>
              <w:rPr>
                <w:rFonts w:hint="eastAsia" w:ascii="宋体" w:hAnsi="宋体" w:eastAsia="宋体" w:cs="宋体"/>
                <w:bCs/>
                <w:color w:val="auto"/>
                <w:sz w:val="21"/>
              </w:rPr>
            </w:pPr>
            <w:r>
              <w:rPr>
                <w:rFonts w:hint="eastAsia" w:ascii="宋体" w:hAnsi="宋体" w:eastAsia="宋体" w:cs="宋体"/>
                <w:color w:val="auto"/>
                <w:sz w:val="21"/>
              </w:rPr>
              <w:t>1、</w:t>
            </w:r>
            <w:r>
              <w:rPr>
                <w:rFonts w:hint="eastAsia" w:ascii="宋体" w:hAnsi="宋体" w:eastAsia="宋体" w:cs="宋体"/>
                <w:bCs/>
                <w:color w:val="auto"/>
                <w:sz w:val="21"/>
              </w:rPr>
              <w:t>报价分采用低价优先法计算，满足磋商文件要求且评标价最低的有效供应商的评标价为评标基准价，其报价分为满分。</w:t>
            </w:r>
          </w:p>
          <w:p w14:paraId="781862A9">
            <w:pPr>
              <w:pStyle w:val="24"/>
              <w:spacing w:line="420" w:lineRule="exact"/>
              <w:ind w:firstLine="420" w:firstLineChars="200"/>
              <w:rPr>
                <w:rFonts w:hint="eastAsia" w:ascii="宋体" w:hAnsi="宋体" w:eastAsia="宋体" w:cs="宋体"/>
                <w:bCs/>
                <w:color w:val="auto"/>
                <w:sz w:val="21"/>
              </w:rPr>
            </w:pPr>
            <w:r>
              <w:rPr>
                <w:rFonts w:hint="eastAsia" w:ascii="宋体" w:hAnsi="宋体" w:eastAsia="宋体" w:cs="宋体"/>
                <w:bCs/>
                <w:color w:val="auto"/>
                <w:sz w:val="21"/>
              </w:rPr>
              <w:t>2、其他供应商的价格分统一按照下列公式计算：</w:t>
            </w:r>
          </w:p>
          <w:p w14:paraId="1901D0A2">
            <w:pPr>
              <w:pStyle w:val="24"/>
              <w:spacing w:line="420" w:lineRule="exact"/>
              <w:rPr>
                <w:rFonts w:hint="eastAsia" w:ascii="宋体" w:hAnsi="宋体" w:eastAsia="宋体" w:cs="宋体"/>
                <w:bCs/>
                <w:color w:val="auto"/>
                <w:kern w:val="2"/>
                <w:sz w:val="21"/>
              </w:rPr>
            </w:pPr>
            <w:r>
              <w:rPr>
                <w:rFonts w:hint="eastAsia" w:ascii="宋体" w:hAnsi="宋体" w:eastAsia="宋体" w:cs="宋体"/>
                <w:bCs/>
                <w:color w:val="auto"/>
                <w:sz w:val="21"/>
              </w:rPr>
              <w:t>某有效供应商的报价分=（评标基准价／某有效供应商评标价）× 1</w:t>
            </w:r>
            <w:r>
              <w:rPr>
                <w:rFonts w:hint="eastAsia" w:ascii="宋体" w:hAnsi="宋体" w:eastAsia="宋体" w:cs="宋体"/>
                <w:bCs/>
                <w:color w:val="auto"/>
                <w:sz w:val="21"/>
                <w:lang w:val="en-US" w:eastAsia="zh-CN"/>
              </w:rPr>
              <w:t>5</w:t>
            </w:r>
            <w:r>
              <w:rPr>
                <w:rFonts w:hint="eastAsia" w:ascii="宋体" w:hAnsi="宋体" w:eastAsia="宋体" w:cs="宋体"/>
                <w:bCs/>
                <w:color w:val="auto"/>
                <w:sz w:val="21"/>
              </w:rPr>
              <w:t>分</w:t>
            </w:r>
          </w:p>
        </w:tc>
      </w:tr>
      <w:tr w14:paraId="7283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726" w:type="dxa"/>
            <w:vMerge w:val="restart"/>
            <w:noWrap w:val="0"/>
            <w:vAlign w:val="center"/>
          </w:tcPr>
          <w:p w14:paraId="33024014">
            <w:pPr>
              <w:adjustRightInd w:val="0"/>
              <w:spacing w:line="360" w:lineRule="auto"/>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rPr>
              <w:t>2</w:t>
            </w:r>
          </w:p>
        </w:tc>
        <w:tc>
          <w:tcPr>
            <w:tcW w:w="957" w:type="dxa"/>
            <w:vMerge w:val="restart"/>
            <w:noWrap w:val="0"/>
            <w:vAlign w:val="center"/>
          </w:tcPr>
          <w:p w14:paraId="365A7FE0">
            <w:pPr>
              <w:adjustRightInd w:val="0"/>
              <w:spacing w:line="360" w:lineRule="auto"/>
              <w:jc w:val="center"/>
              <w:textAlignment w:val="baseline"/>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技术分</w:t>
            </w:r>
          </w:p>
        </w:tc>
        <w:tc>
          <w:tcPr>
            <w:tcW w:w="884" w:type="dxa"/>
            <w:vMerge w:val="restart"/>
            <w:noWrap w:val="0"/>
            <w:vAlign w:val="center"/>
          </w:tcPr>
          <w:p w14:paraId="51EF0AAD">
            <w:pPr>
              <w:adjustRightInd w:val="0"/>
              <w:spacing w:line="360" w:lineRule="auto"/>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lang w:val="en-US" w:eastAsia="zh-CN"/>
              </w:rPr>
              <w:t>75</w:t>
            </w:r>
            <w:r>
              <w:rPr>
                <w:rFonts w:hint="eastAsia" w:ascii="宋体" w:hAnsi="宋体" w:eastAsia="宋体" w:cs="宋体"/>
                <w:b/>
                <w:color w:val="auto"/>
                <w:szCs w:val="21"/>
              </w:rPr>
              <w:t>分</w:t>
            </w:r>
          </w:p>
        </w:tc>
        <w:tc>
          <w:tcPr>
            <w:tcW w:w="1365" w:type="dxa"/>
            <w:noWrap w:val="0"/>
            <w:vAlign w:val="center"/>
          </w:tcPr>
          <w:p w14:paraId="12C25943">
            <w:pPr>
              <w:spacing w:line="360" w:lineRule="auto"/>
              <w:jc w:val="center"/>
              <w:rPr>
                <w:rFonts w:hint="eastAsia" w:ascii="宋体" w:hAnsi="宋体" w:eastAsia="宋体" w:cs="宋体"/>
                <w:bCs/>
                <w:color w:val="auto"/>
                <w:szCs w:val="21"/>
              </w:rPr>
            </w:pPr>
            <w:r>
              <w:rPr>
                <w:rFonts w:hint="eastAsia" w:ascii="宋体" w:hAnsi="宋体" w:eastAsia="宋体" w:cs="宋体"/>
                <w:b/>
                <w:color w:val="auto"/>
                <w:szCs w:val="21"/>
              </w:rPr>
              <w:t>项目实施方案（满分</w:t>
            </w:r>
            <w:r>
              <w:rPr>
                <w:rFonts w:hint="eastAsia" w:ascii="宋体" w:hAnsi="宋体" w:eastAsia="宋体" w:cs="宋体"/>
                <w:b/>
                <w:color w:val="auto"/>
                <w:szCs w:val="21"/>
                <w:lang w:val="en-US" w:eastAsia="zh-CN"/>
              </w:rPr>
              <w:t>20</w:t>
            </w:r>
            <w:r>
              <w:rPr>
                <w:rFonts w:hint="eastAsia" w:ascii="宋体" w:hAnsi="宋体" w:eastAsia="宋体" w:cs="宋体"/>
                <w:b/>
                <w:color w:val="auto"/>
                <w:szCs w:val="21"/>
              </w:rPr>
              <w:t>分）</w:t>
            </w:r>
          </w:p>
        </w:tc>
        <w:tc>
          <w:tcPr>
            <w:tcW w:w="5646" w:type="dxa"/>
            <w:noWrap w:val="0"/>
            <w:vAlign w:val="center"/>
          </w:tcPr>
          <w:p w14:paraId="04981DDE">
            <w:pPr>
              <w:pStyle w:val="24"/>
              <w:spacing w:line="420" w:lineRule="exact"/>
              <w:ind w:firstLine="422" w:firstLineChars="200"/>
              <w:rPr>
                <w:rFonts w:hint="eastAsia" w:ascii="宋体" w:hAnsi="宋体" w:eastAsia="宋体" w:cs="宋体"/>
                <w:color w:val="auto"/>
                <w:sz w:val="21"/>
              </w:rPr>
            </w:pPr>
            <w:r>
              <w:rPr>
                <w:rFonts w:hint="eastAsia" w:ascii="宋体" w:hAnsi="宋体" w:eastAsia="宋体" w:cs="宋体"/>
                <w:b/>
                <w:bCs/>
                <w:color w:val="auto"/>
                <w:sz w:val="21"/>
              </w:rPr>
              <w:t>一档（6 分)：</w:t>
            </w:r>
            <w:r>
              <w:rPr>
                <w:rFonts w:hint="eastAsia" w:ascii="宋体" w:hAnsi="宋体" w:eastAsia="宋体" w:cs="宋体"/>
                <w:color w:val="auto"/>
                <w:sz w:val="21"/>
              </w:rPr>
              <w:t>所制定实施方案基本能够满足本项目的需求、范围；基本能够把握本项目的技术重点、难点和要点。</w:t>
            </w:r>
          </w:p>
          <w:p w14:paraId="76723CAC">
            <w:pPr>
              <w:pStyle w:val="24"/>
              <w:spacing w:line="420" w:lineRule="exact"/>
              <w:ind w:firstLine="422" w:firstLineChars="200"/>
              <w:rPr>
                <w:rFonts w:hint="eastAsia" w:ascii="宋体" w:hAnsi="宋体" w:eastAsia="宋体" w:cs="宋体"/>
                <w:color w:val="auto"/>
                <w:sz w:val="21"/>
              </w:rPr>
            </w:pPr>
            <w:r>
              <w:rPr>
                <w:rFonts w:hint="eastAsia" w:ascii="宋体" w:hAnsi="宋体" w:eastAsia="宋体" w:cs="宋体"/>
                <w:b/>
                <w:bCs/>
                <w:color w:val="auto"/>
                <w:sz w:val="21"/>
              </w:rPr>
              <w:t>二档（ 13 分）：</w:t>
            </w:r>
            <w:r>
              <w:rPr>
                <w:rFonts w:hint="eastAsia" w:ascii="宋体" w:hAnsi="宋体" w:eastAsia="宋体" w:cs="宋体"/>
                <w:color w:val="auto"/>
                <w:sz w:val="21"/>
              </w:rPr>
              <w:t xml:space="preserve">所制定实施方案能够满足本项目的需求、目标、范围；有效的把握本项目的技术重点、难点和要点 </w:t>
            </w:r>
            <w:r>
              <w:rPr>
                <w:rFonts w:hint="eastAsia" w:ascii="宋体" w:hAnsi="宋体" w:eastAsia="宋体" w:cs="宋体"/>
                <w:color w:val="auto"/>
                <w:sz w:val="21"/>
                <w:lang w:eastAsia="zh-CN"/>
              </w:rPr>
              <w:t>；</w:t>
            </w:r>
            <w:r>
              <w:rPr>
                <w:rFonts w:hint="eastAsia" w:ascii="宋体" w:hAnsi="宋体" w:eastAsia="宋体" w:cs="宋体"/>
                <w:color w:val="auto"/>
                <w:sz w:val="21"/>
              </w:rPr>
              <w:t xml:space="preserve"> 提出了较合理、完整可行的工作规划</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且</w:t>
            </w:r>
            <w:r>
              <w:rPr>
                <w:rFonts w:hint="eastAsia" w:ascii="宋体" w:hAnsi="宋体" w:eastAsia="宋体" w:cs="宋体"/>
                <w:color w:val="auto"/>
                <w:sz w:val="21"/>
              </w:rPr>
              <w:t>有组成专业化的教学技术团队后续跟踪服务。</w:t>
            </w:r>
          </w:p>
          <w:p w14:paraId="4EFB5D8D">
            <w:pPr>
              <w:pStyle w:val="24"/>
              <w:spacing w:line="420" w:lineRule="exact"/>
              <w:ind w:firstLine="422" w:firstLineChars="200"/>
              <w:rPr>
                <w:rFonts w:hint="eastAsia" w:ascii="宋体" w:hAnsi="宋体" w:eastAsia="宋体" w:cs="宋体"/>
                <w:color w:val="auto"/>
                <w:sz w:val="21"/>
              </w:rPr>
            </w:pPr>
            <w:r>
              <w:rPr>
                <w:rFonts w:hint="eastAsia" w:ascii="宋体" w:hAnsi="宋体" w:eastAsia="宋体" w:cs="宋体"/>
                <w:b/>
                <w:bCs/>
                <w:color w:val="auto"/>
                <w:sz w:val="21"/>
              </w:rPr>
              <w:t>三档(20 分)：</w:t>
            </w:r>
            <w:r>
              <w:rPr>
                <w:rFonts w:hint="eastAsia" w:ascii="宋体" w:hAnsi="宋体" w:eastAsia="宋体" w:cs="宋体"/>
                <w:color w:val="auto"/>
                <w:sz w:val="21"/>
              </w:rPr>
              <w:t>所制定的实施方案准确理解本项目的建设背景、目标、范围；完全把握本项目的技术重点、难点和要点；提出了具体、合理、完整可行的工作规划；制定项目进 度计划的安排详细、具体、合理，可操作性强</w:t>
            </w:r>
            <w:r>
              <w:rPr>
                <w:rFonts w:hint="eastAsia" w:ascii="宋体" w:hAnsi="宋体" w:eastAsia="宋体" w:cs="宋体"/>
                <w:color w:val="auto"/>
                <w:sz w:val="21"/>
                <w:lang w:eastAsia="zh-CN"/>
              </w:rPr>
              <w:t>；</w:t>
            </w:r>
            <w:r>
              <w:rPr>
                <w:rFonts w:hint="eastAsia" w:ascii="宋体" w:hAnsi="宋体" w:eastAsia="宋体" w:cs="宋体"/>
                <w:color w:val="auto"/>
                <w:sz w:val="21"/>
              </w:rPr>
              <w:t>有组成专业化的教学技术团队后续跟踪服务，定期组织培训，提升教师的创新能力。</w:t>
            </w:r>
          </w:p>
          <w:p w14:paraId="79F8E60D">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left"/>
              <w:textAlignment w:val="auto"/>
              <w:rPr>
                <w:rFonts w:hint="eastAsia" w:ascii="宋体" w:hAnsi="宋体" w:eastAsia="宋体" w:cs="宋体"/>
                <w:bCs/>
                <w:color w:val="auto"/>
                <w:szCs w:val="21"/>
              </w:rPr>
            </w:pPr>
            <w:r>
              <w:rPr>
                <w:rFonts w:hint="eastAsia" w:ascii="宋体" w:hAnsi="宋体" w:eastAsia="宋体" w:cs="宋体"/>
                <w:b/>
                <w:bCs/>
                <w:color w:val="auto"/>
                <w:lang w:val="en-US" w:eastAsia="zh-CN"/>
              </w:rPr>
              <w:t>注：</w:t>
            </w:r>
            <w:r>
              <w:rPr>
                <w:rFonts w:hint="eastAsia" w:ascii="宋体" w:hAnsi="宋体" w:eastAsia="宋体" w:cs="宋体"/>
                <w:b/>
                <w:bCs/>
                <w:color w:val="auto"/>
              </w:rPr>
              <w:t>以上各档次不重复计分，由评委根据各供应商对</w:t>
            </w:r>
            <w:r>
              <w:rPr>
                <w:rFonts w:hint="eastAsia" w:ascii="宋体" w:hAnsi="宋体" w:eastAsia="宋体" w:cs="宋体"/>
                <w:b/>
                <w:color w:val="auto"/>
                <w:szCs w:val="21"/>
              </w:rPr>
              <w:t>项目实施方案</w:t>
            </w:r>
            <w:r>
              <w:rPr>
                <w:rFonts w:hint="eastAsia" w:ascii="宋体" w:hAnsi="宋体" w:eastAsia="宋体" w:cs="宋体"/>
                <w:b/>
                <w:bCs/>
                <w:color w:val="auto"/>
              </w:rPr>
              <w:t>的内容，在相应内容档次打分。不满足进档要求的，不予进档，得0分。</w:t>
            </w:r>
          </w:p>
        </w:tc>
      </w:tr>
      <w:tr w14:paraId="3B01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6" w:type="dxa"/>
            <w:vMerge w:val="continue"/>
            <w:noWrap w:val="0"/>
            <w:vAlign w:val="center"/>
          </w:tcPr>
          <w:p w14:paraId="1C52F613">
            <w:pPr>
              <w:adjustRightInd w:val="0"/>
              <w:spacing w:line="360" w:lineRule="auto"/>
              <w:jc w:val="center"/>
              <w:textAlignment w:val="baseline"/>
              <w:rPr>
                <w:rFonts w:hint="eastAsia" w:ascii="宋体" w:hAnsi="宋体" w:eastAsia="宋体" w:cs="宋体"/>
                <w:b/>
                <w:color w:val="auto"/>
                <w:szCs w:val="21"/>
              </w:rPr>
            </w:pPr>
          </w:p>
        </w:tc>
        <w:tc>
          <w:tcPr>
            <w:tcW w:w="957" w:type="dxa"/>
            <w:vMerge w:val="continue"/>
            <w:noWrap w:val="0"/>
            <w:vAlign w:val="center"/>
          </w:tcPr>
          <w:p w14:paraId="08B24E1D">
            <w:pPr>
              <w:adjustRightInd w:val="0"/>
              <w:spacing w:line="360" w:lineRule="auto"/>
              <w:jc w:val="center"/>
              <w:textAlignment w:val="baseline"/>
              <w:rPr>
                <w:rFonts w:hint="eastAsia" w:ascii="宋体" w:hAnsi="宋体" w:eastAsia="宋体" w:cs="宋体"/>
                <w:b/>
                <w:color w:val="auto"/>
                <w:szCs w:val="21"/>
                <w:lang w:val="en-US" w:eastAsia="zh-CN"/>
              </w:rPr>
            </w:pPr>
          </w:p>
        </w:tc>
        <w:tc>
          <w:tcPr>
            <w:tcW w:w="884" w:type="dxa"/>
            <w:vMerge w:val="continue"/>
            <w:noWrap w:val="0"/>
            <w:vAlign w:val="center"/>
          </w:tcPr>
          <w:p w14:paraId="1CB31749">
            <w:pPr>
              <w:adjustRightInd w:val="0"/>
              <w:spacing w:line="360" w:lineRule="auto"/>
              <w:jc w:val="center"/>
              <w:textAlignment w:val="baseline"/>
              <w:rPr>
                <w:rFonts w:hint="eastAsia" w:ascii="宋体" w:hAnsi="宋体" w:eastAsia="宋体" w:cs="宋体"/>
                <w:b/>
                <w:color w:val="auto"/>
                <w:szCs w:val="21"/>
                <w:lang w:val="en-US" w:eastAsia="zh-CN"/>
              </w:rPr>
            </w:pPr>
          </w:p>
        </w:tc>
        <w:tc>
          <w:tcPr>
            <w:tcW w:w="1365" w:type="dxa"/>
            <w:noWrap w:val="0"/>
            <w:vAlign w:val="center"/>
          </w:tcPr>
          <w:p w14:paraId="0A565360">
            <w:pPr>
              <w:spacing w:line="360" w:lineRule="auto"/>
              <w:jc w:val="center"/>
              <w:rPr>
                <w:rFonts w:hint="eastAsia" w:ascii="宋体" w:hAnsi="宋体" w:eastAsia="宋体" w:cs="宋体"/>
                <w:b/>
                <w:color w:val="auto"/>
              </w:rPr>
            </w:pPr>
            <w:r>
              <w:rPr>
                <w:rFonts w:hint="eastAsia" w:ascii="宋体" w:hAnsi="宋体" w:eastAsia="宋体" w:cs="宋体"/>
                <w:b/>
                <w:color w:val="auto"/>
              </w:rPr>
              <w:t>工作安排计划方案（满分</w:t>
            </w:r>
            <w:r>
              <w:rPr>
                <w:rFonts w:hint="eastAsia" w:ascii="宋体" w:hAnsi="宋体" w:eastAsia="宋体" w:cs="宋体"/>
                <w:b/>
                <w:color w:val="auto"/>
                <w:lang w:val="en-US" w:eastAsia="zh-CN"/>
              </w:rPr>
              <w:t>15</w:t>
            </w:r>
            <w:r>
              <w:rPr>
                <w:rFonts w:hint="eastAsia" w:ascii="宋体" w:hAnsi="宋体" w:eastAsia="宋体" w:cs="宋体"/>
                <w:b/>
                <w:color w:val="auto"/>
              </w:rPr>
              <w:t>分）</w:t>
            </w:r>
          </w:p>
        </w:tc>
        <w:tc>
          <w:tcPr>
            <w:tcW w:w="5646" w:type="dxa"/>
            <w:noWrap w:val="0"/>
            <w:vAlign w:val="center"/>
          </w:tcPr>
          <w:p w14:paraId="0D51B732">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val="0"/>
                <w:bCs w:val="0"/>
                <w:color w:val="auto"/>
              </w:rPr>
            </w:pPr>
            <w:r>
              <w:rPr>
                <w:rFonts w:hint="eastAsia" w:ascii="宋体" w:hAnsi="宋体" w:eastAsia="宋体" w:cs="宋体"/>
                <w:b/>
                <w:bCs/>
                <w:color w:val="auto"/>
              </w:rPr>
              <w:t>一档（</w:t>
            </w:r>
            <w:r>
              <w:rPr>
                <w:rFonts w:hint="eastAsia" w:ascii="宋体" w:hAnsi="宋体" w:eastAsia="宋体" w:cs="宋体"/>
                <w:b/>
                <w:bCs/>
                <w:color w:val="auto"/>
                <w:lang w:val="en-US" w:eastAsia="zh-CN"/>
              </w:rPr>
              <w:t>5</w:t>
            </w:r>
            <w:r>
              <w:rPr>
                <w:rFonts w:hint="eastAsia" w:ascii="宋体" w:hAnsi="宋体" w:eastAsia="宋体" w:cs="宋体"/>
                <w:b/>
                <w:bCs/>
                <w:color w:val="auto"/>
              </w:rPr>
              <w:t>分）：</w:t>
            </w:r>
            <w:r>
              <w:rPr>
                <w:rFonts w:hint="eastAsia" w:ascii="宋体" w:hAnsi="宋体" w:eastAsia="宋体" w:cs="宋体"/>
                <w:b w:val="0"/>
                <w:bCs w:val="0"/>
                <w:color w:val="auto"/>
              </w:rPr>
              <w:t>工作计划较完整、可行，各工序按时间满足 采购要求执行，项目质量的保障有措施但针对性不强，后续 服务承诺合理，保证工作安排计划的可实施性。</w:t>
            </w:r>
          </w:p>
          <w:p w14:paraId="009A7C4F">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val="0"/>
                <w:bCs w:val="0"/>
                <w:color w:val="auto"/>
              </w:rPr>
            </w:pPr>
            <w:r>
              <w:rPr>
                <w:rFonts w:hint="eastAsia" w:ascii="宋体" w:hAnsi="宋体" w:eastAsia="宋体" w:cs="宋体"/>
                <w:b/>
                <w:bCs/>
                <w:color w:val="auto"/>
              </w:rPr>
              <w:t>二档（</w:t>
            </w:r>
            <w:r>
              <w:rPr>
                <w:rFonts w:hint="eastAsia" w:ascii="宋体" w:hAnsi="宋体" w:eastAsia="宋体" w:cs="宋体"/>
                <w:b/>
                <w:bCs/>
                <w:color w:val="auto"/>
                <w:lang w:val="en-US" w:eastAsia="zh-CN"/>
              </w:rPr>
              <w:t>10</w:t>
            </w:r>
            <w:r>
              <w:rPr>
                <w:rFonts w:hint="eastAsia" w:ascii="宋体" w:hAnsi="宋体" w:eastAsia="宋体" w:cs="宋体"/>
                <w:b/>
                <w:bCs/>
                <w:color w:val="auto"/>
              </w:rPr>
              <w:t>分）：</w:t>
            </w:r>
            <w:r>
              <w:rPr>
                <w:rFonts w:hint="eastAsia" w:ascii="宋体" w:hAnsi="宋体" w:eastAsia="宋体" w:cs="宋体"/>
                <w:b w:val="0"/>
                <w:bCs w:val="0"/>
                <w:color w:val="auto"/>
              </w:rPr>
              <w:t>工作计划合理、具体、可行，各工序按时 间完全满足采购要求执行；且项目质量的保障措施完整、明 确，后续服务承诺能保证工作安排计划顺利实施。</w:t>
            </w:r>
          </w:p>
          <w:p w14:paraId="57A8D35B">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rPr>
            </w:pPr>
            <w:r>
              <w:rPr>
                <w:rFonts w:hint="eastAsia" w:ascii="宋体" w:hAnsi="宋体" w:eastAsia="宋体" w:cs="宋体"/>
                <w:b/>
                <w:bCs/>
                <w:color w:val="auto"/>
              </w:rPr>
              <w:t>三档（1</w:t>
            </w:r>
            <w:r>
              <w:rPr>
                <w:rFonts w:hint="eastAsia" w:ascii="宋体" w:hAnsi="宋体" w:eastAsia="宋体" w:cs="宋体"/>
                <w:b/>
                <w:bCs/>
                <w:color w:val="auto"/>
                <w:lang w:val="en-US" w:eastAsia="zh-CN"/>
              </w:rPr>
              <w:t>5</w:t>
            </w:r>
            <w:r>
              <w:rPr>
                <w:rFonts w:hint="eastAsia" w:ascii="宋体" w:hAnsi="宋体" w:eastAsia="宋体" w:cs="宋体"/>
                <w:b/>
                <w:bCs/>
                <w:color w:val="auto"/>
              </w:rPr>
              <w:t>分）：</w:t>
            </w:r>
            <w:r>
              <w:rPr>
                <w:rFonts w:hint="eastAsia" w:ascii="宋体" w:hAnsi="宋体" w:eastAsia="宋体" w:cs="宋体"/>
                <w:b w:val="0"/>
                <w:bCs w:val="0"/>
                <w:color w:val="auto"/>
              </w:rPr>
              <w:t>工作计划合理、具体详尽、条理清晰，各 工序按时间完全满足采购要求执行，且项目质量的保障措施 完整、得当并且针对性强；方案中的提供的后续服务承诺内 容全面、周到，可保证工作安排计划顺利实施，提出具有建 设性的方案优化建议。</w:t>
            </w:r>
          </w:p>
          <w:p w14:paraId="2320CE7A">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left"/>
              <w:textAlignment w:val="auto"/>
              <w:rPr>
                <w:rFonts w:hint="eastAsia" w:ascii="宋体" w:hAnsi="宋体" w:eastAsia="宋体" w:cs="宋体"/>
                <w:b/>
                <w:color w:val="auto"/>
                <w:lang w:val="en-US" w:eastAsia="zh-CN"/>
              </w:rPr>
            </w:pPr>
            <w:r>
              <w:rPr>
                <w:rFonts w:hint="eastAsia" w:ascii="宋体" w:hAnsi="宋体" w:eastAsia="宋体" w:cs="宋体"/>
                <w:b/>
                <w:bCs/>
                <w:color w:val="auto"/>
                <w:lang w:val="en-US" w:eastAsia="zh-CN"/>
              </w:rPr>
              <w:t>注：以上各档次不重复计分，由评委根据各供应商对</w:t>
            </w:r>
            <w:r>
              <w:rPr>
                <w:rFonts w:hint="eastAsia" w:ascii="宋体" w:hAnsi="宋体" w:eastAsia="宋体" w:cs="宋体"/>
                <w:b/>
                <w:color w:val="auto"/>
              </w:rPr>
              <w:t>工作安排计划方案</w:t>
            </w:r>
            <w:r>
              <w:rPr>
                <w:rFonts w:hint="eastAsia" w:ascii="宋体" w:hAnsi="宋体" w:eastAsia="宋体" w:cs="宋体"/>
                <w:b/>
                <w:bCs/>
                <w:color w:val="auto"/>
                <w:lang w:val="en-US" w:eastAsia="zh-CN"/>
              </w:rPr>
              <w:t>的内容，在相应内容档次打分。不满足进档要求的，不予进档，得0分。</w:t>
            </w:r>
          </w:p>
        </w:tc>
      </w:tr>
      <w:tr w14:paraId="6387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26" w:type="dxa"/>
            <w:vMerge w:val="continue"/>
            <w:noWrap w:val="0"/>
            <w:vAlign w:val="center"/>
          </w:tcPr>
          <w:p w14:paraId="55DEAA48">
            <w:pPr>
              <w:adjustRightInd w:val="0"/>
              <w:spacing w:line="360" w:lineRule="auto"/>
              <w:jc w:val="center"/>
              <w:textAlignment w:val="baseline"/>
              <w:rPr>
                <w:rFonts w:hint="eastAsia" w:ascii="宋体" w:hAnsi="宋体" w:eastAsia="宋体" w:cs="宋体"/>
                <w:b/>
                <w:color w:val="auto"/>
                <w:szCs w:val="21"/>
              </w:rPr>
            </w:pPr>
          </w:p>
        </w:tc>
        <w:tc>
          <w:tcPr>
            <w:tcW w:w="957" w:type="dxa"/>
            <w:vMerge w:val="continue"/>
            <w:noWrap w:val="0"/>
            <w:vAlign w:val="center"/>
          </w:tcPr>
          <w:p w14:paraId="1BF970EA">
            <w:pPr>
              <w:adjustRightInd w:val="0"/>
              <w:spacing w:line="360" w:lineRule="auto"/>
              <w:jc w:val="center"/>
              <w:textAlignment w:val="baseline"/>
              <w:rPr>
                <w:rFonts w:hint="eastAsia" w:ascii="宋体" w:hAnsi="宋体" w:eastAsia="宋体" w:cs="宋体"/>
                <w:b/>
                <w:color w:val="auto"/>
                <w:szCs w:val="21"/>
                <w:lang w:val="en-US" w:eastAsia="zh-CN"/>
              </w:rPr>
            </w:pPr>
          </w:p>
        </w:tc>
        <w:tc>
          <w:tcPr>
            <w:tcW w:w="884" w:type="dxa"/>
            <w:vMerge w:val="continue"/>
            <w:noWrap w:val="0"/>
            <w:vAlign w:val="center"/>
          </w:tcPr>
          <w:p w14:paraId="0257FBCA">
            <w:pPr>
              <w:adjustRightInd w:val="0"/>
              <w:spacing w:line="360" w:lineRule="auto"/>
              <w:jc w:val="center"/>
              <w:textAlignment w:val="baseline"/>
              <w:rPr>
                <w:rFonts w:hint="eastAsia" w:ascii="宋体" w:hAnsi="宋体" w:eastAsia="宋体" w:cs="宋体"/>
                <w:b/>
                <w:color w:val="auto"/>
                <w:szCs w:val="21"/>
                <w:lang w:val="en-US" w:eastAsia="zh-CN"/>
              </w:rPr>
            </w:pPr>
          </w:p>
        </w:tc>
        <w:tc>
          <w:tcPr>
            <w:tcW w:w="1365" w:type="dxa"/>
            <w:noWrap w:val="0"/>
            <w:vAlign w:val="center"/>
          </w:tcPr>
          <w:p w14:paraId="1CA06908">
            <w:pPr>
              <w:spacing w:line="360" w:lineRule="auto"/>
              <w:jc w:val="center"/>
              <w:rPr>
                <w:rFonts w:hint="eastAsia" w:ascii="宋体" w:hAnsi="宋体" w:eastAsia="宋体" w:cs="宋体"/>
                <w:b/>
                <w:color w:val="auto"/>
              </w:rPr>
            </w:pPr>
            <w:r>
              <w:rPr>
                <w:rFonts w:hint="eastAsia" w:ascii="宋体" w:hAnsi="宋体" w:eastAsia="宋体" w:cs="宋体"/>
                <w:b/>
                <w:color w:val="auto"/>
              </w:rPr>
              <w:t>进度安排（满分</w:t>
            </w:r>
            <w:r>
              <w:rPr>
                <w:rFonts w:hint="eastAsia" w:ascii="宋体" w:hAnsi="宋体" w:eastAsia="宋体" w:cs="宋体"/>
                <w:b/>
                <w:color w:val="auto"/>
                <w:lang w:val="en-US" w:eastAsia="zh-CN"/>
              </w:rPr>
              <w:t>10</w:t>
            </w:r>
            <w:r>
              <w:rPr>
                <w:rFonts w:hint="eastAsia" w:ascii="宋体" w:hAnsi="宋体" w:eastAsia="宋体" w:cs="宋体"/>
                <w:b/>
                <w:color w:val="auto"/>
              </w:rPr>
              <w:t>分）</w:t>
            </w:r>
          </w:p>
        </w:tc>
        <w:tc>
          <w:tcPr>
            <w:tcW w:w="5646" w:type="dxa"/>
            <w:noWrap w:val="0"/>
            <w:vAlign w:val="center"/>
          </w:tcPr>
          <w:p w14:paraId="6A7093A4">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rPr>
            </w:pPr>
            <w:r>
              <w:rPr>
                <w:rFonts w:hint="eastAsia" w:ascii="宋体" w:hAnsi="宋体" w:eastAsia="宋体" w:cs="宋体"/>
                <w:b/>
                <w:bCs/>
                <w:color w:val="auto"/>
              </w:rPr>
              <w:t>一档（3分）：</w:t>
            </w:r>
            <w:r>
              <w:rPr>
                <w:rFonts w:hint="eastAsia" w:ascii="宋体" w:hAnsi="宋体" w:eastAsia="宋体" w:cs="宋体"/>
                <w:color w:val="auto"/>
              </w:rPr>
              <w:t>有对项目实际情况，制定近期行动计划， 工作进度计划及任务划分、人员安排及保障措施内容描述简 单，有基本应对措施。</w:t>
            </w:r>
          </w:p>
          <w:p w14:paraId="4E0DB659">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rPr>
            </w:pPr>
            <w:r>
              <w:rPr>
                <w:rFonts w:hint="eastAsia" w:ascii="宋体" w:hAnsi="宋体" w:eastAsia="宋体" w:cs="宋体"/>
                <w:b/>
                <w:bCs/>
                <w:color w:val="auto"/>
              </w:rPr>
              <w:t>二档（6 分）：</w:t>
            </w:r>
            <w:r>
              <w:rPr>
                <w:rFonts w:hint="eastAsia" w:ascii="宋体" w:hAnsi="宋体" w:eastAsia="宋体" w:cs="宋体"/>
                <w:color w:val="auto"/>
              </w:rPr>
              <w:t>针对项目实际情况，制定近期行动计划完 整，编制工作进度计划及任务划分、详细说明各阶段工作、 人员安排及保障措施，有后续跟踪服务。</w:t>
            </w:r>
          </w:p>
          <w:p w14:paraId="03B10030">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rPr>
            </w:pPr>
            <w:r>
              <w:rPr>
                <w:rFonts w:hint="eastAsia" w:ascii="宋体" w:hAnsi="宋体" w:eastAsia="宋体" w:cs="宋体"/>
                <w:b/>
                <w:bCs/>
                <w:color w:val="auto"/>
              </w:rPr>
              <w:t>三档（10 分）：</w:t>
            </w:r>
            <w:r>
              <w:rPr>
                <w:rFonts w:hint="eastAsia" w:ascii="宋体" w:hAnsi="宋体" w:eastAsia="宋体" w:cs="宋体"/>
                <w:color w:val="auto"/>
              </w:rPr>
              <w:t>针对项目实际情况，制定近期行动计划 科学合理，服务宗旨明确，有整体工作进度计划及任务划分 、完善服务团队成员职责分工，有详细的介绍，任务分配妥 当，进度控制合理、关键时间节点把握科学准确，完备周全 , 确保项目在计划工期内按时按质完成，后续跟踪服务全面 , 内容完整、措施可行。</w:t>
            </w:r>
          </w:p>
          <w:p w14:paraId="77C6DA35">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lang w:val="en-US" w:eastAsia="zh-CN"/>
              </w:rPr>
            </w:pPr>
            <w:r>
              <w:rPr>
                <w:rFonts w:hint="eastAsia" w:ascii="宋体" w:hAnsi="宋体" w:eastAsia="宋体" w:cs="宋体"/>
                <w:b/>
                <w:bCs/>
                <w:color w:val="auto"/>
                <w:lang w:val="en-US" w:eastAsia="zh-CN"/>
              </w:rPr>
              <w:t>注：</w:t>
            </w:r>
            <w:r>
              <w:rPr>
                <w:rFonts w:hint="eastAsia" w:ascii="宋体" w:hAnsi="宋体" w:eastAsia="宋体" w:cs="宋体"/>
                <w:b/>
                <w:bCs/>
                <w:color w:val="auto"/>
              </w:rPr>
              <w:t>以上各档次不重复计分，由评委根据各供应商对</w:t>
            </w:r>
            <w:r>
              <w:rPr>
                <w:rFonts w:hint="eastAsia" w:ascii="宋体" w:hAnsi="宋体" w:eastAsia="宋体" w:cs="宋体"/>
                <w:b/>
                <w:color w:val="auto"/>
              </w:rPr>
              <w:t>进度安排</w:t>
            </w:r>
            <w:r>
              <w:rPr>
                <w:rFonts w:hint="eastAsia" w:ascii="宋体" w:hAnsi="宋体" w:eastAsia="宋体" w:cs="宋体"/>
                <w:b/>
                <w:bCs/>
                <w:color w:val="auto"/>
              </w:rPr>
              <w:t>的内容，在相应内容档次打分。不满足进档要求的，不予进档，得0分。</w:t>
            </w:r>
          </w:p>
        </w:tc>
      </w:tr>
      <w:tr w14:paraId="0039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6" w:type="dxa"/>
            <w:vMerge w:val="continue"/>
            <w:noWrap w:val="0"/>
            <w:vAlign w:val="center"/>
          </w:tcPr>
          <w:p w14:paraId="23B47592">
            <w:pPr>
              <w:adjustRightInd w:val="0"/>
              <w:spacing w:line="360" w:lineRule="auto"/>
              <w:jc w:val="center"/>
              <w:textAlignment w:val="baseline"/>
              <w:rPr>
                <w:rFonts w:hint="eastAsia" w:ascii="宋体" w:hAnsi="宋体" w:eastAsia="宋体" w:cs="宋体"/>
                <w:b/>
                <w:color w:val="auto"/>
                <w:szCs w:val="21"/>
              </w:rPr>
            </w:pPr>
          </w:p>
        </w:tc>
        <w:tc>
          <w:tcPr>
            <w:tcW w:w="957" w:type="dxa"/>
            <w:vMerge w:val="continue"/>
            <w:noWrap w:val="0"/>
            <w:vAlign w:val="center"/>
          </w:tcPr>
          <w:p w14:paraId="0E85C6ED">
            <w:pPr>
              <w:adjustRightInd w:val="0"/>
              <w:spacing w:line="360" w:lineRule="auto"/>
              <w:jc w:val="center"/>
              <w:textAlignment w:val="baseline"/>
              <w:rPr>
                <w:rFonts w:hint="eastAsia" w:ascii="宋体" w:hAnsi="宋体" w:eastAsia="宋体" w:cs="宋体"/>
                <w:b/>
                <w:color w:val="auto"/>
                <w:szCs w:val="21"/>
              </w:rPr>
            </w:pPr>
          </w:p>
        </w:tc>
        <w:tc>
          <w:tcPr>
            <w:tcW w:w="884" w:type="dxa"/>
            <w:vMerge w:val="continue"/>
            <w:noWrap w:val="0"/>
            <w:vAlign w:val="center"/>
          </w:tcPr>
          <w:p w14:paraId="3DBF18D1">
            <w:pPr>
              <w:adjustRightInd w:val="0"/>
              <w:spacing w:line="360" w:lineRule="auto"/>
              <w:jc w:val="center"/>
              <w:textAlignment w:val="baseline"/>
              <w:rPr>
                <w:rFonts w:hint="eastAsia" w:ascii="宋体" w:hAnsi="宋体" w:eastAsia="宋体" w:cs="宋体"/>
                <w:b/>
                <w:color w:val="auto"/>
                <w:szCs w:val="21"/>
              </w:rPr>
            </w:pPr>
          </w:p>
        </w:tc>
        <w:tc>
          <w:tcPr>
            <w:tcW w:w="1365" w:type="dxa"/>
            <w:noWrap w:val="0"/>
            <w:vAlign w:val="center"/>
          </w:tcPr>
          <w:p w14:paraId="08836766">
            <w:pPr>
              <w:spacing w:line="360" w:lineRule="auto"/>
              <w:jc w:val="center"/>
              <w:rPr>
                <w:rFonts w:hint="eastAsia" w:ascii="宋体" w:hAnsi="宋体" w:eastAsia="宋体" w:cs="宋体"/>
                <w:b/>
                <w:color w:val="auto"/>
              </w:rPr>
            </w:pPr>
            <w:r>
              <w:rPr>
                <w:rFonts w:hint="eastAsia" w:ascii="宋体" w:hAnsi="宋体" w:eastAsia="宋体" w:cs="宋体"/>
                <w:b/>
                <w:color w:val="auto"/>
              </w:rPr>
              <w:t>售后服务方案（满分</w:t>
            </w:r>
            <w:r>
              <w:rPr>
                <w:rFonts w:hint="eastAsia" w:ascii="宋体" w:hAnsi="宋体" w:eastAsia="宋体" w:cs="宋体"/>
                <w:b/>
                <w:color w:val="auto"/>
                <w:lang w:val="en-US" w:eastAsia="zh-CN"/>
              </w:rPr>
              <w:t>20</w:t>
            </w:r>
            <w:r>
              <w:rPr>
                <w:rFonts w:hint="eastAsia" w:ascii="宋体" w:hAnsi="宋体" w:eastAsia="宋体" w:cs="宋体"/>
                <w:b/>
                <w:color w:val="auto"/>
              </w:rPr>
              <w:t>分）</w:t>
            </w:r>
          </w:p>
        </w:tc>
        <w:tc>
          <w:tcPr>
            <w:tcW w:w="5646" w:type="dxa"/>
            <w:noWrap w:val="0"/>
            <w:vAlign w:val="center"/>
          </w:tcPr>
          <w:p w14:paraId="3AE9C85F">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rPr>
            </w:pPr>
            <w:r>
              <w:rPr>
                <w:rFonts w:hint="eastAsia" w:ascii="宋体" w:hAnsi="宋体" w:eastAsia="宋体" w:cs="宋体"/>
                <w:b/>
                <w:bCs/>
                <w:color w:val="auto"/>
              </w:rPr>
              <w:t>一档（6 分）：</w:t>
            </w:r>
            <w:r>
              <w:rPr>
                <w:rFonts w:hint="eastAsia" w:ascii="宋体" w:hAnsi="宋体" w:eastAsia="宋体" w:cs="宋体"/>
                <w:color w:val="auto"/>
              </w:rPr>
              <w:t>有售后服务方案，但方案内容描述不清晰、 可行性欠佳，无详细具体的项目售后实施计划。</w:t>
            </w:r>
          </w:p>
          <w:p w14:paraId="0B3328D0">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rPr>
            </w:pPr>
            <w:r>
              <w:rPr>
                <w:rFonts w:hint="eastAsia" w:ascii="宋体" w:hAnsi="宋体" w:eastAsia="宋体" w:cs="宋体"/>
                <w:b/>
                <w:bCs/>
                <w:color w:val="auto"/>
              </w:rPr>
              <w:t>二档（ 13 分）：</w:t>
            </w:r>
            <w:r>
              <w:rPr>
                <w:rFonts w:hint="eastAsia" w:ascii="宋体" w:hAnsi="宋体" w:eastAsia="宋体" w:cs="宋体"/>
                <w:color w:val="auto"/>
              </w:rPr>
              <w:t>售后服务方案内容较完整、可行。有项 目售后实施计划，售后服务人员安排、技术培训、维护计划 等具体内容描述。针对采购人提出的项目咨询在 1.5 小时内 做出响应，给予专业的解答意见。</w:t>
            </w:r>
          </w:p>
          <w:p w14:paraId="481716E0">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rPr>
            </w:pPr>
            <w:r>
              <w:rPr>
                <w:rFonts w:hint="eastAsia" w:ascii="宋体" w:hAnsi="宋体" w:eastAsia="宋体" w:cs="宋体"/>
                <w:b/>
                <w:bCs/>
                <w:color w:val="auto"/>
              </w:rPr>
              <w:t>三档（20 分）</w:t>
            </w:r>
            <w:r>
              <w:rPr>
                <w:rFonts w:hint="eastAsia" w:ascii="宋体" w:hAnsi="宋体" w:eastAsia="宋体" w:cs="宋体"/>
                <w:color w:val="auto"/>
              </w:rPr>
              <w:t>：在满足二档的基础上，售后服务方案内 容完整、描述详细具体、措施方法可行并且有明确的售后服 务承诺。针对采购人提出的项目咨询在 1 小时内做出响应， 给予专业的解答意见。</w:t>
            </w:r>
          </w:p>
          <w:p w14:paraId="4E9F5321">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lang w:val="en-US" w:eastAsia="zh-CN"/>
              </w:rPr>
            </w:pPr>
            <w:r>
              <w:rPr>
                <w:rFonts w:hint="eastAsia" w:ascii="宋体" w:hAnsi="宋体" w:eastAsia="宋体" w:cs="宋体"/>
                <w:b/>
                <w:bCs/>
                <w:color w:val="auto"/>
                <w:lang w:val="en-US" w:eastAsia="zh-CN"/>
              </w:rPr>
              <w:t>注：</w:t>
            </w:r>
            <w:r>
              <w:rPr>
                <w:rFonts w:hint="eastAsia" w:ascii="宋体" w:hAnsi="宋体" w:eastAsia="宋体" w:cs="宋体"/>
                <w:b/>
                <w:bCs/>
                <w:color w:val="auto"/>
              </w:rPr>
              <w:t>以上各档次不重复计分，由评委根据各供应商对</w:t>
            </w:r>
            <w:r>
              <w:rPr>
                <w:rFonts w:hint="eastAsia" w:ascii="宋体" w:hAnsi="宋体" w:eastAsia="宋体" w:cs="宋体"/>
                <w:b/>
                <w:color w:val="auto"/>
              </w:rPr>
              <w:t>售后服务方案</w:t>
            </w:r>
            <w:r>
              <w:rPr>
                <w:rFonts w:hint="eastAsia" w:ascii="宋体" w:hAnsi="宋体" w:eastAsia="宋体" w:cs="宋体"/>
                <w:b/>
                <w:bCs/>
                <w:color w:val="auto"/>
              </w:rPr>
              <w:t>的内容，在相应内容档次打分。不满足进档要求的，不予进档，得0分。</w:t>
            </w:r>
          </w:p>
        </w:tc>
      </w:tr>
      <w:tr w14:paraId="5ED6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6" w:type="dxa"/>
            <w:vMerge w:val="continue"/>
            <w:noWrap w:val="0"/>
            <w:vAlign w:val="center"/>
          </w:tcPr>
          <w:p w14:paraId="794B7A5C">
            <w:pPr>
              <w:adjustRightInd w:val="0"/>
              <w:spacing w:line="360" w:lineRule="auto"/>
              <w:jc w:val="center"/>
              <w:textAlignment w:val="baseline"/>
              <w:rPr>
                <w:rFonts w:hint="eastAsia" w:ascii="宋体" w:hAnsi="宋体" w:eastAsia="宋体" w:cs="宋体"/>
                <w:b/>
                <w:color w:val="auto"/>
                <w:szCs w:val="21"/>
              </w:rPr>
            </w:pPr>
          </w:p>
        </w:tc>
        <w:tc>
          <w:tcPr>
            <w:tcW w:w="957" w:type="dxa"/>
            <w:vMerge w:val="continue"/>
            <w:noWrap w:val="0"/>
            <w:vAlign w:val="center"/>
          </w:tcPr>
          <w:p w14:paraId="30F00147">
            <w:pPr>
              <w:adjustRightInd w:val="0"/>
              <w:spacing w:line="360" w:lineRule="auto"/>
              <w:jc w:val="center"/>
              <w:textAlignment w:val="baseline"/>
              <w:rPr>
                <w:rFonts w:hint="eastAsia" w:ascii="宋体" w:hAnsi="宋体" w:eastAsia="宋体" w:cs="宋体"/>
                <w:b/>
                <w:color w:val="auto"/>
                <w:szCs w:val="21"/>
              </w:rPr>
            </w:pPr>
          </w:p>
        </w:tc>
        <w:tc>
          <w:tcPr>
            <w:tcW w:w="884" w:type="dxa"/>
            <w:vMerge w:val="continue"/>
            <w:noWrap w:val="0"/>
            <w:vAlign w:val="center"/>
          </w:tcPr>
          <w:p w14:paraId="2DC022EA">
            <w:pPr>
              <w:adjustRightInd w:val="0"/>
              <w:spacing w:line="360" w:lineRule="auto"/>
              <w:jc w:val="center"/>
              <w:textAlignment w:val="baseline"/>
              <w:rPr>
                <w:rFonts w:hint="eastAsia" w:ascii="宋体" w:hAnsi="宋体" w:eastAsia="宋体" w:cs="宋体"/>
                <w:b/>
                <w:color w:val="auto"/>
                <w:szCs w:val="21"/>
              </w:rPr>
            </w:pPr>
          </w:p>
        </w:tc>
        <w:tc>
          <w:tcPr>
            <w:tcW w:w="1365" w:type="dxa"/>
            <w:noWrap w:val="0"/>
            <w:vAlign w:val="center"/>
          </w:tcPr>
          <w:p w14:paraId="6D070AA8">
            <w:pPr>
              <w:spacing w:line="360" w:lineRule="auto"/>
              <w:jc w:val="center"/>
              <w:rPr>
                <w:rFonts w:hint="eastAsia" w:ascii="宋体" w:hAnsi="宋体" w:eastAsia="宋体" w:cs="宋体"/>
                <w:bCs/>
                <w:color w:val="auto"/>
                <w:szCs w:val="21"/>
              </w:rPr>
            </w:pPr>
            <w:r>
              <w:rPr>
                <w:rFonts w:hint="eastAsia" w:ascii="宋体" w:hAnsi="宋体" w:eastAsia="宋体" w:cs="宋体"/>
                <w:b/>
                <w:color w:val="auto"/>
              </w:rPr>
              <w:t>服务承诺分</w:t>
            </w:r>
            <w:r>
              <w:rPr>
                <w:rFonts w:hint="eastAsia" w:ascii="宋体" w:hAnsi="宋体" w:eastAsia="宋体" w:cs="宋体"/>
                <w:b/>
                <w:bCs/>
                <w:color w:val="auto"/>
                <w:szCs w:val="21"/>
              </w:rPr>
              <w:t>（满分</w:t>
            </w:r>
            <w:r>
              <w:rPr>
                <w:rFonts w:hint="eastAsia" w:ascii="宋体" w:hAnsi="宋体" w:eastAsia="宋体" w:cs="宋体"/>
                <w:b/>
                <w:bCs/>
                <w:color w:val="auto"/>
                <w:szCs w:val="21"/>
                <w:lang w:val="en-US" w:eastAsia="zh-CN"/>
              </w:rPr>
              <w:t>10</w:t>
            </w:r>
            <w:r>
              <w:rPr>
                <w:rFonts w:hint="eastAsia" w:ascii="宋体" w:hAnsi="宋体" w:eastAsia="宋体" w:cs="宋体"/>
                <w:b/>
                <w:bCs/>
                <w:color w:val="auto"/>
                <w:szCs w:val="21"/>
              </w:rPr>
              <w:t>分）</w:t>
            </w:r>
          </w:p>
        </w:tc>
        <w:tc>
          <w:tcPr>
            <w:tcW w:w="5646" w:type="dxa"/>
            <w:noWrap w:val="0"/>
            <w:vAlign w:val="center"/>
          </w:tcPr>
          <w:p w14:paraId="25EB799F">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rPr>
            </w:pPr>
            <w:r>
              <w:rPr>
                <w:rFonts w:hint="eastAsia" w:ascii="宋体" w:hAnsi="宋体" w:eastAsia="宋体" w:cs="宋体"/>
                <w:b/>
                <w:bCs/>
                <w:color w:val="auto"/>
              </w:rPr>
              <w:t>一档（</w:t>
            </w:r>
            <w:r>
              <w:rPr>
                <w:rFonts w:hint="eastAsia" w:ascii="宋体" w:hAnsi="宋体" w:eastAsia="宋体" w:cs="宋体"/>
                <w:b/>
                <w:bCs/>
                <w:color w:val="auto"/>
                <w:lang w:val="en-US" w:eastAsia="zh-CN"/>
              </w:rPr>
              <w:t>3</w:t>
            </w:r>
            <w:r>
              <w:rPr>
                <w:rFonts w:hint="eastAsia" w:ascii="宋体" w:hAnsi="宋体" w:eastAsia="宋体" w:cs="宋体"/>
                <w:b/>
                <w:bCs/>
                <w:color w:val="auto"/>
              </w:rPr>
              <w:t>分）</w:t>
            </w:r>
            <w:r>
              <w:rPr>
                <w:rFonts w:hint="eastAsia" w:ascii="宋体" w:hAnsi="宋体" w:eastAsia="宋体" w:cs="宋体"/>
                <w:b/>
                <w:bCs/>
                <w:color w:val="auto"/>
                <w:lang w:eastAsia="zh-CN"/>
              </w:rPr>
              <w:t>：</w:t>
            </w:r>
            <w:r>
              <w:rPr>
                <w:rFonts w:hint="eastAsia" w:ascii="宋体" w:hAnsi="宋体" w:eastAsia="宋体" w:cs="宋体"/>
                <w:color w:val="auto"/>
              </w:rPr>
              <w:t>对服务承诺满足采购文件要求的程度、详细程度、可行程度、响应时间（处理问题、售后、突发事件等），服务承诺较差的。</w:t>
            </w:r>
          </w:p>
          <w:p w14:paraId="256EEE96">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rPr>
            </w:pPr>
            <w:r>
              <w:rPr>
                <w:rFonts w:hint="eastAsia" w:ascii="宋体" w:hAnsi="宋体" w:eastAsia="宋体" w:cs="宋体"/>
                <w:b/>
                <w:bCs/>
                <w:color w:val="auto"/>
              </w:rPr>
              <w:t>二档（</w:t>
            </w:r>
            <w:r>
              <w:rPr>
                <w:rFonts w:hint="eastAsia" w:ascii="宋体" w:hAnsi="宋体" w:eastAsia="宋体" w:cs="宋体"/>
                <w:b/>
                <w:bCs/>
                <w:color w:val="auto"/>
                <w:lang w:val="en-US" w:eastAsia="zh-CN"/>
              </w:rPr>
              <w:t>6</w:t>
            </w:r>
            <w:r>
              <w:rPr>
                <w:rFonts w:hint="eastAsia" w:ascii="宋体" w:hAnsi="宋体" w:eastAsia="宋体" w:cs="宋体"/>
                <w:b/>
                <w:bCs/>
                <w:color w:val="auto"/>
              </w:rPr>
              <w:t>分）</w:t>
            </w:r>
            <w:r>
              <w:rPr>
                <w:rFonts w:hint="eastAsia" w:ascii="宋体" w:hAnsi="宋体" w:eastAsia="宋体" w:cs="宋体"/>
                <w:b/>
                <w:bCs/>
                <w:color w:val="auto"/>
                <w:lang w:eastAsia="zh-CN"/>
              </w:rPr>
              <w:t>：</w:t>
            </w:r>
            <w:r>
              <w:rPr>
                <w:rFonts w:hint="eastAsia" w:ascii="宋体" w:hAnsi="宋体" w:eastAsia="宋体" w:cs="宋体"/>
                <w:color w:val="auto"/>
              </w:rPr>
              <w:t>对服务承诺满足采购文件要求的程度、详细程度、可行程度、响应时间（处理问题、售后、突发事件等），服务承诺良好的。</w:t>
            </w:r>
          </w:p>
          <w:p w14:paraId="422D5538">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rPr>
            </w:pPr>
            <w:r>
              <w:rPr>
                <w:rFonts w:hint="eastAsia" w:ascii="宋体" w:hAnsi="宋体" w:eastAsia="宋体" w:cs="宋体"/>
                <w:b/>
                <w:bCs/>
                <w:color w:val="auto"/>
              </w:rPr>
              <w:t>三档（</w:t>
            </w:r>
            <w:r>
              <w:rPr>
                <w:rFonts w:hint="eastAsia" w:ascii="宋体" w:hAnsi="宋体" w:eastAsia="宋体" w:cs="宋体"/>
                <w:b/>
                <w:bCs/>
                <w:color w:val="auto"/>
                <w:lang w:val="en-US" w:eastAsia="zh-CN"/>
              </w:rPr>
              <w:t>10</w:t>
            </w:r>
            <w:r>
              <w:rPr>
                <w:rFonts w:hint="eastAsia" w:ascii="宋体" w:hAnsi="宋体" w:eastAsia="宋体" w:cs="宋体"/>
                <w:b/>
                <w:bCs/>
                <w:color w:val="auto"/>
              </w:rPr>
              <w:t>分）</w:t>
            </w:r>
            <w:r>
              <w:rPr>
                <w:rFonts w:hint="eastAsia" w:ascii="宋体" w:hAnsi="宋体" w:eastAsia="宋体" w:cs="宋体"/>
                <w:b/>
                <w:bCs/>
                <w:color w:val="auto"/>
                <w:lang w:eastAsia="zh-CN"/>
              </w:rPr>
              <w:t>：</w:t>
            </w:r>
            <w:r>
              <w:rPr>
                <w:rFonts w:hint="eastAsia" w:ascii="宋体" w:hAnsi="宋体" w:eastAsia="宋体" w:cs="宋体"/>
                <w:color w:val="auto"/>
              </w:rPr>
              <w:t>对服务承诺满足采购文件要求的程度、详细程度、可行程度、响应时间（处理问题、售后、突发事件等），服务承诺优秀的。</w:t>
            </w:r>
          </w:p>
          <w:p w14:paraId="010A40F6">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auto"/>
                <w:szCs w:val="21"/>
              </w:rPr>
            </w:pPr>
            <w:r>
              <w:rPr>
                <w:rFonts w:hint="eastAsia" w:ascii="宋体" w:hAnsi="宋体" w:eastAsia="宋体" w:cs="宋体"/>
                <w:b/>
                <w:bCs/>
                <w:color w:val="auto"/>
                <w:lang w:val="en-US" w:eastAsia="zh-CN"/>
              </w:rPr>
              <w:t>注：</w:t>
            </w:r>
            <w:r>
              <w:rPr>
                <w:rFonts w:hint="eastAsia" w:ascii="宋体" w:hAnsi="宋体" w:eastAsia="宋体" w:cs="宋体"/>
                <w:b/>
                <w:bCs/>
                <w:color w:val="auto"/>
              </w:rPr>
              <w:t>以上各档次不重复计分，由评委根据各供应商对项目服务承诺的内容，在相应内容档次打分。不满足进档要求的，不予进档，得0分。</w:t>
            </w:r>
          </w:p>
        </w:tc>
      </w:tr>
      <w:tr w14:paraId="5968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726" w:type="dxa"/>
            <w:noWrap w:val="0"/>
            <w:vAlign w:val="center"/>
          </w:tcPr>
          <w:p w14:paraId="26CF4CD5">
            <w:pPr>
              <w:adjustRightInd w:val="0"/>
              <w:spacing w:line="360" w:lineRule="auto"/>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rPr>
              <w:t>3</w:t>
            </w:r>
          </w:p>
        </w:tc>
        <w:tc>
          <w:tcPr>
            <w:tcW w:w="957" w:type="dxa"/>
            <w:noWrap w:val="0"/>
            <w:vAlign w:val="center"/>
          </w:tcPr>
          <w:p w14:paraId="664954A0">
            <w:pPr>
              <w:adjustRightInd w:val="0"/>
              <w:spacing w:line="360" w:lineRule="auto"/>
              <w:jc w:val="center"/>
              <w:textAlignment w:val="baseline"/>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商务分</w:t>
            </w:r>
          </w:p>
        </w:tc>
        <w:tc>
          <w:tcPr>
            <w:tcW w:w="884" w:type="dxa"/>
            <w:noWrap w:val="0"/>
            <w:vAlign w:val="center"/>
          </w:tcPr>
          <w:p w14:paraId="06B661A7">
            <w:pPr>
              <w:adjustRightInd w:val="0"/>
              <w:spacing w:line="360" w:lineRule="auto"/>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lang w:val="en-US" w:eastAsia="zh-CN"/>
              </w:rPr>
              <w:t>10</w:t>
            </w:r>
            <w:r>
              <w:rPr>
                <w:rFonts w:hint="eastAsia" w:ascii="宋体" w:hAnsi="宋体" w:eastAsia="宋体" w:cs="宋体"/>
                <w:b/>
                <w:color w:val="auto"/>
                <w:szCs w:val="21"/>
              </w:rPr>
              <w:t>分</w:t>
            </w:r>
          </w:p>
        </w:tc>
        <w:tc>
          <w:tcPr>
            <w:tcW w:w="1365" w:type="dxa"/>
            <w:noWrap w:val="0"/>
            <w:vAlign w:val="center"/>
          </w:tcPr>
          <w:p w14:paraId="459645E3">
            <w:pPr>
              <w:spacing w:line="360" w:lineRule="auto"/>
              <w:jc w:val="center"/>
              <w:rPr>
                <w:rFonts w:hint="eastAsia" w:ascii="宋体" w:hAnsi="宋体" w:eastAsia="宋体" w:cs="宋体"/>
                <w:color w:val="auto"/>
                <w:szCs w:val="21"/>
                <w:lang w:eastAsia="zh-CN"/>
              </w:rPr>
            </w:pPr>
            <w:r>
              <w:rPr>
                <w:rFonts w:hint="eastAsia" w:ascii="宋体" w:hAnsi="宋体" w:eastAsia="宋体" w:cs="宋体"/>
                <w:b/>
                <w:color w:val="auto"/>
              </w:rPr>
              <w:t>业绩分</w:t>
            </w:r>
            <w:r>
              <w:rPr>
                <w:rFonts w:hint="eastAsia" w:ascii="宋体" w:hAnsi="宋体" w:eastAsia="宋体" w:cs="宋体"/>
                <w:b/>
                <w:color w:val="auto"/>
                <w:lang w:val="en-US" w:eastAsia="zh-CN"/>
              </w:rPr>
              <w:t>（满分10分）</w:t>
            </w:r>
          </w:p>
        </w:tc>
        <w:tc>
          <w:tcPr>
            <w:tcW w:w="5646" w:type="dxa"/>
            <w:noWrap w:val="0"/>
            <w:vAlign w:val="center"/>
          </w:tcPr>
          <w:p w14:paraId="7772831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bookmarkStart w:id="79" w:name="_GoBack"/>
            <w:r>
              <w:rPr>
                <w:rFonts w:hint="eastAsia" w:ascii="宋体" w:hAnsi="宋体" w:eastAsia="宋体" w:cs="宋体"/>
                <w:color w:val="auto"/>
              </w:rPr>
              <w:t>供应商自2021年1月1日以来参加同类项目业绩（课题成果研究及建设等）的，每项得2分，满分10分（以中标（成交）通知书或合同等验收证明文件为准，并提供扫描件）。</w:t>
            </w:r>
          </w:p>
          <w:p w14:paraId="583BEE6E">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Cs/>
                <w:color w:val="auto"/>
                <w:szCs w:val="21"/>
              </w:rPr>
            </w:pPr>
            <w:r>
              <w:rPr>
                <w:rFonts w:hint="eastAsia" w:ascii="宋体" w:hAnsi="宋体" w:eastAsia="宋体" w:cs="宋体"/>
                <w:b/>
                <w:bCs/>
                <w:color w:val="auto"/>
              </w:rPr>
              <w:t>注：供应商在响应文件中，须将具体项目以列表的形式 表现，后附中标（成交）通知书或服务合同相关材料扫描件。 同一个编号的项目有两个或两个以上的分标中标（成交）的只算</w:t>
            </w:r>
            <w:r>
              <w:rPr>
                <w:rFonts w:hint="eastAsia" w:ascii="宋体" w:hAnsi="宋体" w:eastAsia="宋体" w:cs="宋体"/>
                <w:b/>
                <w:bCs/>
                <w:color w:val="auto"/>
                <w:lang w:val="en-US" w:eastAsia="zh-CN"/>
              </w:rPr>
              <w:t>2分</w:t>
            </w:r>
            <w:r>
              <w:rPr>
                <w:rFonts w:hint="eastAsia" w:ascii="宋体" w:hAnsi="宋体" w:eastAsia="宋体" w:cs="宋体"/>
                <w:b/>
                <w:bCs/>
                <w:color w:val="auto"/>
              </w:rPr>
              <w:t>。</w:t>
            </w:r>
            <w:bookmarkEnd w:id="79"/>
          </w:p>
        </w:tc>
      </w:tr>
      <w:tr w14:paraId="1BD6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578" w:type="dxa"/>
            <w:gridSpan w:val="5"/>
            <w:noWrap w:val="0"/>
            <w:vAlign w:val="center"/>
          </w:tcPr>
          <w:p w14:paraId="29B8E7AE">
            <w:pPr>
              <w:pStyle w:val="24"/>
              <w:spacing w:line="360" w:lineRule="auto"/>
              <w:rPr>
                <w:rFonts w:hint="eastAsia" w:ascii="宋体" w:hAnsi="宋体" w:eastAsia="宋体" w:cs="宋体"/>
                <w:bCs/>
                <w:color w:val="auto"/>
                <w:kern w:val="2"/>
                <w:sz w:val="21"/>
              </w:rPr>
            </w:pPr>
            <w:r>
              <w:rPr>
                <w:rFonts w:hint="eastAsia" w:ascii="宋体" w:hAnsi="宋体" w:eastAsia="宋体" w:cs="宋体"/>
                <w:b/>
                <w:bCs/>
                <w:color w:val="auto"/>
                <w:kern w:val="2"/>
                <w:sz w:val="21"/>
              </w:rPr>
              <w:t>总得分=1+2+3。</w:t>
            </w:r>
          </w:p>
        </w:tc>
      </w:tr>
    </w:tbl>
    <w:p w14:paraId="1C574201">
      <w:pPr>
        <w:rPr>
          <w:rFonts w:hint="eastAsia" w:ascii="宋体" w:hAnsi="宋体" w:eastAsia="宋体" w:cs="宋体"/>
          <w:color w:val="auto"/>
          <w:highlight w:val="none"/>
        </w:rPr>
      </w:pPr>
    </w:p>
    <w:p w14:paraId="03D51699">
      <w:pPr>
        <w:pStyle w:val="28"/>
        <w:rPr>
          <w:rFonts w:hint="eastAsia" w:ascii="宋体" w:hAnsi="宋体" w:eastAsia="宋体" w:cs="宋体"/>
          <w:color w:val="auto"/>
          <w:highlight w:val="none"/>
        </w:rPr>
      </w:pPr>
    </w:p>
    <w:p w14:paraId="10E1D613">
      <w:pPr>
        <w:pStyle w:val="34"/>
        <w:spacing w:line="360" w:lineRule="auto"/>
        <w:ind w:lef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三、成交候选供应商推荐原则</w:t>
      </w:r>
    </w:p>
    <w:p w14:paraId="342373D6">
      <w:pPr>
        <w:pStyle w:val="24"/>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color w:val="auto"/>
          <w:highlight w:val="none"/>
        </w:rPr>
        <w:t>（一）磋商小组将根据得分由高到低排列次序（得分相同时，以磋商报价</w:t>
      </w:r>
      <w:r>
        <w:rPr>
          <w:rFonts w:hint="eastAsia" w:ascii="宋体" w:hAnsi="宋体" w:eastAsia="宋体" w:cs="宋体"/>
          <w:b/>
          <w:color w:val="auto"/>
          <w:highlight w:val="none"/>
        </w:rPr>
        <w:t>由低到高</w:t>
      </w:r>
      <w:r>
        <w:rPr>
          <w:rFonts w:hint="eastAsia" w:ascii="宋体" w:hAnsi="宋体" w:eastAsia="宋体" w:cs="宋体"/>
          <w:color w:val="auto"/>
          <w:highlight w:val="none"/>
        </w:rPr>
        <w:t>顺序排列；得分相同且磋商报价相同的，按技术指标优劣顺序排列）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3012B139">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25F8B316">
      <w:pPr>
        <w:pStyle w:val="24"/>
        <w:spacing w:line="360" w:lineRule="auto"/>
        <w:jc w:val="center"/>
        <w:rPr>
          <w:rFonts w:hint="eastAsia" w:ascii="宋体" w:hAnsi="宋体" w:eastAsia="宋体" w:cs="宋体"/>
          <w:color w:val="auto"/>
          <w:highlight w:val="none"/>
        </w:rPr>
      </w:pPr>
    </w:p>
    <w:bookmarkEnd w:id="39"/>
    <w:p w14:paraId="117892D5">
      <w:pPr>
        <w:pStyle w:val="38"/>
        <w:spacing w:line="360" w:lineRule="auto"/>
        <w:outlineLvl w:val="9"/>
        <w:rPr>
          <w:rFonts w:hint="eastAsia" w:ascii="宋体" w:hAnsi="宋体" w:eastAsia="宋体" w:cs="宋体"/>
          <w:color w:val="auto"/>
          <w:kern w:val="0"/>
          <w:sz w:val="44"/>
          <w:szCs w:val="44"/>
          <w:highlight w:val="none"/>
        </w:rPr>
      </w:pPr>
      <w:bookmarkStart w:id="44" w:name="_Toc476258672"/>
    </w:p>
    <w:p w14:paraId="349BC17E">
      <w:pPr>
        <w:pStyle w:val="38"/>
        <w:spacing w:line="360" w:lineRule="auto"/>
        <w:outlineLvl w:val="9"/>
        <w:rPr>
          <w:rFonts w:hint="eastAsia" w:ascii="宋体" w:hAnsi="宋体" w:eastAsia="宋体" w:cs="宋体"/>
          <w:color w:val="auto"/>
          <w:kern w:val="0"/>
          <w:sz w:val="44"/>
          <w:szCs w:val="44"/>
          <w:highlight w:val="none"/>
        </w:rPr>
      </w:pPr>
    </w:p>
    <w:p w14:paraId="681AAC6F">
      <w:pPr>
        <w:rPr>
          <w:rFonts w:hint="eastAsia" w:ascii="宋体" w:hAnsi="宋体" w:eastAsia="宋体" w:cs="宋体"/>
          <w:color w:val="auto"/>
          <w:highlight w:val="none"/>
        </w:rPr>
      </w:pPr>
    </w:p>
    <w:p w14:paraId="30EB9182">
      <w:pPr>
        <w:pStyle w:val="38"/>
        <w:spacing w:line="360" w:lineRule="auto"/>
        <w:outlineLvl w:val="9"/>
        <w:rPr>
          <w:rFonts w:hint="eastAsia" w:ascii="宋体" w:hAnsi="宋体" w:eastAsia="宋体" w:cs="宋体"/>
          <w:color w:val="auto"/>
          <w:kern w:val="0"/>
          <w:sz w:val="44"/>
          <w:szCs w:val="44"/>
          <w:highlight w:val="none"/>
        </w:rPr>
      </w:pPr>
    </w:p>
    <w:p w14:paraId="2BD026CA">
      <w:pPr>
        <w:pStyle w:val="38"/>
        <w:spacing w:line="360" w:lineRule="auto"/>
        <w:outlineLvl w:val="9"/>
        <w:rPr>
          <w:rFonts w:hint="eastAsia" w:ascii="宋体" w:hAnsi="宋体" w:eastAsia="宋体" w:cs="宋体"/>
          <w:color w:val="auto"/>
          <w:kern w:val="0"/>
          <w:sz w:val="44"/>
          <w:szCs w:val="44"/>
          <w:highlight w:val="none"/>
        </w:rPr>
      </w:pPr>
    </w:p>
    <w:p w14:paraId="6C545B98">
      <w:pPr>
        <w:pStyle w:val="38"/>
        <w:spacing w:line="360" w:lineRule="auto"/>
        <w:outlineLvl w:val="9"/>
        <w:rPr>
          <w:rFonts w:hint="eastAsia" w:ascii="宋体" w:hAnsi="宋体" w:eastAsia="宋体" w:cs="宋体"/>
          <w:color w:val="auto"/>
          <w:kern w:val="0"/>
          <w:sz w:val="44"/>
          <w:szCs w:val="44"/>
          <w:highlight w:val="none"/>
        </w:rPr>
      </w:pPr>
    </w:p>
    <w:p w14:paraId="20B2241B">
      <w:pPr>
        <w:rPr>
          <w:rFonts w:hint="eastAsia" w:ascii="宋体" w:hAnsi="宋体" w:eastAsia="宋体" w:cs="宋体"/>
          <w:color w:val="auto"/>
          <w:highlight w:val="none"/>
        </w:rPr>
      </w:pPr>
    </w:p>
    <w:p w14:paraId="731D7623">
      <w:pPr>
        <w:pStyle w:val="28"/>
        <w:rPr>
          <w:rFonts w:hint="eastAsia" w:ascii="宋体" w:hAnsi="宋体" w:eastAsia="宋体" w:cs="宋体"/>
          <w:color w:val="auto"/>
          <w:highlight w:val="none"/>
        </w:rPr>
      </w:pPr>
    </w:p>
    <w:p w14:paraId="6BFC0B84">
      <w:pPr>
        <w:pStyle w:val="28"/>
        <w:rPr>
          <w:rFonts w:hint="eastAsia" w:ascii="宋体" w:hAnsi="宋体" w:eastAsia="宋体" w:cs="宋体"/>
          <w:color w:val="auto"/>
          <w:highlight w:val="none"/>
        </w:rPr>
      </w:pPr>
    </w:p>
    <w:p w14:paraId="09D0403F">
      <w:pPr>
        <w:pStyle w:val="28"/>
        <w:rPr>
          <w:rFonts w:hint="eastAsia" w:ascii="宋体" w:hAnsi="宋体" w:eastAsia="宋体" w:cs="宋体"/>
          <w:color w:val="auto"/>
          <w:highlight w:val="none"/>
        </w:rPr>
      </w:pPr>
    </w:p>
    <w:p w14:paraId="7269B59D">
      <w:pPr>
        <w:pStyle w:val="28"/>
        <w:rPr>
          <w:rFonts w:hint="eastAsia" w:ascii="宋体" w:hAnsi="宋体" w:eastAsia="宋体" w:cs="宋体"/>
          <w:color w:val="auto"/>
          <w:highlight w:val="none"/>
        </w:rPr>
      </w:pPr>
    </w:p>
    <w:p w14:paraId="69F5BAE7">
      <w:pPr>
        <w:rPr>
          <w:rFonts w:hint="eastAsia" w:ascii="宋体" w:hAnsi="宋体" w:eastAsia="宋体" w:cs="宋体"/>
          <w:color w:val="auto"/>
          <w:highlight w:val="none"/>
        </w:rPr>
      </w:pPr>
    </w:p>
    <w:p w14:paraId="44874D3E">
      <w:pPr>
        <w:pStyle w:val="38"/>
        <w:spacing w:line="360" w:lineRule="auto"/>
        <w:rPr>
          <w:rFonts w:hint="eastAsia" w:ascii="宋体" w:hAnsi="宋体" w:eastAsia="宋体" w:cs="宋体"/>
          <w:color w:val="auto"/>
          <w:sz w:val="44"/>
          <w:szCs w:val="44"/>
          <w:highlight w:val="none"/>
        </w:rPr>
      </w:pPr>
      <w:bookmarkStart w:id="45" w:name="_Toc15971"/>
      <w:r>
        <w:rPr>
          <w:rFonts w:hint="eastAsia" w:ascii="宋体" w:hAnsi="宋体" w:eastAsia="宋体" w:cs="宋体"/>
          <w:color w:val="auto"/>
          <w:sz w:val="44"/>
          <w:szCs w:val="44"/>
          <w:highlight w:val="none"/>
        </w:rPr>
        <w:t>第五章  合同主要条款</w:t>
      </w:r>
      <w:bookmarkEnd w:id="44"/>
      <w:bookmarkEnd w:id="45"/>
    </w:p>
    <w:p w14:paraId="57EF7FC8">
      <w:pPr>
        <w:spacing w:line="360" w:lineRule="auto"/>
        <w:ind w:left="420" w:hanging="420"/>
        <w:jc w:val="center"/>
        <w:rPr>
          <w:rFonts w:hint="eastAsia" w:ascii="宋体" w:hAnsi="宋体" w:eastAsia="宋体" w:cs="宋体"/>
          <w:b/>
          <w:color w:val="auto"/>
          <w:kern w:val="0"/>
          <w:sz w:val="32"/>
          <w:szCs w:val="32"/>
          <w:highlight w:val="none"/>
        </w:rPr>
      </w:pPr>
    </w:p>
    <w:p w14:paraId="4A169344">
      <w:pPr>
        <w:spacing w:line="360" w:lineRule="auto"/>
        <w:ind w:left="420" w:hanging="420"/>
        <w:jc w:val="center"/>
        <w:rPr>
          <w:rFonts w:hint="eastAsia" w:ascii="宋体" w:hAnsi="宋体" w:eastAsia="宋体" w:cs="宋体"/>
          <w:b/>
          <w:color w:val="auto"/>
          <w:kern w:val="0"/>
          <w:sz w:val="32"/>
          <w:szCs w:val="32"/>
          <w:highlight w:val="none"/>
        </w:rPr>
      </w:pPr>
    </w:p>
    <w:p w14:paraId="1AF0D59E">
      <w:pPr>
        <w:spacing w:line="360" w:lineRule="auto"/>
        <w:ind w:left="420" w:hanging="420"/>
        <w:jc w:val="center"/>
        <w:rPr>
          <w:rFonts w:hint="eastAsia" w:ascii="宋体" w:hAnsi="宋体" w:eastAsia="宋体" w:cs="宋体"/>
          <w:b/>
          <w:color w:val="auto"/>
          <w:kern w:val="0"/>
          <w:sz w:val="32"/>
          <w:szCs w:val="32"/>
          <w:highlight w:val="none"/>
        </w:rPr>
      </w:pPr>
    </w:p>
    <w:p w14:paraId="4EEC36FD">
      <w:pPr>
        <w:spacing w:line="360" w:lineRule="auto"/>
        <w:ind w:left="420" w:hanging="420"/>
        <w:jc w:val="center"/>
        <w:rPr>
          <w:rFonts w:hint="eastAsia" w:ascii="宋体" w:hAnsi="宋体" w:eastAsia="宋体" w:cs="宋体"/>
          <w:b/>
          <w:color w:val="auto"/>
          <w:kern w:val="0"/>
          <w:sz w:val="32"/>
          <w:szCs w:val="32"/>
          <w:highlight w:val="none"/>
        </w:rPr>
      </w:pPr>
    </w:p>
    <w:p w14:paraId="4278284E">
      <w:pPr>
        <w:spacing w:line="360" w:lineRule="auto"/>
        <w:ind w:left="420" w:hanging="420"/>
        <w:jc w:val="center"/>
        <w:rPr>
          <w:rFonts w:hint="eastAsia" w:ascii="宋体" w:hAnsi="宋体" w:eastAsia="宋体" w:cs="宋体"/>
          <w:b/>
          <w:color w:val="auto"/>
          <w:kern w:val="0"/>
          <w:sz w:val="32"/>
          <w:szCs w:val="32"/>
          <w:highlight w:val="none"/>
        </w:rPr>
      </w:pPr>
    </w:p>
    <w:p w14:paraId="015FFF99">
      <w:pPr>
        <w:spacing w:line="360" w:lineRule="auto"/>
        <w:ind w:left="420" w:hanging="420"/>
        <w:jc w:val="center"/>
        <w:rPr>
          <w:rFonts w:hint="eastAsia" w:ascii="宋体" w:hAnsi="宋体" w:eastAsia="宋体" w:cs="宋体"/>
          <w:b/>
          <w:color w:val="auto"/>
          <w:kern w:val="0"/>
          <w:sz w:val="32"/>
          <w:szCs w:val="32"/>
          <w:highlight w:val="none"/>
        </w:rPr>
      </w:pPr>
    </w:p>
    <w:p w14:paraId="157C1C8A">
      <w:pPr>
        <w:spacing w:line="360" w:lineRule="auto"/>
        <w:jc w:val="center"/>
        <w:rPr>
          <w:rFonts w:hint="eastAsia" w:ascii="宋体" w:hAnsi="宋体" w:eastAsia="宋体" w:cs="宋体"/>
          <w:b/>
          <w:color w:val="auto"/>
          <w:sz w:val="32"/>
          <w:szCs w:val="32"/>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44"/>
          <w:szCs w:val="44"/>
        </w:rPr>
        <w:t>采 购 合 同（格式）</w:t>
      </w:r>
    </w:p>
    <w:p w14:paraId="3E5F48B6">
      <w:pPr>
        <w:spacing w:line="520" w:lineRule="exact"/>
        <w:rPr>
          <w:rFonts w:hint="eastAsia" w:ascii="宋体" w:hAnsi="宋体" w:eastAsia="宋体" w:cs="宋体"/>
          <w:b/>
          <w:color w:val="auto"/>
          <w:sz w:val="32"/>
          <w:szCs w:val="32"/>
        </w:rPr>
      </w:pPr>
    </w:p>
    <w:p w14:paraId="48E3385F">
      <w:pPr>
        <w:spacing w:line="520" w:lineRule="exact"/>
        <w:rPr>
          <w:rFonts w:hint="eastAsia" w:ascii="宋体" w:hAnsi="宋体" w:eastAsia="宋体" w:cs="宋体"/>
          <w:b/>
          <w:color w:val="auto"/>
          <w:sz w:val="32"/>
          <w:szCs w:val="32"/>
        </w:rPr>
      </w:pPr>
    </w:p>
    <w:p w14:paraId="5098EA01">
      <w:pPr>
        <w:spacing w:line="440" w:lineRule="exact"/>
        <w:ind w:right="800"/>
        <w:rPr>
          <w:rFonts w:hint="eastAsia" w:ascii="宋体" w:hAnsi="宋体" w:eastAsia="宋体" w:cs="宋体"/>
          <w:bCs/>
          <w:color w:val="auto"/>
          <w:szCs w:val="21"/>
          <w:u w:val="single"/>
        </w:rPr>
      </w:pPr>
      <w:r>
        <w:rPr>
          <w:rFonts w:hint="eastAsia" w:ascii="宋体" w:hAnsi="宋体" w:eastAsia="宋体" w:cs="宋体"/>
          <w:color w:val="auto"/>
          <w:szCs w:val="21"/>
        </w:rPr>
        <w:t>采购计划号：</w:t>
      </w:r>
      <w:r>
        <w:rPr>
          <w:rFonts w:hint="eastAsia"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宋体"/>
          <w:color w:val="auto"/>
          <w:szCs w:val="21"/>
        </w:rPr>
        <w:t xml:space="preserve"> </w:t>
      </w:r>
      <w:r>
        <w:rPr>
          <w:rFonts w:hint="eastAsia" w:ascii="宋体" w:hAnsi="宋体" w:eastAsia="宋体" w:cs="宋体"/>
          <w:bCs/>
          <w:color w:val="auto"/>
          <w:szCs w:val="21"/>
        </w:rPr>
        <w:t>合同编号：</w:t>
      </w:r>
      <w:r>
        <w:rPr>
          <w:rFonts w:hint="eastAsia" w:ascii="宋体" w:hAnsi="宋体" w:eastAsia="宋体" w:cs="宋体"/>
          <w:color w:val="auto"/>
          <w:u w:val="single"/>
        </w:rPr>
        <w:t xml:space="preserve">                         </w:t>
      </w:r>
      <w:r>
        <w:rPr>
          <w:rFonts w:hint="eastAsia" w:ascii="宋体" w:hAnsi="宋体" w:eastAsia="宋体" w:cs="宋体"/>
          <w:color w:val="auto"/>
        </w:rPr>
        <w:t>。</w:t>
      </w:r>
    </w:p>
    <w:p w14:paraId="209B05A8">
      <w:pPr>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采购人（甲方）：</w:t>
      </w:r>
      <w:r>
        <w:rPr>
          <w:rFonts w:hint="eastAsia"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宋体"/>
          <w:color w:val="auto"/>
          <w:szCs w:val="21"/>
        </w:rPr>
        <w:t>供应商（乙方）：</w:t>
      </w:r>
      <w:r>
        <w:rPr>
          <w:rFonts w:hint="eastAsia" w:ascii="宋体" w:hAnsi="宋体" w:eastAsia="宋体" w:cs="宋体"/>
          <w:color w:val="auto"/>
          <w:u w:val="single"/>
        </w:rPr>
        <w:t xml:space="preserve">                    </w:t>
      </w:r>
      <w:r>
        <w:rPr>
          <w:rFonts w:hint="eastAsia" w:ascii="宋体" w:hAnsi="宋体" w:eastAsia="宋体" w:cs="宋体"/>
          <w:color w:val="auto"/>
        </w:rPr>
        <w:t>。</w:t>
      </w:r>
    </w:p>
    <w:p w14:paraId="5A8E3796">
      <w:pPr>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宋体"/>
          <w:color w:val="auto"/>
          <w:szCs w:val="21"/>
          <w:lang w:eastAsia="zh-CN"/>
        </w:rPr>
        <w:t>项目编号：</w:t>
      </w:r>
      <w:r>
        <w:rPr>
          <w:rFonts w:hint="eastAsia" w:ascii="宋体" w:hAnsi="宋体" w:eastAsia="宋体" w:cs="宋体"/>
          <w:color w:val="auto"/>
          <w:szCs w:val="21"/>
          <w:u w:val="single"/>
          <w:lang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w:t>
      </w:r>
    </w:p>
    <w:p w14:paraId="123DC03D">
      <w:pPr>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签订地点：</w:t>
      </w:r>
      <w:r>
        <w:rPr>
          <w:rFonts w:hint="eastAsia"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宋体"/>
          <w:color w:val="auto"/>
          <w:szCs w:val="21"/>
        </w:rPr>
        <w:t>签订时间：</w:t>
      </w:r>
      <w:r>
        <w:rPr>
          <w:rFonts w:hint="eastAsia" w:ascii="宋体" w:hAnsi="宋体" w:eastAsia="宋体" w:cs="宋体"/>
          <w:color w:val="auto"/>
          <w:u w:val="single"/>
        </w:rPr>
        <w:t xml:space="preserve">                          </w:t>
      </w:r>
      <w:r>
        <w:rPr>
          <w:rFonts w:hint="eastAsia" w:ascii="宋体" w:hAnsi="宋体" w:eastAsia="宋体" w:cs="宋体"/>
          <w:color w:val="auto"/>
        </w:rPr>
        <w:t>。</w:t>
      </w:r>
    </w:p>
    <w:p w14:paraId="33DDC50D">
      <w:pPr>
        <w:spacing w:line="400" w:lineRule="exact"/>
        <w:rPr>
          <w:rFonts w:hint="eastAsia" w:ascii="宋体" w:hAnsi="宋体" w:eastAsia="宋体" w:cs="宋体"/>
          <w:color w:val="auto"/>
          <w:szCs w:val="21"/>
        </w:rPr>
      </w:pPr>
      <w:r>
        <w:rPr>
          <w:rFonts w:hint="eastAsia" w:ascii="宋体" w:hAnsi="宋体" w:eastAsia="宋体" w:cs="宋体"/>
          <w:color w:val="auto"/>
          <w:szCs w:val="21"/>
        </w:rPr>
        <w:t>本合同为中小企业预留合同：</w:t>
      </w:r>
      <w:r>
        <w:rPr>
          <w:rFonts w:hint="eastAsia" w:ascii="宋体" w:hAnsi="宋体" w:eastAsia="宋体" w:cs="宋体"/>
          <w:color w:val="auto"/>
          <w:u w:val="single"/>
        </w:rPr>
        <w:t>（是/否）</w:t>
      </w:r>
      <w:r>
        <w:rPr>
          <w:rFonts w:hint="eastAsia" w:ascii="宋体" w:hAnsi="宋体" w:eastAsia="宋体" w:cs="宋体"/>
          <w:color w:val="auto"/>
          <w:szCs w:val="21"/>
        </w:rPr>
        <w:t>。</w:t>
      </w:r>
    </w:p>
    <w:p w14:paraId="67C38B47">
      <w:pPr>
        <w:spacing w:line="400" w:lineRule="exact"/>
        <w:ind w:firstLine="420" w:firstLineChars="200"/>
        <w:rPr>
          <w:rFonts w:hint="eastAsia" w:ascii="宋体" w:hAnsi="宋体" w:eastAsia="宋体" w:cs="宋体"/>
          <w:color w:val="auto"/>
          <w:szCs w:val="21"/>
        </w:rPr>
      </w:pPr>
    </w:p>
    <w:p w14:paraId="6DFFB1DE">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根据《中华人民共和国政府采购法》、《中华人民共和国民法典》等法律、法规规定，按照竞争性磋商文件（以下简称“采购文件”）规定条款和乙方响应文件及其承诺，甲乙双方签订本合同。</w:t>
      </w:r>
    </w:p>
    <w:p w14:paraId="3C5969F0">
      <w:pPr>
        <w:snapToGrid w:val="0"/>
        <w:spacing w:line="3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第一条　合同标的</w:t>
      </w:r>
    </w:p>
    <w:p w14:paraId="161A0456">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1.项目一览表</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956"/>
        <w:gridCol w:w="2565"/>
        <w:gridCol w:w="1284"/>
        <w:gridCol w:w="1000"/>
        <w:gridCol w:w="2240"/>
      </w:tblGrid>
      <w:tr w14:paraId="7236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13" w:type="pct"/>
            <w:tcBorders>
              <w:top w:val="single" w:color="auto" w:sz="4" w:space="0"/>
              <w:left w:val="single" w:color="auto" w:sz="4" w:space="0"/>
              <w:bottom w:val="single" w:color="auto" w:sz="4" w:space="0"/>
              <w:right w:val="single" w:color="auto" w:sz="4" w:space="0"/>
            </w:tcBorders>
            <w:noWrap w:val="0"/>
            <w:vAlign w:val="center"/>
          </w:tcPr>
          <w:p w14:paraId="12692684">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992" w:type="pct"/>
            <w:tcBorders>
              <w:top w:val="single" w:color="auto" w:sz="4" w:space="0"/>
              <w:left w:val="single" w:color="auto" w:sz="4" w:space="0"/>
              <w:bottom w:val="single" w:color="auto" w:sz="4" w:space="0"/>
              <w:right w:val="single" w:color="auto" w:sz="4" w:space="0"/>
            </w:tcBorders>
            <w:noWrap w:val="0"/>
            <w:vAlign w:val="center"/>
          </w:tcPr>
          <w:p w14:paraId="684D4843">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1301" w:type="pct"/>
            <w:tcBorders>
              <w:top w:val="single" w:color="auto" w:sz="4" w:space="0"/>
              <w:left w:val="single" w:color="auto" w:sz="4" w:space="0"/>
              <w:bottom w:val="single" w:color="auto" w:sz="4" w:space="0"/>
              <w:right w:val="single" w:color="auto" w:sz="4" w:space="0"/>
            </w:tcBorders>
            <w:noWrap w:val="0"/>
            <w:vAlign w:val="center"/>
          </w:tcPr>
          <w:p w14:paraId="63BE546B">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服务内容</w:t>
            </w:r>
          </w:p>
        </w:tc>
        <w:tc>
          <w:tcPr>
            <w:tcW w:w="651" w:type="pct"/>
            <w:tcBorders>
              <w:top w:val="single" w:color="auto" w:sz="4" w:space="0"/>
              <w:left w:val="single" w:color="auto" w:sz="4" w:space="0"/>
              <w:bottom w:val="single" w:color="auto" w:sz="4" w:space="0"/>
              <w:right w:val="single" w:color="auto" w:sz="4" w:space="0"/>
            </w:tcBorders>
            <w:noWrap w:val="0"/>
            <w:vAlign w:val="center"/>
          </w:tcPr>
          <w:p w14:paraId="3DD9EC62">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5C78D0BF">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1137" w:type="pct"/>
            <w:tcBorders>
              <w:top w:val="single" w:color="auto" w:sz="4" w:space="0"/>
              <w:left w:val="single" w:color="auto" w:sz="4" w:space="0"/>
              <w:bottom w:val="single" w:color="auto" w:sz="4" w:space="0"/>
              <w:right w:val="single" w:color="auto" w:sz="4" w:space="0"/>
            </w:tcBorders>
            <w:noWrap w:val="0"/>
            <w:vAlign w:val="center"/>
          </w:tcPr>
          <w:p w14:paraId="06D7A4E2">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合同总价（元）</w:t>
            </w:r>
          </w:p>
        </w:tc>
      </w:tr>
      <w:tr w14:paraId="79B5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13" w:type="pct"/>
            <w:tcBorders>
              <w:top w:val="single" w:color="auto" w:sz="4" w:space="0"/>
              <w:left w:val="single" w:color="auto" w:sz="4" w:space="0"/>
              <w:bottom w:val="single" w:color="auto" w:sz="4" w:space="0"/>
              <w:right w:val="single" w:color="auto" w:sz="4" w:space="0"/>
            </w:tcBorders>
            <w:noWrap w:val="0"/>
            <w:vAlign w:val="center"/>
          </w:tcPr>
          <w:p w14:paraId="4B0F6B44">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992" w:type="pct"/>
            <w:tcBorders>
              <w:top w:val="single" w:color="auto" w:sz="4" w:space="0"/>
              <w:left w:val="single" w:color="auto" w:sz="4" w:space="0"/>
              <w:bottom w:val="single" w:color="auto" w:sz="4" w:space="0"/>
              <w:right w:val="single" w:color="auto" w:sz="4" w:space="0"/>
            </w:tcBorders>
            <w:noWrap w:val="0"/>
            <w:vAlign w:val="center"/>
          </w:tcPr>
          <w:p w14:paraId="49AA7547">
            <w:pPr>
              <w:spacing w:line="360" w:lineRule="exact"/>
              <w:jc w:val="center"/>
              <w:rPr>
                <w:rFonts w:hint="eastAsia" w:ascii="宋体" w:hAnsi="宋体" w:eastAsia="宋体" w:cs="宋体"/>
                <w:color w:val="auto"/>
                <w:szCs w:val="21"/>
              </w:rPr>
            </w:pPr>
          </w:p>
        </w:tc>
        <w:tc>
          <w:tcPr>
            <w:tcW w:w="1301" w:type="pct"/>
            <w:tcBorders>
              <w:top w:val="single" w:color="auto" w:sz="4" w:space="0"/>
              <w:left w:val="single" w:color="auto" w:sz="4" w:space="0"/>
              <w:bottom w:val="single" w:color="auto" w:sz="4" w:space="0"/>
              <w:right w:val="single" w:color="auto" w:sz="4" w:space="0"/>
            </w:tcBorders>
            <w:noWrap w:val="0"/>
            <w:vAlign w:val="center"/>
          </w:tcPr>
          <w:p w14:paraId="44B4AA65">
            <w:pPr>
              <w:spacing w:line="360" w:lineRule="exact"/>
              <w:jc w:val="center"/>
              <w:rPr>
                <w:rFonts w:hint="eastAsia" w:ascii="宋体" w:hAnsi="宋体" w:eastAsia="宋体" w:cs="宋体"/>
                <w:color w:val="auto"/>
                <w:szCs w:val="21"/>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2FA44733">
            <w:pPr>
              <w:spacing w:line="360" w:lineRule="exact"/>
              <w:jc w:val="center"/>
              <w:rPr>
                <w:rFonts w:hint="eastAsia" w:ascii="宋体" w:hAnsi="宋体" w:eastAsia="宋体" w:cs="宋体"/>
                <w:color w:val="auto"/>
                <w:szCs w:val="21"/>
              </w:rPr>
            </w:pPr>
          </w:p>
        </w:tc>
        <w:tc>
          <w:tcPr>
            <w:tcW w:w="507" w:type="pct"/>
            <w:tcBorders>
              <w:top w:val="single" w:color="auto" w:sz="4" w:space="0"/>
              <w:left w:val="single" w:color="auto" w:sz="4" w:space="0"/>
              <w:bottom w:val="single" w:color="auto" w:sz="4" w:space="0"/>
              <w:right w:val="single" w:color="auto" w:sz="4" w:space="0"/>
            </w:tcBorders>
            <w:noWrap w:val="0"/>
            <w:vAlign w:val="center"/>
          </w:tcPr>
          <w:p w14:paraId="339C0F40">
            <w:pPr>
              <w:spacing w:line="360" w:lineRule="exact"/>
              <w:jc w:val="center"/>
              <w:rPr>
                <w:rFonts w:hint="eastAsia" w:ascii="宋体" w:hAnsi="宋体" w:eastAsia="宋体" w:cs="宋体"/>
                <w:color w:val="auto"/>
                <w:szCs w:val="21"/>
              </w:rPr>
            </w:pPr>
          </w:p>
        </w:tc>
        <w:tc>
          <w:tcPr>
            <w:tcW w:w="1137" w:type="pct"/>
            <w:tcBorders>
              <w:top w:val="single" w:color="auto" w:sz="4" w:space="0"/>
              <w:left w:val="single" w:color="auto" w:sz="4" w:space="0"/>
              <w:bottom w:val="single" w:color="auto" w:sz="4" w:space="0"/>
              <w:right w:val="single" w:color="auto" w:sz="4" w:space="0"/>
            </w:tcBorders>
            <w:noWrap w:val="0"/>
            <w:vAlign w:val="center"/>
          </w:tcPr>
          <w:p w14:paraId="6F57CFF2">
            <w:pPr>
              <w:spacing w:line="360" w:lineRule="exact"/>
              <w:jc w:val="center"/>
              <w:rPr>
                <w:rFonts w:hint="eastAsia" w:ascii="宋体" w:hAnsi="宋体" w:eastAsia="宋体" w:cs="宋体"/>
                <w:color w:val="auto"/>
                <w:szCs w:val="21"/>
              </w:rPr>
            </w:pPr>
          </w:p>
        </w:tc>
      </w:tr>
      <w:tr w14:paraId="3C86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7B042405">
            <w:pPr>
              <w:spacing w:line="360" w:lineRule="exact"/>
              <w:rPr>
                <w:rFonts w:hint="eastAsia" w:ascii="宋体" w:hAnsi="宋体" w:eastAsia="宋体" w:cs="宋体"/>
                <w:color w:val="auto"/>
                <w:szCs w:val="21"/>
              </w:rPr>
            </w:pPr>
            <w:r>
              <w:rPr>
                <w:rFonts w:hint="eastAsia" w:ascii="宋体" w:hAnsi="宋体" w:eastAsia="宋体" w:cs="宋体"/>
                <w:color w:val="auto"/>
                <w:szCs w:val="21"/>
              </w:rPr>
              <w:t>人民币合计金额（大写）：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tc>
      </w:tr>
    </w:tbl>
    <w:p w14:paraId="1B870706">
      <w:pPr>
        <w:tabs>
          <w:tab w:val="left" w:pos="8280"/>
        </w:tabs>
        <w:snapToGrid w:val="0"/>
        <w:spacing w:line="360" w:lineRule="exact"/>
        <w:ind w:right="26" w:firstLine="420" w:firstLineChars="200"/>
        <w:rPr>
          <w:rFonts w:hint="eastAsia" w:ascii="宋体" w:hAnsi="宋体" w:eastAsia="宋体" w:cs="宋体"/>
          <w:color w:val="auto"/>
          <w:szCs w:val="21"/>
        </w:rPr>
      </w:pPr>
      <w:r>
        <w:rPr>
          <w:rFonts w:hint="eastAsia" w:ascii="宋体" w:hAnsi="宋体" w:eastAsia="宋体" w:cs="宋体"/>
          <w:color w:val="auto"/>
          <w:szCs w:val="21"/>
        </w:rPr>
        <w:t>2.本项目为整体服务总价包干项目，为人民币含税价，包含但不限于异地调查与调研、差旅费、报告编制费、信息发布、项目所需投入的人员、办公设备、会议、印刷、项目评审、采购代理服务、验收、后续服务支持、税费等费用。甲方不再支付任何合同金额以外的费用。</w:t>
      </w:r>
    </w:p>
    <w:p w14:paraId="17A43B92">
      <w:pPr>
        <w:spacing w:line="3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第二条  质量保证</w:t>
      </w:r>
    </w:p>
    <w:p w14:paraId="1B5DD608">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166D9B5D">
      <w:pPr>
        <w:spacing w:line="36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第三条  权利保证</w:t>
      </w:r>
    </w:p>
    <w:p w14:paraId="2533CA06">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1.乙方应保证所提供服务在使用时不会侵犯任何第三方的专利权、商标权、工业设计权等知识产权及其他合法权利，且所有权、处分权等没有受到任何限制。</w:t>
      </w:r>
    </w:p>
    <w:p w14:paraId="15342F78">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没有甲方事先书面同意，乙方不得将由甲方提供的有关合同或者任何合同条文、规格、计划、图纸、样品或者资料提供给与履行本合同无关的任何其他人，也不得用于履行本合同之外的其他目的。即使向履行本合同有关的人员提供，也应注意保密并限于履行合同的必需范围。乙方的保密义务持续有效，不因为本合同履行终止、解除或者无效而解除。</w:t>
      </w:r>
    </w:p>
    <w:p w14:paraId="2C39A140">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3.因履行本合同所产生的成果及与此相关的知识产权及其完整所有权、使用权及转让权均归甲方所有。未经甲方授权，乙方不得使用或者将本合同成果披露，如有违反，乙方承担全部责任。</w:t>
      </w:r>
    </w:p>
    <w:p w14:paraId="239FAA60">
      <w:pPr>
        <w:spacing w:line="36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第四条  项目交付期限和验收</w:t>
      </w:r>
    </w:p>
    <w:p w14:paraId="737C5652">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1.提交服务成果时间：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。交付地点：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EF6B5C7">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2.后续服务要求：服务成果后的1年内，处理问题响应时间：接到采购人处理问题通知后24小时内到达采购人指定现场，并在8小时内处理好常规性问题。如遇特殊情况下，与甲方进一步协商。</w:t>
      </w:r>
    </w:p>
    <w:p w14:paraId="78E86F24">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项目验收方式：乙方提供验收成果材料给甲方，甲方邀请专家进行评审，经评审专家三分之二以上通过的视为合格，否则不为合格。验收不合格的，乙方应在收到甲方关于不合格的通知后30日内书面提请甲方再次验收。再次验收不合格的，视为乙方不能提交工作成果。</w:t>
      </w:r>
    </w:p>
    <w:p w14:paraId="2AAFDAC7">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4.验收成果内容：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5FDEDB0">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5.乙方应按响应文件的承诺向甲方提供相应的服务，并提供所服务内容的相关技术资料。</w:t>
      </w:r>
    </w:p>
    <w:p w14:paraId="75024664">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6.乙方提供不符合采购文件、响应文件和本合同规定的服务成果，甲方有权拒绝接受。</w:t>
      </w:r>
    </w:p>
    <w:p w14:paraId="474DF3AA">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7.乙方完成服务后应及时书面通知甲方进行验收。验收合格后由甲乙双方签署验收单并加盖甲方公章，甲乙双方各执一份。</w:t>
      </w:r>
    </w:p>
    <w:p w14:paraId="615A49B1">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8、甲方在最终评审过程中如发现乙方提供的服务成果不满足响应文件及本合同规定的，可暂缓向乙方付款，直到乙方及时完善并提交相应的服务成果且经甲方验收合格后，方可办理付款。</w:t>
      </w:r>
    </w:p>
    <w:p w14:paraId="1709634A">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9.甲方验收时以书面形式提出异议的，乙方应自收到甲方书面异议后五个工作日内及时予以解决，否则甲方有权不出具服务验收合格单。乙方逾期解决的，按照逾期交付承担违约责任。</w:t>
      </w:r>
    </w:p>
    <w:p w14:paraId="1FC04890">
      <w:pPr>
        <w:spacing w:line="360" w:lineRule="exact"/>
        <w:ind w:firstLine="422" w:firstLineChars="200"/>
        <w:rPr>
          <w:rFonts w:hint="eastAsia" w:ascii="宋体" w:hAnsi="宋体" w:eastAsia="宋体" w:cs="宋体"/>
          <w:color w:val="auto"/>
          <w:szCs w:val="21"/>
        </w:rPr>
      </w:pPr>
      <w:bookmarkStart w:id="46" w:name="_Toc24260"/>
      <w:bookmarkStart w:id="47" w:name="_Toc12741"/>
      <w:bookmarkStart w:id="48" w:name="_Toc24339"/>
      <w:r>
        <w:rPr>
          <w:rFonts w:hint="eastAsia" w:ascii="宋体" w:hAnsi="宋体" w:eastAsia="宋体" w:cs="宋体"/>
          <w:b/>
          <w:color w:val="auto"/>
          <w:kern w:val="0"/>
          <w:szCs w:val="21"/>
        </w:rPr>
        <w:t>备注：本项目如果因政策或其他原因，由一个项目变更为按两个或两个以上的项目分别实施，使得对应的专项咨询服务也需要按多个项目单独编制报批的，上述约定时间自行转为一期交付批复成果文件时间，其它期交付批复成果文件时间以甲方书面通知或签订补充协议约定为准。</w:t>
      </w:r>
      <w:bookmarkEnd w:id="46"/>
      <w:bookmarkEnd w:id="47"/>
      <w:bookmarkEnd w:id="48"/>
    </w:p>
    <w:p w14:paraId="16F2BF80">
      <w:pPr>
        <w:snapToGrid w:val="0"/>
        <w:spacing w:line="360" w:lineRule="exact"/>
        <w:ind w:firstLine="422" w:firstLineChars="200"/>
        <w:rPr>
          <w:rFonts w:hint="eastAsia" w:ascii="宋体" w:hAnsi="宋体" w:eastAsia="宋体" w:cs="宋体"/>
          <w:color w:val="auto"/>
          <w:szCs w:val="21"/>
          <w:u w:val="single"/>
        </w:rPr>
      </w:pPr>
      <w:r>
        <w:rPr>
          <w:rFonts w:hint="eastAsia" w:ascii="宋体" w:hAnsi="宋体" w:eastAsia="宋体" w:cs="宋体"/>
          <w:b/>
          <w:color w:val="auto"/>
          <w:szCs w:val="21"/>
        </w:rPr>
        <w:t>第五条  付款方式</w:t>
      </w:r>
    </w:p>
    <w:p w14:paraId="38C2F1EC">
      <w:pPr>
        <w:spacing w:line="3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甲乙双方同意本合同金额的支付按以下第</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项约定执行：</w:t>
      </w:r>
    </w:p>
    <w:p w14:paraId="7AC2C81B">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1.一次性支付；</w:t>
      </w:r>
    </w:p>
    <w:p w14:paraId="5AB5F23C">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2.分期支付</w:t>
      </w:r>
    </w:p>
    <w:p w14:paraId="2E94C3E3">
      <w:pPr>
        <w:numPr>
          <w:ilvl w:val="0"/>
          <w:numId w:val="3"/>
        </w:numPr>
        <w:spacing w:line="380" w:lineRule="exact"/>
        <w:ind w:left="0" w:leftChars="0" w:firstLine="400" w:firstLineChars="0"/>
        <w:rPr>
          <w:rFonts w:hint="eastAsia" w:ascii="宋体" w:hAnsi="宋体" w:eastAsia="宋体" w:cs="宋体"/>
          <w:color w:val="auto"/>
          <w:szCs w:val="21"/>
        </w:rPr>
      </w:pPr>
      <w:r>
        <w:rPr>
          <w:rFonts w:hint="eastAsia" w:ascii="宋体" w:hAnsi="宋体" w:eastAsia="宋体" w:cs="宋体"/>
          <w:color w:val="auto"/>
          <w:szCs w:val="21"/>
        </w:rPr>
        <w:t>在合同签订后7个工作日内，</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向</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支付总合同额的</w:t>
      </w:r>
      <w:r>
        <w:rPr>
          <w:rFonts w:hint="eastAsia" w:ascii="宋体" w:hAnsi="宋体" w:cs="宋体"/>
          <w:color w:val="auto"/>
          <w:szCs w:val="21"/>
          <w:lang w:val="en-US" w:eastAsia="zh-CN"/>
        </w:rPr>
        <w:t>5</w:t>
      </w:r>
      <w:r>
        <w:rPr>
          <w:rFonts w:hint="eastAsia" w:ascii="宋体" w:hAnsi="宋体" w:eastAsia="宋体" w:cs="宋体"/>
          <w:color w:val="auto"/>
          <w:szCs w:val="21"/>
        </w:rPr>
        <w:t>0%作为合同首期付款。</w:t>
      </w:r>
    </w:p>
    <w:p w14:paraId="52882B6F">
      <w:pPr>
        <w:numPr>
          <w:ilvl w:val="0"/>
          <w:numId w:val="3"/>
        </w:numPr>
        <w:spacing w:line="380" w:lineRule="exact"/>
        <w:ind w:left="0" w:leftChars="0" w:firstLine="400" w:firstLineChars="0"/>
        <w:rPr>
          <w:rFonts w:hint="eastAsia" w:ascii="宋体" w:hAnsi="宋体" w:eastAsia="宋体" w:cs="宋体"/>
          <w:color w:val="auto"/>
          <w:szCs w:val="21"/>
        </w:rPr>
      </w:pPr>
      <w:r>
        <w:rPr>
          <w:rFonts w:hint="eastAsia" w:ascii="宋体" w:hAnsi="宋体" w:eastAsia="宋体" w:cs="宋体"/>
          <w:color w:val="auto"/>
          <w:szCs w:val="21"/>
        </w:rPr>
        <w:t>在</w:t>
      </w:r>
      <w:r>
        <w:rPr>
          <w:rFonts w:hint="eastAsia" w:ascii="宋体" w:hAnsi="宋体" w:eastAsia="宋体" w:cs="宋体"/>
          <w:color w:val="auto"/>
          <w:szCs w:val="21"/>
          <w:lang w:val="en-US" w:eastAsia="zh-CN"/>
        </w:rPr>
        <w:t>本项目</w:t>
      </w:r>
      <w:r>
        <w:rPr>
          <w:rFonts w:hint="eastAsia" w:ascii="宋体" w:hAnsi="宋体" w:eastAsia="宋体" w:cs="宋体"/>
          <w:color w:val="auto"/>
          <w:szCs w:val="21"/>
        </w:rPr>
        <w:t>课题成果培育项目调研和培训完成后，</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向</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支付总合同额的</w:t>
      </w:r>
      <w:r>
        <w:rPr>
          <w:rFonts w:hint="eastAsia" w:ascii="宋体" w:hAnsi="宋体" w:cs="宋体"/>
          <w:color w:val="auto"/>
          <w:szCs w:val="21"/>
          <w:lang w:val="en-US" w:eastAsia="zh-CN"/>
        </w:rPr>
        <w:t>3</w:t>
      </w:r>
      <w:r>
        <w:rPr>
          <w:rFonts w:hint="eastAsia" w:ascii="宋体" w:hAnsi="宋体" w:eastAsia="宋体" w:cs="宋体"/>
          <w:color w:val="auto"/>
          <w:szCs w:val="21"/>
        </w:rPr>
        <w:t>0%款项。</w:t>
      </w:r>
    </w:p>
    <w:p w14:paraId="219997F3">
      <w:pPr>
        <w:numPr>
          <w:ilvl w:val="0"/>
          <w:numId w:val="3"/>
        </w:numPr>
        <w:spacing w:line="380" w:lineRule="exact"/>
        <w:ind w:left="0" w:leftChars="0" w:firstLine="400" w:firstLineChars="0"/>
        <w:rPr>
          <w:rFonts w:hint="eastAsia" w:ascii="宋体" w:hAnsi="宋体" w:eastAsia="宋体" w:cs="宋体"/>
          <w:color w:val="auto"/>
          <w:szCs w:val="21"/>
        </w:rPr>
      </w:pPr>
      <w:r>
        <w:rPr>
          <w:rFonts w:hint="eastAsia" w:ascii="宋体" w:hAnsi="宋体" w:eastAsia="宋体" w:cs="宋体"/>
          <w:color w:val="auto"/>
          <w:szCs w:val="21"/>
        </w:rPr>
        <w:t>本项目全部成果交付并由采购方验收合格后，</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向</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支付</w:t>
      </w:r>
      <w:r>
        <w:rPr>
          <w:rFonts w:hint="eastAsia" w:ascii="宋体" w:hAnsi="宋体" w:cs="宋体"/>
          <w:color w:val="auto"/>
          <w:szCs w:val="21"/>
          <w:lang w:val="en-US" w:eastAsia="zh-CN"/>
        </w:rPr>
        <w:t>2</w:t>
      </w:r>
      <w:r>
        <w:rPr>
          <w:rFonts w:hint="eastAsia" w:ascii="宋体" w:hAnsi="宋体" w:eastAsia="宋体" w:cs="宋体"/>
          <w:color w:val="auto"/>
          <w:szCs w:val="21"/>
        </w:rPr>
        <w:t>0%</w:t>
      </w:r>
      <w:r>
        <w:rPr>
          <w:rFonts w:hint="eastAsia" w:ascii="宋体" w:hAnsi="宋体" w:eastAsia="宋体" w:cs="宋体"/>
          <w:color w:val="auto"/>
          <w:szCs w:val="21"/>
          <w:lang w:val="en-US" w:eastAsia="zh-CN"/>
        </w:rPr>
        <w:t>合同尾款</w:t>
      </w:r>
      <w:r>
        <w:rPr>
          <w:rFonts w:hint="eastAsia" w:ascii="宋体" w:hAnsi="宋体" w:eastAsia="宋体" w:cs="宋体"/>
          <w:color w:val="auto"/>
          <w:szCs w:val="21"/>
        </w:rPr>
        <w:t>。</w:t>
      </w:r>
    </w:p>
    <w:p w14:paraId="4F5432D1">
      <w:pPr>
        <w:numPr>
          <w:ilvl w:val="0"/>
          <w:numId w:val="3"/>
        </w:numPr>
        <w:spacing w:line="360" w:lineRule="exact"/>
        <w:ind w:left="0" w:leftChars="0" w:firstLine="400" w:firstLineChars="0"/>
        <w:rPr>
          <w:rFonts w:hint="eastAsia" w:ascii="宋体" w:hAnsi="宋体" w:eastAsia="宋体" w:cs="宋体"/>
          <w:color w:val="auto"/>
          <w:szCs w:val="21"/>
        </w:rPr>
      </w:pPr>
      <w:r>
        <w:rPr>
          <w:rFonts w:hint="eastAsia" w:ascii="宋体" w:hAnsi="宋体" w:eastAsia="宋体" w:cs="宋体"/>
          <w:color w:val="auto"/>
          <w:szCs w:val="21"/>
          <w:lang w:val="en-US" w:eastAsia="zh-CN"/>
        </w:rPr>
        <w:t>乙方</w:t>
      </w:r>
      <w:r>
        <w:rPr>
          <w:rFonts w:hint="eastAsia" w:ascii="宋体" w:hAnsi="宋体" w:eastAsia="宋体" w:cs="宋体"/>
          <w:color w:val="auto"/>
          <w:szCs w:val="21"/>
        </w:rPr>
        <w:t>在收到</w:t>
      </w:r>
      <w:r>
        <w:rPr>
          <w:rFonts w:hint="eastAsia" w:ascii="宋体" w:hAnsi="宋体" w:eastAsia="宋体" w:cs="宋体"/>
          <w:color w:val="auto"/>
          <w:szCs w:val="21"/>
          <w:lang w:val="en-US" w:eastAsia="zh-CN"/>
        </w:rPr>
        <w:t>甲方甲方</w:t>
      </w:r>
      <w:r>
        <w:rPr>
          <w:rFonts w:hint="eastAsia" w:ascii="宋体" w:hAnsi="宋体" w:eastAsia="宋体" w:cs="宋体"/>
          <w:color w:val="auto"/>
          <w:szCs w:val="21"/>
        </w:rPr>
        <w:t>合同</w:t>
      </w:r>
      <w:r>
        <w:rPr>
          <w:rFonts w:hint="eastAsia" w:ascii="宋体" w:hAnsi="宋体" w:eastAsia="宋体" w:cs="宋体"/>
          <w:color w:val="auto"/>
          <w:szCs w:val="21"/>
          <w:lang w:val="en-US" w:eastAsia="zh-CN"/>
        </w:rPr>
        <w:t>付款</w:t>
      </w:r>
      <w:r>
        <w:rPr>
          <w:rFonts w:hint="eastAsia" w:ascii="宋体" w:hAnsi="宋体" w:eastAsia="宋体" w:cs="宋体"/>
          <w:color w:val="auto"/>
          <w:szCs w:val="21"/>
        </w:rPr>
        <w:t>后，</w:t>
      </w:r>
      <w:r>
        <w:rPr>
          <w:rFonts w:hint="eastAsia" w:ascii="宋体" w:hAnsi="宋体" w:eastAsia="宋体" w:cs="宋体"/>
          <w:color w:val="auto"/>
          <w:szCs w:val="21"/>
          <w:lang w:val="en-US" w:eastAsia="zh-CN"/>
        </w:rPr>
        <w:t>3</w:t>
      </w:r>
      <w:r>
        <w:rPr>
          <w:rFonts w:hint="eastAsia" w:ascii="宋体" w:hAnsi="宋体" w:eastAsia="宋体" w:cs="宋体"/>
          <w:color w:val="auto"/>
          <w:szCs w:val="21"/>
        </w:rPr>
        <w:t>个工作日内出具</w:t>
      </w:r>
      <w:r>
        <w:rPr>
          <w:rFonts w:hint="eastAsia" w:ascii="宋体" w:hAnsi="宋体" w:eastAsia="宋体" w:cs="宋体"/>
          <w:color w:val="auto"/>
          <w:szCs w:val="21"/>
          <w:lang w:val="en-US" w:eastAsia="zh-CN"/>
        </w:rPr>
        <w:t>等额</w:t>
      </w:r>
      <w:r>
        <w:rPr>
          <w:rFonts w:hint="eastAsia" w:ascii="宋体" w:hAnsi="宋体" w:eastAsia="宋体" w:cs="宋体"/>
          <w:color w:val="auto"/>
          <w:szCs w:val="21"/>
        </w:rPr>
        <w:t>金额的增值税普通发票。</w:t>
      </w:r>
    </w:p>
    <w:p w14:paraId="5E801CE6">
      <w:pPr>
        <w:spacing w:line="360" w:lineRule="exact"/>
        <w:ind w:firstLine="426" w:firstLineChars="202"/>
        <w:rPr>
          <w:rFonts w:hint="eastAsia" w:ascii="宋体" w:hAnsi="宋体" w:eastAsia="宋体" w:cs="宋体"/>
          <w:b/>
          <w:color w:val="auto"/>
          <w:kern w:val="0"/>
          <w:szCs w:val="21"/>
        </w:rPr>
      </w:pPr>
      <w:r>
        <w:rPr>
          <w:rFonts w:hint="eastAsia" w:ascii="宋体" w:hAnsi="宋体" w:eastAsia="宋体" w:cs="宋体"/>
          <w:b/>
          <w:color w:val="auto"/>
          <w:szCs w:val="21"/>
        </w:rPr>
        <w:t>第六条  合同变更及定价原则</w:t>
      </w:r>
    </w:p>
    <w:p w14:paraId="2F596D63">
      <w:pPr>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t>1.本项目如果因政策或其他原因，由一个项目变更为按两个或两个以上的项目分别实施，使得对应的专项咨询服务也需要按多个项目单独研究的，导致乙方工作量及成本增加的，由甲乙双方协商确定后签订补充协议，进行工作量及费用的变更。</w:t>
      </w:r>
    </w:p>
    <w:p w14:paraId="0489E0C6">
      <w:pPr>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t>2.因甲方为了优化研究方案或其他需要，本合同已包含的相关咨询服务，需要乙方增加研究工作内容或研究次数（处数），导致乙方工作量及成本增加的，由甲乙双方协商确定后签订补充协议，进行工作量及费用的变更。</w:t>
      </w:r>
    </w:p>
    <w:p w14:paraId="5EDD34C3">
      <w:pPr>
        <w:spacing w:line="3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3.变更的定价原则：有政府指导价的执行政府指导价，无政府指导价的，由甲乙双方协商解决。</w:t>
      </w:r>
    </w:p>
    <w:p w14:paraId="6778F2AA">
      <w:pPr>
        <w:spacing w:line="3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第七条  税费</w:t>
      </w:r>
    </w:p>
    <w:p w14:paraId="5F61EDEA">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本合同执行中相关的一切税费均由乙方负担，合同另有约定的除外。</w:t>
      </w:r>
    </w:p>
    <w:p w14:paraId="228FD42D">
      <w:pPr>
        <w:spacing w:line="360" w:lineRule="exact"/>
        <w:ind w:firstLine="422" w:firstLineChars="200"/>
        <w:rPr>
          <w:rFonts w:hint="eastAsia" w:ascii="宋体" w:hAnsi="宋体" w:eastAsia="宋体" w:cs="宋体"/>
          <w:b/>
          <w:color w:val="auto"/>
          <w:szCs w:val="21"/>
        </w:rPr>
      </w:pPr>
      <w:bookmarkStart w:id="49" w:name="_Toc20100"/>
      <w:bookmarkStart w:id="50" w:name="_Toc3607"/>
      <w:bookmarkStart w:id="51" w:name="_Toc8785"/>
      <w:r>
        <w:rPr>
          <w:rFonts w:hint="eastAsia" w:ascii="宋体" w:hAnsi="宋体" w:eastAsia="宋体" w:cs="宋体"/>
          <w:b/>
          <w:color w:val="auto"/>
          <w:szCs w:val="21"/>
        </w:rPr>
        <w:t>第八条  双方责任</w:t>
      </w:r>
      <w:bookmarkEnd w:id="49"/>
      <w:bookmarkEnd w:id="50"/>
      <w:bookmarkEnd w:id="51"/>
    </w:p>
    <w:p w14:paraId="3E1785E0">
      <w:pPr>
        <w:spacing w:line="360" w:lineRule="exact"/>
        <w:ind w:firstLine="426" w:firstLineChars="202"/>
        <w:rPr>
          <w:rFonts w:hint="eastAsia" w:ascii="宋体" w:hAnsi="宋体" w:eastAsia="宋体" w:cs="宋体"/>
          <w:b/>
          <w:color w:val="auto"/>
          <w:szCs w:val="21"/>
        </w:rPr>
      </w:pPr>
      <w:r>
        <w:rPr>
          <w:rFonts w:hint="eastAsia" w:ascii="宋体" w:hAnsi="宋体" w:eastAsia="宋体" w:cs="宋体"/>
          <w:b/>
          <w:color w:val="auto"/>
          <w:szCs w:val="21"/>
        </w:rPr>
        <w:t>1.甲方责任：</w:t>
      </w:r>
    </w:p>
    <w:p w14:paraId="13455D03">
      <w:pPr>
        <w:spacing w:line="360" w:lineRule="exact"/>
        <w:ind w:firstLine="424" w:firstLineChars="202"/>
        <w:rPr>
          <w:rFonts w:hint="eastAsia" w:ascii="宋体" w:hAnsi="宋体" w:eastAsia="宋体" w:cs="宋体"/>
          <w:color w:val="auto"/>
          <w:szCs w:val="21"/>
        </w:rPr>
      </w:pPr>
      <w:r>
        <w:rPr>
          <w:rFonts w:hint="eastAsia" w:ascii="宋体" w:hAnsi="宋体" w:eastAsia="宋体" w:cs="宋体"/>
          <w:color w:val="auto"/>
          <w:szCs w:val="21"/>
        </w:rPr>
        <w:t>（1）甲方按本合同第三条规定的内容，在规定的时间内向乙方提交基础资料及文件，并对其完整性、正确性、及时性负责。</w:t>
      </w:r>
    </w:p>
    <w:p w14:paraId="0517C968">
      <w:pPr>
        <w:spacing w:line="360" w:lineRule="exact"/>
        <w:ind w:firstLine="424" w:firstLineChars="202"/>
        <w:rPr>
          <w:rFonts w:hint="eastAsia" w:ascii="宋体" w:hAnsi="宋体" w:eastAsia="宋体" w:cs="宋体"/>
          <w:color w:val="auto"/>
          <w:szCs w:val="21"/>
        </w:rPr>
      </w:pPr>
      <w:r>
        <w:rPr>
          <w:rFonts w:hint="eastAsia" w:ascii="宋体" w:hAnsi="宋体" w:eastAsia="宋体" w:cs="宋体"/>
          <w:color w:val="auto"/>
          <w:szCs w:val="21"/>
        </w:rPr>
        <w:t>（2）按本合同有关规定及时支付乙方的费用。</w:t>
      </w:r>
    </w:p>
    <w:p w14:paraId="26A0FAC3">
      <w:pPr>
        <w:spacing w:line="360" w:lineRule="exact"/>
        <w:ind w:firstLine="424" w:firstLineChars="202"/>
        <w:rPr>
          <w:rFonts w:hint="eastAsia" w:ascii="宋体" w:hAnsi="宋体" w:eastAsia="宋体" w:cs="宋体"/>
          <w:color w:val="auto"/>
          <w:szCs w:val="21"/>
        </w:rPr>
      </w:pPr>
      <w:r>
        <w:rPr>
          <w:rFonts w:hint="eastAsia" w:ascii="宋体" w:hAnsi="宋体" w:eastAsia="宋体" w:cs="宋体"/>
          <w:color w:val="auto"/>
          <w:szCs w:val="21"/>
        </w:rPr>
        <w:t>（3）甲方应保护乙方的响应文件、资料图纸、数据。</w:t>
      </w:r>
    </w:p>
    <w:p w14:paraId="57799A34">
      <w:pPr>
        <w:spacing w:line="360" w:lineRule="exact"/>
        <w:ind w:firstLine="426" w:firstLineChars="202"/>
        <w:rPr>
          <w:rFonts w:hint="eastAsia" w:ascii="宋体" w:hAnsi="宋体" w:eastAsia="宋体" w:cs="宋体"/>
          <w:b/>
          <w:color w:val="auto"/>
          <w:szCs w:val="21"/>
        </w:rPr>
      </w:pPr>
      <w:r>
        <w:rPr>
          <w:rFonts w:hint="eastAsia" w:ascii="宋体" w:hAnsi="宋体" w:eastAsia="宋体" w:cs="宋体"/>
          <w:b/>
          <w:color w:val="auto"/>
          <w:szCs w:val="21"/>
        </w:rPr>
        <w:t>2.乙方责任：</w:t>
      </w:r>
    </w:p>
    <w:p w14:paraId="6B9CA2FE">
      <w:pPr>
        <w:spacing w:line="360" w:lineRule="exact"/>
        <w:ind w:firstLine="424" w:firstLineChars="202"/>
        <w:rPr>
          <w:rFonts w:hint="eastAsia" w:ascii="宋体" w:hAnsi="宋体" w:eastAsia="宋体" w:cs="宋体"/>
          <w:color w:val="auto"/>
          <w:szCs w:val="21"/>
        </w:rPr>
      </w:pPr>
      <w:r>
        <w:rPr>
          <w:rFonts w:hint="eastAsia" w:ascii="宋体" w:hAnsi="宋体" w:eastAsia="宋体" w:cs="宋体"/>
          <w:color w:val="auto"/>
          <w:szCs w:val="21"/>
        </w:rPr>
        <w:t>（1）按国家规定技术规范、标准、规程及甲方提出的要求组织开展各项</w:t>
      </w:r>
      <w:r>
        <w:rPr>
          <w:rFonts w:hint="eastAsia" w:ascii="宋体" w:hAnsi="宋体" w:eastAsia="宋体" w:cs="宋体"/>
          <w:color w:val="auto"/>
          <w:kern w:val="0"/>
          <w:szCs w:val="21"/>
        </w:rPr>
        <w:t>专项咨询服务</w:t>
      </w:r>
      <w:r>
        <w:rPr>
          <w:rFonts w:hint="eastAsia" w:ascii="宋体" w:hAnsi="宋体" w:eastAsia="宋体" w:cs="宋体"/>
          <w:color w:val="auto"/>
          <w:szCs w:val="21"/>
        </w:rPr>
        <w:t>研究活动，及时处理各研究工作遇到的各类技术、协调问题，并对其研究进度和质量负责，确保各项研究成果能及时满足后续工作要求。</w:t>
      </w:r>
    </w:p>
    <w:p w14:paraId="60BC68C9">
      <w:pPr>
        <w:spacing w:line="360" w:lineRule="exact"/>
        <w:ind w:firstLine="424" w:firstLineChars="202"/>
        <w:rPr>
          <w:rFonts w:hint="eastAsia" w:ascii="宋体" w:hAnsi="宋体" w:eastAsia="宋体" w:cs="宋体"/>
          <w:color w:val="auto"/>
          <w:szCs w:val="21"/>
        </w:rPr>
      </w:pPr>
      <w:r>
        <w:rPr>
          <w:rFonts w:hint="eastAsia" w:ascii="宋体" w:hAnsi="宋体" w:eastAsia="宋体" w:cs="宋体"/>
          <w:color w:val="auto"/>
          <w:szCs w:val="21"/>
        </w:rPr>
        <w:t>（2）积极参与、跟踪各项审查活动，及时按照上级主管部门对研究成果的审查意见进行完善修改，修改时间计入乙方工作时间。</w:t>
      </w:r>
    </w:p>
    <w:p w14:paraId="4C64EDC5">
      <w:pPr>
        <w:spacing w:line="360" w:lineRule="exact"/>
        <w:ind w:firstLine="424" w:firstLineChars="202"/>
        <w:rPr>
          <w:rFonts w:hint="eastAsia" w:ascii="宋体" w:hAnsi="宋体" w:eastAsia="宋体" w:cs="宋体"/>
          <w:color w:val="auto"/>
          <w:szCs w:val="21"/>
        </w:rPr>
      </w:pPr>
      <w:r>
        <w:rPr>
          <w:rFonts w:hint="eastAsia" w:ascii="宋体" w:hAnsi="宋体" w:eastAsia="宋体" w:cs="宋体"/>
          <w:color w:val="auto"/>
          <w:szCs w:val="21"/>
        </w:rPr>
        <w:t>（3）按合同规定的时限及份数，向甲方提交质量合格的研究成果（包含电子版）。</w:t>
      </w:r>
    </w:p>
    <w:p w14:paraId="5CC32510">
      <w:pPr>
        <w:spacing w:line="360" w:lineRule="exact"/>
        <w:ind w:firstLine="424" w:firstLineChars="202"/>
        <w:rPr>
          <w:rFonts w:hint="eastAsia" w:ascii="宋体" w:hAnsi="宋体" w:eastAsia="宋体" w:cs="宋体"/>
          <w:color w:val="auto"/>
          <w:szCs w:val="21"/>
        </w:rPr>
      </w:pPr>
      <w:r>
        <w:rPr>
          <w:rFonts w:hint="eastAsia" w:ascii="宋体" w:hAnsi="宋体" w:eastAsia="宋体" w:cs="宋体"/>
          <w:color w:val="auto"/>
          <w:szCs w:val="21"/>
        </w:rPr>
        <w:t>（4）保护甲方的知识产权，不得向第三人泄露、转让甲方提交的产品图纸等技术经济资料及因履行本合同而形成的成果文件。</w:t>
      </w:r>
    </w:p>
    <w:p w14:paraId="42197A78">
      <w:pPr>
        <w:spacing w:line="3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第九条  违约责任</w:t>
      </w:r>
    </w:p>
    <w:p w14:paraId="331110BC">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除不可抗力原因外，乙方没有按照合同规定期限提供服务的，甲方可要求乙方支付违约金。每推迟一天按合同金额的万分之三支付违约金。逾期超过10日，甲方有权解除合同，乙方还应赔偿甲方所受损失。甲方解除合同后，乙方应在合同解除后三个工作日内退还甲方已支付的款项，逾期则每日按应退还金额的万分之三支付资金占用费。如果乙方违约还导致甲方产生其他损失的，乙方应予以赔偿。</w:t>
      </w:r>
    </w:p>
    <w:p w14:paraId="1AFC5191">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提供的服务如侵犯了第三方合法权益而引发的任何纠纷或者诉讼，均由乙方负责交涉并承担全部责任。如因此造成甲方不能对服务成果进行正常使用或者遭受其他障碍、索赔情形的，因此导致甲方的经济损失均由乙方承担。</w:t>
      </w:r>
    </w:p>
    <w:p w14:paraId="16A7C308">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3.乙方提交的成果未通过甲方验收的，应及时整改，整改产生的费用由乙方承担，乙方拒绝整改或整改不及时造成逾期提交成果的按逾期处理。</w:t>
      </w:r>
    </w:p>
    <w:p w14:paraId="2E06B160">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4.甲方延期付款的，每天向乙方偿付延期款额万分之一滞纳金，但滞纳金累计不得超过延期款额5%。</w:t>
      </w:r>
    </w:p>
    <w:p w14:paraId="10FEAE8C">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5.乙方未按本合同约定和采购文件规定、响应文件中规定的服务承诺提供服务的其它违约行为，乙方还应赔偿甲方所受的损失。</w:t>
      </w:r>
    </w:p>
    <w:p w14:paraId="281C52D1">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6.因乙方违约，导致甲方为维护自己的合法权益所产生的一切费用（包括但不限于律师费、诉讼费、调查费、公证费、鉴定费、保全费、诉讼财产保全责任保险费等费用）均由乙方承担。</w:t>
      </w:r>
    </w:p>
    <w:p w14:paraId="603F63D6">
      <w:pPr>
        <w:spacing w:line="3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第十条  不可抗力事件处理</w:t>
      </w:r>
    </w:p>
    <w:p w14:paraId="710B0ECA">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1.在合同有效期内，任何一方因不可抗力事件导致不能履行合同，则合同履行期可延长，其延长期与不可抗力影响期相同。</w:t>
      </w:r>
    </w:p>
    <w:p w14:paraId="2B729890">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可抗力事件发生后，应立即通知对方，并寄送有关权威机构出具的证明。声称受到不可抗力影响的一方应在任何时候采取合理的行动，以避免或尽量减少不可抗力事件对本合同履约及双方利益的影响。因主观原因延误，未及时采取必要措施而导致损失扩大的，不能免除责任。</w:t>
      </w:r>
    </w:p>
    <w:p w14:paraId="5C1AC3C6">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3.不可抗力事件延续一百二十天以上，双方应通过友好协商，确定是否继续履行合同。</w:t>
      </w:r>
    </w:p>
    <w:p w14:paraId="66539882">
      <w:pPr>
        <w:spacing w:line="36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第十一条  合同争议解决</w:t>
      </w:r>
    </w:p>
    <w:p w14:paraId="04BB0DC9">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1.因服务质量问题发生争议的，应邀请国家认可的质量检测机构进行鉴定。服务符合标准的，鉴定费由甲方承担；服务不符合标准的，鉴定费由乙方承担。</w:t>
      </w:r>
    </w:p>
    <w:p w14:paraId="19EDF861">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2.因履行本合同引起的或者与本合同有关的争议，甲乙双方应首先通过友好协商解决，如果协商不能解决，可向甲方所在地有管辖权人民法院提起诉讼。</w:t>
      </w:r>
    </w:p>
    <w:p w14:paraId="39475123">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3.诉讼期间，本合同继续履行。</w:t>
      </w:r>
    </w:p>
    <w:p w14:paraId="149B24B2">
      <w:pPr>
        <w:spacing w:line="3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第十二条  合同生效及其他</w:t>
      </w:r>
    </w:p>
    <w:p w14:paraId="62E01D86">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1.合同经双方法定代表人或者授权代表签字并加盖单位公章后生效（委托代理人签字的需后附法定代表人授权委托书，格式自拟）。</w:t>
      </w:r>
    </w:p>
    <w:p w14:paraId="4E68D57C">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2.合同执行中涉及采购资金和采购内容修改或者补充的，并签订书面补充协议报财政部门备案，方可作为主合同不可分割的一部分。</w:t>
      </w:r>
    </w:p>
    <w:p w14:paraId="7D79C183">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3.本合同未尽事宜，遵照《中华人民共和国民法典》有关条文执行。</w:t>
      </w:r>
    </w:p>
    <w:p w14:paraId="2E85F8C9">
      <w:pPr>
        <w:spacing w:line="3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第十三条  合同的变更、终止与转让</w:t>
      </w:r>
    </w:p>
    <w:p w14:paraId="17D51A93">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1.除参照《中华人民共和国政府采购法》第五十条规定或者合同约定的情形外，本合同一经签订，甲乙双方不得擅自变更、中止或者终止。</w:t>
      </w:r>
    </w:p>
    <w:p w14:paraId="22EDFDF0">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2.乙方不得擅自转让其应履行的合同义务。</w:t>
      </w:r>
    </w:p>
    <w:p w14:paraId="4EE41B01">
      <w:pPr>
        <w:spacing w:line="3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第十四条  签订本合同依据</w:t>
      </w:r>
    </w:p>
    <w:p w14:paraId="6A7C9356">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1.成交通知书；</w:t>
      </w:r>
    </w:p>
    <w:p w14:paraId="6F052798">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2.竞标报价表（含最终报价）；</w:t>
      </w:r>
    </w:p>
    <w:p w14:paraId="03C636F6">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3.商务要求偏离表和技术服务要求偏离表；</w:t>
      </w:r>
    </w:p>
    <w:p w14:paraId="5B0C1A0F">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5.响应文件中的其他相关文件。</w:t>
      </w:r>
    </w:p>
    <w:p w14:paraId="0866E37A">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6.上述合同文件互相补充和解释。如果合同文件之间存在矛盾或者不一致之处，以上述文件的排列顺序在先者为准。</w:t>
      </w:r>
    </w:p>
    <w:p w14:paraId="13C18B1F">
      <w:pPr>
        <w:snapToGrid w:val="0"/>
        <w:spacing w:line="3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第十五条  通知与送达</w:t>
      </w:r>
    </w:p>
    <w:p w14:paraId="5EB0C17D">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为更好的履行本合同，双方提供如下联系方式：</w:t>
      </w:r>
    </w:p>
    <w:p w14:paraId="360B513A">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1.甲方联系方式</w:t>
      </w:r>
    </w:p>
    <w:p w14:paraId="200CD314">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邮寄地址：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1FBC862">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C9B6233">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。电子邮箱：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B45441B">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2.乙方联系方式</w:t>
      </w:r>
    </w:p>
    <w:p w14:paraId="2A591BC3">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邮寄地址：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EC59904">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1E137347">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B4C1758">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电子邮箱：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F4E59AA">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通过电子邮箱及其他电子方式送达时，发出之日即视为有效送达。通过快递等方式送达时，对方签收之日或发出后第三日视为有效送达（以两者较早一个日期为准）；如由于受送达方的原因不能送达或受送达方拒绝签收的，送达方可采用挂号信或者邮政特快专递邮寄送达，邮件寄至本协议记载之地址时，即视为送达。</w:t>
      </w:r>
    </w:p>
    <w:p w14:paraId="34EDC3B4">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4.上述联系方式同时作为有效司法送达地址。</w:t>
      </w:r>
    </w:p>
    <w:p w14:paraId="3135810A">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5.一方变更联系方式，应自变更之日起三日内，以书面形式通知对方；否则，该联系方式仍视为有效，由未通知方承担由此而引起的相关责任。</w:t>
      </w:r>
    </w:p>
    <w:p w14:paraId="082A8123">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6.本联系方式条款为独立条款，不受合同整体或其他条款的效力影响，始终有效。</w:t>
      </w:r>
    </w:p>
    <w:p w14:paraId="2B24D5C2">
      <w:pPr>
        <w:snapToGrid w:val="0"/>
        <w:spacing w:line="360" w:lineRule="exact"/>
        <w:ind w:firstLine="413" w:firstLineChars="196"/>
        <w:rPr>
          <w:rFonts w:hint="eastAsia" w:ascii="宋体" w:hAnsi="宋体" w:eastAsia="宋体" w:cs="宋体"/>
          <w:color w:val="auto"/>
          <w:szCs w:val="21"/>
        </w:rPr>
      </w:pPr>
      <w:r>
        <w:rPr>
          <w:rFonts w:hint="eastAsia" w:ascii="宋体" w:hAnsi="宋体" w:eastAsia="宋体" w:cs="宋体"/>
          <w:b/>
          <w:color w:val="auto"/>
          <w:szCs w:val="21"/>
        </w:rPr>
        <w:t xml:space="preserve">第十六条 </w:t>
      </w:r>
      <w:r>
        <w:rPr>
          <w:rFonts w:hint="eastAsia" w:ascii="宋体" w:hAnsi="宋体" w:eastAsia="宋体" w:cs="宋体"/>
          <w:color w:val="auto"/>
          <w:szCs w:val="21"/>
        </w:rPr>
        <w:t>本合同一式</w:t>
      </w:r>
      <w:r>
        <w:rPr>
          <w:rFonts w:hint="eastAsia" w:ascii="宋体" w:hAnsi="宋体" w:eastAsia="宋体" w:cs="宋体"/>
          <w:color w:val="auto"/>
          <w:szCs w:val="21"/>
          <w:lang w:val="en-US" w:eastAsia="zh-CN"/>
        </w:rPr>
        <w:t>伍</w:t>
      </w:r>
      <w:r>
        <w:rPr>
          <w:rFonts w:hint="eastAsia" w:ascii="宋体" w:hAnsi="宋体" w:eastAsia="宋体" w:cs="宋体"/>
          <w:color w:val="auto"/>
          <w:szCs w:val="21"/>
        </w:rPr>
        <w:t>份，具有同等法律效力，甲乙双方各</w:t>
      </w:r>
      <w:r>
        <w:rPr>
          <w:rFonts w:hint="eastAsia" w:ascii="宋体" w:hAnsi="宋体" w:eastAsia="宋体" w:cs="宋体"/>
          <w:color w:val="auto"/>
          <w:szCs w:val="21"/>
          <w:lang w:val="en-US" w:eastAsia="zh-CN"/>
        </w:rPr>
        <w:t>贰</w:t>
      </w:r>
      <w:r>
        <w:rPr>
          <w:rFonts w:hint="eastAsia" w:ascii="宋体" w:hAnsi="宋体" w:eastAsia="宋体" w:cs="宋体"/>
          <w:color w:val="auto"/>
          <w:szCs w:val="21"/>
        </w:rPr>
        <w:t>份，采购代理机构各</w:t>
      </w:r>
      <w:r>
        <w:rPr>
          <w:rFonts w:hint="eastAsia" w:ascii="宋体" w:hAnsi="宋体" w:eastAsia="宋体" w:cs="宋体"/>
          <w:color w:val="auto"/>
          <w:szCs w:val="21"/>
          <w:lang w:val="en-US" w:eastAsia="zh-CN"/>
        </w:rPr>
        <w:t>壹</w:t>
      </w:r>
      <w:r>
        <w:rPr>
          <w:rFonts w:hint="eastAsia" w:ascii="宋体" w:hAnsi="宋体" w:eastAsia="宋体" w:cs="宋体"/>
          <w:color w:val="auto"/>
          <w:szCs w:val="21"/>
        </w:rPr>
        <w:t>份。</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9"/>
        <w:gridCol w:w="4929"/>
      </w:tblGrid>
      <w:tr w14:paraId="1A63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noWrap w:val="0"/>
            <w:vAlign w:val="center"/>
          </w:tcPr>
          <w:p w14:paraId="7902204F">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甲方（章）           </w:t>
            </w:r>
          </w:p>
          <w:p w14:paraId="5216A751">
            <w:pPr>
              <w:snapToGrid w:val="0"/>
              <w:spacing w:line="400" w:lineRule="exact"/>
              <w:rPr>
                <w:rFonts w:hint="eastAsia" w:ascii="宋体" w:hAnsi="宋体" w:eastAsia="宋体" w:cs="宋体"/>
                <w:color w:val="auto"/>
                <w:szCs w:val="21"/>
              </w:rPr>
            </w:pPr>
          </w:p>
          <w:p w14:paraId="0C4111C0">
            <w:pPr>
              <w:snapToGrid w:val="0"/>
              <w:spacing w:line="400" w:lineRule="exact"/>
              <w:ind w:firstLine="945" w:firstLineChars="450"/>
              <w:jc w:val="right"/>
              <w:rPr>
                <w:rFonts w:hint="eastAsia" w:ascii="宋体" w:hAnsi="宋体" w:eastAsia="宋体" w:cs="宋体"/>
                <w:color w:val="auto"/>
                <w:szCs w:val="21"/>
              </w:rPr>
            </w:pPr>
            <w:r>
              <w:rPr>
                <w:rFonts w:hint="eastAsia" w:ascii="宋体" w:hAnsi="宋体" w:eastAsia="宋体" w:cs="宋体"/>
                <w:color w:val="auto"/>
                <w:szCs w:val="21"/>
              </w:rPr>
              <w:t>年   月   日</w:t>
            </w:r>
          </w:p>
        </w:tc>
        <w:tc>
          <w:tcPr>
            <w:tcW w:w="2500" w:type="pct"/>
            <w:noWrap w:val="0"/>
            <w:vAlign w:val="center"/>
          </w:tcPr>
          <w:p w14:paraId="51927E06">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乙方（章）              </w:t>
            </w:r>
          </w:p>
          <w:p w14:paraId="3488AF81">
            <w:pPr>
              <w:snapToGrid w:val="0"/>
              <w:spacing w:line="400" w:lineRule="exact"/>
              <w:rPr>
                <w:rFonts w:hint="eastAsia" w:ascii="宋体" w:hAnsi="宋体" w:eastAsia="宋体" w:cs="宋体"/>
                <w:color w:val="auto"/>
                <w:szCs w:val="21"/>
              </w:rPr>
            </w:pPr>
          </w:p>
          <w:p w14:paraId="4F0AF2DC">
            <w:pPr>
              <w:snapToGrid w:val="0"/>
              <w:spacing w:line="400" w:lineRule="exact"/>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r w14:paraId="75DD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00" w:type="pct"/>
            <w:noWrap w:val="0"/>
            <w:vAlign w:val="center"/>
          </w:tcPr>
          <w:p w14:paraId="24F0205F">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单位地址：</w:t>
            </w:r>
          </w:p>
        </w:tc>
        <w:tc>
          <w:tcPr>
            <w:tcW w:w="2500" w:type="pct"/>
            <w:noWrap w:val="0"/>
            <w:vAlign w:val="center"/>
          </w:tcPr>
          <w:p w14:paraId="068ED34B">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单位地址：</w:t>
            </w:r>
          </w:p>
        </w:tc>
      </w:tr>
      <w:tr w14:paraId="140B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00" w:type="pct"/>
            <w:noWrap w:val="0"/>
            <w:vAlign w:val="center"/>
          </w:tcPr>
          <w:p w14:paraId="3BD11A76">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法定代表人或委托代理人（签字或盖章）：</w:t>
            </w:r>
          </w:p>
        </w:tc>
        <w:tc>
          <w:tcPr>
            <w:tcW w:w="2500" w:type="pct"/>
            <w:noWrap w:val="0"/>
            <w:vAlign w:val="center"/>
          </w:tcPr>
          <w:p w14:paraId="1A7F6B27">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法定代表人或委托代理人（签字或盖章）：</w:t>
            </w:r>
          </w:p>
        </w:tc>
      </w:tr>
      <w:tr w14:paraId="1557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00" w:type="pct"/>
            <w:noWrap w:val="0"/>
            <w:vAlign w:val="top"/>
          </w:tcPr>
          <w:p w14:paraId="38192EED">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联系人：</w:t>
            </w:r>
          </w:p>
        </w:tc>
        <w:tc>
          <w:tcPr>
            <w:tcW w:w="2500" w:type="pct"/>
            <w:noWrap w:val="0"/>
            <w:vAlign w:val="center"/>
          </w:tcPr>
          <w:p w14:paraId="57232B4C">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联系人：</w:t>
            </w:r>
          </w:p>
        </w:tc>
      </w:tr>
      <w:tr w14:paraId="6039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00" w:type="pct"/>
            <w:noWrap w:val="0"/>
            <w:vAlign w:val="center"/>
          </w:tcPr>
          <w:p w14:paraId="59953600">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电话：</w:t>
            </w:r>
          </w:p>
        </w:tc>
        <w:tc>
          <w:tcPr>
            <w:tcW w:w="2500" w:type="pct"/>
            <w:noWrap w:val="0"/>
            <w:vAlign w:val="center"/>
          </w:tcPr>
          <w:p w14:paraId="67AE6A12">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电话：</w:t>
            </w:r>
          </w:p>
        </w:tc>
      </w:tr>
      <w:tr w14:paraId="6456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00" w:type="pct"/>
            <w:noWrap w:val="0"/>
            <w:vAlign w:val="center"/>
          </w:tcPr>
          <w:p w14:paraId="7C89E128">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开户银行：</w:t>
            </w:r>
          </w:p>
        </w:tc>
        <w:tc>
          <w:tcPr>
            <w:tcW w:w="2500" w:type="pct"/>
            <w:noWrap w:val="0"/>
            <w:vAlign w:val="center"/>
          </w:tcPr>
          <w:p w14:paraId="274655A8">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开户银行：</w:t>
            </w:r>
          </w:p>
        </w:tc>
      </w:tr>
      <w:tr w14:paraId="139B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00" w:type="pct"/>
            <w:noWrap w:val="0"/>
            <w:vAlign w:val="center"/>
          </w:tcPr>
          <w:p w14:paraId="1916A52F">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账号：</w:t>
            </w:r>
          </w:p>
        </w:tc>
        <w:tc>
          <w:tcPr>
            <w:tcW w:w="2500" w:type="pct"/>
            <w:noWrap w:val="0"/>
            <w:vAlign w:val="center"/>
          </w:tcPr>
          <w:p w14:paraId="252492AE">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账号：</w:t>
            </w:r>
          </w:p>
        </w:tc>
      </w:tr>
      <w:tr w14:paraId="7FDB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00" w:type="pct"/>
            <w:noWrap w:val="0"/>
            <w:vAlign w:val="center"/>
          </w:tcPr>
          <w:p w14:paraId="05D81A32">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纳税人识别号或统一社会信用代码：</w:t>
            </w:r>
          </w:p>
        </w:tc>
        <w:tc>
          <w:tcPr>
            <w:tcW w:w="2500" w:type="pct"/>
            <w:noWrap w:val="0"/>
            <w:vAlign w:val="center"/>
          </w:tcPr>
          <w:p w14:paraId="48FBACD1">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纳税人识别号或统一社会信用代码：</w:t>
            </w:r>
          </w:p>
        </w:tc>
      </w:tr>
      <w:tr w14:paraId="2435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00" w:type="pct"/>
            <w:noWrap w:val="0"/>
            <w:vAlign w:val="center"/>
          </w:tcPr>
          <w:p w14:paraId="7B25E005">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邮政编码：</w:t>
            </w:r>
          </w:p>
        </w:tc>
        <w:tc>
          <w:tcPr>
            <w:tcW w:w="2500" w:type="pct"/>
            <w:noWrap w:val="0"/>
            <w:vAlign w:val="center"/>
          </w:tcPr>
          <w:p w14:paraId="7702277B">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邮政编码：</w:t>
            </w:r>
          </w:p>
        </w:tc>
      </w:tr>
    </w:tbl>
    <w:p w14:paraId="60541E36">
      <w:pPr>
        <w:snapToGrid w:val="0"/>
        <w:spacing w:line="360" w:lineRule="auto"/>
        <w:ind w:firstLine="5040" w:firstLineChars="2400"/>
        <w:jc w:val="left"/>
        <w:rPr>
          <w:rFonts w:hint="eastAsia" w:ascii="宋体" w:hAnsi="宋体" w:eastAsia="宋体" w:cs="宋体"/>
          <w:color w:val="auto"/>
          <w:szCs w:val="21"/>
        </w:rPr>
      </w:pPr>
    </w:p>
    <w:p w14:paraId="342D53DE">
      <w:pPr>
        <w:snapToGrid w:val="0"/>
        <w:spacing w:line="360" w:lineRule="auto"/>
        <w:ind w:firstLine="5040" w:firstLineChars="2400"/>
        <w:jc w:val="left"/>
        <w:rPr>
          <w:rFonts w:hint="eastAsia" w:ascii="宋体" w:hAnsi="宋体" w:eastAsia="宋体" w:cs="宋体"/>
          <w:color w:val="auto"/>
          <w:szCs w:val="21"/>
        </w:rPr>
      </w:pPr>
    </w:p>
    <w:p w14:paraId="44EF9718">
      <w:pPr>
        <w:snapToGrid w:val="0"/>
        <w:spacing w:line="360" w:lineRule="auto"/>
        <w:ind w:firstLine="5040" w:firstLineChars="2400"/>
        <w:jc w:val="left"/>
        <w:rPr>
          <w:rFonts w:hint="eastAsia" w:ascii="宋体" w:hAnsi="宋体" w:eastAsia="宋体" w:cs="宋体"/>
          <w:color w:val="auto"/>
          <w:szCs w:val="21"/>
        </w:rPr>
      </w:pPr>
      <w:r>
        <w:rPr>
          <w:rFonts w:hint="eastAsia" w:ascii="宋体" w:hAnsi="宋体" w:eastAsia="宋体" w:cs="宋体"/>
          <w:color w:val="auto"/>
          <w:szCs w:val="21"/>
        </w:rPr>
        <w:t>签订时间：</w:t>
      </w:r>
    </w:p>
    <w:p w14:paraId="0AB9FA0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5804ADE">
      <w:pPr>
        <w:rPr>
          <w:rFonts w:hint="eastAsia" w:ascii="宋体" w:hAnsi="宋体" w:eastAsia="宋体" w:cs="宋体"/>
          <w:color w:val="auto"/>
        </w:rPr>
      </w:pPr>
    </w:p>
    <w:p w14:paraId="62AA63E8">
      <w:pPr>
        <w:pStyle w:val="38"/>
        <w:spacing w:line="360" w:lineRule="auto"/>
        <w:outlineLvl w:val="9"/>
        <w:rPr>
          <w:rFonts w:hint="eastAsia" w:ascii="宋体" w:hAnsi="宋体" w:eastAsia="宋体" w:cs="宋体"/>
          <w:color w:val="auto"/>
          <w:highlight w:val="none"/>
        </w:rPr>
      </w:pPr>
    </w:p>
    <w:p w14:paraId="4328603D">
      <w:pPr>
        <w:pStyle w:val="38"/>
        <w:spacing w:line="360" w:lineRule="auto"/>
        <w:outlineLvl w:val="9"/>
        <w:rPr>
          <w:rFonts w:hint="eastAsia" w:ascii="宋体" w:hAnsi="宋体" w:eastAsia="宋体" w:cs="宋体"/>
          <w:color w:val="auto"/>
          <w:highlight w:val="none"/>
        </w:rPr>
      </w:pPr>
    </w:p>
    <w:p w14:paraId="61CFCA52">
      <w:pPr>
        <w:pStyle w:val="38"/>
        <w:spacing w:line="360" w:lineRule="auto"/>
        <w:outlineLvl w:val="9"/>
        <w:rPr>
          <w:rFonts w:hint="eastAsia" w:ascii="宋体" w:hAnsi="宋体" w:eastAsia="宋体" w:cs="宋体"/>
          <w:color w:val="auto"/>
          <w:highlight w:val="none"/>
        </w:rPr>
      </w:pPr>
    </w:p>
    <w:p w14:paraId="01D0A449">
      <w:pPr>
        <w:rPr>
          <w:rFonts w:hint="eastAsia" w:ascii="宋体" w:hAnsi="宋体" w:eastAsia="宋体" w:cs="宋体"/>
          <w:color w:val="auto"/>
          <w:highlight w:val="none"/>
        </w:rPr>
      </w:pPr>
    </w:p>
    <w:p w14:paraId="21C6C3FD">
      <w:pPr>
        <w:pStyle w:val="28"/>
        <w:rPr>
          <w:rFonts w:hint="eastAsia" w:ascii="宋体" w:hAnsi="宋体" w:eastAsia="宋体" w:cs="宋体"/>
          <w:color w:val="auto"/>
          <w:highlight w:val="none"/>
        </w:rPr>
      </w:pPr>
    </w:p>
    <w:p w14:paraId="144DE3E3">
      <w:pPr>
        <w:pStyle w:val="28"/>
        <w:rPr>
          <w:rFonts w:hint="eastAsia" w:ascii="宋体" w:hAnsi="宋体" w:eastAsia="宋体" w:cs="宋体"/>
          <w:color w:val="auto"/>
          <w:highlight w:val="none"/>
        </w:rPr>
      </w:pPr>
    </w:p>
    <w:p w14:paraId="10CDC487">
      <w:pPr>
        <w:pStyle w:val="28"/>
        <w:rPr>
          <w:rFonts w:hint="eastAsia" w:ascii="宋体" w:hAnsi="宋体" w:eastAsia="宋体" w:cs="宋体"/>
          <w:color w:val="auto"/>
          <w:highlight w:val="none"/>
        </w:rPr>
      </w:pPr>
    </w:p>
    <w:p w14:paraId="00251827">
      <w:pPr>
        <w:pStyle w:val="28"/>
        <w:rPr>
          <w:rFonts w:hint="eastAsia" w:ascii="宋体" w:hAnsi="宋体" w:eastAsia="宋体" w:cs="宋体"/>
          <w:color w:val="auto"/>
          <w:highlight w:val="none"/>
        </w:rPr>
      </w:pPr>
    </w:p>
    <w:p w14:paraId="78175A50">
      <w:pPr>
        <w:pStyle w:val="28"/>
        <w:rPr>
          <w:rFonts w:hint="eastAsia" w:ascii="宋体" w:hAnsi="宋体" w:eastAsia="宋体" w:cs="宋体"/>
          <w:color w:val="auto"/>
          <w:highlight w:val="none"/>
        </w:rPr>
      </w:pPr>
    </w:p>
    <w:p w14:paraId="3BCAF4E5">
      <w:pPr>
        <w:pStyle w:val="38"/>
        <w:spacing w:line="360" w:lineRule="auto"/>
        <w:rPr>
          <w:rFonts w:hint="eastAsia" w:ascii="宋体" w:hAnsi="宋体" w:eastAsia="宋体" w:cs="宋体"/>
          <w:color w:val="auto"/>
          <w:sz w:val="44"/>
          <w:szCs w:val="44"/>
          <w:highlight w:val="none"/>
        </w:rPr>
      </w:pPr>
      <w:bookmarkStart w:id="52" w:name="_Toc14681"/>
      <w:r>
        <w:rPr>
          <w:rFonts w:hint="eastAsia" w:ascii="宋体" w:hAnsi="宋体" w:eastAsia="宋体" w:cs="宋体"/>
          <w:color w:val="auto"/>
          <w:sz w:val="44"/>
          <w:szCs w:val="44"/>
          <w:highlight w:val="none"/>
        </w:rPr>
        <w:t>第六章  竞争性磋商响应文件格式</w:t>
      </w:r>
      <w:bookmarkEnd w:id="52"/>
    </w:p>
    <w:p w14:paraId="79952F55">
      <w:pPr>
        <w:spacing w:line="360" w:lineRule="auto"/>
        <w:jc w:val="center"/>
        <w:rPr>
          <w:rFonts w:hint="eastAsia" w:ascii="宋体" w:hAnsi="宋体" w:eastAsia="宋体" w:cs="宋体"/>
          <w:b/>
          <w:color w:val="auto"/>
          <w:sz w:val="32"/>
          <w:szCs w:val="32"/>
          <w:highlight w:val="none"/>
        </w:rPr>
      </w:pPr>
    </w:p>
    <w:p w14:paraId="2322B960">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30"/>
          <w:szCs w:val="30"/>
          <w:highlight w:val="none"/>
        </w:rPr>
        <w:t>一、</w:t>
      </w:r>
      <w:r>
        <w:rPr>
          <w:rFonts w:hint="eastAsia" w:ascii="宋体" w:hAnsi="宋体" w:eastAsia="宋体" w:cs="宋体"/>
          <w:b/>
          <w:color w:val="auto"/>
          <w:sz w:val="30"/>
          <w:szCs w:val="30"/>
          <w:highlight w:val="none"/>
        </w:rPr>
        <w:t>竞争性磋商响应文件</w:t>
      </w:r>
      <w:r>
        <w:rPr>
          <w:rFonts w:hint="eastAsia" w:ascii="宋体" w:hAnsi="宋体" w:eastAsia="宋体" w:cs="宋体"/>
          <w:b/>
          <w:bCs/>
          <w:color w:val="auto"/>
          <w:sz w:val="30"/>
          <w:szCs w:val="30"/>
          <w:highlight w:val="none"/>
        </w:rPr>
        <w:t>格式</w:t>
      </w:r>
    </w:p>
    <w:p w14:paraId="77481015">
      <w:pPr>
        <w:spacing w:line="360" w:lineRule="auto"/>
        <w:rPr>
          <w:rFonts w:hint="eastAsia" w:ascii="宋体" w:hAnsi="宋体" w:eastAsia="宋体" w:cs="宋体"/>
          <w:b/>
          <w:color w:val="auto"/>
          <w:sz w:val="32"/>
          <w:szCs w:val="32"/>
          <w:highlight w:val="none"/>
          <w:u w:val="single"/>
        </w:rPr>
      </w:pPr>
    </w:p>
    <w:p w14:paraId="0BDE7E10">
      <w:pPr>
        <w:spacing w:line="360" w:lineRule="auto"/>
        <w:rPr>
          <w:rFonts w:hint="eastAsia" w:ascii="宋体" w:hAnsi="宋体" w:eastAsia="宋体" w:cs="宋体"/>
          <w:b/>
          <w:color w:val="auto"/>
          <w:sz w:val="32"/>
          <w:szCs w:val="32"/>
          <w:highlight w:val="none"/>
        </w:rPr>
      </w:pPr>
    </w:p>
    <w:p w14:paraId="7CDDEA03">
      <w:pPr>
        <w:snapToGrid w:val="0"/>
        <w:spacing w:before="120" w:beforeLines="50" w:after="50" w:line="360" w:lineRule="auto"/>
        <w:ind w:left="8400" w:hanging="8400" w:hangingChars="3000"/>
        <w:rPr>
          <w:rFonts w:hint="eastAsia" w:ascii="宋体" w:hAnsi="宋体" w:eastAsia="宋体" w:cs="宋体"/>
          <w:bCs/>
          <w:color w:val="auto"/>
          <w:sz w:val="28"/>
          <w:szCs w:val="28"/>
          <w:highlight w:val="none"/>
        </w:rPr>
      </w:pPr>
    </w:p>
    <w:p w14:paraId="6FEFBDB4">
      <w:pPr>
        <w:snapToGrid w:val="0"/>
        <w:spacing w:before="120" w:beforeLines="50" w:after="50"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44"/>
          <w:szCs w:val="44"/>
          <w:highlight w:val="none"/>
        </w:rPr>
        <w:t>竞争性磋商响应文件</w:t>
      </w:r>
    </w:p>
    <w:p w14:paraId="1ED22CAC">
      <w:pPr>
        <w:spacing w:line="360" w:lineRule="auto"/>
        <w:ind w:firstLine="420" w:firstLineChars="200"/>
        <w:rPr>
          <w:rFonts w:hint="eastAsia" w:ascii="宋体" w:hAnsi="宋体" w:eastAsia="宋体" w:cs="宋体"/>
          <w:color w:val="auto"/>
          <w:szCs w:val="21"/>
          <w:highlight w:val="none"/>
        </w:rPr>
      </w:pPr>
    </w:p>
    <w:p w14:paraId="1BDB3A2C">
      <w:pPr>
        <w:spacing w:line="360" w:lineRule="auto"/>
        <w:ind w:firstLine="420" w:firstLineChars="200"/>
        <w:rPr>
          <w:rFonts w:hint="eastAsia" w:ascii="宋体" w:hAnsi="宋体" w:eastAsia="宋体" w:cs="宋体"/>
          <w:color w:val="auto"/>
          <w:szCs w:val="21"/>
          <w:highlight w:val="none"/>
        </w:rPr>
      </w:pPr>
    </w:p>
    <w:p w14:paraId="3D470E77">
      <w:pPr>
        <w:spacing w:line="360" w:lineRule="auto"/>
        <w:ind w:firstLine="420" w:firstLineChars="200"/>
        <w:rPr>
          <w:rFonts w:hint="eastAsia" w:ascii="宋体" w:hAnsi="宋体" w:eastAsia="宋体" w:cs="宋体"/>
          <w:color w:val="auto"/>
          <w:szCs w:val="21"/>
          <w:highlight w:val="none"/>
        </w:rPr>
      </w:pPr>
    </w:p>
    <w:p w14:paraId="56C9F8A1">
      <w:pPr>
        <w:spacing w:line="360" w:lineRule="auto"/>
        <w:ind w:firstLine="42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8"/>
          <w:szCs w:val="28"/>
          <w:highlight w:val="none"/>
        </w:rPr>
        <w:t xml:space="preserve"> 采购项目名称：</w:t>
      </w:r>
      <w:r>
        <w:rPr>
          <w:rFonts w:hint="eastAsia" w:ascii="宋体" w:hAnsi="宋体" w:eastAsia="宋体" w:cs="宋体"/>
          <w:color w:val="auto"/>
          <w:sz w:val="28"/>
          <w:szCs w:val="28"/>
          <w:highlight w:val="none"/>
          <w:u w:val="single"/>
        </w:rPr>
        <w:t xml:space="preserve">                          </w:t>
      </w:r>
    </w:p>
    <w:p w14:paraId="5CFF67C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8"/>
          <w:szCs w:val="28"/>
          <w:highlight w:val="none"/>
        </w:rPr>
        <w:t xml:space="preserve">         采购</w:t>
      </w:r>
      <w:r>
        <w:rPr>
          <w:rFonts w:hint="eastAsia" w:ascii="宋体" w:hAnsi="宋体" w:eastAsia="宋体" w:cs="宋体"/>
          <w:color w:val="auto"/>
          <w:sz w:val="28"/>
          <w:szCs w:val="28"/>
          <w:highlight w:val="none"/>
          <w:lang w:eastAsia="zh-CN"/>
        </w:rPr>
        <w:t>项目编号：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highlight w:val="none"/>
          <w:u w:val="single"/>
        </w:rPr>
        <w:t xml:space="preserve">                             </w:t>
      </w:r>
    </w:p>
    <w:p w14:paraId="3C176530">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bCs/>
          <w:color w:val="auto"/>
          <w:sz w:val="28"/>
          <w:szCs w:val="28"/>
          <w:highlight w:val="none"/>
        </w:rPr>
        <w:t xml:space="preserve">      分标号（如有）</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4A273426">
      <w:pPr>
        <w:snapToGrid w:val="0"/>
        <w:spacing w:before="120"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 xml:space="preserve">      磋商供应商名称</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u w:val="single"/>
        </w:rPr>
        <w:t xml:space="preserve">                        </w:t>
      </w:r>
    </w:p>
    <w:p w14:paraId="70102A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w:t>
      </w:r>
    </w:p>
    <w:p w14:paraId="54319896">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8"/>
          <w:szCs w:val="28"/>
          <w:highlight w:val="none"/>
        </w:rPr>
        <w:t xml:space="preserve">                     年    月    日</w:t>
      </w:r>
    </w:p>
    <w:p w14:paraId="4C1FEAE8">
      <w:pPr>
        <w:spacing w:line="360" w:lineRule="auto"/>
        <w:rPr>
          <w:rFonts w:hint="eastAsia" w:ascii="宋体" w:hAnsi="宋体" w:eastAsia="宋体" w:cs="宋体"/>
          <w:color w:val="auto"/>
          <w:szCs w:val="21"/>
          <w:highlight w:val="none"/>
        </w:rPr>
      </w:pPr>
    </w:p>
    <w:p w14:paraId="7CF34219">
      <w:pPr>
        <w:spacing w:line="360" w:lineRule="auto"/>
        <w:ind w:firstLine="3767" w:firstLineChars="1340"/>
        <w:rPr>
          <w:rFonts w:hint="eastAsia" w:ascii="宋体" w:hAnsi="宋体" w:eastAsia="宋体" w:cs="宋体"/>
          <w:b/>
          <w:color w:val="auto"/>
          <w:sz w:val="28"/>
          <w:szCs w:val="28"/>
          <w:highlight w:val="none"/>
        </w:rPr>
      </w:pPr>
    </w:p>
    <w:p w14:paraId="501ECB16">
      <w:pPr>
        <w:spacing w:line="360" w:lineRule="auto"/>
        <w:ind w:firstLine="3767" w:firstLineChars="1340"/>
        <w:rPr>
          <w:rFonts w:hint="eastAsia" w:ascii="宋体" w:hAnsi="宋体" w:eastAsia="宋体" w:cs="宋体"/>
          <w:b/>
          <w:color w:val="auto"/>
          <w:sz w:val="28"/>
          <w:szCs w:val="28"/>
          <w:highlight w:val="none"/>
        </w:rPr>
      </w:pPr>
    </w:p>
    <w:p w14:paraId="72E0C3E6">
      <w:pPr>
        <w:spacing w:line="360" w:lineRule="auto"/>
        <w:ind w:firstLine="3767" w:firstLineChars="1340"/>
        <w:rPr>
          <w:rFonts w:hint="eastAsia" w:ascii="宋体" w:hAnsi="宋体" w:eastAsia="宋体" w:cs="宋体"/>
          <w:b/>
          <w:color w:val="auto"/>
          <w:sz w:val="28"/>
          <w:szCs w:val="28"/>
          <w:highlight w:val="none"/>
        </w:rPr>
      </w:pPr>
    </w:p>
    <w:p w14:paraId="535CA0D8">
      <w:pPr>
        <w:spacing w:line="360" w:lineRule="auto"/>
        <w:ind w:firstLine="3767" w:firstLineChars="1340"/>
        <w:rPr>
          <w:rFonts w:hint="eastAsia" w:ascii="宋体" w:hAnsi="宋体" w:eastAsia="宋体" w:cs="宋体"/>
          <w:b/>
          <w:color w:val="auto"/>
          <w:sz w:val="28"/>
          <w:szCs w:val="28"/>
          <w:highlight w:val="none"/>
        </w:rPr>
      </w:pPr>
    </w:p>
    <w:p w14:paraId="0219425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44"/>
          <w:szCs w:val="44"/>
          <w:highlight w:val="none"/>
        </w:rPr>
        <w:t>目录自拟</w:t>
      </w:r>
    </w:p>
    <w:p w14:paraId="726F103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t>资格文件</w:t>
      </w:r>
    </w:p>
    <w:p w14:paraId="3C639B04">
      <w:pPr>
        <w:numPr>
          <w:ilvl w:val="0"/>
          <w:numId w:val="4"/>
        </w:num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磋商供应商有效的“主体资格证明文件”复印件（如营业执照、事业单位法人证书、执业许可证、自然人身份证等）</w:t>
      </w:r>
    </w:p>
    <w:p w14:paraId="4CFB8CAA">
      <w:pPr>
        <w:spacing w:line="360" w:lineRule="auto"/>
        <w:jc w:val="left"/>
        <w:rPr>
          <w:rFonts w:hint="eastAsia" w:ascii="宋体" w:hAnsi="宋体" w:eastAsia="宋体" w:cs="宋体"/>
          <w:b/>
          <w:color w:val="auto"/>
          <w:sz w:val="24"/>
          <w:highlight w:val="none"/>
        </w:rPr>
      </w:pPr>
    </w:p>
    <w:p w14:paraId="4726F7AF">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2.法定代表人身份证正反面复印件</w:t>
      </w:r>
    </w:p>
    <w:p w14:paraId="3CA5D257">
      <w:pPr>
        <w:spacing w:line="360" w:lineRule="auto"/>
        <w:jc w:val="left"/>
        <w:rPr>
          <w:rFonts w:hint="eastAsia" w:ascii="宋体" w:hAnsi="宋体" w:eastAsia="宋体" w:cs="宋体"/>
          <w:b/>
          <w:color w:val="auto"/>
          <w:sz w:val="24"/>
          <w:highlight w:val="none"/>
        </w:rPr>
      </w:pPr>
    </w:p>
    <w:p w14:paraId="6AE498F0">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3.法定代表人授权委托书和委托代理人身份证正、反面复印件；[委托代理时必须提供]</w:t>
      </w:r>
    </w:p>
    <w:p w14:paraId="63DC8A20">
      <w:p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法定代表人授权委托书</w:t>
      </w:r>
    </w:p>
    <w:p w14:paraId="0621F27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3A8925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同志为我公司参加贵单位组织的</w:t>
      </w:r>
      <w:r>
        <w:rPr>
          <w:rFonts w:hint="eastAsia" w:ascii="宋体" w:hAnsi="宋体" w:eastAsia="宋体" w:cs="宋体"/>
          <w:color w:val="auto"/>
          <w:sz w:val="24"/>
          <w:highlight w:val="none"/>
          <w:u w:val="single"/>
        </w:rPr>
        <w:t>（采购项目名称、采购项目编号）竞争性磋商</w:t>
      </w:r>
      <w:r>
        <w:rPr>
          <w:rFonts w:hint="eastAsia" w:ascii="宋体" w:hAnsi="宋体" w:eastAsia="宋体" w:cs="宋体"/>
          <w:color w:val="auto"/>
          <w:sz w:val="24"/>
          <w:highlight w:val="none"/>
        </w:rPr>
        <w:t>采购活动的委托代理人，全权代表我公司处理在该项目活动中的一切事宜。代理期限从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日止。 </w:t>
      </w:r>
    </w:p>
    <w:p w14:paraId="59CA3FE5">
      <w:pPr>
        <w:spacing w:line="360" w:lineRule="auto"/>
        <w:jc w:val="left"/>
        <w:rPr>
          <w:rFonts w:hint="eastAsia" w:ascii="宋体" w:hAnsi="宋体" w:eastAsia="宋体" w:cs="宋体"/>
          <w:color w:val="auto"/>
          <w:sz w:val="24"/>
          <w:highlight w:val="none"/>
        </w:rPr>
      </w:pPr>
    </w:p>
    <w:p w14:paraId="3504992F">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highlight w:val="none"/>
        </w:rPr>
        <w:t>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39C630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14:paraId="5011B865">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签发日期：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DBB4C1A">
      <w:pPr>
        <w:spacing w:line="360" w:lineRule="auto"/>
        <w:jc w:val="left"/>
        <w:rPr>
          <w:rFonts w:hint="eastAsia" w:ascii="宋体" w:hAnsi="宋体" w:eastAsia="宋体" w:cs="宋体"/>
          <w:color w:val="auto"/>
          <w:sz w:val="24"/>
          <w:highlight w:val="none"/>
        </w:rPr>
      </w:pPr>
    </w:p>
    <w:p w14:paraId="62CBD26F">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附：委托代理人工作单位：</w:t>
      </w:r>
      <w:r>
        <w:rPr>
          <w:rFonts w:hint="eastAsia" w:ascii="宋体" w:hAnsi="宋体" w:eastAsia="宋体" w:cs="宋体"/>
          <w:color w:val="auto"/>
          <w:sz w:val="24"/>
          <w:highlight w:val="none"/>
          <w:u w:val="single"/>
        </w:rPr>
        <w:t xml:space="preserve">                      </w:t>
      </w:r>
    </w:p>
    <w:p w14:paraId="33C38B3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p>
    <w:p w14:paraId="135E5428">
      <w:pPr>
        <w:adjustRightInd w:val="0"/>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tbl>
      <w:tblPr>
        <w:tblStyle w:val="4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14:paraId="0086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9280" w:type="dxa"/>
          </w:tcPr>
          <w:p w14:paraId="469C61B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粘贴委托代理人的有效身份证正面及反面复印件</w:t>
            </w:r>
          </w:p>
        </w:tc>
      </w:tr>
    </w:tbl>
    <w:p w14:paraId="78BAE197">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68F2FA9">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4.供应商财务状况报告</w:t>
      </w:r>
    </w:p>
    <w:p w14:paraId="7E7DF6D3">
      <w:pPr>
        <w:spacing w:line="360" w:lineRule="auto"/>
        <w:jc w:val="left"/>
        <w:rPr>
          <w:rFonts w:hint="eastAsia" w:ascii="宋体" w:hAnsi="宋体" w:eastAsia="宋体" w:cs="宋体"/>
          <w:b/>
          <w:color w:val="auto"/>
          <w:sz w:val="24"/>
          <w:highlight w:val="none"/>
        </w:rPr>
      </w:pPr>
    </w:p>
    <w:p w14:paraId="3EDA7DB4">
      <w:pPr>
        <w:spacing w:line="360" w:lineRule="auto"/>
        <w:jc w:val="left"/>
        <w:rPr>
          <w:rFonts w:hint="eastAsia" w:ascii="宋体" w:hAnsi="宋体" w:eastAsia="宋体" w:cs="宋体"/>
          <w:b/>
          <w:color w:val="auto"/>
          <w:sz w:val="24"/>
          <w:highlight w:val="none"/>
        </w:rPr>
      </w:pPr>
    </w:p>
    <w:p w14:paraId="69972A2B">
      <w:pPr>
        <w:spacing w:line="360" w:lineRule="auto"/>
        <w:jc w:val="left"/>
        <w:rPr>
          <w:rFonts w:hint="eastAsia" w:ascii="宋体" w:hAnsi="宋体" w:eastAsia="宋体" w:cs="宋体"/>
          <w:b/>
          <w:color w:val="auto"/>
          <w:sz w:val="24"/>
          <w:highlight w:val="none"/>
        </w:rPr>
      </w:pPr>
    </w:p>
    <w:p w14:paraId="339C53D2">
      <w:pPr>
        <w:spacing w:line="360" w:lineRule="auto"/>
        <w:jc w:val="left"/>
        <w:rPr>
          <w:rFonts w:hint="eastAsia" w:ascii="宋体" w:hAnsi="宋体" w:eastAsia="宋体" w:cs="宋体"/>
          <w:b/>
          <w:color w:val="auto"/>
          <w:sz w:val="24"/>
          <w:highlight w:val="none"/>
        </w:rPr>
      </w:pPr>
    </w:p>
    <w:p w14:paraId="412AA200">
      <w:pPr>
        <w:spacing w:line="360" w:lineRule="auto"/>
        <w:jc w:val="left"/>
        <w:rPr>
          <w:rFonts w:hint="eastAsia" w:ascii="宋体" w:hAnsi="宋体" w:eastAsia="宋体" w:cs="宋体"/>
          <w:b/>
          <w:color w:val="auto"/>
          <w:sz w:val="24"/>
          <w:highlight w:val="none"/>
        </w:rPr>
      </w:pPr>
    </w:p>
    <w:p w14:paraId="52ECFD08">
      <w:pPr>
        <w:spacing w:line="360" w:lineRule="auto"/>
        <w:jc w:val="left"/>
        <w:rPr>
          <w:rFonts w:hint="eastAsia" w:ascii="宋体" w:hAnsi="宋体" w:eastAsia="宋体" w:cs="宋体"/>
          <w:b/>
          <w:color w:val="auto"/>
          <w:sz w:val="24"/>
          <w:highlight w:val="none"/>
        </w:rPr>
      </w:pPr>
    </w:p>
    <w:p w14:paraId="2CCDB787">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5.依法缴纳税费或依法免缴税费的证明</w:t>
      </w:r>
    </w:p>
    <w:p w14:paraId="657F6915">
      <w:pPr>
        <w:spacing w:line="360" w:lineRule="auto"/>
        <w:jc w:val="left"/>
        <w:rPr>
          <w:rFonts w:hint="eastAsia" w:ascii="宋体" w:hAnsi="宋体" w:eastAsia="宋体" w:cs="宋体"/>
          <w:b/>
          <w:color w:val="auto"/>
          <w:sz w:val="24"/>
          <w:highlight w:val="none"/>
        </w:rPr>
      </w:pPr>
    </w:p>
    <w:p w14:paraId="09F4B0E9">
      <w:pPr>
        <w:spacing w:line="360" w:lineRule="auto"/>
        <w:jc w:val="left"/>
        <w:rPr>
          <w:rFonts w:hint="eastAsia" w:ascii="宋体" w:hAnsi="宋体" w:eastAsia="宋体" w:cs="宋体"/>
          <w:b/>
          <w:color w:val="auto"/>
          <w:sz w:val="24"/>
          <w:highlight w:val="none"/>
        </w:rPr>
      </w:pPr>
    </w:p>
    <w:p w14:paraId="27CC487B">
      <w:pPr>
        <w:spacing w:line="360" w:lineRule="auto"/>
        <w:jc w:val="left"/>
        <w:rPr>
          <w:rFonts w:hint="eastAsia" w:ascii="宋体" w:hAnsi="宋体" w:eastAsia="宋体" w:cs="宋体"/>
          <w:b/>
          <w:color w:val="auto"/>
          <w:sz w:val="24"/>
          <w:highlight w:val="none"/>
        </w:rPr>
      </w:pPr>
    </w:p>
    <w:p w14:paraId="4C86F137">
      <w:pPr>
        <w:spacing w:line="360" w:lineRule="auto"/>
        <w:jc w:val="left"/>
        <w:rPr>
          <w:rFonts w:hint="eastAsia" w:ascii="宋体" w:hAnsi="宋体" w:eastAsia="宋体" w:cs="宋体"/>
          <w:b/>
          <w:color w:val="auto"/>
          <w:sz w:val="24"/>
          <w:highlight w:val="none"/>
        </w:rPr>
      </w:pPr>
    </w:p>
    <w:p w14:paraId="00418767">
      <w:pPr>
        <w:spacing w:line="360" w:lineRule="auto"/>
        <w:jc w:val="left"/>
        <w:rPr>
          <w:rFonts w:hint="eastAsia" w:ascii="宋体" w:hAnsi="宋体" w:eastAsia="宋体" w:cs="宋体"/>
          <w:b/>
          <w:color w:val="auto"/>
          <w:sz w:val="24"/>
          <w:highlight w:val="none"/>
        </w:rPr>
      </w:pPr>
    </w:p>
    <w:p w14:paraId="06D3CD0D">
      <w:pPr>
        <w:spacing w:line="360" w:lineRule="auto"/>
        <w:jc w:val="left"/>
        <w:rPr>
          <w:rFonts w:hint="eastAsia" w:ascii="宋体" w:hAnsi="宋体" w:eastAsia="宋体" w:cs="宋体"/>
          <w:b/>
          <w:color w:val="auto"/>
          <w:sz w:val="24"/>
          <w:highlight w:val="none"/>
        </w:rPr>
      </w:pPr>
    </w:p>
    <w:p w14:paraId="773C74C5">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6.依法缴纳社保费的缴费凭证</w:t>
      </w:r>
    </w:p>
    <w:p w14:paraId="6BFC5D4D">
      <w:pPr>
        <w:spacing w:line="360" w:lineRule="auto"/>
        <w:jc w:val="left"/>
        <w:rPr>
          <w:rFonts w:hint="eastAsia" w:ascii="宋体" w:hAnsi="宋体" w:eastAsia="宋体" w:cs="宋体"/>
          <w:b/>
          <w:color w:val="auto"/>
          <w:sz w:val="24"/>
          <w:highlight w:val="none"/>
        </w:rPr>
      </w:pPr>
    </w:p>
    <w:p w14:paraId="3488F491">
      <w:pPr>
        <w:spacing w:line="360" w:lineRule="auto"/>
        <w:jc w:val="left"/>
        <w:rPr>
          <w:rFonts w:hint="eastAsia" w:ascii="宋体" w:hAnsi="宋体" w:eastAsia="宋体" w:cs="宋体"/>
          <w:b/>
          <w:color w:val="auto"/>
          <w:sz w:val="24"/>
          <w:highlight w:val="none"/>
        </w:rPr>
      </w:pPr>
    </w:p>
    <w:p w14:paraId="2C1BF2B5">
      <w:pPr>
        <w:spacing w:line="360" w:lineRule="auto"/>
        <w:jc w:val="left"/>
        <w:rPr>
          <w:rFonts w:hint="eastAsia" w:ascii="宋体" w:hAnsi="宋体" w:eastAsia="宋体" w:cs="宋体"/>
          <w:b/>
          <w:color w:val="auto"/>
          <w:sz w:val="24"/>
          <w:highlight w:val="none"/>
        </w:rPr>
      </w:pPr>
    </w:p>
    <w:p w14:paraId="47447D1F">
      <w:pPr>
        <w:spacing w:line="360" w:lineRule="auto"/>
        <w:jc w:val="left"/>
        <w:rPr>
          <w:rFonts w:hint="eastAsia" w:ascii="宋体" w:hAnsi="宋体" w:eastAsia="宋体" w:cs="宋体"/>
          <w:b/>
          <w:color w:val="auto"/>
          <w:sz w:val="24"/>
          <w:highlight w:val="none"/>
        </w:rPr>
      </w:pPr>
    </w:p>
    <w:p w14:paraId="4EBD7DD1">
      <w:pPr>
        <w:spacing w:line="360" w:lineRule="auto"/>
        <w:jc w:val="left"/>
        <w:rPr>
          <w:rFonts w:hint="eastAsia" w:ascii="宋体" w:hAnsi="宋体" w:eastAsia="宋体" w:cs="宋体"/>
          <w:b/>
          <w:color w:val="auto"/>
          <w:sz w:val="24"/>
          <w:highlight w:val="none"/>
        </w:rPr>
      </w:pPr>
    </w:p>
    <w:p w14:paraId="2F153093">
      <w:pPr>
        <w:spacing w:line="360" w:lineRule="auto"/>
        <w:jc w:val="left"/>
        <w:rPr>
          <w:rFonts w:hint="eastAsia" w:ascii="宋体" w:hAnsi="宋体" w:eastAsia="宋体" w:cs="宋体"/>
          <w:b/>
          <w:color w:val="auto"/>
          <w:sz w:val="24"/>
          <w:highlight w:val="none"/>
        </w:rPr>
      </w:pPr>
    </w:p>
    <w:p w14:paraId="0C160809">
      <w:pPr>
        <w:spacing w:line="360" w:lineRule="auto"/>
        <w:jc w:val="left"/>
        <w:rPr>
          <w:rFonts w:hint="eastAsia" w:ascii="宋体" w:hAnsi="宋体" w:eastAsia="宋体" w:cs="宋体"/>
          <w:b/>
          <w:color w:val="auto"/>
          <w:sz w:val="24"/>
          <w:highlight w:val="none"/>
        </w:rPr>
      </w:pPr>
    </w:p>
    <w:p w14:paraId="661026D0">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7.磋商保证金的提交凭证；[必须提供]</w:t>
      </w:r>
    </w:p>
    <w:p w14:paraId="58F6BF5C">
      <w:pPr>
        <w:spacing w:line="360" w:lineRule="auto"/>
        <w:jc w:val="left"/>
        <w:rPr>
          <w:rFonts w:hint="eastAsia" w:ascii="宋体" w:hAnsi="宋体" w:eastAsia="宋体" w:cs="宋体"/>
          <w:b/>
          <w:color w:val="auto"/>
          <w:sz w:val="24"/>
          <w:highlight w:val="none"/>
        </w:rPr>
      </w:pPr>
    </w:p>
    <w:p w14:paraId="3E23BE64">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8.中小企业声明函；（按最新相关政策执行，如有必须提供）</w:t>
      </w:r>
    </w:p>
    <w:p w14:paraId="637C0100">
      <w:pPr>
        <w:jc w:val="center"/>
        <w:rPr>
          <w:rFonts w:hint="eastAsia" w:ascii="宋体" w:hAnsi="宋体" w:eastAsia="宋体" w:cs="宋体"/>
          <w:b/>
          <w:bCs/>
          <w:color w:val="auto"/>
          <w:sz w:val="30"/>
          <w:szCs w:val="30"/>
          <w:highlight w:val="none"/>
        </w:rPr>
      </w:pPr>
      <w:bookmarkStart w:id="53" w:name="_Toc19686840"/>
      <w:bookmarkStart w:id="54" w:name="_Toc80093016"/>
      <w:r>
        <w:rPr>
          <w:rFonts w:hint="eastAsia" w:ascii="宋体" w:hAnsi="宋体" w:eastAsia="宋体" w:cs="宋体"/>
          <w:b/>
          <w:bCs/>
          <w:color w:val="auto"/>
          <w:sz w:val="30"/>
          <w:szCs w:val="30"/>
          <w:highlight w:val="none"/>
        </w:rPr>
        <w:t>中小企业声明函（服务）</w:t>
      </w:r>
    </w:p>
    <w:p w14:paraId="17B1009B">
      <w:pPr>
        <w:spacing w:line="440" w:lineRule="exact"/>
        <w:rPr>
          <w:rFonts w:hint="eastAsia" w:ascii="宋体" w:hAnsi="宋体" w:eastAsia="宋体" w:cs="宋体"/>
          <w:color w:val="auto"/>
          <w:highlight w:val="none"/>
        </w:rPr>
      </w:pPr>
    </w:p>
    <w:p w14:paraId="35EFA055">
      <w:pPr>
        <w:pStyle w:val="24"/>
        <w:spacing w:line="440" w:lineRule="exact"/>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14:paraId="7C79760A">
      <w:pPr>
        <w:pStyle w:val="24"/>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105F29D5">
      <w:pPr>
        <w:pStyle w:val="24"/>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；承接企业为（企业名称），从业人员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376468F5">
      <w:pPr>
        <w:pStyle w:val="24"/>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C7FC903">
      <w:pPr>
        <w:pStyle w:val="24"/>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70ADD21">
      <w:pPr>
        <w:pStyle w:val="24"/>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3C21B722">
      <w:pPr>
        <w:pStyle w:val="24"/>
        <w:spacing w:line="440" w:lineRule="exact"/>
        <w:ind w:firstLine="420" w:firstLineChars="200"/>
        <w:jc w:val="left"/>
        <w:rPr>
          <w:rFonts w:hint="eastAsia" w:ascii="宋体" w:hAnsi="宋体" w:eastAsia="宋体" w:cs="宋体"/>
          <w:color w:val="auto"/>
          <w:sz w:val="21"/>
          <w:szCs w:val="21"/>
          <w:highlight w:val="none"/>
        </w:rPr>
      </w:pPr>
    </w:p>
    <w:p w14:paraId="2BC509EC">
      <w:pPr>
        <w:pStyle w:val="24"/>
        <w:spacing w:line="440" w:lineRule="exact"/>
        <w:ind w:firstLine="4620" w:firstLineChars="2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3E7375C0">
      <w:pPr>
        <w:pStyle w:val="24"/>
        <w:spacing w:line="440" w:lineRule="exact"/>
        <w:ind w:firstLine="4620" w:firstLineChars="2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431240E">
      <w:pPr>
        <w:snapToGrid w:val="0"/>
        <w:spacing w:line="380" w:lineRule="exact"/>
        <w:ind w:firstLine="411" w:firstLineChars="196"/>
        <w:jc w:val="left"/>
        <w:rPr>
          <w:rFonts w:hint="eastAsia" w:ascii="宋体" w:hAnsi="宋体" w:eastAsia="宋体" w:cs="宋体"/>
          <w:color w:val="auto"/>
          <w:sz w:val="21"/>
          <w:szCs w:val="21"/>
          <w:highlight w:val="none"/>
        </w:rPr>
      </w:pPr>
    </w:p>
    <w:p w14:paraId="5380843B">
      <w:pPr>
        <w:snapToGrid w:val="0"/>
        <w:spacing w:line="340" w:lineRule="exact"/>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注：1、从业人员、营业收入、资产总额填报上一年度数据，无上一年度数据的新成立企业可不填报。</w:t>
      </w:r>
    </w:p>
    <w:p w14:paraId="2CCB00D5">
      <w:pPr>
        <w:snapToGrid w:val="0"/>
        <w:spacing w:line="340" w:lineRule="exact"/>
        <w:ind w:firstLine="831" w:firstLineChars="3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2、请根据自己的真实情况出具《中小企业声明函》。依法享受中小企业优惠政策的，采购人或者采购代理机构在公告中标结果时，同时公告其《中小企业声明函》，接受社会监督。</w:t>
      </w:r>
    </w:p>
    <w:p w14:paraId="18E8B4AE">
      <w:pPr>
        <w:snapToGrid w:val="0"/>
        <w:spacing w:line="340" w:lineRule="exact"/>
        <w:ind w:firstLine="831" w:firstLineChars="3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政府采购活动中，供应商提供的货物、工程或者服务符合下列情形的，享受《政府采购促进中小企业发展管理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政府采购促进中小企业发展管理办法》规定的中小企业扶持政策。以联合体形式参加政府采购活动，联合体各方均为中小企业的，联合体视同中小企业。其中，联合体各方均为小微企业的，联合体视同小微企业。</w:t>
      </w:r>
    </w:p>
    <w:bookmarkEnd w:id="53"/>
    <w:bookmarkEnd w:id="54"/>
    <w:p w14:paraId="29E04529">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04B4BE4">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9.符合特定资格条件（如有）的有关证明材料；[如有要求，则必须提供]</w:t>
      </w:r>
    </w:p>
    <w:p w14:paraId="28AC7BED">
      <w:pPr>
        <w:spacing w:line="360" w:lineRule="auto"/>
        <w:jc w:val="left"/>
        <w:rPr>
          <w:rFonts w:hint="eastAsia" w:ascii="宋体" w:hAnsi="宋体" w:eastAsia="宋体" w:cs="宋体"/>
          <w:b/>
          <w:color w:val="auto"/>
          <w:sz w:val="24"/>
          <w:highlight w:val="none"/>
        </w:rPr>
      </w:pPr>
    </w:p>
    <w:p w14:paraId="7774C2B0">
      <w:pPr>
        <w:spacing w:line="360" w:lineRule="auto"/>
        <w:jc w:val="left"/>
        <w:rPr>
          <w:rFonts w:hint="eastAsia" w:ascii="宋体" w:hAnsi="宋体" w:eastAsia="宋体" w:cs="宋体"/>
          <w:b/>
          <w:color w:val="auto"/>
          <w:sz w:val="24"/>
          <w:highlight w:val="none"/>
        </w:rPr>
      </w:pPr>
    </w:p>
    <w:p w14:paraId="292982AD">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10.参加政府采购活动前三年内在经营活动中没有重大违法记录和不良信用记录的书面声明；</w:t>
      </w:r>
    </w:p>
    <w:p w14:paraId="0131D082">
      <w:pPr>
        <w:rPr>
          <w:rFonts w:hint="eastAsia" w:ascii="宋体" w:hAnsi="宋体" w:eastAsia="宋体" w:cs="宋体"/>
          <w:b/>
          <w:color w:val="auto"/>
          <w:sz w:val="32"/>
          <w:szCs w:val="32"/>
          <w:highlight w:val="none"/>
        </w:rPr>
      </w:pPr>
    </w:p>
    <w:p w14:paraId="59B52454">
      <w:pPr>
        <w:pStyle w:val="24"/>
        <w:spacing w:line="360" w:lineRule="auto"/>
        <w:ind w:firstLine="422" w:firstLineChars="200"/>
        <w:rPr>
          <w:rFonts w:hint="eastAsia" w:ascii="宋体" w:hAnsi="宋体" w:eastAsia="宋体" w:cs="宋体"/>
          <w:b/>
          <w:color w:val="auto"/>
          <w:highlight w:val="none"/>
        </w:rPr>
      </w:pPr>
    </w:p>
    <w:p w14:paraId="67210505">
      <w:pPr>
        <w:pStyle w:val="24"/>
        <w:spacing w:line="360" w:lineRule="auto"/>
        <w:ind w:firstLine="422" w:firstLineChars="200"/>
        <w:rPr>
          <w:rFonts w:hint="eastAsia" w:ascii="宋体" w:hAnsi="宋体" w:eastAsia="宋体" w:cs="宋体"/>
          <w:b/>
          <w:color w:val="auto"/>
          <w:highlight w:val="none"/>
        </w:rPr>
      </w:pPr>
    </w:p>
    <w:p w14:paraId="4CE60423">
      <w:pPr>
        <w:pStyle w:val="28"/>
        <w:rPr>
          <w:rFonts w:hint="eastAsia" w:ascii="宋体" w:hAnsi="宋体" w:eastAsia="宋体" w:cs="宋体"/>
          <w:color w:val="auto"/>
          <w:highlight w:val="none"/>
        </w:rPr>
      </w:pPr>
    </w:p>
    <w:p w14:paraId="0D710895">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价格文件</w:t>
      </w:r>
    </w:p>
    <w:p w14:paraId="25044ADE">
      <w:pPr>
        <w:adjustRightInd w:val="0"/>
        <w:snapToGrid w:val="0"/>
        <w:spacing w:line="360" w:lineRule="auto"/>
        <w:ind w:left="-88" w:leftChars="-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 磋  商  书</w:t>
      </w:r>
    </w:p>
    <w:p w14:paraId="0687E29B">
      <w:pPr>
        <w:pStyle w:val="24"/>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采购人、采购代理机构名称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78A4F9E8">
      <w:pPr>
        <w:pStyle w:val="24"/>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依据贵方</w:t>
      </w:r>
      <w:r>
        <w:rPr>
          <w:rFonts w:hint="eastAsia" w:ascii="宋体" w:hAnsi="宋体" w:eastAsia="宋体" w:cs="宋体"/>
          <w:color w:val="auto"/>
          <w:highlight w:val="none"/>
          <w:u w:val="single"/>
        </w:rPr>
        <w:t>（采购项目名称/采购项目编号/分标号（如有））</w:t>
      </w:r>
      <w:r>
        <w:rPr>
          <w:rFonts w:hint="eastAsia" w:ascii="宋体" w:hAnsi="宋体" w:eastAsia="宋体" w:cs="宋体"/>
          <w:color w:val="auto"/>
          <w:highlight w:val="none"/>
        </w:rPr>
        <w:t>项目政府采购的磋商邀请，我方</w:t>
      </w:r>
      <w:r>
        <w:rPr>
          <w:rFonts w:hint="eastAsia" w:ascii="宋体" w:hAnsi="宋体" w:eastAsia="宋体" w:cs="宋体"/>
          <w:color w:val="auto"/>
          <w:highlight w:val="none"/>
          <w:u w:val="single"/>
        </w:rPr>
        <w:t>（姓名和职务）</w:t>
      </w:r>
      <w:r>
        <w:rPr>
          <w:rFonts w:hint="eastAsia" w:ascii="宋体" w:hAnsi="宋体" w:eastAsia="宋体" w:cs="宋体"/>
          <w:color w:val="auto"/>
          <w:highlight w:val="none"/>
        </w:rPr>
        <w:t>经正式授权并代表本单位</w:t>
      </w:r>
      <w:r>
        <w:rPr>
          <w:rFonts w:hint="eastAsia" w:ascii="宋体" w:hAnsi="宋体" w:eastAsia="宋体" w:cs="宋体"/>
          <w:color w:val="auto"/>
          <w:highlight w:val="none"/>
          <w:u w:val="single"/>
        </w:rPr>
        <w:t>（磋商供应商名称、地址）</w:t>
      </w:r>
      <w:r>
        <w:rPr>
          <w:rFonts w:hint="eastAsia" w:ascii="宋体" w:hAnsi="宋体" w:eastAsia="宋体" w:cs="宋体"/>
          <w:color w:val="auto"/>
          <w:highlight w:val="none"/>
        </w:rPr>
        <w:t>提交下述竞争性磋商响应文件</w:t>
      </w:r>
      <w:r>
        <w:rPr>
          <w:rFonts w:hint="eastAsia" w:ascii="宋体" w:hAnsi="宋体" w:eastAsia="宋体" w:cs="宋体"/>
          <w:b/>
          <w:color w:val="auto"/>
          <w:highlight w:val="none"/>
        </w:rPr>
        <w:t>（价格文件、商务技术文件）。</w:t>
      </w:r>
    </w:p>
    <w:p w14:paraId="7D01495C">
      <w:pPr>
        <w:pStyle w:val="24"/>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 报价表；</w:t>
      </w:r>
    </w:p>
    <w:p w14:paraId="0BBB7A6C">
      <w:pPr>
        <w:pStyle w:val="24"/>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 商务、服务响应、偏离情况说明表；</w:t>
      </w:r>
    </w:p>
    <w:p w14:paraId="441C31D6">
      <w:pPr>
        <w:pStyle w:val="24"/>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 资格证明文件；</w:t>
      </w:r>
    </w:p>
    <w:p w14:paraId="1D54BBD7">
      <w:pPr>
        <w:pStyle w:val="24"/>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 按竞争性磋商文件磋商供应商须知和采购需求提供的有关文件；</w:t>
      </w:r>
    </w:p>
    <w:p w14:paraId="30EA7604">
      <w:pPr>
        <w:pStyle w:val="24"/>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在此，授权代表宣布同意如下：</w:t>
      </w:r>
    </w:p>
    <w:p w14:paraId="0EDC48B4">
      <w:pPr>
        <w:pStyle w:val="24"/>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 将按竞争性磋商文件的约定履行合同责任和义务；</w:t>
      </w:r>
    </w:p>
    <w:p w14:paraId="62AB219F">
      <w:pPr>
        <w:pStyle w:val="24"/>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 已详细审查全部竞争性磋商文件，包括</w:t>
      </w:r>
      <w:r>
        <w:rPr>
          <w:rFonts w:hint="eastAsia" w:ascii="宋体" w:hAnsi="宋体" w:eastAsia="宋体" w:cs="宋体"/>
          <w:color w:val="auto"/>
          <w:highlight w:val="none"/>
          <w:u w:val="single"/>
        </w:rPr>
        <w:t>（补遗文件）（如果有的话）</w:t>
      </w:r>
      <w:r>
        <w:rPr>
          <w:rFonts w:hint="eastAsia" w:ascii="宋体" w:hAnsi="宋体" w:eastAsia="宋体" w:cs="宋体"/>
          <w:color w:val="auto"/>
          <w:highlight w:val="none"/>
        </w:rPr>
        <w:t>；</w:t>
      </w:r>
    </w:p>
    <w:p w14:paraId="73FBE470">
      <w:pPr>
        <w:pStyle w:val="24"/>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 同意提供按照贵方可能要求的与其磋商有关的一切数据或资料；</w:t>
      </w:r>
    </w:p>
    <w:p w14:paraId="0DE72B49">
      <w:pPr>
        <w:pStyle w:val="24"/>
        <w:spacing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4. 与本磋商有关的一切正式往来信函请寄：</w:t>
      </w:r>
      <w:r>
        <w:rPr>
          <w:rFonts w:hint="eastAsia" w:ascii="宋体" w:hAnsi="宋体" w:eastAsia="宋体" w:cs="宋体"/>
          <w:color w:val="auto"/>
          <w:highlight w:val="none"/>
          <w:u w:val="single"/>
        </w:rPr>
        <w:t xml:space="preserve">                                    </w:t>
      </w:r>
    </w:p>
    <w:p w14:paraId="3B5CE1FA">
      <w:pPr>
        <w:pStyle w:val="24"/>
        <w:spacing w:line="360" w:lineRule="auto"/>
        <w:ind w:firstLine="84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账号/行号：</w:t>
      </w:r>
      <w:r>
        <w:rPr>
          <w:rFonts w:hint="eastAsia" w:ascii="宋体" w:hAnsi="宋体" w:eastAsia="宋体" w:cs="宋体"/>
          <w:color w:val="auto"/>
          <w:highlight w:val="none"/>
          <w:u w:val="single"/>
        </w:rPr>
        <w:t xml:space="preserve">                       </w:t>
      </w:r>
    </w:p>
    <w:p w14:paraId="5DE195E8">
      <w:pPr>
        <w:pStyle w:val="24"/>
        <w:spacing w:line="360" w:lineRule="auto"/>
        <w:ind w:firstLine="840"/>
        <w:rPr>
          <w:rFonts w:hint="eastAsia" w:ascii="宋体" w:hAnsi="宋体" w:eastAsia="宋体" w:cs="宋体"/>
          <w:color w:val="auto"/>
          <w:highlight w:val="none"/>
        </w:rPr>
      </w:pPr>
      <w:r>
        <w:rPr>
          <w:rFonts w:hint="eastAsia" w:ascii="宋体" w:hAnsi="宋体" w:eastAsia="宋体" w:cs="宋体"/>
          <w:color w:val="auto"/>
          <w:highlight w:val="none"/>
        </w:rPr>
        <w:t>电话/传真：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电子函件：</w:t>
      </w:r>
      <w:r>
        <w:rPr>
          <w:rFonts w:hint="eastAsia" w:ascii="宋体" w:hAnsi="宋体" w:eastAsia="宋体" w:cs="宋体"/>
          <w:color w:val="auto"/>
          <w:highlight w:val="none"/>
          <w:u w:val="single"/>
        </w:rPr>
        <w:t xml:space="preserve">                         </w:t>
      </w:r>
    </w:p>
    <w:p w14:paraId="3553A67F">
      <w:pPr>
        <w:pStyle w:val="24"/>
        <w:spacing w:line="360" w:lineRule="auto"/>
        <w:ind w:firstLine="840"/>
        <w:rPr>
          <w:rFonts w:hint="eastAsia"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6F46AD3">
      <w:pPr>
        <w:pStyle w:val="24"/>
        <w:spacing w:line="360" w:lineRule="auto"/>
        <w:ind w:firstLine="84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法定代表人或委托代理人（被授权人）签字或盖章：</w:t>
      </w:r>
      <w:r>
        <w:rPr>
          <w:rFonts w:hint="eastAsia" w:ascii="宋体" w:hAnsi="宋体" w:eastAsia="宋体" w:cs="宋体"/>
          <w:color w:val="auto"/>
          <w:highlight w:val="none"/>
          <w:u w:val="single"/>
        </w:rPr>
        <w:t xml:space="preserve">                       </w:t>
      </w:r>
    </w:p>
    <w:p w14:paraId="07D322AC">
      <w:pPr>
        <w:pStyle w:val="24"/>
        <w:spacing w:line="360" w:lineRule="auto"/>
        <w:ind w:firstLine="840"/>
        <w:rPr>
          <w:rFonts w:hint="eastAsia" w:ascii="宋体" w:hAnsi="宋体" w:eastAsia="宋体" w:cs="宋体"/>
          <w:color w:val="auto"/>
          <w:highlight w:val="none"/>
        </w:rPr>
      </w:pPr>
      <w:r>
        <w:rPr>
          <w:rFonts w:hint="eastAsia" w:ascii="宋体" w:hAnsi="宋体" w:eastAsia="宋体" w:cs="宋体"/>
          <w:color w:val="auto"/>
          <w:highlight w:val="none"/>
        </w:rPr>
        <w:t>磋商供应商名称（电子签章）：</w:t>
      </w:r>
      <w:r>
        <w:rPr>
          <w:rFonts w:hint="eastAsia" w:ascii="宋体" w:hAnsi="宋体" w:eastAsia="宋体" w:cs="宋体"/>
          <w:color w:val="auto"/>
          <w:highlight w:val="none"/>
          <w:u w:val="single"/>
        </w:rPr>
        <w:t xml:space="preserve">                                                </w:t>
      </w:r>
    </w:p>
    <w:p w14:paraId="0053C716">
      <w:pPr>
        <w:spacing w:line="360" w:lineRule="auto"/>
        <w:jc w:val="center"/>
        <w:rPr>
          <w:rFonts w:hint="eastAsia" w:ascii="宋体" w:hAnsi="宋体" w:eastAsia="宋体" w:cs="宋体"/>
          <w:b/>
          <w:color w:val="auto"/>
          <w:sz w:val="32"/>
          <w:szCs w:val="32"/>
          <w:highlight w:val="none"/>
        </w:rPr>
      </w:pPr>
    </w:p>
    <w:p w14:paraId="6CAA3E6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磋商声明书</w:t>
      </w:r>
    </w:p>
    <w:p w14:paraId="725EA0DA">
      <w:pPr>
        <w:snapToGrid w:val="0"/>
        <w:spacing w:before="120" w:beforeLines="50" w:after="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致（填写采购人、代理机构）：</w:t>
      </w:r>
    </w:p>
    <w:p w14:paraId="2C03B4F8">
      <w:pPr>
        <w:snapToGrid w:val="0"/>
        <w:spacing w:before="120" w:beforeLines="50" w:after="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（供应商名称）系</w:t>
      </w:r>
      <w:r>
        <w:rPr>
          <w:rFonts w:hint="eastAsia" w:ascii="宋体" w:hAnsi="宋体" w:eastAsia="宋体" w:cs="宋体"/>
          <w:color w:val="auto"/>
          <w:szCs w:val="21"/>
          <w:highlight w:val="none"/>
          <w:lang w:eastAsia="zh-CN"/>
        </w:rPr>
        <w:t>中华人民共和国宪法</w:t>
      </w:r>
      <w:r>
        <w:rPr>
          <w:rFonts w:hint="eastAsia" w:ascii="宋体" w:hAnsi="宋体" w:eastAsia="宋体" w:cs="宋体"/>
          <w:color w:val="auto"/>
          <w:szCs w:val="21"/>
          <w:highlight w:val="none"/>
        </w:rPr>
        <w:t>企业，经营地址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8030B36">
      <w:pPr>
        <w:snapToGrid w:val="0"/>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（供应商名称）的法定代表人，我方愿意参加贵方组织的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项目的磋商活动，为便于贵方公正、择优地确定成交供应商及其竞标产品和服务，我方就本次磋商有关事项郑重声明如下：</w:t>
      </w:r>
    </w:p>
    <w:p w14:paraId="5E45EEC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1.我方向贵方提交的所有响应文件、资料都是准确的和真实的。</w:t>
      </w:r>
    </w:p>
    <w:p w14:paraId="57E27AE1">
      <w:pPr>
        <w:snapToGrid w:val="0"/>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2.我方不是采购人的附属机构；在获知本项目采购信息后，与采购人聘请的为此项目提供咨询服务的公司及其附属机构没有任何联系。</w:t>
      </w:r>
    </w:p>
    <w:p w14:paraId="04BD3898">
      <w:pPr>
        <w:snapToGrid w:val="0"/>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3.我方诚意提请贵方关注：近期有关该型号产品（货物）的生产、供货、售后服务以及性能等方面的重大决策和事项有：</w:t>
      </w:r>
    </w:p>
    <w:p w14:paraId="684FB65E">
      <w:pPr>
        <w:snapToGrid w:val="0"/>
        <w:spacing w:before="120" w:beforeLines="50"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w:t>
      </w:r>
    </w:p>
    <w:p w14:paraId="2645EB59">
      <w:pPr>
        <w:snapToGrid w:val="0"/>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p>
    <w:p w14:paraId="3693C186">
      <w:pPr>
        <w:pStyle w:val="2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 以上事项如有虚假或隐瞒，我方愿意承担一切后果，并不再寻求任何旨在减轻或免除法律责任的辩解。</w:t>
      </w:r>
    </w:p>
    <w:p w14:paraId="495606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根据《中华人民共和国政府采购法实施条例》第五十条要求对政府采购合同进行公告，但政府采购合同中涉及国家秘密、商业秘密的内容除外。我方就对本次响应文件进行注明如下：（两项内容中必须选择一项）</w:t>
      </w:r>
    </w:p>
    <w:p w14:paraId="72D989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□我方本次响应文件</w:t>
      </w:r>
      <w:r>
        <w:rPr>
          <w:rFonts w:hint="eastAsia" w:ascii="宋体" w:hAnsi="宋体" w:eastAsia="宋体" w:cs="宋体"/>
          <w:color w:val="auto"/>
          <w:kern w:val="0"/>
          <w:szCs w:val="21"/>
          <w:highlight w:val="none"/>
        </w:rPr>
        <w:t>内容中</w:t>
      </w:r>
      <w:r>
        <w:rPr>
          <w:rFonts w:hint="eastAsia" w:ascii="宋体" w:hAnsi="宋体" w:eastAsia="宋体" w:cs="宋体"/>
          <w:color w:val="auto"/>
          <w:szCs w:val="21"/>
          <w:highlight w:val="none"/>
        </w:rPr>
        <w:t>未</w:t>
      </w:r>
      <w:r>
        <w:rPr>
          <w:rFonts w:hint="eastAsia" w:ascii="宋体" w:hAnsi="宋体" w:eastAsia="宋体" w:cs="宋体"/>
          <w:color w:val="auto"/>
          <w:kern w:val="0"/>
          <w:szCs w:val="21"/>
          <w:highlight w:val="none"/>
        </w:rPr>
        <w:t>涉及商业秘密；</w:t>
      </w:r>
    </w:p>
    <w:p w14:paraId="409F9EF9">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□我方本次响应文件</w:t>
      </w:r>
      <w:r>
        <w:rPr>
          <w:rFonts w:hint="eastAsia" w:ascii="宋体" w:hAnsi="宋体" w:eastAsia="宋体" w:cs="宋体"/>
          <w:color w:val="auto"/>
          <w:kern w:val="0"/>
          <w:szCs w:val="21"/>
          <w:highlight w:val="none"/>
        </w:rPr>
        <w:t>涉及商业秘密的内容有：</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09D61F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我方在此声明，我方及由本人担任法定代表人的其他机构在参加本项目的政府采购活动前三年内，在经营活动中没有重大违法记录，符合《中华人民共和国政府采购法》及《</w:t>
      </w:r>
      <w:r>
        <w:rPr>
          <w:rFonts w:hint="eastAsia" w:ascii="宋体" w:hAnsi="宋体" w:eastAsia="宋体" w:cs="宋体"/>
          <w:color w:val="auto"/>
          <w:szCs w:val="21"/>
          <w:highlight w:val="none"/>
          <w:lang w:eastAsia="zh-CN"/>
        </w:rPr>
        <w:t>中华人民共和国政府采购法实施条例</w:t>
      </w:r>
      <w:r>
        <w:rPr>
          <w:rFonts w:hint="eastAsia" w:ascii="宋体" w:hAnsi="宋体" w:eastAsia="宋体" w:cs="宋体"/>
          <w:color w:val="auto"/>
          <w:szCs w:val="21"/>
          <w:highlight w:val="none"/>
        </w:rPr>
        <w:t>》规定的供应商条件，我方对此声明负全部法律责任。</w:t>
      </w:r>
    </w:p>
    <w:p w14:paraId="5277EC3C">
      <w:pPr>
        <w:pStyle w:val="23"/>
        <w:tabs>
          <w:tab w:val="left" w:pos="939"/>
        </w:tabs>
        <w:snapToGrid w:val="0"/>
        <w:spacing w:line="360" w:lineRule="auto"/>
        <w:ind w:left="849" w:leftChars="150" w:hanging="534" w:hangingChars="191"/>
        <w:rPr>
          <w:rFonts w:hint="eastAsia" w:ascii="宋体" w:hAnsi="宋体" w:eastAsia="宋体" w:cs="宋体"/>
          <w:color w:val="auto"/>
          <w:szCs w:val="21"/>
          <w:highlight w:val="none"/>
        </w:rPr>
      </w:pPr>
    </w:p>
    <w:p w14:paraId="4BDB0817">
      <w:pPr>
        <w:pStyle w:val="105"/>
        <w:snapToGrid w:val="0"/>
        <w:spacing w:before="120" w:beforeLines="50" w:line="360" w:lineRule="auto"/>
        <w:ind w:firstLine="200"/>
        <w:rPr>
          <w:rFonts w:hint="eastAsia" w:ascii="宋体" w:hAnsi="宋体" w:eastAsia="宋体" w:cs="宋体"/>
          <w:color w:val="auto"/>
          <w:sz w:val="21"/>
          <w:szCs w:val="21"/>
          <w:highlight w:val="none"/>
        </w:rPr>
      </w:pPr>
    </w:p>
    <w:p w14:paraId="171A57D1">
      <w:pPr>
        <w:snapToGrid w:val="0"/>
        <w:spacing w:before="120" w:beforeLines="50" w:line="360" w:lineRule="auto"/>
        <w:ind w:right="480" w:firstLine="5628" w:firstLineChars="26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p>
    <w:p w14:paraId="0E7D7C98">
      <w:pPr>
        <w:snapToGrid w:val="0"/>
        <w:spacing w:before="120" w:beforeLines="50" w:after="50" w:line="360" w:lineRule="auto"/>
        <w:ind w:right="480" w:firstLine="5670" w:firstLineChars="2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highlight w:val="none"/>
        </w:rPr>
        <w:t>电子签章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ED42982">
      <w:pPr>
        <w:snapToGrid w:val="0"/>
        <w:spacing w:before="120" w:beforeLines="50" w:after="50" w:line="360" w:lineRule="auto"/>
        <w:ind w:right="900" w:firstLine="210" w:firstLineChars="100"/>
        <w:jc w:val="right"/>
        <w:rPr>
          <w:rFonts w:hint="eastAsia" w:ascii="宋体" w:hAnsi="宋体" w:eastAsia="宋体" w:cs="宋体"/>
          <w:color w:val="auto"/>
          <w:szCs w:val="21"/>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0FDEDE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2.报价表</w:t>
      </w:r>
    </w:p>
    <w:p w14:paraId="1993C6A7">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14:paraId="6D231B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A7963A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分标号（如有）: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4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03"/>
        <w:gridCol w:w="1973"/>
        <w:gridCol w:w="1407"/>
        <w:gridCol w:w="1292"/>
        <w:gridCol w:w="1731"/>
        <w:gridCol w:w="1086"/>
      </w:tblGrid>
      <w:tr w14:paraId="6CDD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14:paraId="3A4115A2">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31E41F8D">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服务名称</w:t>
            </w:r>
          </w:p>
        </w:tc>
        <w:tc>
          <w:tcPr>
            <w:tcW w:w="1973" w:type="dxa"/>
            <w:tcBorders>
              <w:top w:val="single" w:color="auto" w:sz="4" w:space="0"/>
              <w:left w:val="single" w:color="auto" w:sz="4" w:space="0"/>
              <w:bottom w:val="single" w:color="auto" w:sz="4" w:space="0"/>
              <w:right w:val="single" w:color="auto" w:sz="4" w:space="0"/>
            </w:tcBorders>
            <w:noWrap w:val="0"/>
            <w:vAlign w:val="center"/>
          </w:tcPr>
          <w:p w14:paraId="3BD5C95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具体服务内容</w:t>
            </w:r>
          </w:p>
        </w:tc>
        <w:tc>
          <w:tcPr>
            <w:tcW w:w="1407" w:type="dxa"/>
            <w:tcBorders>
              <w:top w:val="single" w:color="auto" w:sz="4" w:space="0"/>
              <w:left w:val="single" w:color="auto" w:sz="4" w:space="0"/>
              <w:bottom w:val="single" w:color="auto" w:sz="4" w:space="0"/>
              <w:right w:val="single" w:color="auto" w:sz="4" w:space="0"/>
            </w:tcBorders>
            <w:noWrap w:val="0"/>
            <w:vAlign w:val="center"/>
          </w:tcPr>
          <w:p w14:paraId="566A1874">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4E165505">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05A828B">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6E3396D4">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6651D1C1">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0106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14:paraId="742BCEA7">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147AD35">
            <w:pPr>
              <w:rPr>
                <w:rFonts w:hint="eastAsia" w:ascii="宋体" w:hAnsi="宋体" w:eastAsia="宋体" w:cs="宋体"/>
                <w:color w:val="auto"/>
                <w:szCs w:val="22"/>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66D311A5">
            <w:pPr>
              <w:rPr>
                <w:rFonts w:hint="eastAsia" w:ascii="宋体" w:hAnsi="宋体" w:eastAsia="宋体" w:cs="宋体"/>
                <w:color w:val="auto"/>
                <w:szCs w:val="22"/>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14:paraId="7F130F77">
            <w:pPr>
              <w:rPr>
                <w:rFonts w:hint="eastAsia" w:ascii="宋体" w:hAnsi="宋体" w:eastAsia="宋体" w:cs="宋体"/>
                <w:color w:val="auto"/>
                <w:szCs w:val="22"/>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2419ABC">
            <w:pPr>
              <w:rPr>
                <w:rFonts w:hint="eastAsia" w:ascii="宋体" w:hAnsi="宋体" w:eastAsia="宋体" w:cs="宋体"/>
                <w:color w:val="auto"/>
                <w:szCs w:val="22"/>
                <w:highlight w:val="none"/>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5AAC9C4">
            <w:pPr>
              <w:rPr>
                <w:rFonts w:hint="eastAsia" w:ascii="宋体" w:hAnsi="宋体" w:eastAsia="宋体" w:cs="宋体"/>
                <w:color w:val="auto"/>
                <w:szCs w:val="22"/>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7286BC1C">
            <w:pPr>
              <w:rPr>
                <w:rFonts w:hint="eastAsia" w:ascii="宋体" w:hAnsi="宋体" w:eastAsia="宋体" w:cs="宋体"/>
                <w:color w:val="auto"/>
                <w:szCs w:val="22"/>
                <w:highlight w:val="none"/>
              </w:rPr>
            </w:pPr>
          </w:p>
        </w:tc>
      </w:tr>
      <w:tr w14:paraId="2427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14:paraId="780002E4">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1EB2AB39">
            <w:pPr>
              <w:rPr>
                <w:rFonts w:hint="eastAsia" w:ascii="宋体" w:hAnsi="宋体" w:eastAsia="宋体" w:cs="宋体"/>
                <w:color w:val="auto"/>
                <w:szCs w:val="22"/>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13A54356">
            <w:pPr>
              <w:rPr>
                <w:rFonts w:hint="eastAsia" w:ascii="宋体" w:hAnsi="宋体" w:eastAsia="宋体" w:cs="宋体"/>
                <w:color w:val="auto"/>
                <w:szCs w:val="22"/>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14:paraId="55BFEB02">
            <w:pPr>
              <w:rPr>
                <w:rFonts w:hint="eastAsia" w:ascii="宋体" w:hAnsi="宋体" w:eastAsia="宋体" w:cs="宋体"/>
                <w:color w:val="auto"/>
                <w:szCs w:val="22"/>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D47B36B">
            <w:pPr>
              <w:rPr>
                <w:rFonts w:hint="eastAsia" w:ascii="宋体" w:hAnsi="宋体" w:eastAsia="宋体" w:cs="宋体"/>
                <w:color w:val="auto"/>
                <w:szCs w:val="22"/>
                <w:highlight w:val="none"/>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E2AF4F4">
            <w:pPr>
              <w:rPr>
                <w:rFonts w:hint="eastAsia" w:ascii="宋体" w:hAnsi="宋体" w:eastAsia="宋体" w:cs="宋体"/>
                <w:color w:val="auto"/>
                <w:szCs w:val="22"/>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1AB133BC">
            <w:pPr>
              <w:rPr>
                <w:rFonts w:hint="eastAsia" w:ascii="宋体" w:hAnsi="宋体" w:eastAsia="宋体" w:cs="宋体"/>
                <w:color w:val="auto"/>
                <w:szCs w:val="22"/>
                <w:highlight w:val="none"/>
              </w:rPr>
            </w:pPr>
          </w:p>
        </w:tc>
      </w:tr>
      <w:tr w14:paraId="0630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14:paraId="6BE9A909">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77BA41D2">
            <w:pPr>
              <w:rPr>
                <w:rFonts w:hint="eastAsia" w:ascii="宋体" w:hAnsi="宋体" w:eastAsia="宋体" w:cs="宋体"/>
                <w:color w:val="auto"/>
                <w:szCs w:val="22"/>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0E55D90C">
            <w:pPr>
              <w:rPr>
                <w:rFonts w:hint="eastAsia" w:ascii="宋体" w:hAnsi="宋体" w:eastAsia="宋体" w:cs="宋体"/>
                <w:color w:val="auto"/>
                <w:szCs w:val="22"/>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14:paraId="22B13455">
            <w:pPr>
              <w:rPr>
                <w:rFonts w:hint="eastAsia" w:ascii="宋体" w:hAnsi="宋体" w:eastAsia="宋体" w:cs="宋体"/>
                <w:color w:val="auto"/>
                <w:szCs w:val="22"/>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5C2238D0">
            <w:pPr>
              <w:rPr>
                <w:rFonts w:hint="eastAsia" w:ascii="宋体" w:hAnsi="宋体" w:eastAsia="宋体" w:cs="宋体"/>
                <w:color w:val="auto"/>
                <w:szCs w:val="22"/>
                <w:highlight w:val="none"/>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12FD5C3">
            <w:pPr>
              <w:rPr>
                <w:rFonts w:hint="eastAsia" w:ascii="宋体" w:hAnsi="宋体" w:eastAsia="宋体" w:cs="宋体"/>
                <w:color w:val="auto"/>
                <w:szCs w:val="22"/>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7290B302">
            <w:pPr>
              <w:rPr>
                <w:rFonts w:hint="eastAsia" w:ascii="宋体" w:hAnsi="宋体" w:eastAsia="宋体" w:cs="宋体"/>
                <w:color w:val="auto"/>
                <w:szCs w:val="22"/>
                <w:highlight w:val="none"/>
              </w:rPr>
            </w:pPr>
          </w:p>
        </w:tc>
      </w:tr>
      <w:tr w14:paraId="3EEC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378" w:type="dxa"/>
            <w:gridSpan w:val="7"/>
            <w:tcBorders>
              <w:top w:val="single" w:color="auto" w:sz="4" w:space="0"/>
              <w:left w:val="single" w:color="auto" w:sz="4" w:space="0"/>
              <w:bottom w:val="single" w:color="auto" w:sz="4" w:space="0"/>
              <w:right w:val="single" w:color="auto" w:sz="4" w:space="0"/>
            </w:tcBorders>
            <w:noWrap w:val="0"/>
            <w:vAlign w:val="center"/>
          </w:tcPr>
          <w:p w14:paraId="3A1EDB77">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14:paraId="3CBB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378" w:type="dxa"/>
            <w:gridSpan w:val="7"/>
            <w:tcBorders>
              <w:top w:val="single" w:color="auto" w:sz="4" w:space="0"/>
              <w:left w:val="single" w:color="auto" w:sz="4" w:space="0"/>
              <w:bottom w:val="single" w:color="auto" w:sz="4" w:space="0"/>
              <w:right w:val="single" w:color="auto" w:sz="4" w:space="0"/>
            </w:tcBorders>
            <w:noWrap w:val="0"/>
            <w:vAlign w:val="center"/>
          </w:tcPr>
          <w:p w14:paraId="28790219">
            <w:pP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服务期限</w:t>
            </w:r>
            <w:r>
              <w:rPr>
                <w:rFonts w:hint="eastAsia" w:ascii="宋体" w:hAnsi="宋体" w:eastAsia="宋体" w:cs="宋体"/>
                <w:color w:val="auto"/>
                <w:szCs w:val="22"/>
                <w:highlight w:val="none"/>
              </w:rPr>
              <w:t>：</w:t>
            </w:r>
          </w:p>
        </w:tc>
      </w:tr>
    </w:tbl>
    <w:p w14:paraId="003311F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注：1、所有价格均用人民币表示，单位为元，精确到小数点后两位数。</w:t>
      </w:r>
    </w:p>
    <w:p w14:paraId="5962D4F2">
      <w:pPr>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2、本项目竞标人报价为采购人指定地点的现场交货价，竞标人自行考虑完成项目所需的辅材、杂配件等数量，竞标人报价中应包含全部内容，成交后采购人不再另行支付额外费用。包括但不限于：</w:t>
      </w:r>
    </w:p>
    <w:p w14:paraId="26B49100">
      <w:pPr>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（1）服务的价格：包括货款、杂配件、安装调试费、履约验收费；</w:t>
      </w:r>
    </w:p>
    <w:p w14:paraId="36EB8EA9">
      <w:pPr>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（2）服务的标准附件、备品备件、专用工具的价格；</w:t>
      </w:r>
    </w:p>
    <w:p w14:paraId="7006882C">
      <w:pPr>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（3）运输、装卸、调试、培训、技术支持、售后服务费；</w:t>
      </w:r>
    </w:p>
    <w:p w14:paraId="7003686C">
      <w:pPr>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（4）各类软件、系统等的安装、集成、试运行等费用；</w:t>
      </w:r>
    </w:p>
    <w:p w14:paraId="1D98EBAD">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bCs/>
          <w:color w:val="auto"/>
          <w:highlight w:val="none"/>
        </w:rPr>
        <w:t>（5）代理服务费、保险费和各项税金</w:t>
      </w:r>
    </w:p>
    <w:p w14:paraId="665F68EA">
      <w:pPr>
        <w:pStyle w:val="24"/>
        <w:spacing w:line="360" w:lineRule="auto"/>
        <w:ind w:firstLine="420" w:firstLineChars="200"/>
        <w:rPr>
          <w:rFonts w:hint="eastAsia" w:ascii="宋体" w:hAnsi="宋体" w:eastAsia="宋体" w:cs="宋体"/>
          <w:color w:val="auto"/>
          <w:highlight w:val="none"/>
        </w:rPr>
      </w:pPr>
    </w:p>
    <w:p w14:paraId="3D51287C">
      <w:pPr>
        <w:pStyle w:val="24"/>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法定代表人或委托代理人（签字或盖章）:</w:t>
      </w:r>
      <w:r>
        <w:rPr>
          <w:rFonts w:hint="eastAsia" w:ascii="宋体" w:hAnsi="宋体" w:eastAsia="宋体" w:cs="宋体"/>
          <w:color w:val="auto"/>
          <w:highlight w:val="none"/>
          <w:u w:val="single"/>
        </w:rPr>
        <w:t xml:space="preserve">              </w:t>
      </w:r>
    </w:p>
    <w:p w14:paraId="760F64D6">
      <w:pPr>
        <w:pStyle w:val="24"/>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磋商供应商名称（电子签章）：</w:t>
      </w:r>
      <w:r>
        <w:rPr>
          <w:rFonts w:hint="eastAsia" w:ascii="宋体" w:hAnsi="宋体" w:eastAsia="宋体" w:cs="宋体"/>
          <w:color w:val="auto"/>
          <w:highlight w:val="none"/>
          <w:u w:val="single"/>
        </w:rPr>
        <w:t xml:space="preserve">                             </w:t>
      </w:r>
    </w:p>
    <w:p w14:paraId="65AA9D6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报价时间：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CDCB523">
      <w:pPr>
        <w:adjustRightInd w:val="0"/>
        <w:snapToGri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商务技术文件</w:t>
      </w:r>
    </w:p>
    <w:p w14:paraId="334209D8">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1.商务、技术响应、偏离情况说明表</w:t>
      </w:r>
    </w:p>
    <w:p w14:paraId="64E195AF">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14:paraId="242AF82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 xml:space="preserve">                 </w:t>
      </w:r>
    </w:p>
    <w:p w14:paraId="681326F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分标号（如有）: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7"/>
        <w:gridCol w:w="2856"/>
        <w:gridCol w:w="2994"/>
        <w:gridCol w:w="1488"/>
        <w:gridCol w:w="1383"/>
      </w:tblGrid>
      <w:tr w14:paraId="389F76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617" w:type="dxa"/>
            <w:vAlign w:val="center"/>
          </w:tcPr>
          <w:p w14:paraId="3C1B52B9">
            <w:pPr>
              <w:spacing w:line="360" w:lineRule="auto"/>
              <w:jc w:val="center"/>
              <w:rPr>
                <w:rFonts w:hint="eastAsia" w:ascii="宋体" w:hAnsi="宋体" w:eastAsia="宋体" w:cs="宋体"/>
                <w:color w:val="auto"/>
                <w:highlight w:val="none"/>
              </w:rPr>
            </w:pPr>
            <w:bookmarkStart w:id="55" w:name="_Toc254970729"/>
            <w:bookmarkStart w:id="56" w:name="_Toc254970588"/>
            <w:bookmarkStart w:id="57" w:name="_Toc173211900"/>
            <w:bookmarkStart w:id="58" w:name="_Toc173066401"/>
            <w:r>
              <w:rPr>
                <w:rFonts w:hint="eastAsia" w:ascii="宋体" w:hAnsi="宋体" w:eastAsia="宋体" w:cs="宋体"/>
                <w:color w:val="auto"/>
                <w:highlight w:val="none"/>
              </w:rPr>
              <w:t>序号</w:t>
            </w:r>
            <w:bookmarkEnd w:id="55"/>
            <w:bookmarkEnd w:id="56"/>
            <w:bookmarkEnd w:id="57"/>
            <w:bookmarkEnd w:id="58"/>
          </w:p>
        </w:tc>
        <w:tc>
          <w:tcPr>
            <w:tcW w:w="2856" w:type="dxa"/>
            <w:vAlign w:val="center"/>
          </w:tcPr>
          <w:p w14:paraId="25CF99A8">
            <w:pPr>
              <w:spacing w:line="360" w:lineRule="auto"/>
              <w:jc w:val="center"/>
              <w:rPr>
                <w:rFonts w:hint="eastAsia" w:ascii="宋体" w:hAnsi="宋体" w:eastAsia="宋体" w:cs="宋体"/>
                <w:color w:val="auto"/>
                <w:highlight w:val="none"/>
              </w:rPr>
            </w:pPr>
            <w:bookmarkStart w:id="59" w:name="_Toc254970730"/>
            <w:bookmarkStart w:id="60" w:name="_Toc173211901"/>
            <w:bookmarkStart w:id="61" w:name="_Toc254970589"/>
            <w:bookmarkStart w:id="62" w:name="_Toc173066402"/>
            <w:r>
              <w:rPr>
                <w:rFonts w:hint="eastAsia" w:ascii="宋体" w:hAnsi="宋体" w:eastAsia="宋体" w:cs="宋体"/>
                <w:color w:val="auto"/>
                <w:highlight w:val="none"/>
              </w:rPr>
              <w:t>竞争性磋商文件要求</w:t>
            </w:r>
            <w:bookmarkEnd w:id="59"/>
            <w:bookmarkEnd w:id="60"/>
            <w:bookmarkEnd w:id="61"/>
            <w:bookmarkEnd w:id="62"/>
          </w:p>
        </w:tc>
        <w:tc>
          <w:tcPr>
            <w:tcW w:w="2994" w:type="dxa"/>
            <w:vAlign w:val="center"/>
          </w:tcPr>
          <w:p w14:paraId="0945DAD1">
            <w:pPr>
              <w:spacing w:line="360" w:lineRule="auto"/>
              <w:jc w:val="center"/>
              <w:rPr>
                <w:rFonts w:hint="eastAsia" w:ascii="宋体" w:hAnsi="宋体" w:eastAsia="宋体" w:cs="宋体"/>
                <w:color w:val="auto"/>
                <w:highlight w:val="none"/>
              </w:rPr>
            </w:pPr>
            <w:bookmarkStart w:id="63" w:name="_Toc254970590"/>
            <w:bookmarkStart w:id="64" w:name="_Toc254970731"/>
            <w:bookmarkStart w:id="65" w:name="_Toc173066403"/>
            <w:bookmarkStart w:id="66" w:name="_Toc173211902"/>
            <w:r>
              <w:rPr>
                <w:rFonts w:hint="eastAsia" w:ascii="宋体" w:hAnsi="宋体" w:eastAsia="宋体" w:cs="宋体"/>
                <w:color w:val="auto"/>
                <w:highlight w:val="none"/>
              </w:rPr>
              <w:t>竞争性磋商响应文件具体响应</w:t>
            </w:r>
            <w:bookmarkEnd w:id="63"/>
            <w:bookmarkEnd w:id="64"/>
            <w:bookmarkEnd w:id="65"/>
            <w:bookmarkEnd w:id="66"/>
          </w:p>
        </w:tc>
        <w:tc>
          <w:tcPr>
            <w:tcW w:w="1488" w:type="dxa"/>
            <w:vAlign w:val="center"/>
          </w:tcPr>
          <w:p w14:paraId="1BC64717">
            <w:pPr>
              <w:spacing w:line="360" w:lineRule="auto"/>
              <w:jc w:val="center"/>
              <w:rPr>
                <w:rFonts w:hint="eastAsia" w:ascii="宋体" w:hAnsi="宋体" w:eastAsia="宋体" w:cs="宋体"/>
                <w:color w:val="auto"/>
                <w:highlight w:val="none"/>
              </w:rPr>
            </w:pPr>
            <w:bookmarkStart w:id="67" w:name="_Toc254970591"/>
            <w:bookmarkStart w:id="68" w:name="_Toc173066404"/>
            <w:bookmarkStart w:id="69" w:name="_Toc173211903"/>
            <w:bookmarkStart w:id="70" w:name="_Toc254970732"/>
            <w:r>
              <w:rPr>
                <w:rFonts w:hint="eastAsia" w:ascii="宋体" w:hAnsi="宋体" w:eastAsia="宋体" w:cs="宋体"/>
                <w:color w:val="auto"/>
                <w:highlight w:val="none"/>
              </w:rPr>
              <w:t>响应/偏离</w:t>
            </w:r>
            <w:bookmarkEnd w:id="67"/>
            <w:bookmarkEnd w:id="68"/>
            <w:bookmarkEnd w:id="69"/>
            <w:bookmarkEnd w:id="70"/>
          </w:p>
        </w:tc>
        <w:tc>
          <w:tcPr>
            <w:tcW w:w="1383" w:type="dxa"/>
            <w:vAlign w:val="center"/>
          </w:tcPr>
          <w:p w14:paraId="54120D3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79F3F6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9338" w:type="dxa"/>
            <w:gridSpan w:val="5"/>
            <w:vAlign w:val="center"/>
          </w:tcPr>
          <w:p w14:paraId="209F9301">
            <w:pPr>
              <w:spacing w:line="360" w:lineRule="auto"/>
              <w:jc w:val="center"/>
              <w:rPr>
                <w:rFonts w:hint="eastAsia" w:ascii="宋体" w:hAnsi="宋体" w:eastAsia="宋体" w:cs="宋体"/>
                <w:color w:val="auto"/>
                <w:highlight w:val="none"/>
              </w:rPr>
            </w:pPr>
            <w:bookmarkStart w:id="71" w:name="_Toc476258666"/>
            <w:r>
              <w:rPr>
                <w:rFonts w:hint="eastAsia" w:ascii="宋体" w:hAnsi="宋体" w:eastAsia="宋体" w:cs="宋体"/>
                <w:color w:val="auto"/>
                <w:highlight w:val="none"/>
              </w:rPr>
              <w:t>商务部分</w:t>
            </w:r>
            <w:bookmarkEnd w:id="71"/>
            <w:r>
              <w:rPr>
                <w:rFonts w:hint="eastAsia" w:ascii="宋体" w:hAnsi="宋体" w:eastAsia="宋体" w:cs="宋体"/>
                <w:color w:val="auto"/>
                <w:highlight w:val="none"/>
              </w:rPr>
              <w:t>（商务要求表）</w:t>
            </w:r>
          </w:p>
        </w:tc>
      </w:tr>
      <w:tr w14:paraId="23B80A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7" w:type="dxa"/>
            <w:vAlign w:val="center"/>
          </w:tcPr>
          <w:p w14:paraId="378196F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856" w:type="dxa"/>
            <w:vAlign w:val="center"/>
          </w:tcPr>
          <w:p w14:paraId="60D12782">
            <w:pPr>
              <w:widowControl/>
              <w:snapToGrid w:val="0"/>
              <w:spacing w:line="360" w:lineRule="auto"/>
              <w:jc w:val="center"/>
              <w:textAlignment w:val="center"/>
              <w:rPr>
                <w:rFonts w:hint="eastAsia" w:ascii="宋体" w:hAnsi="宋体" w:eastAsia="宋体" w:cs="宋体"/>
                <w:color w:val="auto"/>
                <w:szCs w:val="21"/>
                <w:highlight w:val="none"/>
              </w:rPr>
            </w:pPr>
          </w:p>
        </w:tc>
        <w:tc>
          <w:tcPr>
            <w:tcW w:w="2994" w:type="dxa"/>
          </w:tcPr>
          <w:p w14:paraId="28E081A0">
            <w:pPr>
              <w:spacing w:line="360" w:lineRule="auto"/>
              <w:rPr>
                <w:rFonts w:hint="eastAsia" w:ascii="宋体" w:hAnsi="宋体" w:eastAsia="宋体" w:cs="宋体"/>
                <w:color w:val="auto"/>
                <w:highlight w:val="none"/>
              </w:rPr>
            </w:pPr>
          </w:p>
        </w:tc>
        <w:tc>
          <w:tcPr>
            <w:tcW w:w="1488" w:type="dxa"/>
            <w:vAlign w:val="center"/>
          </w:tcPr>
          <w:p w14:paraId="24F4DF3B">
            <w:pPr>
              <w:spacing w:line="360" w:lineRule="auto"/>
              <w:jc w:val="center"/>
              <w:rPr>
                <w:rFonts w:hint="eastAsia" w:ascii="宋体" w:hAnsi="宋体" w:eastAsia="宋体" w:cs="宋体"/>
                <w:color w:val="auto"/>
                <w:highlight w:val="none"/>
              </w:rPr>
            </w:pPr>
          </w:p>
        </w:tc>
        <w:tc>
          <w:tcPr>
            <w:tcW w:w="1383" w:type="dxa"/>
            <w:vAlign w:val="center"/>
          </w:tcPr>
          <w:p w14:paraId="35A19E7B">
            <w:pPr>
              <w:spacing w:line="360" w:lineRule="auto"/>
              <w:jc w:val="center"/>
              <w:rPr>
                <w:rFonts w:hint="eastAsia" w:ascii="宋体" w:hAnsi="宋体" w:eastAsia="宋体" w:cs="宋体"/>
                <w:color w:val="auto"/>
                <w:highlight w:val="none"/>
              </w:rPr>
            </w:pPr>
          </w:p>
        </w:tc>
      </w:tr>
      <w:tr w14:paraId="05BACD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1F25B1B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856" w:type="dxa"/>
            <w:vAlign w:val="center"/>
          </w:tcPr>
          <w:p w14:paraId="7DC892AF">
            <w:pPr>
              <w:widowControl/>
              <w:snapToGrid w:val="0"/>
              <w:spacing w:line="360" w:lineRule="auto"/>
              <w:jc w:val="center"/>
              <w:textAlignment w:val="center"/>
              <w:rPr>
                <w:rFonts w:hint="eastAsia" w:ascii="宋体" w:hAnsi="宋体" w:eastAsia="宋体" w:cs="宋体"/>
                <w:color w:val="auto"/>
                <w:szCs w:val="21"/>
                <w:highlight w:val="none"/>
              </w:rPr>
            </w:pPr>
          </w:p>
        </w:tc>
        <w:tc>
          <w:tcPr>
            <w:tcW w:w="2994" w:type="dxa"/>
          </w:tcPr>
          <w:p w14:paraId="035E63C2">
            <w:pPr>
              <w:spacing w:line="360" w:lineRule="auto"/>
              <w:rPr>
                <w:rFonts w:hint="eastAsia" w:ascii="宋体" w:hAnsi="宋体" w:eastAsia="宋体" w:cs="宋体"/>
                <w:color w:val="auto"/>
                <w:highlight w:val="none"/>
              </w:rPr>
            </w:pPr>
          </w:p>
        </w:tc>
        <w:tc>
          <w:tcPr>
            <w:tcW w:w="1488" w:type="dxa"/>
            <w:vAlign w:val="center"/>
          </w:tcPr>
          <w:p w14:paraId="1666A1F8">
            <w:pPr>
              <w:spacing w:line="360" w:lineRule="auto"/>
              <w:jc w:val="center"/>
              <w:rPr>
                <w:rFonts w:hint="eastAsia" w:ascii="宋体" w:hAnsi="宋体" w:eastAsia="宋体" w:cs="宋体"/>
                <w:color w:val="auto"/>
                <w:highlight w:val="none"/>
              </w:rPr>
            </w:pPr>
          </w:p>
        </w:tc>
        <w:tc>
          <w:tcPr>
            <w:tcW w:w="1383" w:type="dxa"/>
            <w:vAlign w:val="center"/>
          </w:tcPr>
          <w:p w14:paraId="3860A1F3">
            <w:pPr>
              <w:spacing w:line="360" w:lineRule="auto"/>
              <w:jc w:val="center"/>
              <w:rPr>
                <w:rFonts w:hint="eastAsia" w:ascii="宋体" w:hAnsi="宋体" w:eastAsia="宋体" w:cs="宋体"/>
                <w:color w:val="auto"/>
                <w:highlight w:val="none"/>
              </w:rPr>
            </w:pPr>
          </w:p>
        </w:tc>
      </w:tr>
      <w:tr w14:paraId="63D28E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48230F6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856" w:type="dxa"/>
            <w:vAlign w:val="center"/>
          </w:tcPr>
          <w:p w14:paraId="41E58B39">
            <w:pPr>
              <w:widowControl/>
              <w:snapToGrid w:val="0"/>
              <w:spacing w:line="360" w:lineRule="auto"/>
              <w:jc w:val="center"/>
              <w:textAlignment w:val="center"/>
              <w:rPr>
                <w:rFonts w:hint="eastAsia" w:ascii="宋体" w:hAnsi="宋体" w:eastAsia="宋体" w:cs="宋体"/>
                <w:color w:val="auto"/>
                <w:szCs w:val="21"/>
                <w:highlight w:val="none"/>
              </w:rPr>
            </w:pPr>
          </w:p>
        </w:tc>
        <w:tc>
          <w:tcPr>
            <w:tcW w:w="2994" w:type="dxa"/>
          </w:tcPr>
          <w:p w14:paraId="685642CC">
            <w:pPr>
              <w:spacing w:line="360" w:lineRule="auto"/>
              <w:rPr>
                <w:rFonts w:hint="eastAsia" w:ascii="宋体" w:hAnsi="宋体" w:eastAsia="宋体" w:cs="宋体"/>
                <w:color w:val="auto"/>
                <w:highlight w:val="none"/>
              </w:rPr>
            </w:pPr>
          </w:p>
        </w:tc>
        <w:tc>
          <w:tcPr>
            <w:tcW w:w="1488" w:type="dxa"/>
            <w:vAlign w:val="center"/>
          </w:tcPr>
          <w:p w14:paraId="0D2097D6">
            <w:pPr>
              <w:spacing w:line="360" w:lineRule="auto"/>
              <w:jc w:val="center"/>
              <w:rPr>
                <w:rFonts w:hint="eastAsia" w:ascii="宋体" w:hAnsi="宋体" w:eastAsia="宋体" w:cs="宋体"/>
                <w:color w:val="auto"/>
                <w:highlight w:val="none"/>
              </w:rPr>
            </w:pPr>
          </w:p>
        </w:tc>
        <w:tc>
          <w:tcPr>
            <w:tcW w:w="1383" w:type="dxa"/>
            <w:vAlign w:val="center"/>
          </w:tcPr>
          <w:p w14:paraId="3A156C31">
            <w:pPr>
              <w:spacing w:line="360" w:lineRule="auto"/>
              <w:jc w:val="center"/>
              <w:rPr>
                <w:rFonts w:hint="eastAsia" w:ascii="宋体" w:hAnsi="宋体" w:eastAsia="宋体" w:cs="宋体"/>
                <w:color w:val="auto"/>
                <w:highlight w:val="none"/>
              </w:rPr>
            </w:pPr>
          </w:p>
        </w:tc>
      </w:tr>
      <w:tr w14:paraId="46C658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4E43A58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856" w:type="dxa"/>
            <w:vAlign w:val="center"/>
          </w:tcPr>
          <w:p w14:paraId="0630168A">
            <w:pPr>
              <w:spacing w:line="360" w:lineRule="auto"/>
              <w:jc w:val="center"/>
              <w:rPr>
                <w:rFonts w:hint="eastAsia" w:ascii="宋体" w:hAnsi="宋体" w:eastAsia="宋体" w:cs="宋体"/>
                <w:color w:val="auto"/>
                <w:szCs w:val="21"/>
                <w:highlight w:val="none"/>
              </w:rPr>
            </w:pPr>
          </w:p>
        </w:tc>
        <w:tc>
          <w:tcPr>
            <w:tcW w:w="2994" w:type="dxa"/>
          </w:tcPr>
          <w:p w14:paraId="342AB28C">
            <w:pPr>
              <w:spacing w:line="360" w:lineRule="auto"/>
              <w:rPr>
                <w:rFonts w:hint="eastAsia" w:ascii="宋体" w:hAnsi="宋体" w:eastAsia="宋体" w:cs="宋体"/>
                <w:color w:val="auto"/>
                <w:highlight w:val="none"/>
              </w:rPr>
            </w:pPr>
          </w:p>
        </w:tc>
        <w:tc>
          <w:tcPr>
            <w:tcW w:w="1488" w:type="dxa"/>
            <w:vAlign w:val="center"/>
          </w:tcPr>
          <w:p w14:paraId="2D2D0026">
            <w:pPr>
              <w:spacing w:line="360" w:lineRule="auto"/>
              <w:jc w:val="center"/>
              <w:rPr>
                <w:rFonts w:hint="eastAsia" w:ascii="宋体" w:hAnsi="宋体" w:eastAsia="宋体" w:cs="宋体"/>
                <w:color w:val="auto"/>
                <w:highlight w:val="none"/>
              </w:rPr>
            </w:pPr>
          </w:p>
        </w:tc>
        <w:tc>
          <w:tcPr>
            <w:tcW w:w="1383" w:type="dxa"/>
            <w:vAlign w:val="center"/>
          </w:tcPr>
          <w:p w14:paraId="5B6D9FCE">
            <w:pPr>
              <w:spacing w:line="360" w:lineRule="auto"/>
              <w:jc w:val="center"/>
              <w:rPr>
                <w:rFonts w:hint="eastAsia" w:ascii="宋体" w:hAnsi="宋体" w:eastAsia="宋体" w:cs="宋体"/>
                <w:color w:val="auto"/>
                <w:highlight w:val="none"/>
              </w:rPr>
            </w:pPr>
          </w:p>
        </w:tc>
      </w:tr>
      <w:tr w14:paraId="311BF7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9338" w:type="dxa"/>
            <w:gridSpan w:val="5"/>
            <w:vAlign w:val="center"/>
          </w:tcPr>
          <w:p w14:paraId="78B95F99">
            <w:pPr>
              <w:spacing w:line="360" w:lineRule="auto"/>
              <w:jc w:val="center"/>
              <w:rPr>
                <w:rFonts w:hint="eastAsia" w:ascii="宋体" w:hAnsi="宋体" w:eastAsia="宋体" w:cs="宋体"/>
                <w:color w:val="auto"/>
                <w:highlight w:val="none"/>
              </w:rPr>
            </w:pPr>
            <w:bookmarkStart w:id="72" w:name="_Toc476258667"/>
            <w:r>
              <w:rPr>
                <w:rFonts w:hint="eastAsia" w:ascii="宋体" w:hAnsi="宋体" w:eastAsia="宋体" w:cs="宋体"/>
                <w:color w:val="auto"/>
                <w:highlight w:val="none"/>
              </w:rPr>
              <w:t>技术部分</w:t>
            </w:r>
            <w:bookmarkEnd w:id="72"/>
            <w:r>
              <w:rPr>
                <w:rFonts w:hint="eastAsia" w:ascii="宋体" w:hAnsi="宋体" w:eastAsia="宋体" w:cs="宋体"/>
                <w:color w:val="auto"/>
                <w:highlight w:val="none"/>
              </w:rPr>
              <w:t>（服务需求）</w:t>
            </w:r>
          </w:p>
        </w:tc>
      </w:tr>
      <w:tr w14:paraId="1E390E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3B813101">
            <w:pPr>
              <w:spacing w:line="360" w:lineRule="auto"/>
              <w:jc w:val="center"/>
              <w:rPr>
                <w:rFonts w:hint="eastAsia" w:ascii="宋体" w:hAnsi="宋体" w:eastAsia="宋体" w:cs="宋体"/>
                <w:color w:val="auto"/>
                <w:highlight w:val="none"/>
              </w:rPr>
            </w:pPr>
            <w:bookmarkStart w:id="73" w:name="_Toc476258668"/>
            <w:r>
              <w:rPr>
                <w:rFonts w:hint="eastAsia" w:ascii="宋体" w:hAnsi="宋体" w:eastAsia="宋体" w:cs="宋体"/>
                <w:color w:val="auto"/>
                <w:highlight w:val="none"/>
              </w:rPr>
              <w:t>1</w:t>
            </w:r>
            <w:bookmarkEnd w:id="73"/>
          </w:p>
        </w:tc>
        <w:tc>
          <w:tcPr>
            <w:tcW w:w="2856" w:type="dxa"/>
            <w:vAlign w:val="center"/>
          </w:tcPr>
          <w:p w14:paraId="769627E5">
            <w:pPr>
              <w:spacing w:line="360" w:lineRule="auto"/>
              <w:rPr>
                <w:rFonts w:hint="eastAsia" w:ascii="宋体" w:hAnsi="宋体" w:eastAsia="宋体" w:cs="宋体"/>
                <w:color w:val="auto"/>
                <w:highlight w:val="none"/>
              </w:rPr>
            </w:pPr>
          </w:p>
        </w:tc>
        <w:tc>
          <w:tcPr>
            <w:tcW w:w="2994" w:type="dxa"/>
            <w:vAlign w:val="center"/>
          </w:tcPr>
          <w:p w14:paraId="13066649">
            <w:pPr>
              <w:spacing w:line="360" w:lineRule="auto"/>
              <w:rPr>
                <w:rFonts w:hint="eastAsia" w:ascii="宋体" w:hAnsi="宋体" w:eastAsia="宋体" w:cs="宋体"/>
                <w:color w:val="auto"/>
                <w:highlight w:val="none"/>
              </w:rPr>
            </w:pPr>
          </w:p>
        </w:tc>
        <w:tc>
          <w:tcPr>
            <w:tcW w:w="1488" w:type="dxa"/>
            <w:vAlign w:val="center"/>
          </w:tcPr>
          <w:p w14:paraId="0AC3C19D">
            <w:pPr>
              <w:spacing w:line="360" w:lineRule="auto"/>
              <w:rPr>
                <w:rFonts w:hint="eastAsia" w:ascii="宋体" w:hAnsi="宋体" w:eastAsia="宋体" w:cs="宋体"/>
                <w:color w:val="auto"/>
                <w:highlight w:val="none"/>
              </w:rPr>
            </w:pPr>
          </w:p>
        </w:tc>
        <w:tc>
          <w:tcPr>
            <w:tcW w:w="1383" w:type="dxa"/>
            <w:vAlign w:val="center"/>
          </w:tcPr>
          <w:p w14:paraId="56E1B2F2">
            <w:pPr>
              <w:spacing w:line="360" w:lineRule="auto"/>
              <w:rPr>
                <w:rFonts w:hint="eastAsia" w:ascii="宋体" w:hAnsi="宋体" w:eastAsia="宋体" w:cs="宋体"/>
                <w:color w:val="auto"/>
                <w:highlight w:val="none"/>
              </w:rPr>
            </w:pPr>
          </w:p>
        </w:tc>
      </w:tr>
      <w:tr w14:paraId="17E488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6612D724">
            <w:pPr>
              <w:spacing w:line="360" w:lineRule="auto"/>
              <w:jc w:val="center"/>
              <w:rPr>
                <w:rFonts w:hint="eastAsia" w:ascii="宋体" w:hAnsi="宋体" w:eastAsia="宋体" w:cs="宋体"/>
                <w:color w:val="auto"/>
                <w:highlight w:val="none"/>
              </w:rPr>
            </w:pPr>
            <w:bookmarkStart w:id="74" w:name="_Toc476258669"/>
            <w:r>
              <w:rPr>
                <w:rFonts w:hint="eastAsia" w:ascii="宋体" w:hAnsi="宋体" w:eastAsia="宋体" w:cs="宋体"/>
                <w:color w:val="auto"/>
                <w:highlight w:val="none"/>
              </w:rPr>
              <w:t>2</w:t>
            </w:r>
            <w:bookmarkEnd w:id="74"/>
          </w:p>
        </w:tc>
        <w:tc>
          <w:tcPr>
            <w:tcW w:w="2856" w:type="dxa"/>
            <w:vAlign w:val="center"/>
          </w:tcPr>
          <w:p w14:paraId="1AC99D82">
            <w:pPr>
              <w:spacing w:line="360" w:lineRule="auto"/>
              <w:rPr>
                <w:rFonts w:hint="eastAsia" w:ascii="宋体" w:hAnsi="宋体" w:eastAsia="宋体" w:cs="宋体"/>
                <w:color w:val="auto"/>
                <w:highlight w:val="none"/>
              </w:rPr>
            </w:pPr>
          </w:p>
        </w:tc>
        <w:tc>
          <w:tcPr>
            <w:tcW w:w="2994" w:type="dxa"/>
            <w:vAlign w:val="center"/>
          </w:tcPr>
          <w:p w14:paraId="7CF0115F">
            <w:pPr>
              <w:spacing w:line="360" w:lineRule="auto"/>
              <w:rPr>
                <w:rFonts w:hint="eastAsia" w:ascii="宋体" w:hAnsi="宋体" w:eastAsia="宋体" w:cs="宋体"/>
                <w:color w:val="auto"/>
                <w:highlight w:val="none"/>
              </w:rPr>
            </w:pPr>
          </w:p>
        </w:tc>
        <w:tc>
          <w:tcPr>
            <w:tcW w:w="1488" w:type="dxa"/>
            <w:vAlign w:val="center"/>
          </w:tcPr>
          <w:p w14:paraId="5C6261E0">
            <w:pPr>
              <w:spacing w:line="360" w:lineRule="auto"/>
              <w:rPr>
                <w:rFonts w:hint="eastAsia" w:ascii="宋体" w:hAnsi="宋体" w:eastAsia="宋体" w:cs="宋体"/>
                <w:color w:val="auto"/>
                <w:highlight w:val="none"/>
              </w:rPr>
            </w:pPr>
          </w:p>
        </w:tc>
        <w:tc>
          <w:tcPr>
            <w:tcW w:w="1383" w:type="dxa"/>
            <w:vAlign w:val="center"/>
          </w:tcPr>
          <w:p w14:paraId="603022B9">
            <w:pPr>
              <w:spacing w:line="360" w:lineRule="auto"/>
              <w:rPr>
                <w:rFonts w:hint="eastAsia" w:ascii="宋体" w:hAnsi="宋体" w:eastAsia="宋体" w:cs="宋体"/>
                <w:color w:val="auto"/>
                <w:highlight w:val="none"/>
              </w:rPr>
            </w:pPr>
          </w:p>
        </w:tc>
      </w:tr>
      <w:tr w14:paraId="60A497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6F5519BB">
            <w:pPr>
              <w:spacing w:line="360" w:lineRule="auto"/>
              <w:jc w:val="center"/>
              <w:rPr>
                <w:rFonts w:hint="eastAsia" w:ascii="宋体" w:hAnsi="宋体" w:eastAsia="宋体" w:cs="宋体"/>
                <w:color w:val="auto"/>
                <w:highlight w:val="none"/>
              </w:rPr>
            </w:pPr>
            <w:bookmarkStart w:id="75" w:name="_Toc476258670"/>
            <w:r>
              <w:rPr>
                <w:rFonts w:hint="eastAsia" w:ascii="宋体" w:hAnsi="宋体" w:eastAsia="宋体" w:cs="宋体"/>
                <w:color w:val="auto"/>
                <w:highlight w:val="none"/>
              </w:rPr>
              <w:t>3</w:t>
            </w:r>
            <w:bookmarkEnd w:id="75"/>
          </w:p>
        </w:tc>
        <w:tc>
          <w:tcPr>
            <w:tcW w:w="2856" w:type="dxa"/>
            <w:vAlign w:val="center"/>
          </w:tcPr>
          <w:p w14:paraId="0E96F72C">
            <w:pPr>
              <w:spacing w:line="360" w:lineRule="auto"/>
              <w:rPr>
                <w:rFonts w:hint="eastAsia" w:ascii="宋体" w:hAnsi="宋体" w:eastAsia="宋体" w:cs="宋体"/>
                <w:color w:val="auto"/>
                <w:highlight w:val="none"/>
              </w:rPr>
            </w:pPr>
          </w:p>
        </w:tc>
        <w:tc>
          <w:tcPr>
            <w:tcW w:w="2994" w:type="dxa"/>
            <w:vAlign w:val="center"/>
          </w:tcPr>
          <w:p w14:paraId="357DCA23">
            <w:pPr>
              <w:spacing w:line="360" w:lineRule="auto"/>
              <w:rPr>
                <w:rFonts w:hint="eastAsia" w:ascii="宋体" w:hAnsi="宋体" w:eastAsia="宋体" w:cs="宋体"/>
                <w:color w:val="auto"/>
                <w:highlight w:val="none"/>
              </w:rPr>
            </w:pPr>
          </w:p>
        </w:tc>
        <w:tc>
          <w:tcPr>
            <w:tcW w:w="1488" w:type="dxa"/>
            <w:vAlign w:val="center"/>
          </w:tcPr>
          <w:p w14:paraId="09876410">
            <w:pPr>
              <w:spacing w:line="360" w:lineRule="auto"/>
              <w:rPr>
                <w:rFonts w:hint="eastAsia" w:ascii="宋体" w:hAnsi="宋体" w:eastAsia="宋体" w:cs="宋体"/>
                <w:color w:val="auto"/>
                <w:highlight w:val="none"/>
              </w:rPr>
            </w:pPr>
          </w:p>
        </w:tc>
        <w:tc>
          <w:tcPr>
            <w:tcW w:w="1383" w:type="dxa"/>
            <w:vAlign w:val="center"/>
          </w:tcPr>
          <w:p w14:paraId="7033911E">
            <w:pPr>
              <w:spacing w:line="360" w:lineRule="auto"/>
              <w:rPr>
                <w:rFonts w:hint="eastAsia" w:ascii="宋体" w:hAnsi="宋体" w:eastAsia="宋体" w:cs="宋体"/>
                <w:color w:val="auto"/>
                <w:highlight w:val="none"/>
              </w:rPr>
            </w:pPr>
          </w:p>
        </w:tc>
      </w:tr>
      <w:tr w14:paraId="00A9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5" w:hRule="atLeast"/>
        </w:trPr>
        <w:tc>
          <w:tcPr>
            <w:tcW w:w="617" w:type="dxa"/>
            <w:vAlign w:val="center"/>
          </w:tcPr>
          <w:p w14:paraId="62C4678B">
            <w:pPr>
              <w:spacing w:line="360" w:lineRule="auto"/>
              <w:jc w:val="center"/>
              <w:rPr>
                <w:rFonts w:hint="eastAsia" w:ascii="宋体" w:hAnsi="宋体" w:eastAsia="宋体" w:cs="宋体"/>
                <w:color w:val="auto"/>
                <w:highlight w:val="none"/>
              </w:rPr>
            </w:pPr>
            <w:bookmarkStart w:id="76" w:name="_Toc476258671"/>
            <w:r>
              <w:rPr>
                <w:rFonts w:hint="eastAsia" w:ascii="宋体" w:hAnsi="宋体" w:eastAsia="宋体" w:cs="宋体"/>
                <w:color w:val="auto"/>
                <w:highlight w:val="none"/>
              </w:rPr>
              <w:t>…</w:t>
            </w:r>
            <w:bookmarkEnd w:id="76"/>
          </w:p>
        </w:tc>
        <w:tc>
          <w:tcPr>
            <w:tcW w:w="2856" w:type="dxa"/>
            <w:vAlign w:val="center"/>
          </w:tcPr>
          <w:p w14:paraId="590F43D2">
            <w:pPr>
              <w:spacing w:line="360" w:lineRule="auto"/>
              <w:rPr>
                <w:rFonts w:hint="eastAsia" w:ascii="宋体" w:hAnsi="宋体" w:eastAsia="宋体" w:cs="宋体"/>
                <w:color w:val="auto"/>
                <w:highlight w:val="none"/>
              </w:rPr>
            </w:pPr>
          </w:p>
        </w:tc>
        <w:tc>
          <w:tcPr>
            <w:tcW w:w="2994" w:type="dxa"/>
            <w:vAlign w:val="center"/>
          </w:tcPr>
          <w:p w14:paraId="4A2DF9EA">
            <w:pPr>
              <w:spacing w:line="360" w:lineRule="auto"/>
              <w:rPr>
                <w:rFonts w:hint="eastAsia" w:ascii="宋体" w:hAnsi="宋体" w:eastAsia="宋体" w:cs="宋体"/>
                <w:color w:val="auto"/>
                <w:highlight w:val="none"/>
              </w:rPr>
            </w:pPr>
          </w:p>
        </w:tc>
        <w:tc>
          <w:tcPr>
            <w:tcW w:w="1488" w:type="dxa"/>
            <w:tcBorders>
              <w:right w:val="single" w:color="auto" w:sz="4" w:space="0"/>
            </w:tcBorders>
            <w:vAlign w:val="center"/>
          </w:tcPr>
          <w:p w14:paraId="3E72E759">
            <w:pPr>
              <w:spacing w:line="360" w:lineRule="auto"/>
              <w:rPr>
                <w:rFonts w:hint="eastAsia" w:ascii="宋体" w:hAnsi="宋体" w:eastAsia="宋体" w:cs="宋体"/>
                <w:color w:val="auto"/>
                <w:highlight w:val="none"/>
              </w:rPr>
            </w:pPr>
          </w:p>
        </w:tc>
        <w:tc>
          <w:tcPr>
            <w:tcW w:w="1383" w:type="dxa"/>
            <w:tcBorders>
              <w:left w:val="single" w:color="auto" w:sz="4" w:space="0"/>
            </w:tcBorders>
            <w:vAlign w:val="center"/>
          </w:tcPr>
          <w:p w14:paraId="2D0A0149">
            <w:pPr>
              <w:spacing w:line="360" w:lineRule="auto"/>
              <w:rPr>
                <w:rFonts w:hint="eastAsia" w:ascii="宋体" w:hAnsi="宋体" w:eastAsia="宋体" w:cs="宋体"/>
                <w:color w:val="auto"/>
                <w:highlight w:val="none"/>
              </w:rPr>
            </w:pPr>
          </w:p>
        </w:tc>
      </w:tr>
    </w:tbl>
    <w:p w14:paraId="15FC72AE">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r>
        <w:rPr>
          <w:rFonts w:hint="eastAsia" w:ascii="宋体" w:hAnsi="宋体" w:eastAsia="宋体" w:cs="宋体"/>
          <w:b/>
          <w:color w:val="auto"/>
          <w:highlight w:val="none"/>
        </w:rPr>
        <w:t>1、应写明竞</w:t>
      </w:r>
      <w:r>
        <w:rPr>
          <w:rFonts w:hint="eastAsia" w:ascii="宋体" w:hAnsi="宋体" w:eastAsia="宋体" w:cs="宋体"/>
          <w:b/>
          <w:color w:val="auto"/>
          <w:szCs w:val="21"/>
          <w:highlight w:val="none"/>
        </w:rPr>
        <w:t>争性磋商响应文件对</w:t>
      </w:r>
      <w:r>
        <w:rPr>
          <w:rFonts w:hint="eastAsia" w:ascii="宋体" w:hAnsi="宋体" w:eastAsia="宋体" w:cs="宋体"/>
          <w:b/>
          <w:color w:val="auto"/>
          <w:highlight w:val="none"/>
        </w:rPr>
        <w:t>商务与服务要求的</w:t>
      </w:r>
      <w:r>
        <w:rPr>
          <w:rFonts w:hint="eastAsia" w:ascii="宋体" w:hAnsi="宋体" w:eastAsia="宋体" w:cs="宋体"/>
          <w:b/>
          <w:color w:val="auto"/>
          <w:szCs w:val="21"/>
          <w:highlight w:val="none"/>
        </w:rPr>
        <w:t>响应和偏离情况</w:t>
      </w:r>
      <w:r>
        <w:rPr>
          <w:rFonts w:hint="eastAsia" w:ascii="宋体" w:hAnsi="宋体" w:eastAsia="宋体" w:cs="宋体"/>
          <w:b/>
          <w:bCs/>
          <w:color w:val="auto"/>
          <w:szCs w:val="21"/>
          <w:highlight w:val="none"/>
        </w:rPr>
        <w:t>；</w:t>
      </w:r>
    </w:p>
    <w:p w14:paraId="06AE9C69">
      <w:pPr>
        <w:pStyle w:val="2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2、应对照竞争性磋商文件“第三章 采购项目技术规格、参数及要求”，逐条说明所提供货物和服务已对竞争性磋商文件的商务、服务做出了实质性的响应，并申明商务、技术条文的响应或偏离。特别对有具体商务、服务参数要求的，磋商供应商必须提供对应的详细应答。</w:t>
      </w:r>
    </w:p>
    <w:p w14:paraId="01B0F213">
      <w:pPr>
        <w:pStyle w:val="24"/>
        <w:spacing w:line="360" w:lineRule="auto"/>
        <w:rPr>
          <w:rFonts w:hint="eastAsia" w:ascii="宋体" w:hAnsi="宋体" w:eastAsia="宋体" w:cs="宋体"/>
          <w:color w:val="auto"/>
          <w:highlight w:val="none"/>
        </w:rPr>
      </w:pPr>
    </w:p>
    <w:p w14:paraId="4D488BB1">
      <w:pPr>
        <w:pStyle w:val="24"/>
        <w:spacing w:line="360" w:lineRule="auto"/>
        <w:ind w:firstLine="4200" w:firstLineChars="200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法定代表人或委托代理人（签字或盖章）:</w:t>
      </w:r>
      <w:r>
        <w:rPr>
          <w:rFonts w:hint="eastAsia" w:ascii="宋体" w:hAnsi="宋体" w:eastAsia="宋体" w:cs="宋体"/>
          <w:color w:val="auto"/>
          <w:highlight w:val="none"/>
          <w:u w:val="single"/>
        </w:rPr>
        <w:t xml:space="preserve">              </w:t>
      </w:r>
    </w:p>
    <w:p w14:paraId="0727024A">
      <w:pPr>
        <w:pStyle w:val="24"/>
        <w:spacing w:line="360" w:lineRule="auto"/>
        <w:ind w:firstLine="4200" w:firstLineChars="2000"/>
        <w:rPr>
          <w:rFonts w:hint="eastAsia" w:ascii="宋体" w:hAnsi="宋体" w:eastAsia="宋体" w:cs="宋体"/>
          <w:color w:val="auto"/>
          <w:highlight w:val="none"/>
          <w:u w:val="single"/>
        </w:rPr>
      </w:pPr>
      <w:r>
        <w:rPr>
          <w:rFonts w:hint="eastAsia" w:ascii="宋体" w:hAnsi="宋体" w:eastAsia="宋体" w:cs="宋体"/>
          <w:color w:val="auto"/>
          <w:highlight w:val="none"/>
        </w:rPr>
        <w:t>磋商供应商名称（电子签章）：</w:t>
      </w:r>
      <w:r>
        <w:rPr>
          <w:rFonts w:hint="eastAsia" w:ascii="宋体" w:hAnsi="宋体" w:eastAsia="宋体" w:cs="宋体"/>
          <w:color w:val="auto"/>
          <w:highlight w:val="none"/>
          <w:u w:val="single"/>
        </w:rPr>
        <w:t xml:space="preserve">                     </w:t>
      </w:r>
    </w:p>
    <w:p w14:paraId="6B29349F">
      <w:pPr>
        <w:spacing w:line="360" w:lineRule="auto"/>
        <w:ind w:firstLine="4200" w:firstLineChars="20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893181D">
      <w:pPr>
        <w:snapToGrid w:val="0"/>
        <w:spacing w:before="120" w:beforeLines="50" w:line="360" w:lineRule="auto"/>
        <w:ind w:right="480" w:firstLine="4792" w:firstLineChars="2282"/>
        <w:rPr>
          <w:rFonts w:hint="eastAsia" w:ascii="宋体" w:hAnsi="宋体" w:eastAsia="宋体" w:cs="宋体"/>
          <w:color w:val="auto"/>
          <w:highlight w:val="none"/>
          <w:u w:val="single"/>
        </w:rPr>
      </w:pPr>
    </w:p>
    <w:p w14:paraId="7EAA527C">
      <w:pPr>
        <w:spacing w:line="360" w:lineRule="auto"/>
        <w:rPr>
          <w:rFonts w:hint="eastAsia" w:ascii="宋体" w:hAnsi="宋体" w:eastAsia="宋体" w:cs="宋体"/>
          <w:color w:val="auto"/>
          <w:szCs w:val="21"/>
          <w:highlight w:val="none"/>
        </w:rPr>
      </w:pPr>
    </w:p>
    <w:p w14:paraId="3B45F755">
      <w:pPr>
        <w:spacing w:line="360" w:lineRule="auto"/>
        <w:rPr>
          <w:rFonts w:hint="eastAsia" w:ascii="宋体" w:hAnsi="宋体" w:eastAsia="宋体" w:cs="宋体"/>
          <w:b/>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highlight w:val="none"/>
        </w:rPr>
        <w:t>2.技术方案[格式自拟]</w:t>
      </w:r>
    </w:p>
    <w:p w14:paraId="6277ED8E">
      <w:pPr>
        <w:pStyle w:val="28"/>
        <w:spacing w:line="360" w:lineRule="auto"/>
        <w:rPr>
          <w:rFonts w:hint="eastAsia" w:ascii="宋体" w:hAnsi="宋体" w:eastAsia="宋体" w:cs="宋体"/>
          <w:color w:val="auto"/>
          <w:highlight w:val="none"/>
        </w:rPr>
      </w:pPr>
    </w:p>
    <w:p w14:paraId="17E0F278">
      <w:pPr>
        <w:pStyle w:val="28"/>
        <w:spacing w:line="360" w:lineRule="auto"/>
        <w:rPr>
          <w:rFonts w:hint="eastAsia" w:ascii="宋体" w:hAnsi="宋体" w:eastAsia="宋体" w:cs="宋体"/>
          <w:color w:val="auto"/>
          <w:highlight w:val="none"/>
        </w:rPr>
      </w:pPr>
    </w:p>
    <w:p w14:paraId="0E3799E8">
      <w:pPr>
        <w:pStyle w:val="28"/>
        <w:spacing w:line="360" w:lineRule="auto"/>
        <w:rPr>
          <w:rFonts w:hint="eastAsia" w:ascii="宋体" w:hAnsi="宋体" w:eastAsia="宋体" w:cs="宋体"/>
          <w:color w:val="auto"/>
          <w:highlight w:val="none"/>
        </w:rPr>
      </w:pPr>
    </w:p>
    <w:p w14:paraId="0C67EFF9">
      <w:pPr>
        <w:spacing w:line="360" w:lineRule="auto"/>
        <w:jc w:val="left"/>
        <w:rPr>
          <w:rFonts w:hint="eastAsia" w:ascii="宋体" w:hAnsi="宋体" w:eastAsia="宋体" w:cs="宋体"/>
          <w:b/>
          <w:color w:val="auto"/>
          <w:sz w:val="24"/>
          <w:highlight w:val="none"/>
        </w:rPr>
      </w:pPr>
    </w:p>
    <w:p w14:paraId="7AB78320">
      <w:pPr>
        <w:spacing w:line="360" w:lineRule="auto"/>
        <w:jc w:val="left"/>
        <w:rPr>
          <w:rFonts w:hint="eastAsia" w:ascii="宋体" w:hAnsi="宋体" w:eastAsia="宋体" w:cs="宋体"/>
          <w:b/>
          <w:color w:val="auto"/>
          <w:sz w:val="24"/>
          <w:highlight w:val="none"/>
        </w:rPr>
      </w:pPr>
    </w:p>
    <w:p w14:paraId="02D29AAB">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.项目实施人员一览表</w:t>
      </w:r>
      <w:r>
        <w:rPr>
          <w:rFonts w:hint="eastAsia" w:ascii="宋体" w:hAnsi="宋体" w:eastAsia="宋体" w:cs="宋体"/>
          <w:color w:val="auto"/>
          <w:sz w:val="24"/>
          <w:highlight w:val="none"/>
        </w:rPr>
        <w:t>（按此格式自制）</w:t>
      </w:r>
    </w:p>
    <w:p w14:paraId="4F899734">
      <w:pPr>
        <w:pStyle w:val="28"/>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 xml:space="preserve">分标号（如有）: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highlight w:val="none"/>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7"/>
        <w:gridCol w:w="4960"/>
        <w:gridCol w:w="1745"/>
      </w:tblGrid>
      <w:tr w14:paraId="0DC5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ign w:val="center"/>
          </w:tcPr>
          <w:p w14:paraId="6D2C623A">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姓名</w:t>
            </w:r>
          </w:p>
        </w:tc>
        <w:tc>
          <w:tcPr>
            <w:tcW w:w="1277" w:type="dxa"/>
            <w:noWrap/>
            <w:vAlign w:val="center"/>
          </w:tcPr>
          <w:p w14:paraId="702F3696">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职务</w:t>
            </w:r>
          </w:p>
        </w:tc>
        <w:tc>
          <w:tcPr>
            <w:tcW w:w="4960" w:type="dxa"/>
            <w:noWrap/>
            <w:vAlign w:val="center"/>
          </w:tcPr>
          <w:p w14:paraId="53082E7E">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专业技术资格（职称）或者职业资格或者执业资格证或者其他证书</w:t>
            </w:r>
          </w:p>
        </w:tc>
        <w:tc>
          <w:tcPr>
            <w:tcW w:w="1745" w:type="dxa"/>
            <w:noWrap/>
            <w:vAlign w:val="center"/>
          </w:tcPr>
          <w:p w14:paraId="719F751B">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证书编号</w:t>
            </w:r>
          </w:p>
        </w:tc>
      </w:tr>
      <w:tr w14:paraId="6C01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ign w:val="center"/>
          </w:tcPr>
          <w:p w14:paraId="32F96817">
            <w:pPr>
              <w:snapToGrid w:val="0"/>
              <w:spacing w:before="50" w:afterLines="50"/>
              <w:jc w:val="center"/>
              <w:rPr>
                <w:rFonts w:hint="eastAsia" w:ascii="宋体" w:hAnsi="宋体" w:eastAsia="宋体" w:cs="宋体"/>
                <w:color w:val="auto"/>
                <w:sz w:val="24"/>
                <w:szCs w:val="20"/>
                <w:highlight w:val="none"/>
              </w:rPr>
            </w:pPr>
          </w:p>
        </w:tc>
        <w:tc>
          <w:tcPr>
            <w:tcW w:w="1277" w:type="dxa"/>
            <w:noWrap/>
            <w:vAlign w:val="center"/>
          </w:tcPr>
          <w:p w14:paraId="6AE60BF6">
            <w:pPr>
              <w:snapToGrid w:val="0"/>
              <w:spacing w:before="50" w:afterLines="50"/>
              <w:jc w:val="center"/>
              <w:rPr>
                <w:rFonts w:hint="eastAsia" w:ascii="宋体" w:hAnsi="宋体" w:eastAsia="宋体" w:cs="宋体"/>
                <w:color w:val="auto"/>
                <w:sz w:val="24"/>
                <w:szCs w:val="20"/>
                <w:highlight w:val="none"/>
              </w:rPr>
            </w:pPr>
          </w:p>
        </w:tc>
        <w:tc>
          <w:tcPr>
            <w:tcW w:w="4960" w:type="dxa"/>
            <w:noWrap/>
            <w:vAlign w:val="center"/>
          </w:tcPr>
          <w:p w14:paraId="6ADD4BD2">
            <w:pPr>
              <w:snapToGrid w:val="0"/>
              <w:spacing w:before="50" w:afterLines="50"/>
              <w:jc w:val="center"/>
              <w:rPr>
                <w:rFonts w:hint="eastAsia" w:ascii="宋体" w:hAnsi="宋体" w:eastAsia="宋体" w:cs="宋体"/>
                <w:color w:val="auto"/>
                <w:sz w:val="24"/>
                <w:szCs w:val="20"/>
                <w:highlight w:val="none"/>
              </w:rPr>
            </w:pPr>
          </w:p>
        </w:tc>
        <w:tc>
          <w:tcPr>
            <w:tcW w:w="1745" w:type="dxa"/>
            <w:noWrap/>
            <w:vAlign w:val="center"/>
          </w:tcPr>
          <w:p w14:paraId="20D3C26D">
            <w:pPr>
              <w:snapToGrid w:val="0"/>
              <w:spacing w:before="50" w:afterLines="50"/>
              <w:jc w:val="center"/>
              <w:rPr>
                <w:rFonts w:hint="eastAsia" w:ascii="宋体" w:hAnsi="宋体" w:eastAsia="宋体" w:cs="宋体"/>
                <w:color w:val="auto"/>
                <w:sz w:val="24"/>
                <w:szCs w:val="20"/>
                <w:highlight w:val="none"/>
              </w:rPr>
            </w:pPr>
          </w:p>
        </w:tc>
      </w:tr>
      <w:tr w14:paraId="1AFB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ign w:val="center"/>
          </w:tcPr>
          <w:p w14:paraId="77992538">
            <w:pPr>
              <w:snapToGrid w:val="0"/>
              <w:spacing w:before="50" w:afterLines="50"/>
              <w:jc w:val="center"/>
              <w:rPr>
                <w:rFonts w:hint="eastAsia" w:ascii="宋体" w:hAnsi="宋体" w:eastAsia="宋体" w:cs="宋体"/>
                <w:color w:val="auto"/>
                <w:sz w:val="24"/>
                <w:szCs w:val="20"/>
                <w:highlight w:val="none"/>
              </w:rPr>
            </w:pPr>
          </w:p>
        </w:tc>
        <w:tc>
          <w:tcPr>
            <w:tcW w:w="1277" w:type="dxa"/>
            <w:noWrap/>
            <w:vAlign w:val="center"/>
          </w:tcPr>
          <w:p w14:paraId="53CB6F57">
            <w:pPr>
              <w:snapToGrid w:val="0"/>
              <w:spacing w:before="50" w:afterLines="50"/>
              <w:jc w:val="center"/>
              <w:rPr>
                <w:rFonts w:hint="eastAsia" w:ascii="宋体" w:hAnsi="宋体" w:eastAsia="宋体" w:cs="宋体"/>
                <w:color w:val="auto"/>
                <w:sz w:val="24"/>
                <w:szCs w:val="20"/>
                <w:highlight w:val="none"/>
              </w:rPr>
            </w:pPr>
          </w:p>
        </w:tc>
        <w:tc>
          <w:tcPr>
            <w:tcW w:w="4960" w:type="dxa"/>
            <w:noWrap/>
            <w:vAlign w:val="center"/>
          </w:tcPr>
          <w:p w14:paraId="3DF13697">
            <w:pPr>
              <w:snapToGrid w:val="0"/>
              <w:spacing w:before="50" w:afterLines="50"/>
              <w:jc w:val="center"/>
              <w:rPr>
                <w:rFonts w:hint="eastAsia" w:ascii="宋体" w:hAnsi="宋体" w:eastAsia="宋体" w:cs="宋体"/>
                <w:color w:val="auto"/>
                <w:sz w:val="24"/>
                <w:szCs w:val="20"/>
                <w:highlight w:val="none"/>
              </w:rPr>
            </w:pPr>
          </w:p>
        </w:tc>
        <w:tc>
          <w:tcPr>
            <w:tcW w:w="1745" w:type="dxa"/>
            <w:noWrap/>
            <w:vAlign w:val="center"/>
          </w:tcPr>
          <w:p w14:paraId="517B8001">
            <w:pPr>
              <w:snapToGrid w:val="0"/>
              <w:spacing w:before="50" w:afterLines="50"/>
              <w:jc w:val="center"/>
              <w:rPr>
                <w:rFonts w:hint="eastAsia" w:ascii="宋体" w:hAnsi="宋体" w:eastAsia="宋体" w:cs="宋体"/>
                <w:color w:val="auto"/>
                <w:sz w:val="24"/>
                <w:szCs w:val="20"/>
                <w:highlight w:val="none"/>
              </w:rPr>
            </w:pPr>
          </w:p>
        </w:tc>
      </w:tr>
      <w:tr w14:paraId="6741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ign w:val="center"/>
          </w:tcPr>
          <w:p w14:paraId="56699287">
            <w:pPr>
              <w:snapToGrid w:val="0"/>
              <w:spacing w:before="50" w:afterLines="50"/>
              <w:jc w:val="center"/>
              <w:rPr>
                <w:rFonts w:hint="eastAsia" w:ascii="宋体" w:hAnsi="宋体" w:eastAsia="宋体" w:cs="宋体"/>
                <w:color w:val="auto"/>
                <w:sz w:val="24"/>
                <w:szCs w:val="20"/>
                <w:highlight w:val="none"/>
              </w:rPr>
            </w:pPr>
          </w:p>
        </w:tc>
        <w:tc>
          <w:tcPr>
            <w:tcW w:w="1277" w:type="dxa"/>
            <w:noWrap/>
            <w:vAlign w:val="center"/>
          </w:tcPr>
          <w:p w14:paraId="5F471FBE">
            <w:pPr>
              <w:snapToGrid w:val="0"/>
              <w:spacing w:before="50" w:afterLines="50"/>
              <w:jc w:val="center"/>
              <w:rPr>
                <w:rFonts w:hint="eastAsia" w:ascii="宋体" w:hAnsi="宋体" w:eastAsia="宋体" w:cs="宋体"/>
                <w:color w:val="auto"/>
                <w:sz w:val="24"/>
                <w:szCs w:val="20"/>
                <w:highlight w:val="none"/>
              </w:rPr>
            </w:pPr>
          </w:p>
        </w:tc>
        <w:tc>
          <w:tcPr>
            <w:tcW w:w="4960" w:type="dxa"/>
            <w:noWrap/>
            <w:vAlign w:val="center"/>
          </w:tcPr>
          <w:p w14:paraId="25F17C72">
            <w:pPr>
              <w:snapToGrid w:val="0"/>
              <w:spacing w:before="50" w:afterLines="50"/>
              <w:jc w:val="center"/>
              <w:rPr>
                <w:rFonts w:hint="eastAsia" w:ascii="宋体" w:hAnsi="宋体" w:eastAsia="宋体" w:cs="宋体"/>
                <w:color w:val="auto"/>
                <w:sz w:val="24"/>
                <w:szCs w:val="20"/>
                <w:highlight w:val="none"/>
              </w:rPr>
            </w:pPr>
          </w:p>
        </w:tc>
        <w:tc>
          <w:tcPr>
            <w:tcW w:w="1745" w:type="dxa"/>
            <w:noWrap/>
            <w:vAlign w:val="center"/>
          </w:tcPr>
          <w:p w14:paraId="500B302A">
            <w:pPr>
              <w:snapToGrid w:val="0"/>
              <w:spacing w:before="50" w:afterLines="50"/>
              <w:jc w:val="center"/>
              <w:rPr>
                <w:rFonts w:hint="eastAsia" w:ascii="宋体" w:hAnsi="宋体" w:eastAsia="宋体" w:cs="宋体"/>
                <w:color w:val="auto"/>
                <w:sz w:val="24"/>
                <w:szCs w:val="20"/>
                <w:highlight w:val="none"/>
              </w:rPr>
            </w:pPr>
          </w:p>
        </w:tc>
      </w:tr>
    </w:tbl>
    <w:p w14:paraId="348F70B0">
      <w:pPr>
        <w:spacing w:line="360" w:lineRule="auto"/>
        <w:rPr>
          <w:rFonts w:hint="eastAsia" w:ascii="宋体" w:hAnsi="宋体" w:eastAsia="宋体" w:cs="宋体"/>
          <w:b/>
          <w:color w:val="auto"/>
          <w:sz w:val="24"/>
          <w:highlight w:val="none"/>
        </w:rPr>
      </w:pPr>
    </w:p>
    <w:p w14:paraId="318EBB9F">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w:t>
      </w:r>
      <w:r>
        <w:rPr>
          <w:rFonts w:hint="eastAsia" w:ascii="宋体" w:hAnsi="宋体" w:eastAsia="宋体" w:cs="宋体"/>
          <w:b/>
          <w:color w:val="auto"/>
          <w:sz w:val="24"/>
          <w:szCs w:val="24"/>
          <w:highlight w:val="none"/>
        </w:rPr>
        <w:t>应当附本表所列证书的复印件并加盖投标人电子签章</w:t>
      </w:r>
      <w:r>
        <w:rPr>
          <w:rFonts w:hint="eastAsia" w:ascii="宋体" w:hAnsi="宋体" w:eastAsia="宋体" w:cs="宋体"/>
          <w:b/>
          <w:color w:val="auto"/>
          <w:sz w:val="24"/>
          <w:highlight w:val="none"/>
        </w:rPr>
        <w:t>。</w:t>
      </w:r>
    </w:p>
    <w:p w14:paraId="09AC8B4F">
      <w:pPr>
        <w:snapToGrid w:val="0"/>
        <w:spacing w:line="360" w:lineRule="auto"/>
        <w:ind w:firstLine="602" w:firstLineChars="200"/>
        <w:rPr>
          <w:rFonts w:hint="eastAsia" w:ascii="宋体" w:hAnsi="宋体" w:eastAsia="宋体" w:cs="宋体"/>
          <w:b/>
          <w:color w:val="auto"/>
          <w:sz w:val="30"/>
          <w:szCs w:val="30"/>
          <w:highlight w:val="none"/>
        </w:rPr>
      </w:pPr>
    </w:p>
    <w:p w14:paraId="42E478AA">
      <w:pPr>
        <w:autoSpaceDE w:val="0"/>
        <w:autoSpaceDN w:val="0"/>
        <w:spacing w:line="360" w:lineRule="auto"/>
        <w:ind w:firstLine="6505" w:firstLineChars="2700"/>
        <w:rPr>
          <w:rFonts w:hint="eastAsia" w:ascii="宋体" w:hAnsi="宋体" w:eastAsia="宋体" w:cs="宋体"/>
          <w:b/>
          <w:bCs/>
          <w:color w:val="auto"/>
          <w:sz w:val="24"/>
          <w:highlight w:val="none"/>
        </w:rPr>
      </w:pPr>
    </w:p>
    <w:p w14:paraId="476CB39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668AE82">
      <w:pPr>
        <w:autoSpaceDE w:val="0"/>
        <w:autoSpaceDN w:val="0"/>
        <w:spacing w:line="360" w:lineRule="auto"/>
        <w:ind w:firstLine="4080" w:firstLineChars="17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日期：  年  月   日</w:t>
      </w:r>
    </w:p>
    <w:p w14:paraId="46B8183B">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.业绩一览表</w:t>
      </w:r>
      <w:r>
        <w:rPr>
          <w:rFonts w:hint="eastAsia" w:ascii="宋体" w:hAnsi="宋体" w:eastAsia="宋体" w:cs="宋体"/>
          <w:color w:val="auto"/>
          <w:sz w:val="24"/>
          <w:highlight w:val="none"/>
        </w:rPr>
        <w:t>（按此格式自制）</w:t>
      </w:r>
    </w:p>
    <w:p w14:paraId="463E574E">
      <w:pPr>
        <w:pStyle w:val="28"/>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sz w:val="21"/>
          <w:szCs w:val="21"/>
          <w:highlight w:val="none"/>
        </w:rPr>
        <w:t xml:space="preserve">分标号（如有）: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40"/>
        <w:tblW w:w="91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7"/>
        <w:gridCol w:w="2876"/>
        <w:gridCol w:w="1840"/>
        <w:gridCol w:w="2385"/>
      </w:tblGrid>
      <w:tr w14:paraId="74AC2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2037" w:type="dxa"/>
            <w:vMerge w:val="restart"/>
            <w:tcBorders>
              <w:top w:val="single" w:color="auto" w:sz="4" w:space="0"/>
              <w:left w:val="single" w:color="auto" w:sz="4" w:space="0"/>
              <w:bottom w:val="single" w:color="auto" w:sz="4" w:space="0"/>
              <w:right w:val="single" w:color="auto" w:sz="4" w:space="0"/>
            </w:tcBorders>
            <w:vAlign w:val="center"/>
          </w:tcPr>
          <w:p w14:paraId="27D5394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2876" w:type="dxa"/>
            <w:vMerge w:val="restart"/>
            <w:tcBorders>
              <w:top w:val="single" w:color="auto" w:sz="4" w:space="0"/>
              <w:left w:val="single" w:color="auto" w:sz="4" w:space="0"/>
              <w:bottom w:val="single" w:color="auto" w:sz="4" w:space="0"/>
              <w:right w:val="single" w:color="auto" w:sz="4" w:space="0"/>
            </w:tcBorders>
            <w:vAlign w:val="center"/>
          </w:tcPr>
          <w:p w14:paraId="6651E01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840" w:type="dxa"/>
            <w:vMerge w:val="restart"/>
            <w:tcBorders>
              <w:top w:val="single" w:color="auto" w:sz="4" w:space="0"/>
              <w:left w:val="single" w:color="auto" w:sz="4" w:space="0"/>
              <w:bottom w:val="single" w:color="auto" w:sz="4" w:space="0"/>
              <w:right w:val="single" w:color="auto" w:sz="4" w:space="0"/>
            </w:tcBorders>
            <w:vAlign w:val="center"/>
          </w:tcPr>
          <w:p w14:paraId="69E58EC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p w14:paraId="520B5E7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（万元/元）</w:t>
            </w:r>
          </w:p>
        </w:tc>
        <w:tc>
          <w:tcPr>
            <w:tcW w:w="2385" w:type="dxa"/>
            <w:vMerge w:val="restart"/>
            <w:tcBorders>
              <w:top w:val="single" w:color="auto" w:sz="4" w:space="0"/>
              <w:left w:val="single" w:color="auto" w:sz="4" w:space="0"/>
              <w:bottom w:val="single" w:color="auto" w:sz="4" w:space="0"/>
              <w:right w:val="single" w:color="auto" w:sz="4" w:space="0"/>
            </w:tcBorders>
            <w:vAlign w:val="center"/>
          </w:tcPr>
          <w:p w14:paraId="58C262C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5D7C8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2037" w:type="dxa"/>
            <w:vMerge w:val="continue"/>
            <w:tcBorders>
              <w:top w:val="single" w:color="auto" w:sz="4" w:space="0"/>
              <w:left w:val="single" w:color="auto" w:sz="4" w:space="0"/>
              <w:bottom w:val="single" w:color="auto" w:sz="4" w:space="0"/>
              <w:right w:val="single" w:color="auto" w:sz="4" w:space="0"/>
            </w:tcBorders>
            <w:vAlign w:val="center"/>
          </w:tcPr>
          <w:p w14:paraId="72DD72A2">
            <w:pPr>
              <w:widowControl/>
              <w:spacing w:line="360" w:lineRule="auto"/>
              <w:jc w:val="left"/>
              <w:rPr>
                <w:rFonts w:hint="eastAsia" w:ascii="宋体" w:hAnsi="宋体" w:eastAsia="宋体" w:cs="宋体"/>
                <w:color w:val="auto"/>
                <w:sz w:val="24"/>
                <w:highlight w:val="none"/>
              </w:rPr>
            </w:pPr>
          </w:p>
        </w:tc>
        <w:tc>
          <w:tcPr>
            <w:tcW w:w="2876" w:type="dxa"/>
            <w:vMerge w:val="continue"/>
            <w:tcBorders>
              <w:top w:val="single" w:color="auto" w:sz="4" w:space="0"/>
              <w:left w:val="single" w:color="auto" w:sz="4" w:space="0"/>
              <w:bottom w:val="single" w:color="auto" w:sz="4" w:space="0"/>
              <w:right w:val="single" w:color="auto" w:sz="4" w:space="0"/>
            </w:tcBorders>
            <w:vAlign w:val="center"/>
          </w:tcPr>
          <w:p w14:paraId="5ADFFB74">
            <w:pPr>
              <w:widowControl/>
              <w:spacing w:line="360" w:lineRule="auto"/>
              <w:jc w:val="left"/>
              <w:rPr>
                <w:rFonts w:hint="eastAsia" w:ascii="宋体" w:hAnsi="宋体" w:eastAsia="宋体" w:cs="宋体"/>
                <w:color w:val="auto"/>
                <w:sz w:val="24"/>
                <w:highlight w:val="none"/>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532F23AA">
            <w:pPr>
              <w:widowControl/>
              <w:spacing w:line="360" w:lineRule="auto"/>
              <w:jc w:val="left"/>
              <w:rPr>
                <w:rFonts w:hint="eastAsia" w:ascii="宋体" w:hAnsi="宋体" w:eastAsia="宋体" w:cs="宋体"/>
                <w:color w:val="auto"/>
                <w:sz w:val="24"/>
                <w:highlight w:val="none"/>
              </w:rPr>
            </w:pPr>
          </w:p>
        </w:tc>
        <w:tc>
          <w:tcPr>
            <w:tcW w:w="2385" w:type="dxa"/>
            <w:vMerge w:val="continue"/>
            <w:tcBorders>
              <w:top w:val="single" w:color="auto" w:sz="4" w:space="0"/>
              <w:left w:val="single" w:color="auto" w:sz="4" w:space="0"/>
              <w:bottom w:val="single" w:color="auto" w:sz="4" w:space="0"/>
              <w:right w:val="single" w:color="auto" w:sz="4" w:space="0"/>
            </w:tcBorders>
            <w:vAlign w:val="center"/>
          </w:tcPr>
          <w:p w14:paraId="67963772">
            <w:pPr>
              <w:widowControl/>
              <w:spacing w:line="360" w:lineRule="auto"/>
              <w:jc w:val="left"/>
              <w:rPr>
                <w:rFonts w:hint="eastAsia" w:ascii="宋体" w:hAnsi="宋体" w:eastAsia="宋体" w:cs="宋体"/>
                <w:color w:val="auto"/>
                <w:sz w:val="24"/>
                <w:highlight w:val="none"/>
              </w:rPr>
            </w:pPr>
          </w:p>
        </w:tc>
      </w:tr>
      <w:tr w14:paraId="77373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2037" w:type="dxa"/>
            <w:tcBorders>
              <w:top w:val="single" w:color="auto" w:sz="4" w:space="0"/>
              <w:left w:val="single" w:color="auto" w:sz="4" w:space="0"/>
              <w:bottom w:val="single" w:color="auto" w:sz="4" w:space="0"/>
              <w:right w:val="single" w:color="auto" w:sz="4" w:space="0"/>
            </w:tcBorders>
          </w:tcPr>
          <w:p w14:paraId="5400B798">
            <w:pPr>
              <w:snapToGrid w:val="0"/>
              <w:spacing w:line="360" w:lineRule="auto"/>
              <w:jc w:val="left"/>
              <w:rPr>
                <w:rFonts w:hint="eastAsia" w:ascii="宋体" w:hAnsi="宋体" w:eastAsia="宋体" w:cs="宋体"/>
                <w:color w:val="auto"/>
                <w:sz w:val="24"/>
                <w:highlight w:val="none"/>
              </w:rPr>
            </w:pPr>
          </w:p>
        </w:tc>
        <w:tc>
          <w:tcPr>
            <w:tcW w:w="2876" w:type="dxa"/>
            <w:tcBorders>
              <w:top w:val="single" w:color="auto" w:sz="4" w:space="0"/>
              <w:left w:val="single" w:color="auto" w:sz="4" w:space="0"/>
              <w:bottom w:val="single" w:color="auto" w:sz="4" w:space="0"/>
              <w:right w:val="single" w:color="auto" w:sz="4" w:space="0"/>
            </w:tcBorders>
          </w:tcPr>
          <w:p w14:paraId="269BEB0E">
            <w:pPr>
              <w:snapToGrid w:val="0"/>
              <w:spacing w:line="360" w:lineRule="auto"/>
              <w:jc w:val="left"/>
              <w:rPr>
                <w:rFonts w:hint="eastAsia" w:ascii="宋体" w:hAnsi="宋体" w:eastAsia="宋体" w:cs="宋体"/>
                <w:color w:val="auto"/>
                <w:sz w:val="24"/>
                <w:highlight w:val="none"/>
              </w:rPr>
            </w:pPr>
          </w:p>
        </w:tc>
        <w:tc>
          <w:tcPr>
            <w:tcW w:w="1840" w:type="dxa"/>
            <w:tcBorders>
              <w:top w:val="single" w:color="auto" w:sz="4" w:space="0"/>
              <w:left w:val="single" w:color="auto" w:sz="4" w:space="0"/>
              <w:bottom w:val="single" w:color="auto" w:sz="4" w:space="0"/>
              <w:right w:val="single" w:color="auto" w:sz="4" w:space="0"/>
            </w:tcBorders>
          </w:tcPr>
          <w:p w14:paraId="4B7D1126">
            <w:pPr>
              <w:snapToGrid w:val="0"/>
              <w:spacing w:line="360" w:lineRule="auto"/>
              <w:jc w:val="left"/>
              <w:rPr>
                <w:rFonts w:hint="eastAsia" w:ascii="宋体" w:hAnsi="宋体" w:eastAsia="宋体" w:cs="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14:paraId="17C3E2C7">
            <w:pPr>
              <w:snapToGrid w:val="0"/>
              <w:spacing w:line="360" w:lineRule="auto"/>
              <w:jc w:val="left"/>
              <w:rPr>
                <w:rFonts w:hint="eastAsia" w:ascii="宋体" w:hAnsi="宋体" w:eastAsia="宋体" w:cs="宋体"/>
                <w:color w:val="auto"/>
                <w:sz w:val="24"/>
                <w:highlight w:val="none"/>
              </w:rPr>
            </w:pPr>
          </w:p>
        </w:tc>
      </w:tr>
      <w:tr w14:paraId="48C26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37" w:type="dxa"/>
            <w:tcBorders>
              <w:top w:val="single" w:color="auto" w:sz="4" w:space="0"/>
              <w:left w:val="single" w:color="auto" w:sz="4" w:space="0"/>
              <w:bottom w:val="single" w:color="auto" w:sz="4" w:space="0"/>
              <w:right w:val="single" w:color="auto" w:sz="4" w:space="0"/>
            </w:tcBorders>
          </w:tcPr>
          <w:p w14:paraId="36625B76">
            <w:pPr>
              <w:snapToGrid w:val="0"/>
              <w:spacing w:before="50" w:after="120" w:afterLines="50" w:line="360" w:lineRule="auto"/>
              <w:jc w:val="left"/>
              <w:rPr>
                <w:rFonts w:hint="eastAsia" w:ascii="宋体" w:hAnsi="宋体" w:eastAsia="宋体" w:cs="宋体"/>
                <w:color w:val="auto"/>
                <w:sz w:val="24"/>
                <w:highlight w:val="none"/>
              </w:rPr>
            </w:pPr>
          </w:p>
        </w:tc>
        <w:tc>
          <w:tcPr>
            <w:tcW w:w="2876" w:type="dxa"/>
            <w:tcBorders>
              <w:top w:val="single" w:color="auto" w:sz="4" w:space="0"/>
              <w:left w:val="single" w:color="auto" w:sz="4" w:space="0"/>
              <w:bottom w:val="single" w:color="auto" w:sz="4" w:space="0"/>
              <w:right w:val="single" w:color="auto" w:sz="4" w:space="0"/>
            </w:tcBorders>
          </w:tcPr>
          <w:p w14:paraId="629EE0EA">
            <w:pPr>
              <w:snapToGrid w:val="0"/>
              <w:spacing w:before="50" w:after="120" w:afterLines="50" w:line="360" w:lineRule="auto"/>
              <w:jc w:val="left"/>
              <w:rPr>
                <w:rFonts w:hint="eastAsia" w:ascii="宋体" w:hAnsi="宋体" w:eastAsia="宋体" w:cs="宋体"/>
                <w:color w:val="auto"/>
                <w:sz w:val="24"/>
                <w:highlight w:val="none"/>
              </w:rPr>
            </w:pPr>
          </w:p>
        </w:tc>
        <w:tc>
          <w:tcPr>
            <w:tcW w:w="1840" w:type="dxa"/>
            <w:tcBorders>
              <w:top w:val="single" w:color="auto" w:sz="4" w:space="0"/>
              <w:left w:val="single" w:color="auto" w:sz="4" w:space="0"/>
              <w:bottom w:val="single" w:color="auto" w:sz="4" w:space="0"/>
              <w:right w:val="single" w:color="auto" w:sz="4" w:space="0"/>
            </w:tcBorders>
          </w:tcPr>
          <w:p w14:paraId="2CFE2131">
            <w:pPr>
              <w:snapToGrid w:val="0"/>
              <w:spacing w:before="50" w:after="120" w:afterLines="50" w:line="360" w:lineRule="auto"/>
              <w:jc w:val="left"/>
              <w:rPr>
                <w:rFonts w:hint="eastAsia" w:ascii="宋体" w:hAnsi="宋体" w:eastAsia="宋体" w:cs="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14:paraId="7F7BA96E">
            <w:pPr>
              <w:snapToGrid w:val="0"/>
              <w:spacing w:before="50" w:after="120" w:afterLines="50" w:line="360" w:lineRule="auto"/>
              <w:jc w:val="left"/>
              <w:rPr>
                <w:rFonts w:hint="eastAsia" w:ascii="宋体" w:hAnsi="宋体" w:eastAsia="宋体" w:cs="宋体"/>
                <w:color w:val="auto"/>
                <w:sz w:val="24"/>
                <w:highlight w:val="none"/>
              </w:rPr>
            </w:pPr>
          </w:p>
        </w:tc>
      </w:tr>
      <w:tr w14:paraId="63583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37" w:type="dxa"/>
            <w:tcBorders>
              <w:top w:val="single" w:color="auto" w:sz="4" w:space="0"/>
              <w:left w:val="single" w:color="auto" w:sz="4" w:space="0"/>
              <w:bottom w:val="single" w:color="auto" w:sz="4" w:space="0"/>
              <w:right w:val="single" w:color="auto" w:sz="4" w:space="0"/>
            </w:tcBorders>
          </w:tcPr>
          <w:p w14:paraId="491BA797">
            <w:pPr>
              <w:snapToGrid w:val="0"/>
              <w:spacing w:before="50" w:after="120" w:afterLines="50" w:line="360" w:lineRule="auto"/>
              <w:jc w:val="left"/>
              <w:rPr>
                <w:rFonts w:hint="eastAsia" w:ascii="宋体" w:hAnsi="宋体" w:eastAsia="宋体" w:cs="宋体"/>
                <w:color w:val="auto"/>
                <w:sz w:val="24"/>
                <w:highlight w:val="none"/>
              </w:rPr>
            </w:pPr>
          </w:p>
        </w:tc>
        <w:tc>
          <w:tcPr>
            <w:tcW w:w="2876" w:type="dxa"/>
            <w:tcBorders>
              <w:top w:val="single" w:color="auto" w:sz="4" w:space="0"/>
              <w:left w:val="single" w:color="auto" w:sz="4" w:space="0"/>
              <w:bottom w:val="single" w:color="auto" w:sz="4" w:space="0"/>
              <w:right w:val="single" w:color="auto" w:sz="4" w:space="0"/>
            </w:tcBorders>
          </w:tcPr>
          <w:p w14:paraId="439998E5">
            <w:pPr>
              <w:snapToGrid w:val="0"/>
              <w:spacing w:before="50" w:after="120" w:afterLines="50" w:line="360" w:lineRule="auto"/>
              <w:jc w:val="left"/>
              <w:rPr>
                <w:rFonts w:hint="eastAsia" w:ascii="宋体" w:hAnsi="宋体" w:eastAsia="宋体" w:cs="宋体"/>
                <w:color w:val="auto"/>
                <w:sz w:val="24"/>
                <w:highlight w:val="none"/>
              </w:rPr>
            </w:pPr>
          </w:p>
        </w:tc>
        <w:tc>
          <w:tcPr>
            <w:tcW w:w="1840" w:type="dxa"/>
            <w:tcBorders>
              <w:top w:val="single" w:color="auto" w:sz="4" w:space="0"/>
              <w:left w:val="single" w:color="auto" w:sz="4" w:space="0"/>
              <w:bottom w:val="single" w:color="auto" w:sz="4" w:space="0"/>
              <w:right w:val="single" w:color="auto" w:sz="4" w:space="0"/>
            </w:tcBorders>
          </w:tcPr>
          <w:p w14:paraId="77CEB4F2">
            <w:pPr>
              <w:snapToGrid w:val="0"/>
              <w:spacing w:before="50" w:after="120" w:afterLines="50" w:line="360" w:lineRule="auto"/>
              <w:jc w:val="left"/>
              <w:rPr>
                <w:rFonts w:hint="eastAsia" w:ascii="宋体" w:hAnsi="宋体" w:eastAsia="宋体" w:cs="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14:paraId="6F961272">
            <w:pPr>
              <w:snapToGrid w:val="0"/>
              <w:spacing w:before="50" w:after="120" w:afterLines="50" w:line="360" w:lineRule="auto"/>
              <w:jc w:val="left"/>
              <w:rPr>
                <w:rFonts w:hint="eastAsia" w:ascii="宋体" w:hAnsi="宋体" w:eastAsia="宋体" w:cs="宋体"/>
                <w:color w:val="auto"/>
                <w:sz w:val="24"/>
                <w:highlight w:val="none"/>
              </w:rPr>
            </w:pPr>
          </w:p>
        </w:tc>
      </w:tr>
      <w:tr w14:paraId="7B853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37" w:type="dxa"/>
            <w:tcBorders>
              <w:top w:val="single" w:color="auto" w:sz="4" w:space="0"/>
              <w:left w:val="single" w:color="auto" w:sz="4" w:space="0"/>
              <w:bottom w:val="single" w:color="auto" w:sz="4" w:space="0"/>
              <w:right w:val="single" w:color="auto" w:sz="4" w:space="0"/>
            </w:tcBorders>
          </w:tcPr>
          <w:p w14:paraId="312083ED">
            <w:pPr>
              <w:snapToGrid w:val="0"/>
              <w:spacing w:before="50" w:after="120" w:afterLines="50" w:line="360" w:lineRule="auto"/>
              <w:jc w:val="left"/>
              <w:rPr>
                <w:rFonts w:hint="eastAsia" w:ascii="宋体" w:hAnsi="宋体" w:eastAsia="宋体" w:cs="宋体"/>
                <w:color w:val="auto"/>
                <w:sz w:val="24"/>
                <w:highlight w:val="none"/>
              </w:rPr>
            </w:pPr>
          </w:p>
        </w:tc>
        <w:tc>
          <w:tcPr>
            <w:tcW w:w="2876" w:type="dxa"/>
            <w:tcBorders>
              <w:top w:val="single" w:color="auto" w:sz="4" w:space="0"/>
              <w:left w:val="single" w:color="auto" w:sz="4" w:space="0"/>
              <w:bottom w:val="single" w:color="auto" w:sz="4" w:space="0"/>
              <w:right w:val="single" w:color="auto" w:sz="4" w:space="0"/>
            </w:tcBorders>
          </w:tcPr>
          <w:p w14:paraId="081289EF">
            <w:pPr>
              <w:snapToGrid w:val="0"/>
              <w:spacing w:before="50" w:after="120" w:afterLines="50" w:line="360" w:lineRule="auto"/>
              <w:jc w:val="left"/>
              <w:rPr>
                <w:rFonts w:hint="eastAsia" w:ascii="宋体" w:hAnsi="宋体" w:eastAsia="宋体" w:cs="宋体"/>
                <w:color w:val="auto"/>
                <w:sz w:val="24"/>
                <w:highlight w:val="none"/>
              </w:rPr>
            </w:pPr>
          </w:p>
        </w:tc>
        <w:tc>
          <w:tcPr>
            <w:tcW w:w="1840" w:type="dxa"/>
            <w:tcBorders>
              <w:top w:val="single" w:color="auto" w:sz="4" w:space="0"/>
              <w:left w:val="single" w:color="auto" w:sz="4" w:space="0"/>
              <w:bottom w:val="single" w:color="auto" w:sz="4" w:space="0"/>
              <w:right w:val="single" w:color="auto" w:sz="4" w:space="0"/>
            </w:tcBorders>
          </w:tcPr>
          <w:p w14:paraId="01C48552">
            <w:pPr>
              <w:snapToGrid w:val="0"/>
              <w:spacing w:before="50" w:after="120" w:afterLines="50" w:line="360" w:lineRule="auto"/>
              <w:jc w:val="left"/>
              <w:rPr>
                <w:rFonts w:hint="eastAsia" w:ascii="宋体" w:hAnsi="宋体" w:eastAsia="宋体" w:cs="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14:paraId="1074E2E2">
            <w:pPr>
              <w:snapToGrid w:val="0"/>
              <w:spacing w:before="50" w:after="120" w:afterLines="50" w:line="360" w:lineRule="auto"/>
              <w:jc w:val="left"/>
              <w:rPr>
                <w:rFonts w:hint="eastAsia" w:ascii="宋体" w:hAnsi="宋体" w:eastAsia="宋体" w:cs="宋体"/>
                <w:color w:val="auto"/>
                <w:sz w:val="24"/>
                <w:highlight w:val="none"/>
              </w:rPr>
            </w:pPr>
          </w:p>
        </w:tc>
      </w:tr>
      <w:tr w14:paraId="24FDE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2037" w:type="dxa"/>
            <w:tcBorders>
              <w:top w:val="single" w:color="auto" w:sz="4" w:space="0"/>
              <w:left w:val="single" w:color="auto" w:sz="4" w:space="0"/>
              <w:bottom w:val="single" w:color="auto" w:sz="4" w:space="0"/>
              <w:right w:val="single" w:color="auto" w:sz="4" w:space="0"/>
            </w:tcBorders>
          </w:tcPr>
          <w:p w14:paraId="0F656B0A">
            <w:pPr>
              <w:snapToGrid w:val="0"/>
              <w:spacing w:before="50" w:after="120" w:afterLines="50" w:line="360" w:lineRule="auto"/>
              <w:jc w:val="left"/>
              <w:rPr>
                <w:rFonts w:hint="eastAsia" w:ascii="宋体" w:hAnsi="宋体" w:eastAsia="宋体" w:cs="宋体"/>
                <w:color w:val="auto"/>
                <w:sz w:val="24"/>
                <w:highlight w:val="none"/>
              </w:rPr>
            </w:pPr>
          </w:p>
        </w:tc>
        <w:tc>
          <w:tcPr>
            <w:tcW w:w="2876" w:type="dxa"/>
            <w:tcBorders>
              <w:top w:val="single" w:color="auto" w:sz="4" w:space="0"/>
              <w:left w:val="single" w:color="auto" w:sz="4" w:space="0"/>
              <w:bottom w:val="single" w:color="auto" w:sz="4" w:space="0"/>
              <w:right w:val="single" w:color="auto" w:sz="4" w:space="0"/>
            </w:tcBorders>
          </w:tcPr>
          <w:p w14:paraId="36032404">
            <w:pPr>
              <w:snapToGrid w:val="0"/>
              <w:spacing w:before="50" w:after="120" w:afterLines="50" w:line="360" w:lineRule="auto"/>
              <w:jc w:val="left"/>
              <w:rPr>
                <w:rFonts w:hint="eastAsia" w:ascii="宋体" w:hAnsi="宋体" w:eastAsia="宋体" w:cs="宋体"/>
                <w:color w:val="auto"/>
                <w:sz w:val="24"/>
                <w:highlight w:val="none"/>
              </w:rPr>
            </w:pPr>
          </w:p>
        </w:tc>
        <w:tc>
          <w:tcPr>
            <w:tcW w:w="1840" w:type="dxa"/>
            <w:tcBorders>
              <w:top w:val="single" w:color="auto" w:sz="4" w:space="0"/>
              <w:left w:val="single" w:color="auto" w:sz="4" w:space="0"/>
              <w:bottom w:val="single" w:color="auto" w:sz="4" w:space="0"/>
              <w:right w:val="single" w:color="auto" w:sz="4" w:space="0"/>
            </w:tcBorders>
          </w:tcPr>
          <w:p w14:paraId="5EF15116">
            <w:pPr>
              <w:snapToGrid w:val="0"/>
              <w:spacing w:before="50" w:after="120" w:afterLines="50" w:line="360" w:lineRule="auto"/>
              <w:jc w:val="left"/>
              <w:rPr>
                <w:rFonts w:hint="eastAsia" w:ascii="宋体" w:hAnsi="宋体" w:eastAsia="宋体" w:cs="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14:paraId="205C218A">
            <w:pPr>
              <w:snapToGrid w:val="0"/>
              <w:spacing w:before="50" w:after="120" w:afterLines="50" w:line="360" w:lineRule="auto"/>
              <w:jc w:val="left"/>
              <w:rPr>
                <w:rFonts w:hint="eastAsia" w:ascii="宋体" w:hAnsi="宋体" w:eastAsia="宋体" w:cs="宋体"/>
                <w:color w:val="auto"/>
                <w:sz w:val="24"/>
                <w:highlight w:val="none"/>
              </w:rPr>
            </w:pPr>
          </w:p>
        </w:tc>
      </w:tr>
    </w:tbl>
    <w:p w14:paraId="23D5223B">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:相关项目业绩一览表（提供有效的合同或中标（成交）通知书等证明材料复印件）</w:t>
      </w:r>
    </w:p>
    <w:p w14:paraId="6A18EEE7">
      <w:pPr>
        <w:pStyle w:val="24"/>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注：供应商可按上述的格式自行编制，须随表提交相应的提供合同或成交通知书复印件。</w:t>
      </w:r>
    </w:p>
    <w:p w14:paraId="77013A2B">
      <w:pPr>
        <w:snapToGrid w:val="0"/>
        <w:spacing w:line="360" w:lineRule="auto"/>
        <w:ind w:left="4410" w:leftChars="2100" w:firstLine="5670" w:firstLineChars="27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7257689A">
      <w:pPr>
        <w:spacing w:line="360" w:lineRule="auto"/>
        <w:jc w:val="left"/>
        <w:rPr>
          <w:rFonts w:hint="eastAsia" w:ascii="宋体" w:hAnsi="宋体" w:eastAsia="宋体" w:cs="宋体"/>
          <w:b/>
          <w:color w:val="auto"/>
          <w:sz w:val="24"/>
          <w:highlight w:val="none"/>
        </w:rPr>
      </w:pPr>
    </w:p>
    <w:p w14:paraId="47F89B49">
      <w:pPr>
        <w:autoSpaceDE w:val="0"/>
        <w:autoSpaceDN w:val="0"/>
        <w:spacing w:line="360" w:lineRule="auto"/>
        <w:ind w:firstLine="4560" w:firstLineChars="19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8F5A9BC">
      <w:pPr>
        <w:spacing w:line="360" w:lineRule="auto"/>
        <w:jc w:val="left"/>
        <w:rPr>
          <w:rFonts w:hint="eastAsia" w:ascii="宋体" w:hAnsi="宋体" w:eastAsia="宋体" w:cs="宋体"/>
          <w:b/>
          <w:color w:val="auto"/>
          <w:sz w:val="24"/>
          <w:highlight w:val="none"/>
        </w:rPr>
      </w:pPr>
    </w:p>
    <w:p w14:paraId="08736612">
      <w:pPr>
        <w:spacing w:line="360" w:lineRule="auto"/>
        <w:jc w:val="left"/>
        <w:rPr>
          <w:rFonts w:hint="eastAsia" w:ascii="宋体" w:hAnsi="宋体" w:eastAsia="宋体" w:cs="宋体"/>
          <w:b/>
          <w:color w:val="auto"/>
          <w:sz w:val="24"/>
          <w:highlight w:val="none"/>
        </w:rPr>
      </w:pPr>
    </w:p>
    <w:p w14:paraId="258FBE79">
      <w:pPr>
        <w:spacing w:line="360" w:lineRule="auto"/>
        <w:jc w:val="left"/>
        <w:rPr>
          <w:rFonts w:hint="eastAsia" w:ascii="宋体" w:hAnsi="宋体" w:eastAsia="宋体" w:cs="宋体"/>
          <w:b/>
          <w:color w:val="auto"/>
          <w:sz w:val="24"/>
          <w:highlight w:val="none"/>
          <w:lang w:val="en-US" w:eastAsia="zh-CN"/>
        </w:rPr>
      </w:pPr>
    </w:p>
    <w:p w14:paraId="79D10E77">
      <w:pPr>
        <w:spacing w:line="360" w:lineRule="auto"/>
        <w:jc w:val="left"/>
        <w:rPr>
          <w:rFonts w:hint="eastAsia" w:ascii="宋体" w:hAnsi="宋体" w:eastAsia="宋体" w:cs="宋体"/>
          <w:b/>
          <w:color w:val="auto"/>
          <w:sz w:val="24"/>
          <w:highlight w:val="yellow"/>
          <w:lang w:val="en-US" w:eastAsia="zh-CN"/>
        </w:rPr>
      </w:pPr>
    </w:p>
    <w:p w14:paraId="759992B0">
      <w:pPr>
        <w:spacing w:line="360" w:lineRule="auto"/>
        <w:jc w:val="left"/>
        <w:rPr>
          <w:rFonts w:hint="eastAsia" w:ascii="宋体" w:hAnsi="宋体" w:eastAsia="宋体" w:cs="宋体"/>
          <w:b/>
          <w:color w:val="auto"/>
          <w:sz w:val="24"/>
          <w:highlight w:val="none"/>
          <w:lang w:val="en-US" w:eastAsia="zh-CN"/>
        </w:rPr>
      </w:pPr>
    </w:p>
    <w:p w14:paraId="3B197EB3">
      <w:pPr>
        <w:spacing w:line="360" w:lineRule="auto"/>
        <w:jc w:val="left"/>
        <w:rPr>
          <w:rFonts w:hint="eastAsia" w:ascii="宋体" w:hAnsi="宋体" w:eastAsia="宋体" w:cs="宋体"/>
          <w:b/>
          <w:color w:val="auto"/>
          <w:sz w:val="24"/>
          <w:highlight w:val="none"/>
          <w:lang w:val="en-US" w:eastAsia="zh-CN"/>
        </w:rPr>
      </w:pPr>
    </w:p>
    <w:p w14:paraId="6B946D69">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.供应商认为需要提供的其他有关资料</w:t>
      </w:r>
    </w:p>
    <w:p w14:paraId="1A1AAE2B">
      <w:pPr>
        <w:pStyle w:val="2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Start w:id="77" w:name="_Toc26992"/>
    </w:p>
    <w:p w14:paraId="2FBADD09">
      <w:pPr>
        <w:pStyle w:val="28"/>
        <w:spacing w:line="360" w:lineRule="auto"/>
        <w:rPr>
          <w:rFonts w:hint="eastAsia" w:ascii="宋体" w:hAnsi="宋体" w:eastAsia="宋体" w:cs="宋体"/>
          <w:b/>
          <w:color w:val="auto"/>
          <w:sz w:val="24"/>
          <w:szCs w:val="24"/>
          <w:highlight w:val="none"/>
        </w:rPr>
      </w:pPr>
    </w:p>
    <w:p w14:paraId="15BCCC59">
      <w:pPr>
        <w:spacing w:line="360" w:lineRule="auto"/>
        <w:jc w:val="center"/>
        <w:rPr>
          <w:rFonts w:hint="eastAsia" w:ascii="宋体" w:hAnsi="宋体" w:eastAsia="宋体" w:cs="宋体"/>
          <w:b/>
          <w:color w:val="auto"/>
          <w:sz w:val="24"/>
          <w:highlight w:val="none"/>
        </w:rPr>
      </w:pPr>
    </w:p>
    <w:p w14:paraId="44741942">
      <w:pPr>
        <w:spacing w:line="360" w:lineRule="auto"/>
        <w:jc w:val="center"/>
        <w:rPr>
          <w:rFonts w:hint="eastAsia" w:ascii="宋体" w:hAnsi="宋体" w:eastAsia="宋体" w:cs="宋体"/>
          <w:b/>
          <w:color w:val="auto"/>
          <w:sz w:val="24"/>
          <w:highlight w:val="none"/>
        </w:rPr>
      </w:pPr>
    </w:p>
    <w:p w14:paraId="46C66C18">
      <w:pPr>
        <w:spacing w:line="360" w:lineRule="auto"/>
        <w:jc w:val="center"/>
        <w:rPr>
          <w:rFonts w:hint="eastAsia" w:ascii="宋体" w:hAnsi="宋体" w:eastAsia="宋体" w:cs="宋体"/>
          <w:b/>
          <w:color w:val="auto"/>
          <w:sz w:val="24"/>
          <w:highlight w:val="none"/>
        </w:rPr>
      </w:pPr>
    </w:p>
    <w:p w14:paraId="62AA7488">
      <w:pPr>
        <w:pStyle w:val="38"/>
        <w:spacing w:line="360" w:lineRule="auto"/>
        <w:outlineLvl w:val="9"/>
        <w:rPr>
          <w:rFonts w:hint="eastAsia" w:ascii="宋体" w:hAnsi="宋体" w:eastAsia="宋体" w:cs="宋体"/>
          <w:color w:val="auto"/>
          <w:sz w:val="44"/>
          <w:szCs w:val="44"/>
          <w:highlight w:val="none"/>
        </w:rPr>
      </w:pPr>
    </w:p>
    <w:p w14:paraId="6C561ED5">
      <w:pPr>
        <w:rPr>
          <w:rFonts w:hint="eastAsia" w:ascii="宋体" w:hAnsi="宋体" w:eastAsia="宋体" w:cs="宋体"/>
          <w:color w:val="auto"/>
          <w:sz w:val="44"/>
          <w:szCs w:val="44"/>
          <w:highlight w:val="none"/>
        </w:rPr>
      </w:pPr>
    </w:p>
    <w:p w14:paraId="2610E925">
      <w:pPr>
        <w:pStyle w:val="28"/>
        <w:rPr>
          <w:rFonts w:hint="eastAsia" w:ascii="宋体" w:hAnsi="宋体" w:eastAsia="宋体" w:cs="宋体"/>
          <w:color w:val="auto"/>
          <w:sz w:val="44"/>
          <w:szCs w:val="44"/>
          <w:highlight w:val="none"/>
        </w:rPr>
      </w:pPr>
    </w:p>
    <w:p w14:paraId="71B8F829">
      <w:pPr>
        <w:pStyle w:val="28"/>
        <w:rPr>
          <w:rFonts w:hint="eastAsia" w:ascii="宋体" w:hAnsi="宋体" w:eastAsia="宋体" w:cs="宋体"/>
          <w:color w:val="auto"/>
          <w:sz w:val="44"/>
          <w:szCs w:val="44"/>
          <w:highlight w:val="none"/>
        </w:rPr>
      </w:pPr>
    </w:p>
    <w:p w14:paraId="5FCBCCC0">
      <w:pPr>
        <w:pStyle w:val="28"/>
        <w:rPr>
          <w:rFonts w:hint="eastAsia" w:ascii="宋体" w:hAnsi="宋体" w:eastAsia="宋体" w:cs="宋体"/>
          <w:color w:val="auto"/>
          <w:sz w:val="44"/>
          <w:szCs w:val="44"/>
          <w:highlight w:val="none"/>
        </w:rPr>
      </w:pPr>
    </w:p>
    <w:p w14:paraId="059AB3A2">
      <w:pPr>
        <w:pStyle w:val="38"/>
        <w:spacing w:line="360" w:lineRule="auto"/>
        <w:rPr>
          <w:rFonts w:hint="eastAsia" w:ascii="宋体" w:hAnsi="宋体" w:eastAsia="宋体" w:cs="宋体"/>
          <w:color w:val="auto"/>
          <w:sz w:val="44"/>
          <w:szCs w:val="44"/>
          <w:highlight w:val="none"/>
        </w:rPr>
      </w:pPr>
      <w:bookmarkStart w:id="78" w:name="_Toc29496"/>
      <w:r>
        <w:rPr>
          <w:rFonts w:hint="eastAsia" w:ascii="宋体" w:hAnsi="宋体" w:eastAsia="宋体" w:cs="宋体"/>
          <w:color w:val="auto"/>
          <w:sz w:val="44"/>
          <w:szCs w:val="44"/>
          <w:highlight w:val="none"/>
        </w:rPr>
        <w:t>第七章 质疑、投诉材料格式</w:t>
      </w:r>
      <w:bookmarkEnd w:id="77"/>
      <w:bookmarkEnd w:id="78"/>
    </w:p>
    <w:p w14:paraId="19C6ACF3">
      <w:pPr>
        <w:pStyle w:val="38"/>
        <w:spacing w:line="360" w:lineRule="auto"/>
        <w:rPr>
          <w:rFonts w:hint="eastAsia" w:ascii="宋体" w:hAnsi="宋体" w:eastAsia="宋体" w:cs="宋体"/>
          <w:color w:val="auto"/>
          <w:sz w:val="44"/>
          <w:szCs w:val="44"/>
          <w:highlight w:val="none"/>
        </w:rPr>
        <w:sectPr>
          <w:footerReference r:id="rId5" w:type="default"/>
          <w:pgSz w:w="11910" w:h="16840"/>
          <w:pgMar w:top="1134" w:right="1134" w:bottom="1134" w:left="1134" w:header="720" w:footer="720" w:gutter="0"/>
          <w:pgNumType w:fmt="decimal"/>
          <w:cols w:space="720" w:num="1"/>
        </w:sectPr>
      </w:pPr>
    </w:p>
    <w:p w14:paraId="6561CD0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336A17C7">
      <w:pPr>
        <w:pStyle w:val="24"/>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773844D4">
      <w:pPr>
        <w:pStyle w:val="2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CA50838">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1EF7348">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DBD3D35">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6ABE452B">
      <w:pPr>
        <w:pStyle w:val="2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2264FE3">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3B536E0">
      <w:pPr>
        <w:pStyle w:val="24"/>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0C02672B">
      <w:pPr>
        <w:pStyle w:val="2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p>
    <w:p w14:paraId="604BAA47">
      <w:pPr>
        <w:pStyle w:val="2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63D3C214">
      <w:pPr>
        <w:pStyle w:val="2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6D54A582">
      <w:pPr>
        <w:pStyle w:val="2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301238FD">
      <w:pPr>
        <w:pStyle w:val="2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20359F09">
      <w:pPr>
        <w:pStyle w:val="2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30BC869B">
      <w:pPr>
        <w:pStyle w:val="24"/>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59352C68">
      <w:pPr>
        <w:pStyle w:val="24"/>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635CFE2F">
      <w:pPr>
        <w:pStyle w:val="2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4ADFB493">
      <w:pPr>
        <w:pStyle w:val="2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9C68742">
      <w:pPr>
        <w:pStyle w:val="2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38191B8B">
      <w:pPr>
        <w:pStyle w:val="2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18EAE182">
      <w:pPr>
        <w:pStyle w:val="2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9D2C650">
      <w:pPr>
        <w:pStyle w:val="2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200E6E00">
      <w:pPr>
        <w:pStyle w:val="2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32B3F5DD">
      <w:pPr>
        <w:pStyle w:val="24"/>
        <w:spacing w:line="360" w:lineRule="auto"/>
        <w:ind w:left="25" w:leftChars="12" w:firstLine="352" w:firstLineChars="147"/>
        <w:contextualSpacing/>
        <w:rPr>
          <w:rFonts w:hint="eastAsia" w:ascii="宋体" w:hAnsi="宋体" w:eastAsia="宋体" w:cs="宋体"/>
          <w:color w:val="auto"/>
          <w:sz w:val="24"/>
          <w:szCs w:val="24"/>
          <w:highlight w:val="none"/>
        </w:rPr>
      </w:pPr>
    </w:p>
    <w:p w14:paraId="0BE0298D">
      <w:pPr>
        <w:pStyle w:val="2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BD75047">
      <w:pPr>
        <w:pStyle w:val="24"/>
        <w:spacing w:line="360" w:lineRule="auto"/>
        <w:ind w:left="25" w:leftChars="12" w:firstLine="352" w:firstLineChars="147"/>
        <w:contextualSpacing/>
        <w:rPr>
          <w:rFonts w:hint="eastAsia" w:ascii="宋体" w:hAnsi="宋体" w:eastAsia="宋体" w:cs="宋体"/>
          <w:color w:val="auto"/>
          <w:sz w:val="24"/>
          <w:szCs w:val="24"/>
          <w:highlight w:val="none"/>
        </w:rPr>
      </w:pPr>
    </w:p>
    <w:p w14:paraId="34C38917">
      <w:pPr>
        <w:pStyle w:val="2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94B3AFB">
      <w:pPr>
        <w:pStyle w:val="24"/>
        <w:spacing w:line="360" w:lineRule="auto"/>
        <w:rPr>
          <w:rFonts w:hint="eastAsia" w:ascii="宋体" w:hAnsi="宋体" w:eastAsia="宋体" w:cs="宋体"/>
          <w:b/>
          <w:color w:val="auto"/>
          <w:sz w:val="24"/>
          <w:szCs w:val="24"/>
          <w:highlight w:val="none"/>
        </w:rPr>
      </w:pPr>
    </w:p>
    <w:p w14:paraId="558B7F88">
      <w:pPr>
        <w:pStyle w:val="24"/>
        <w:spacing w:line="360" w:lineRule="auto"/>
        <w:rPr>
          <w:rFonts w:hint="eastAsia" w:ascii="宋体" w:hAnsi="宋体" w:eastAsia="宋体" w:cs="宋体"/>
          <w:b/>
          <w:color w:val="auto"/>
          <w:sz w:val="24"/>
          <w:szCs w:val="24"/>
          <w:highlight w:val="none"/>
        </w:rPr>
      </w:pPr>
    </w:p>
    <w:p w14:paraId="47B40169">
      <w:pPr>
        <w:pStyle w:val="2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43F6304">
      <w:pPr>
        <w:pStyle w:val="24"/>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5BEECA99">
      <w:pPr>
        <w:pStyle w:val="2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1AF262">
      <w:pPr>
        <w:pStyle w:val="2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13BB3D12">
      <w:pPr>
        <w:pStyle w:val="2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373AAAB9">
      <w:pPr>
        <w:pStyle w:val="24"/>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7C2580DF">
      <w:pPr>
        <w:pStyle w:val="24"/>
        <w:snapToGrid w:val="0"/>
        <w:spacing w:line="360" w:lineRule="auto"/>
        <w:rPr>
          <w:rFonts w:hint="eastAsia" w:ascii="宋体" w:hAnsi="宋体" w:eastAsia="宋体" w:cs="宋体"/>
          <w:b/>
          <w:color w:val="auto"/>
          <w:sz w:val="24"/>
          <w:szCs w:val="24"/>
          <w:highlight w:val="none"/>
        </w:rPr>
      </w:pPr>
    </w:p>
    <w:p w14:paraId="708A7D36">
      <w:pPr>
        <w:spacing w:line="360" w:lineRule="auto"/>
        <w:rPr>
          <w:rFonts w:hint="eastAsia" w:ascii="宋体" w:hAnsi="宋体" w:eastAsia="宋体" w:cs="宋体"/>
          <w:color w:val="auto"/>
          <w:sz w:val="44"/>
          <w:highlight w:val="none"/>
        </w:rPr>
      </w:pPr>
    </w:p>
    <w:p w14:paraId="41BE103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58877DFA">
      <w:pPr>
        <w:pStyle w:val="2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7FF80D84">
      <w:pPr>
        <w:pStyle w:val="2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A6B1FBA">
      <w:pPr>
        <w:pStyle w:val="2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779CCFD">
      <w:pPr>
        <w:pStyle w:val="2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BC609D8">
      <w:pPr>
        <w:pStyle w:val="2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8E556D5">
      <w:pPr>
        <w:pStyle w:val="2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A68B047">
      <w:pPr>
        <w:pStyle w:val="2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20B2F3CE">
      <w:pPr>
        <w:pStyle w:val="2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C27EFA8">
      <w:pPr>
        <w:pStyle w:val="2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184BE6FD">
      <w:pPr>
        <w:pStyle w:val="2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0B24728">
      <w:pPr>
        <w:pStyle w:val="2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C46B95B">
      <w:pPr>
        <w:pStyle w:val="2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7D364AF">
      <w:pPr>
        <w:pStyle w:val="2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3C8262ED">
      <w:pPr>
        <w:pStyle w:val="2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FC7A36E">
      <w:pPr>
        <w:pStyle w:val="2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2C4CF89A">
      <w:pPr>
        <w:pStyle w:val="2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42C1D521">
      <w:pPr>
        <w:pStyle w:val="2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E932704">
      <w:pPr>
        <w:pStyle w:val="2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7E29537B">
      <w:pPr>
        <w:pStyle w:val="2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3705698D">
      <w:pPr>
        <w:pStyle w:val="2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4A93D5F5">
      <w:pPr>
        <w:pStyle w:val="2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7356F26F">
      <w:pPr>
        <w:pStyle w:val="2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4BAF940D">
      <w:pPr>
        <w:pStyle w:val="2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929C26D">
      <w:pPr>
        <w:pStyle w:val="24"/>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700BE87F">
      <w:pPr>
        <w:pStyle w:val="2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50F72027">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66F40B24">
      <w:pPr>
        <w:pStyle w:val="2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5DB8104">
      <w:pPr>
        <w:pStyle w:val="2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394F575">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994AC32">
      <w:pPr>
        <w:pStyle w:val="2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27E0A636">
      <w:pPr>
        <w:pStyle w:val="2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0DA1898D">
      <w:pPr>
        <w:pStyle w:val="2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CF3FE9D">
      <w:pPr>
        <w:pStyle w:val="2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2CCBC389">
      <w:pPr>
        <w:pStyle w:val="2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F76F3C4">
      <w:pPr>
        <w:pStyle w:val="24"/>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1E300A1">
      <w:pPr>
        <w:pStyle w:val="2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53A2CE41">
      <w:pPr>
        <w:pStyle w:val="2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C81BC7E">
      <w:pPr>
        <w:pStyle w:val="2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774401D5">
      <w:pPr>
        <w:pStyle w:val="2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2167DC8">
      <w:pPr>
        <w:pStyle w:val="24"/>
        <w:spacing w:line="360" w:lineRule="auto"/>
        <w:ind w:left="25" w:leftChars="12" w:firstLine="352" w:firstLineChars="147"/>
        <w:rPr>
          <w:rFonts w:hint="eastAsia" w:ascii="宋体" w:hAnsi="宋体" w:eastAsia="宋体" w:cs="宋体"/>
          <w:color w:val="auto"/>
          <w:sz w:val="24"/>
          <w:szCs w:val="24"/>
          <w:highlight w:val="none"/>
        </w:rPr>
      </w:pPr>
    </w:p>
    <w:p w14:paraId="56E80595">
      <w:pPr>
        <w:pStyle w:val="2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414AB64A">
      <w:pPr>
        <w:pStyle w:val="24"/>
        <w:spacing w:line="360" w:lineRule="auto"/>
        <w:ind w:left="25" w:leftChars="12" w:firstLine="352" w:firstLineChars="147"/>
        <w:rPr>
          <w:rFonts w:hint="eastAsia" w:ascii="宋体" w:hAnsi="宋体" w:eastAsia="宋体" w:cs="宋体"/>
          <w:color w:val="auto"/>
          <w:sz w:val="24"/>
          <w:szCs w:val="24"/>
          <w:highlight w:val="none"/>
        </w:rPr>
      </w:pPr>
    </w:p>
    <w:p w14:paraId="6A18D08C">
      <w:pPr>
        <w:pStyle w:val="2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502899D">
      <w:pPr>
        <w:pStyle w:val="24"/>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p>
    <w:p w14:paraId="4E2A718C">
      <w:pPr>
        <w:pStyle w:val="24"/>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7775D36">
      <w:pPr>
        <w:pStyle w:val="24"/>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44332D7A">
      <w:pPr>
        <w:pStyle w:val="2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5F31D6C">
      <w:pPr>
        <w:pStyle w:val="2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10A6960E">
      <w:pPr>
        <w:pStyle w:val="2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6F818622">
      <w:pPr>
        <w:pStyle w:val="2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77600E14">
      <w:pPr>
        <w:pStyle w:val="24"/>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530B15EF">
      <w:pPr>
        <w:spacing w:line="360" w:lineRule="auto"/>
        <w:jc w:val="left"/>
        <w:rPr>
          <w:rFonts w:hint="eastAsia" w:ascii="宋体" w:hAnsi="宋体" w:eastAsia="宋体" w:cs="宋体"/>
          <w:b/>
          <w:color w:val="auto"/>
          <w:sz w:val="24"/>
          <w:highlight w:val="none"/>
        </w:rPr>
      </w:pPr>
    </w:p>
    <w:sectPr>
      <w:footerReference r:id="rId9" w:type="first"/>
      <w:headerReference r:id="rId6" w:type="default"/>
      <w:footerReference r:id="rId7" w:type="default"/>
      <w:footerReference r:id="rId8" w:type="even"/>
      <w:pgSz w:w="11906" w:h="16838"/>
      <w:pgMar w:top="1134" w:right="1134" w:bottom="1134" w:left="113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DCE37">
    <w:pPr>
      <w:pStyle w:val="2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549"/>
                            <w:docPartObj>
                              <w:docPartGallery w:val="autotext"/>
                            </w:docPartObj>
                          </w:sdtPr>
                          <w:sdtContent>
                            <w:p w14:paraId="22AF3FAD">
                              <w:pPr>
                                <w:pStyle w:val="28"/>
                                <w:jc w:val="center"/>
                              </w:pPr>
                              <w:r>
                                <w:fldChar w:fldCharType="begin"/>
                              </w:r>
                              <w:r>
                                <w:instrText xml:space="preserve">PAGE   \* MERGEFORMAT</w:instrText>
                              </w:r>
                              <w:r>
                                <w:fldChar w:fldCharType="separate"/>
                              </w:r>
                              <w:r>
                                <w:rPr>
                                  <w:lang w:val="zh-CN"/>
                                </w:rPr>
                                <w:t>54</w:t>
                              </w:r>
                              <w:r>
                                <w:fldChar w:fldCharType="end"/>
                              </w:r>
                            </w:p>
                          </w:sdtContent>
                        </w:sdt>
                        <w:p w14:paraId="290707F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67549"/>
                      <w:docPartObj>
                        <w:docPartGallery w:val="autotext"/>
                      </w:docPartObj>
                    </w:sdtPr>
                    <w:sdtContent>
                      <w:p w14:paraId="22AF3FAD">
                        <w:pPr>
                          <w:pStyle w:val="28"/>
                          <w:jc w:val="center"/>
                        </w:pPr>
                        <w:r>
                          <w:fldChar w:fldCharType="begin"/>
                        </w:r>
                        <w:r>
                          <w:instrText xml:space="preserve">PAGE   \* MERGEFORMAT</w:instrText>
                        </w:r>
                        <w:r>
                          <w:fldChar w:fldCharType="separate"/>
                        </w:r>
                        <w:r>
                          <w:rPr>
                            <w:lang w:val="zh-CN"/>
                          </w:rPr>
                          <w:t>54</w:t>
                        </w:r>
                        <w:r>
                          <w:fldChar w:fldCharType="end"/>
                        </w:r>
                      </w:p>
                    </w:sdtContent>
                  </w:sdt>
                  <w:p w14:paraId="290707F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774B">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D6074">
                          <w:pPr>
                            <w:pStyle w:val="2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6D6074">
                    <w:pPr>
                      <w:pStyle w:val="2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8551">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4B824">
                          <w:pPr>
                            <w:pStyle w:val="28"/>
                            <w:rPr>
                              <w:rStyle w:val="43"/>
                            </w:rPr>
                          </w:pPr>
                          <w:r>
                            <w:fldChar w:fldCharType="begin"/>
                          </w:r>
                          <w:r>
                            <w:rPr>
                              <w:rStyle w:val="43"/>
                            </w:rPr>
                            <w:instrText xml:space="preserve">PAGE  </w:instrText>
                          </w:r>
                          <w:r>
                            <w:fldChar w:fldCharType="separate"/>
                          </w:r>
                          <w:r>
                            <w:rPr>
                              <w:rStyle w:val="43"/>
                            </w:rP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7B4B824">
                    <w:pPr>
                      <w:pStyle w:val="28"/>
                      <w:rPr>
                        <w:rStyle w:val="43"/>
                      </w:rPr>
                    </w:pPr>
                    <w:r>
                      <w:fldChar w:fldCharType="begin"/>
                    </w:r>
                    <w:r>
                      <w:rPr>
                        <w:rStyle w:val="43"/>
                      </w:rPr>
                      <w:instrText xml:space="preserve">PAGE  </w:instrText>
                    </w:r>
                    <w:r>
                      <w:fldChar w:fldCharType="separate"/>
                    </w:r>
                    <w:r>
                      <w:rPr>
                        <w:rStyle w:val="43"/>
                      </w:rPr>
                      <w:t>71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130E">
    <w:pPr>
      <w:pStyle w:val="28"/>
      <w:framePr w:wrap="around" w:vAnchor="text" w:hAnchor="margin" w:xAlign="center" w:y="1"/>
      <w:rPr>
        <w:rStyle w:val="43"/>
      </w:rPr>
    </w:pPr>
    <w:r>
      <w:fldChar w:fldCharType="begin"/>
    </w:r>
    <w:r>
      <w:rPr>
        <w:rStyle w:val="43"/>
      </w:rPr>
      <w:instrText xml:space="preserve">PAGE  </w:instrText>
    </w:r>
    <w:r>
      <w:fldChar w:fldCharType="end"/>
    </w:r>
  </w:p>
  <w:p w14:paraId="056074CA">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97C98">
    <w:pPr>
      <w:pStyle w:val="28"/>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A5EF0">
                          <w:pPr>
                            <w:pStyle w:val="2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C1A5EF0">
                    <w:pPr>
                      <w:pStyle w:val="2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2F6CC">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9497D">
    <w:pPr>
      <w:pStyle w:val="29"/>
      <w:wordWrap w:val="0"/>
      <w:jc w:val="right"/>
      <w:rPr>
        <w:rFonts w:ascii="宋体" w:hAnsi="宋体"/>
      </w:rPr>
    </w:pPr>
    <w:r>
      <w:rPr>
        <w:rFonts w:hint="eastAsia" w:ascii="宋体" w:hAnsi="宋体"/>
      </w:rPr>
      <w:t>XXXX采购（</w:t>
    </w:r>
    <w:r>
      <w:rPr>
        <w:rFonts w:hint="eastAsia" w:ascii="宋体" w:hAnsi="宋体"/>
        <w:lang w:eastAsia="zh-CN"/>
      </w:rPr>
      <w:t xml:space="preserve">项目编号： </w:t>
    </w:r>
    <w:r>
      <w:rPr>
        <w:rFonts w:hint="eastAsia" w:ascii="宋体" w:hAnsi="宋体"/>
      </w:rPr>
      <w:t>XXXX-XXXXX-XXXXXX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7D948"/>
    <w:multiLevelType w:val="singleLevel"/>
    <w:tmpl w:val="FB27D948"/>
    <w:lvl w:ilvl="0" w:tentative="0">
      <w:start w:val="1"/>
      <w:numFmt w:val="decimalEnclosedCircleChinese"/>
      <w:suff w:val="nothing"/>
      <w:lvlText w:val="%1　"/>
      <w:lvlJc w:val="left"/>
      <w:pPr>
        <w:ind w:left="0" w:firstLine="400"/>
      </w:pPr>
      <w:rPr>
        <w:rFonts w:hint="eastAsia"/>
      </w:rPr>
    </w:lvl>
  </w:abstractNum>
  <w:abstractNum w:abstractNumId="1">
    <w:nsid w:val="0C645B2B"/>
    <w:multiLevelType w:val="singleLevel"/>
    <w:tmpl w:val="0C645B2B"/>
    <w:lvl w:ilvl="0" w:tentative="0">
      <w:start w:val="3"/>
      <w:numFmt w:val="decimal"/>
      <w:suff w:val="nothing"/>
      <w:lvlText w:val="（%1）"/>
      <w:lvlJc w:val="left"/>
    </w:lvl>
  </w:abstractNum>
  <w:abstractNum w:abstractNumId="2">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D67E44C"/>
    <w:multiLevelType w:val="singleLevel"/>
    <w:tmpl w:val="7D67E44C"/>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OTRiMmI0MmI1ZWNiM2IwNDNkMmRmZmJlMzQ2ODIifQ=="/>
  </w:docVars>
  <w:rsids>
    <w:rsidRoot w:val="00172A27"/>
    <w:rsid w:val="00001098"/>
    <w:rsid w:val="000010CA"/>
    <w:rsid w:val="00002237"/>
    <w:rsid w:val="0000260D"/>
    <w:rsid w:val="0000289B"/>
    <w:rsid w:val="0000699F"/>
    <w:rsid w:val="00007FB5"/>
    <w:rsid w:val="0001014C"/>
    <w:rsid w:val="0001197A"/>
    <w:rsid w:val="00012D27"/>
    <w:rsid w:val="00016641"/>
    <w:rsid w:val="000172CA"/>
    <w:rsid w:val="00017EA3"/>
    <w:rsid w:val="00020B8B"/>
    <w:rsid w:val="0002105F"/>
    <w:rsid w:val="0002135E"/>
    <w:rsid w:val="0002156F"/>
    <w:rsid w:val="000226B9"/>
    <w:rsid w:val="000228C8"/>
    <w:rsid w:val="000252AE"/>
    <w:rsid w:val="000256F2"/>
    <w:rsid w:val="00027DF3"/>
    <w:rsid w:val="000309CA"/>
    <w:rsid w:val="00030C19"/>
    <w:rsid w:val="00031717"/>
    <w:rsid w:val="000334CB"/>
    <w:rsid w:val="00034B8F"/>
    <w:rsid w:val="00034F93"/>
    <w:rsid w:val="00041080"/>
    <w:rsid w:val="0004142E"/>
    <w:rsid w:val="00042B0D"/>
    <w:rsid w:val="00042E38"/>
    <w:rsid w:val="00045441"/>
    <w:rsid w:val="000503F1"/>
    <w:rsid w:val="0005057C"/>
    <w:rsid w:val="00050EBF"/>
    <w:rsid w:val="00056F9F"/>
    <w:rsid w:val="000614B0"/>
    <w:rsid w:val="0006163C"/>
    <w:rsid w:val="00065B10"/>
    <w:rsid w:val="00066EA0"/>
    <w:rsid w:val="000753AF"/>
    <w:rsid w:val="00080E5B"/>
    <w:rsid w:val="0008123B"/>
    <w:rsid w:val="00084253"/>
    <w:rsid w:val="00084E12"/>
    <w:rsid w:val="0009242A"/>
    <w:rsid w:val="00092727"/>
    <w:rsid w:val="00094995"/>
    <w:rsid w:val="00094EFC"/>
    <w:rsid w:val="00094FE0"/>
    <w:rsid w:val="00095259"/>
    <w:rsid w:val="000A26DC"/>
    <w:rsid w:val="000B00CB"/>
    <w:rsid w:val="000B1C02"/>
    <w:rsid w:val="000B31FB"/>
    <w:rsid w:val="000B5645"/>
    <w:rsid w:val="000B614A"/>
    <w:rsid w:val="000B639B"/>
    <w:rsid w:val="000C2A29"/>
    <w:rsid w:val="000C2C68"/>
    <w:rsid w:val="000C37D8"/>
    <w:rsid w:val="000C6AC3"/>
    <w:rsid w:val="000D74B1"/>
    <w:rsid w:val="000E0B2A"/>
    <w:rsid w:val="000E203D"/>
    <w:rsid w:val="000E2A6B"/>
    <w:rsid w:val="000E4013"/>
    <w:rsid w:val="000E4CBE"/>
    <w:rsid w:val="000F01F4"/>
    <w:rsid w:val="000F25A3"/>
    <w:rsid w:val="000F322F"/>
    <w:rsid w:val="000F5755"/>
    <w:rsid w:val="00100229"/>
    <w:rsid w:val="0010043F"/>
    <w:rsid w:val="00100982"/>
    <w:rsid w:val="001031AE"/>
    <w:rsid w:val="001063D9"/>
    <w:rsid w:val="00110993"/>
    <w:rsid w:val="00112D14"/>
    <w:rsid w:val="001134AF"/>
    <w:rsid w:val="0011412D"/>
    <w:rsid w:val="00115787"/>
    <w:rsid w:val="00115BD6"/>
    <w:rsid w:val="0012032B"/>
    <w:rsid w:val="00121911"/>
    <w:rsid w:val="00125EF2"/>
    <w:rsid w:val="00126606"/>
    <w:rsid w:val="001307DD"/>
    <w:rsid w:val="00130DDD"/>
    <w:rsid w:val="00132CCD"/>
    <w:rsid w:val="001348E5"/>
    <w:rsid w:val="001351A8"/>
    <w:rsid w:val="001355CE"/>
    <w:rsid w:val="00136726"/>
    <w:rsid w:val="001368F6"/>
    <w:rsid w:val="0013745D"/>
    <w:rsid w:val="00145A1C"/>
    <w:rsid w:val="001470C2"/>
    <w:rsid w:val="001528CD"/>
    <w:rsid w:val="00155921"/>
    <w:rsid w:val="001559BA"/>
    <w:rsid w:val="00157E2A"/>
    <w:rsid w:val="00160DBF"/>
    <w:rsid w:val="00161858"/>
    <w:rsid w:val="00162EA9"/>
    <w:rsid w:val="0016419C"/>
    <w:rsid w:val="0016459F"/>
    <w:rsid w:val="0016705C"/>
    <w:rsid w:val="001676CE"/>
    <w:rsid w:val="00171F44"/>
    <w:rsid w:val="00172A27"/>
    <w:rsid w:val="00172F42"/>
    <w:rsid w:val="00173A99"/>
    <w:rsid w:val="00173C5B"/>
    <w:rsid w:val="001743F7"/>
    <w:rsid w:val="00174A2E"/>
    <w:rsid w:val="00177213"/>
    <w:rsid w:val="00177B75"/>
    <w:rsid w:val="001811D1"/>
    <w:rsid w:val="00181E49"/>
    <w:rsid w:val="00182960"/>
    <w:rsid w:val="001871C7"/>
    <w:rsid w:val="00190468"/>
    <w:rsid w:val="00192051"/>
    <w:rsid w:val="001931CB"/>
    <w:rsid w:val="00193DEC"/>
    <w:rsid w:val="0019788A"/>
    <w:rsid w:val="001A02CA"/>
    <w:rsid w:val="001A16B2"/>
    <w:rsid w:val="001A2ED5"/>
    <w:rsid w:val="001A486D"/>
    <w:rsid w:val="001A5868"/>
    <w:rsid w:val="001A791A"/>
    <w:rsid w:val="001B1671"/>
    <w:rsid w:val="001B16E1"/>
    <w:rsid w:val="001B5FCD"/>
    <w:rsid w:val="001B6E5F"/>
    <w:rsid w:val="001C1B97"/>
    <w:rsid w:val="001C500E"/>
    <w:rsid w:val="001C7A7C"/>
    <w:rsid w:val="001D0532"/>
    <w:rsid w:val="001D1A61"/>
    <w:rsid w:val="001D3685"/>
    <w:rsid w:val="001D4290"/>
    <w:rsid w:val="001D777A"/>
    <w:rsid w:val="001E0345"/>
    <w:rsid w:val="001E1EB4"/>
    <w:rsid w:val="001E62EB"/>
    <w:rsid w:val="001E6E86"/>
    <w:rsid w:val="001F047C"/>
    <w:rsid w:val="001F22F7"/>
    <w:rsid w:val="001F3103"/>
    <w:rsid w:val="001F362F"/>
    <w:rsid w:val="001F750D"/>
    <w:rsid w:val="00202212"/>
    <w:rsid w:val="0020303F"/>
    <w:rsid w:val="0020780C"/>
    <w:rsid w:val="00210528"/>
    <w:rsid w:val="002109FF"/>
    <w:rsid w:val="002113E7"/>
    <w:rsid w:val="002123FE"/>
    <w:rsid w:val="00213B7A"/>
    <w:rsid w:val="00217077"/>
    <w:rsid w:val="00217949"/>
    <w:rsid w:val="00220C68"/>
    <w:rsid w:val="00221BF7"/>
    <w:rsid w:val="002255EB"/>
    <w:rsid w:val="002327BB"/>
    <w:rsid w:val="00232E07"/>
    <w:rsid w:val="0023393A"/>
    <w:rsid w:val="002403CB"/>
    <w:rsid w:val="00240ED9"/>
    <w:rsid w:val="0024114A"/>
    <w:rsid w:val="00242392"/>
    <w:rsid w:val="00243976"/>
    <w:rsid w:val="002449F7"/>
    <w:rsid w:val="00245DE7"/>
    <w:rsid w:val="00250757"/>
    <w:rsid w:val="0025343F"/>
    <w:rsid w:val="00254200"/>
    <w:rsid w:val="002562A5"/>
    <w:rsid w:val="00260EB4"/>
    <w:rsid w:val="00261A92"/>
    <w:rsid w:val="002643F2"/>
    <w:rsid w:val="00264E38"/>
    <w:rsid w:val="00265D26"/>
    <w:rsid w:val="0026763E"/>
    <w:rsid w:val="002701C4"/>
    <w:rsid w:val="00271CD9"/>
    <w:rsid w:val="002722B1"/>
    <w:rsid w:val="002742F4"/>
    <w:rsid w:val="00274C47"/>
    <w:rsid w:val="00276A18"/>
    <w:rsid w:val="002774AA"/>
    <w:rsid w:val="00277F5C"/>
    <w:rsid w:val="002846D8"/>
    <w:rsid w:val="00292921"/>
    <w:rsid w:val="002936A6"/>
    <w:rsid w:val="00294A3C"/>
    <w:rsid w:val="0029651D"/>
    <w:rsid w:val="002969DA"/>
    <w:rsid w:val="002A06C0"/>
    <w:rsid w:val="002A0E17"/>
    <w:rsid w:val="002A0E81"/>
    <w:rsid w:val="002A1EAD"/>
    <w:rsid w:val="002A3CFE"/>
    <w:rsid w:val="002A5D62"/>
    <w:rsid w:val="002A7487"/>
    <w:rsid w:val="002B0A57"/>
    <w:rsid w:val="002B239E"/>
    <w:rsid w:val="002B32B5"/>
    <w:rsid w:val="002B5549"/>
    <w:rsid w:val="002B58CD"/>
    <w:rsid w:val="002B627B"/>
    <w:rsid w:val="002B62C2"/>
    <w:rsid w:val="002B75E3"/>
    <w:rsid w:val="002C5B5F"/>
    <w:rsid w:val="002C72A5"/>
    <w:rsid w:val="002D0334"/>
    <w:rsid w:val="002D2857"/>
    <w:rsid w:val="002D2D94"/>
    <w:rsid w:val="002D3747"/>
    <w:rsid w:val="002D3D97"/>
    <w:rsid w:val="002D5FC9"/>
    <w:rsid w:val="002D6BE9"/>
    <w:rsid w:val="002D7EB7"/>
    <w:rsid w:val="002E0426"/>
    <w:rsid w:val="002E142A"/>
    <w:rsid w:val="002E219D"/>
    <w:rsid w:val="002E2257"/>
    <w:rsid w:val="002E2E5B"/>
    <w:rsid w:val="002E5C40"/>
    <w:rsid w:val="002E6C7F"/>
    <w:rsid w:val="002F0A3C"/>
    <w:rsid w:val="002F3CB1"/>
    <w:rsid w:val="002F5D91"/>
    <w:rsid w:val="002F6285"/>
    <w:rsid w:val="002F72FC"/>
    <w:rsid w:val="0030112B"/>
    <w:rsid w:val="0030283D"/>
    <w:rsid w:val="00303379"/>
    <w:rsid w:val="003077CA"/>
    <w:rsid w:val="00310AC8"/>
    <w:rsid w:val="00311239"/>
    <w:rsid w:val="00314FC6"/>
    <w:rsid w:val="00316A9B"/>
    <w:rsid w:val="00320CBD"/>
    <w:rsid w:val="00321895"/>
    <w:rsid w:val="003218BD"/>
    <w:rsid w:val="00323471"/>
    <w:rsid w:val="00323980"/>
    <w:rsid w:val="00324095"/>
    <w:rsid w:val="0032493D"/>
    <w:rsid w:val="0032520E"/>
    <w:rsid w:val="00325D72"/>
    <w:rsid w:val="00326951"/>
    <w:rsid w:val="00330137"/>
    <w:rsid w:val="00330E89"/>
    <w:rsid w:val="00332337"/>
    <w:rsid w:val="0033322F"/>
    <w:rsid w:val="00333AF8"/>
    <w:rsid w:val="00333D8E"/>
    <w:rsid w:val="003405DA"/>
    <w:rsid w:val="00343EB1"/>
    <w:rsid w:val="003441B2"/>
    <w:rsid w:val="003447B4"/>
    <w:rsid w:val="00345FF4"/>
    <w:rsid w:val="00346054"/>
    <w:rsid w:val="00346BA9"/>
    <w:rsid w:val="00347A62"/>
    <w:rsid w:val="00350392"/>
    <w:rsid w:val="0035173D"/>
    <w:rsid w:val="00351DF8"/>
    <w:rsid w:val="003537FE"/>
    <w:rsid w:val="00357383"/>
    <w:rsid w:val="00360FAA"/>
    <w:rsid w:val="0036121C"/>
    <w:rsid w:val="003613F8"/>
    <w:rsid w:val="00361C86"/>
    <w:rsid w:val="003648A1"/>
    <w:rsid w:val="00371933"/>
    <w:rsid w:val="00374207"/>
    <w:rsid w:val="00374F83"/>
    <w:rsid w:val="00376821"/>
    <w:rsid w:val="003815A0"/>
    <w:rsid w:val="00381B59"/>
    <w:rsid w:val="003834DA"/>
    <w:rsid w:val="00385405"/>
    <w:rsid w:val="00386D65"/>
    <w:rsid w:val="00392F77"/>
    <w:rsid w:val="003930E3"/>
    <w:rsid w:val="003931AE"/>
    <w:rsid w:val="00394507"/>
    <w:rsid w:val="00394A82"/>
    <w:rsid w:val="00395AA9"/>
    <w:rsid w:val="00395FB4"/>
    <w:rsid w:val="003A20B7"/>
    <w:rsid w:val="003A41F9"/>
    <w:rsid w:val="003A4B35"/>
    <w:rsid w:val="003A5298"/>
    <w:rsid w:val="003A6326"/>
    <w:rsid w:val="003B13F6"/>
    <w:rsid w:val="003B53EA"/>
    <w:rsid w:val="003C3345"/>
    <w:rsid w:val="003C340B"/>
    <w:rsid w:val="003C346D"/>
    <w:rsid w:val="003C6247"/>
    <w:rsid w:val="003D2714"/>
    <w:rsid w:val="003D2939"/>
    <w:rsid w:val="003D4BC9"/>
    <w:rsid w:val="003D556C"/>
    <w:rsid w:val="003D5683"/>
    <w:rsid w:val="003D587E"/>
    <w:rsid w:val="003D7B47"/>
    <w:rsid w:val="003E060F"/>
    <w:rsid w:val="003E090B"/>
    <w:rsid w:val="003E1FCB"/>
    <w:rsid w:val="003E3E52"/>
    <w:rsid w:val="003E3F78"/>
    <w:rsid w:val="003E4F35"/>
    <w:rsid w:val="003E54DC"/>
    <w:rsid w:val="003E7CDB"/>
    <w:rsid w:val="003F09BE"/>
    <w:rsid w:val="003F196B"/>
    <w:rsid w:val="003F1C22"/>
    <w:rsid w:val="003F2304"/>
    <w:rsid w:val="003F3F4B"/>
    <w:rsid w:val="003F4E53"/>
    <w:rsid w:val="003F5D1C"/>
    <w:rsid w:val="003F7C39"/>
    <w:rsid w:val="004010F5"/>
    <w:rsid w:val="00401A6D"/>
    <w:rsid w:val="004035C5"/>
    <w:rsid w:val="004041C2"/>
    <w:rsid w:val="004056D7"/>
    <w:rsid w:val="00405ABF"/>
    <w:rsid w:val="00405F02"/>
    <w:rsid w:val="00411EFE"/>
    <w:rsid w:val="00415244"/>
    <w:rsid w:val="004165E1"/>
    <w:rsid w:val="004206E9"/>
    <w:rsid w:val="00420F8C"/>
    <w:rsid w:val="004238E3"/>
    <w:rsid w:val="0042625E"/>
    <w:rsid w:val="004275AE"/>
    <w:rsid w:val="00433340"/>
    <w:rsid w:val="0043602E"/>
    <w:rsid w:val="00436968"/>
    <w:rsid w:val="00437C7E"/>
    <w:rsid w:val="00440B60"/>
    <w:rsid w:val="00441038"/>
    <w:rsid w:val="00441EC1"/>
    <w:rsid w:val="00446D7F"/>
    <w:rsid w:val="0045220A"/>
    <w:rsid w:val="004559E8"/>
    <w:rsid w:val="0046331B"/>
    <w:rsid w:val="00463D0E"/>
    <w:rsid w:val="00466420"/>
    <w:rsid w:val="004665CE"/>
    <w:rsid w:val="00466D6F"/>
    <w:rsid w:val="00467CBF"/>
    <w:rsid w:val="00472011"/>
    <w:rsid w:val="004732FC"/>
    <w:rsid w:val="00473E52"/>
    <w:rsid w:val="004744EF"/>
    <w:rsid w:val="00475259"/>
    <w:rsid w:val="00476A9D"/>
    <w:rsid w:val="00476CD2"/>
    <w:rsid w:val="00480568"/>
    <w:rsid w:val="00482DB2"/>
    <w:rsid w:val="004854B4"/>
    <w:rsid w:val="00485E0F"/>
    <w:rsid w:val="00485EF9"/>
    <w:rsid w:val="00491616"/>
    <w:rsid w:val="004924DE"/>
    <w:rsid w:val="004929DF"/>
    <w:rsid w:val="0049399B"/>
    <w:rsid w:val="00497718"/>
    <w:rsid w:val="004A0AD4"/>
    <w:rsid w:val="004B13A3"/>
    <w:rsid w:val="004B1EB5"/>
    <w:rsid w:val="004B3B84"/>
    <w:rsid w:val="004B460F"/>
    <w:rsid w:val="004B6B4B"/>
    <w:rsid w:val="004B6FE6"/>
    <w:rsid w:val="004C02CC"/>
    <w:rsid w:val="004C0487"/>
    <w:rsid w:val="004C49E0"/>
    <w:rsid w:val="004C66C2"/>
    <w:rsid w:val="004C7519"/>
    <w:rsid w:val="004C78BF"/>
    <w:rsid w:val="004C7D6D"/>
    <w:rsid w:val="004D099D"/>
    <w:rsid w:val="004D09F0"/>
    <w:rsid w:val="004D3BB6"/>
    <w:rsid w:val="004D47EA"/>
    <w:rsid w:val="004D4880"/>
    <w:rsid w:val="004D6D19"/>
    <w:rsid w:val="004E2638"/>
    <w:rsid w:val="004E26A8"/>
    <w:rsid w:val="004E2C35"/>
    <w:rsid w:val="004E3BDB"/>
    <w:rsid w:val="004E5414"/>
    <w:rsid w:val="004E61B6"/>
    <w:rsid w:val="004E77CE"/>
    <w:rsid w:val="004F090B"/>
    <w:rsid w:val="004F409A"/>
    <w:rsid w:val="004F4484"/>
    <w:rsid w:val="004F4AB3"/>
    <w:rsid w:val="004F4E84"/>
    <w:rsid w:val="004F5F38"/>
    <w:rsid w:val="004F6E29"/>
    <w:rsid w:val="004F7284"/>
    <w:rsid w:val="004F7DEC"/>
    <w:rsid w:val="00500F75"/>
    <w:rsid w:val="005039B9"/>
    <w:rsid w:val="00504812"/>
    <w:rsid w:val="005053B3"/>
    <w:rsid w:val="00511F67"/>
    <w:rsid w:val="00514B48"/>
    <w:rsid w:val="005158B5"/>
    <w:rsid w:val="00517B63"/>
    <w:rsid w:val="005270D2"/>
    <w:rsid w:val="00527BB4"/>
    <w:rsid w:val="005305F2"/>
    <w:rsid w:val="005305F9"/>
    <w:rsid w:val="00532106"/>
    <w:rsid w:val="005323BD"/>
    <w:rsid w:val="00532424"/>
    <w:rsid w:val="00532663"/>
    <w:rsid w:val="00532E69"/>
    <w:rsid w:val="00537876"/>
    <w:rsid w:val="005440E0"/>
    <w:rsid w:val="00550698"/>
    <w:rsid w:val="005511FA"/>
    <w:rsid w:val="005512C0"/>
    <w:rsid w:val="00551664"/>
    <w:rsid w:val="00551735"/>
    <w:rsid w:val="00552CD6"/>
    <w:rsid w:val="0055467C"/>
    <w:rsid w:val="00554780"/>
    <w:rsid w:val="00555046"/>
    <w:rsid w:val="0055641B"/>
    <w:rsid w:val="00556A06"/>
    <w:rsid w:val="00556AA2"/>
    <w:rsid w:val="0056143F"/>
    <w:rsid w:val="00561726"/>
    <w:rsid w:val="00561B9C"/>
    <w:rsid w:val="005635A3"/>
    <w:rsid w:val="00564477"/>
    <w:rsid w:val="005671F3"/>
    <w:rsid w:val="00570054"/>
    <w:rsid w:val="0057053F"/>
    <w:rsid w:val="0057140D"/>
    <w:rsid w:val="00571B68"/>
    <w:rsid w:val="00571D59"/>
    <w:rsid w:val="00571EF4"/>
    <w:rsid w:val="00573783"/>
    <w:rsid w:val="00577540"/>
    <w:rsid w:val="00577D45"/>
    <w:rsid w:val="005819CF"/>
    <w:rsid w:val="00581BA5"/>
    <w:rsid w:val="00582EF3"/>
    <w:rsid w:val="005833AB"/>
    <w:rsid w:val="00583C6D"/>
    <w:rsid w:val="00584D40"/>
    <w:rsid w:val="00584E26"/>
    <w:rsid w:val="00586801"/>
    <w:rsid w:val="00587851"/>
    <w:rsid w:val="00591643"/>
    <w:rsid w:val="005941B5"/>
    <w:rsid w:val="005A397E"/>
    <w:rsid w:val="005A49F1"/>
    <w:rsid w:val="005A574F"/>
    <w:rsid w:val="005A7319"/>
    <w:rsid w:val="005B1F90"/>
    <w:rsid w:val="005B4297"/>
    <w:rsid w:val="005B4E5D"/>
    <w:rsid w:val="005B6607"/>
    <w:rsid w:val="005B740B"/>
    <w:rsid w:val="005C053B"/>
    <w:rsid w:val="005C0E69"/>
    <w:rsid w:val="005C2462"/>
    <w:rsid w:val="005C3969"/>
    <w:rsid w:val="005C4531"/>
    <w:rsid w:val="005D1403"/>
    <w:rsid w:val="005D169E"/>
    <w:rsid w:val="005D48EC"/>
    <w:rsid w:val="005D77A1"/>
    <w:rsid w:val="005E3D57"/>
    <w:rsid w:val="005E3ED5"/>
    <w:rsid w:val="005E547B"/>
    <w:rsid w:val="005E6521"/>
    <w:rsid w:val="005E6D39"/>
    <w:rsid w:val="005E70F6"/>
    <w:rsid w:val="005E7A6C"/>
    <w:rsid w:val="005F2944"/>
    <w:rsid w:val="005F4CF0"/>
    <w:rsid w:val="005F519A"/>
    <w:rsid w:val="005F5590"/>
    <w:rsid w:val="005F7515"/>
    <w:rsid w:val="0060167A"/>
    <w:rsid w:val="006034E8"/>
    <w:rsid w:val="00603D8D"/>
    <w:rsid w:val="00604F39"/>
    <w:rsid w:val="0060586D"/>
    <w:rsid w:val="006070B1"/>
    <w:rsid w:val="00607974"/>
    <w:rsid w:val="006105E7"/>
    <w:rsid w:val="00616693"/>
    <w:rsid w:val="00616AB9"/>
    <w:rsid w:val="0061752B"/>
    <w:rsid w:val="00617607"/>
    <w:rsid w:val="00620156"/>
    <w:rsid w:val="0062132E"/>
    <w:rsid w:val="00623AF4"/>
    <w:rsid w:val="00624659"/>
    <w:rsid w:val="006246EB"/>
    <w:rsid w:val="006250BA"/>
    <w:rsid w:val="00627D9D"/>
    <w:rsid w:val="00631468"/>
    <w:rsid w:val="00632E6E"/>
    <w:rsid w:val="006333AE"/>
    <w:rsid w:val="00633691"/>
    <w:rsid w:val="00635C34"/>
    <w:rsid w:val="00635EE3"/>
    <w:rsid w:val="0063676C"/>
    <w:rsid w:val="006372DB"/>
    <w:rsid w:val="00637EBD"/>
    <w:rsid w:val="00637FEB"/>
    <w:rsid w:val="006409DD"/>
    <w:rsid w:val="00640C4E"/>
    <w:rsid w:val="00643371"/>
    <w:rsid w:val="006436AD"/>
    <w:rsid w:val="00643822"/>
    <w:rsid w:val="006456D3"/>
    <w:rsid w:val="006457FF"/>
    <w:rsid w:val="00646461"/>
    <w:rsid w:val="00646BBC"/>
    <w:rsid w:val="00646E6C"/>
    <w:rsid w:val="00647ED3"/>
    <w:rsid w:val="00647F5F"/>
    <w:rsid w:val="0065256B"/>
    <w:rsid w:val="00654A49"/>
    <w:rsid w:val="00654CED"/>
    <w:rsid w:val="00655A37"/>
    <w:rsid w:val="006568B3"/>
    <w:rsid w:val="00657C2F"/>
    <w:rsid w:val="00657D90"/>
    <w:rsid w:val="0066040B"/>
    <w:rsid w:val="00660B1F"/>
    <w:rsid w:val="0066418B"/>
    <w:rsid w:val="00664CA2"/>
    <w:rsid w:val="00664DC4"/>
    <w:rsid w:val="00666699"/>
    <w:rsid w:val="0067357E"/>
    <w:rsid w:val="00675DC2"/>
    <w:rsid w:val="00676441"/>
    <w:rsid w:val="006804BC"/>
    <w:rsid w:val="006859EC"/>
    <w:rsid w:val="006876D9"/>
    <w:rsid w:val="00690010"/>
    <w:rsid w:val="00691DFB"/>
    <w:rsid w:val="00693CC2"/>
    <w:rsid w:val="00694F00"/>
    <w:rsid w:val="006959E5"/>
    <w:rsid w:val="00696743"/>
    <w:rsid w:val="00697205"/>
    <w:rsid w:val="006972E1"/>
    <w:rsid w:val="0069799E"/>
    <w:rsid w:val="006A0261"/>
    <w:rsid w:val="006A051E"/>
    <w:rsid w:val="006A203B"/>
    <w:rsid w:val="006A21D9"/>
    <w:rsid w:val="006A2733"/>
    <w:rsid w:val="006A2A3D"/>
    <w:rsid w:val="006A320E"/>
    <w:rsid w:val="006A54B1"/>
    <w:rsid w:val="006A6017"/>
    <w:rsid w:val="006A716A"/>
    <w:rsid w:val="006A7A4E"/>
    <w:rsid w:val="006B0E0A"/>
    <w:rsid w:val="006C2798"/>
    <w:rsid w:val="006C30F3"/>
    <w:rsid w:val="006C554B"/>
    <w:rsid w:val="006C6837"/>
    <w:rsid w:val="006C6893"/>
    <w:rsid w:val="006D0D94"/>
    <w:rsid w:val="006D1CB1"/>
    <w:rsid w:val="006D2BA3"/>
    <w:rsid w:val="006D2C33"/>
    <w:rsid w:val="006D42EB"/>
    <w:rsid w:val="006D43E7"/>
    <w:rsid w:val="006D5359"/>
    <w:rsid w:val="006D6286"/>
    <w:rsid w:val="006E2D07"/>
    <w:rsid w:val="006E34D7"/>
    <w:rsid w:val="006E54EB"/>
    <w:rsid w:val="006E6314"/>
    <w:rsid w:val="006F5B42"/>
    <w:rsid w:val="006F61B8"/>
    <w:rsid w:val="006F637E"/>
    <w:rsid w:val="006F7BAD"/>
    <w:rsid w:val="0070029B"/>
    <w:rsid w:val="00706A4C"/>
    <w:rsid w:val="007070AB"/>
    <w:rsid w:val="007100E7"/>
    <w:rsid w:val="00713AA4"/>
    <w:rsid w:val="007141D6"/>
    <w:rsid w:val="00717D9E"/>
    <w:rsid w:val="0072074A"/>
    <w:rsid w:val="00721CA0"/>
    <w:rsid w:val="00721E8E"/>
    <w:rsid w:val="00723300"/>
    <w:rsid w:val="00724002"/>
    <w:rsid w:val="0072434D"/>
    <w:rsid w:val="00724A7E"/>
    <w:rsid w:val="00725582"/>
    <w:rsid w:val="00726E42"/>
    <w:rsid w:val="00730003"/>
    <w:rsid w:val="00732DB3"/>
    <w:rsid w:val="0073797E"/>
    <w:rsid w:val="00737D5F"/>
    <w:rsid w:val="00743307"/>
    <w:rsid w:val="007456FF"/>
    <w:rsid w:val="007458F1"/>
    <w:rsid w:val="00746174"/>
    <w:rsid w:val="00747737"/>
    <w:rsid w:val="00751738"/>
    <w:rsid w:val="00752BBF"/>
    <w:rsid w:val="00752F6F"/>
    <w:rsid w:val="0075304D"/>
    <w:rsid w:val="00754242"/>
    <w:rsid w:val="00754794"/>
    <w:rsid w:val="00755059"/>
    <w:rsid w:val="007562AD"/>
    <w:rsid w:val="007605CC"/>
    <w:rsid w:val="00760949"/>
    <w:rsid w:val="00760D24"/>
    <w:rsid w:val="00761CC0"/>
    <w:rsid w:val="00763535"/>
    <w:rsid w:val="00764379"/>
    <w:rsid w:val="00764707"/>
    <w:rsid w:val="0076520F"/>
    <w:rsid w:val="0076643F"/>
    <w:rsid w:val="007721AC"/>
    <w:rsid w:val="00772B31"/>
    <w:rsid w:val="00773E4C"/>
    <w:rsid w:val="00777E1A"/>
    <w:rsid w:val="00777EFB"/>
    <w:rsid w:val="007803A4"/>
    <w:rsid w:val="007806A5"/>
    <w:rsid w:val="007824D7"/>
    <w:rsid w:val="00783076"/>
    <w:rsid w:val="00783B29"/>
    <w:rsid w:val="00785EE4"/>
    <w:rsid w:val="0078613B"/>
    <w:rsid w:val="00786972"/>
    <w:rsid w:val="00786B86"/>
    <w:rsid w:val="00786E70"/>
    <w:rsid w:val="00790985"/>
    <w:rsid w:val="007941BD"/>
    <w:rsid w:val="0079606E"/>
    <w:rsid w:val="00796304"/>
    <w:rsid w:val="00797FC6"/>
    <w:rsid w:val="007A13D1"/>
    <w:rsid w:val="007A16E7"/>
    <w:rsid w:val="007A20C3"/>
    <w:rsid w:val="007A3804"/>
    <w:rsid w:val="007A7088"/>
    <w:rsid w:val="007B1785"/>
    <w:rsid w:val="007B1AA6"/>
    <w:rsid w:val="007B272C"/>
    <w:rsid w:val="007B4389"/>
    <w:rsid w:val="007B4C7A"/>
    <w:rsid w:val="007C054C"/>
    <w:rsid w:val="007C1B82"/>
    <w:rsid w:val="007C5CF6"/>
    <w:rsid w:val="007C6691"/>
    <w:rsid w:val="007C7D5C"/>
    <w:rsid w:val="007C7E79"/>
    <w:rsid w:val="007D1996"/>
    <w:rsid w:val="007D1AE6"/>
    <w:rsid w:val="007D207B"/>
    <w:rsid w:val="007D352C"/>
    <w:rsid w:val="007D577B"/>
    <w:rsid w:val="007E23E0"/>
    <w:rsid w:val="007E2D5C"/>
    <w:rsid w:val="007E373A"/>
    <w:rsid w:val="007E3ACA"/>
    <w:rsid w:val="007E4BBC"/>
    <w:rsid w:val="007E6010"/>
    <w:rsid w:val="007E74CF"/>
    <w:rsid w:val="007E7CBC"/>
    <w:rsid w:val="007F10BB"/>
    <w:rsid w:val="007F1120"/>
    <w:rsid w:val="007F388A"/>
    <w:rsid w:val="007F66FC"/>
    <w:rsid w:val="007F7BEB"/>
    <w:rsid w:val="007F7D44"/>
    <w:rsid w:val="0080019C"/>
    <w:rsid w:val="00800F84"/>
    <w:rsid w:val="00805F79"/>
    <w:rsid w:val="00810264"/>
    <w:rsid w:val="00811D4B"/>
    <w:rsid w:val="0081210D"/>
    <w:rsid w:val="00812851"/>
    <w:rsid w:val="00814EE1"/>
    <w:rsid w:val="00815BB5"/>
    <w:rsid w:val="00815D2E"/>
    <w:rsid w:val="0082159A"/>
    <w:rsid w:val="00823227"/>
    <w:rsid w:val="00827ECE"/>
    <w:rsid w:val="00831346"/>
    <w:rsid w:val="00832249"/>
    <w:rsid w:val="00832C45"/>
    <w:rsid w:val="008341EC"/>
    <w:rsid w:val="00834D5F"/>
    <w:rsid w:val="00835341"/>
    <w:rsid w:val="00840285"/>
    <w:rsid w:val="0084152E"/>
    <w:rsid w:val="008419B9"/>
    <w:rsid w:val="00843BD3"/>
    <w:rsid w:val="00845562"/>
    <w:rsid w:val="00850E34"/>
    <w:rsid w:val="00856F36"/>
    <w:rsid w:val="008612D9"/>
    <w:rsid w:val="00861B1C"/>
    <w:rsid w:val="008620FF"/>
    <w:rsid w:val="00863840"/>
    <w:rsid w:val="0086474B"/>
    <w:rsid w:val="00865841"/>
    <w:rsid w:val="00865984"/>
    <w:rsid w:val="008669D4"/>
    <w:rsid w:val="00867D53"/>
    <w:rsid w:val="00867DFF"/>
    <w:rsid w:val="00871F23"/>
    <w:rsid w:val="00872189"/>
    <w:rsid w:val="00874227"/>
    <w:rsid w:val="0087435A"/>
    <w:rsid w:val="008757ED"/>
    <w:rsid w:val="00882C17"/>
    <w:rsid w:val="00883E59"/>
    <w:rsid w:val="008851D9"/>
    <w:rsid w:val="00886869"/>
    <w:rsid w:val="0088720D"/>
    <w:rsid w:val="00887DB2"/>
    <w:rsid w:val="00890696"/>
    <w:rsid w:val="00893564"/>
    <w:rsid w:val="008956E4"/>
    <w:rsid w:val="008978D4"/>
    <w:rsid w:val="008A14EC"/>
    <w:rsid w:val="008A39C7"/>
    <w:rsid w:val="008A42F0"/>
    <w:rsid w:val="008A487D"/>
    <w:rsid w:val="008B131B"/>
    <w:rsid w:val="008B2B07"/>
    <w:rsid w:val="008B3B79"/>
    <w:rsid w:val="008B4BF0"/>
    <w:rsid w:val="008B5597"/>
    <w:rsid w:val="008B7720"/>
    <w:rsid w:val="008C0226"/>
    <w:rsid w:val="008C24A7"/>
    <w:rsid w:val="008C2FCE"/>
    <w:rsid w:val="008C5D15"/>
    <w:rsid w:val="008C76B5"/>
    <w:rsid w:val="008C7A48"/>
    <w:rsid w:val="008D0534"/>
    <w:rsid w:val="008E06A9"/>
    <w:rsid w:val="008E3CE9"/>
    <w:rsid w:val="008E4DC3"/>
    <w:rsid w:val="008E515C"/>
    <w:rsid w:val="008F158F"/>
    <w:rsid w:val="008F1C64"/>
    <w:rsid w:val="008F20A7"/>
    <w:rsid w:val="008F3A73"/>
    <w:rsid w:val="008F3B12"/>
    <w:rsid w:val="00901C5B"/>
    <w:rsid w:val="0090369C"/>
    <w:rsid w:val="00903E91"/>
    <w:rsid w:val="00911328"/>
    <w:rsid w:val="0091144B"/>
    <w:rsid w:val="0091392D"/>
    <w:rsid w:val="009143AF"/>
    <w:rsid w:val="00914A26"/>
    <w:rsid w:val="00915CF4"/>
    <w:rsid w:val="00915E6F"/>
    <w:rsid w:val="00915FA6"/>
    <w:rsid w:val="00920CB8"/>
    <w:rsid w:val="0092377D"/>
    <w:rsid w:val="00924733"/>
    <w:rsid w:val="009263B4"/>
    <w:rsid w:val="00930AF3"/>
    <w:rsid w:val="00930EA5"/>
    <w:rsid w:val="00931BE6"/>
    <w:rsid w:val="00934474"/>
    <w:rsid w:val="00934C6D"/>
    <w:rsid w:val="009354D2"/>
    <w:rsid w:val="00935F55"/>
    <w:rsid w:val="00937182"/>
    <w:rsid w:val="009454D4"/>
    <w:rsid w:val="00945BDC"/>
    <w:rsid w:val="00946274"/>
    <w:rsid w:val="009520BE"/>
    <w:rsid w:val="00952E7F"/>
    <w:rsid w:val="00960CE8"/>
    <w:rsid w:val="00963484"/>
    <w:rsid w:val="00963C6D"/>
    <w:rsid w:val="00963E43"/>
    <w:rsid w:val="009664A5"/>
    <w:rsid w:val="00966CD8"/>
    <w:rsid w:val="009675C2"/>
    <w:rsid w:val="00967F11"/>
    <w:rsid w:val="00967F7F"/>
    <w:rsid w:val="00970626"/>
    <w:rsid w:val="00970E2E"/>
    <w:rsid w:val="00971634"/>
    <w:rsid w:val="0097221B"/>
    <w:rsid w:val="009757F2"/>
    <w:rsid w:val="0097666B"/>
    <w:rsid w:val="00977626"/>
    <w:rsid w:val="00977639"/>
    <w:rsid w:val="00980163"/>
    <w:rsid w:val="00981D72"/>
    <w:rsid w:val="009830CF"/>
    <w:rsid w:val="00984E39"/>
    <w:rsid w:val="00986055"/>
    <w:rsid w:val="009867D9"/>
    <w:rsid w:val="00994218"/>
    <w:rsid w:val="0099462F"/>
    <w:rsid w:val="00995137"/>
    <w:rsid w:val="009952C5"/>
    <w:rsid w:val="00996D0C"/>
    <w:rsid w:val="009974D3"/>
    <w:rsid w:val="009A1A00"/>
    <w:rsid w:val="009A227B"/>
    <w:rsid w:val="009A23B0"/>
    <w:rsid w:val="009A45F2"/>
    <w:rsid w:val="009A463A"/>
    <w:rsid w:val="009A4A95"/>
    <w:rsid w:val="009A5B91"/>
    <w:rsid w:val="009A5C99"/>
    <w:rsid w:val="009B11F7"/>
    <w:rsid w:val="009B35C6"/>
    <w:rsid w:val="009B3C01"/>
    <w:rsid w:val="009B6CDC"/>
    <w:rsid w:val="009B7BF2"/>
    <w:rsid w:val="009C0C90"/>
    <w:rsid w:val="009C17E8"/>
    <w:rsid w:val="009C1872"/>
    <w:rsid w:val="009C206A"/>
    <w:rsid w:val="009C211A"/>
    <w:rsid w:val="009C2ADD"/>
    <w:rsid w:val="009C422C"/>
    <w:rsid w:val="009C453D"/>
    <w:rsid w:val="009C47FF"/>
    <w:rsid w:val="009C4CED"/>
    <w:rsid w:val="009C71BB"/>
    <w:rsid w:val="009D15D2"/>
    <w:rsid w:val="009D358C"/>
    <w:rsid w:val="009D37FC"/>
    <w:rsid w:val="009D3F40"/>
    <w:rsid w:val="009D4202"/>
    <w:rsid w:val="009D4348"/>
    <w:rsid w:val="009D532B"/>
    <w:rsid w:val="009D7BAB"/>
    <w:rsid w:val="009E5AFF"/>
    <w:rsid w:val="009F3691"/>
    <w:rsid w:val="009F3E78"/>
    <w:rsid w:val="009F75CC"/>
    <w:rsid w:val="00A02B0E"/>
    <w:rsid w:val="00A05A23"/>
    <w:rsid w:val="00A0708A"/>
    <w:rsid w:val="00A078DB"/>
    <w:rsid w:val="00A11699"/>
    <w:rsid w:val="00A1193D"/>
    <w:rsid w:val="00A12B83"/>
    <w:rsid w:val="00A12BF0"/>
    <w:rsid w:val="00A1336C"/>
    <w:rsid w:val="00A14CD2"/>
    <w:rsid w:val="00A15086"/>
    <w:rsid w:val="00A1593A"/>
    <w:rsid w:val="00A17B1F"/>
    <w:rsid w:val="00A17C90"/>
    <w:rsid w:val="00A2072E"/>
    <w:rsid w:val="00A2108D"/>
    <w:rsid w:val="00A2252A"/>
    <w:rsid w:val="00A22EE9"/>
    <w:rsid w:val="00A2470E"/>
    <w:rsid w:val="00A26B41"/>
    <w:rsid w:val="00A305E4"/>
    <w:rsid w:val="00A30DF1"/>
    <w:rsid w:val="00A310A0"/>
    <w:rsid w:val="00A31702"/>
    <w:rsid w:val="00A31C8B"/>
    <w:rsid w:val="00A328C3"/>
    <w:rsid w:val="00A32A60"/>
    <w:rsid w:val="00A35BE2"/>
    <w:rsid w:val="00A416AE"/>
    <w:rsid w:val="00A42D37"/>
    <w:rsid w:val="00A43241"/>
    <w:rsid w:val="00A43631"/>
    <w:rsid w:val="00A43FB4"/>
    <w:rsid w:val="00A4417C"/>
    <w:rsid w:val="00A442C1"/>
    <w:rsid w:val="00A4611D"/>
    <w:rsid w:val="00A47289"/>
    <w:rsid w:val="00A4769B"/>
    <w:rsid w:val="00A47FC8"/>
    <w:rsid w:val="00A54338"/>
    <w:rsid w:val="00A555BC"/>
    <w:rsid w:val="00A55766"/>
    <w:rsid w:val="00A60FF2"/>
    <w:rsid w:val="00A62946"/>
    <w:rsid w:val="00A67E77"/>
    <w:rsid w:val="00A71547"/>
    <w:rsid w:val="00A72200"/>
    <w:rsid w:val="00A72855"/>
    <w:rsid w:val="00A7299A"/>
    <w:rsid w:val="00A75BDB"/>
    <w:rsid w:val="00A7750C"/>
    <w:rsid w:val="00A77C33"/>
    <w:rsid w:val="00A8040D"/>
    <w:rsid w:val="00A8255B"/>
    <w:rsid w:val="00A85F1E"/>
    <w:rsid w:val="00A87B73"/>
    <w:rsid w:val="00A935D4"/>
    <w:rsid w:val="00A9389E"/>
    <w:rsid w:val="00A94532"/>
    <w:rsid w:val="00A94D7A"/>
    <w:rsid w:val="00A9588E"/>
    <w:rsid w:val="00A976E3"/>
    <w:rsid w:val="00AA0F13"/>
    <w:rsid w:val="00AA281F"/>
    <w:rsid w:val="00AA3F83"/>
    <w:rsid w:val="00AA5B8F"/>
    <w:rsid w:val="00AA5D99"/>
    <w:rsid w:val="00AA6FDF"/>
    <w:rsid w:val="00AA72E0"/>
    <w:rsid w:val="00AA72FC"/>
    <w:rsid w:val="00AB1E29"/>
    <w:rsid w:val="00AB2CA3"/>
    <w:rsid w:val="00AB2D04"/>
    <w:rsid w:val="00AB2F43"/>
    <w:rsid w:val="00AB5818"/>
    <w:rsid w:val="00AB5CA7"/>
    <w:rsid w:val="00AB62DE"/>
    <w:rsid w:val="00AB7BC5"/>
    <w:rsid w:val="00AC2380"/>
    <w:rsid w:val="00AC4DCC"/>
    <w:rsid w:val="00AD34AA"/>
    <w:rsid w:val="00AD498B"/>
    <w:rsid w:val="00AD5E2D"/>
    <w:rsid w:val="00AD771B"/>
    <w:rsid w:val="00AE12F2"/>
    <w:rsid w:val="00AE1B06"/>
    <w:rsid w:val="00AE2270"/>
    <w:rsid w:val="00AE227F"/>
    <w:rsid w:val="00AE3865"/>
    <w:rsid w:val="00AE4F08"/>
    <w:rsid w:val="00AE5DA1"/>
    <w:rsid w:val="00AF156A"/>
    <w:rsid w:val="00AF16E3"/>
    <w:rsid w:val="00AF179D"/>
    <w:rsid w:val="00AF192C"/>
    <w:rsid w:val="00AF1E00"/>
    <w:rsid w:val="00AF5C15"/>
    <w:rsid w:val="00B00B04"/>
    <w:rsid w:val="00B0179D"/>
    <w:rsid w:val="00B0249F"/>
    <w:rsid w:val="00B03C71"/>
    <w:rsid w:val="00B03D52"/>
    <w:rsid w:val="00B06063"/>
    <w:rsid w:val="00B07110"/>
    <w:rsid w:val="00B10D5D"/>
    <w:rsid w:val="00B1150C"/>
    <w:rsid w:val="00B1381D"/>
    <w:rsid w:val="00B154BE"/>
    <w:rsid w:val="00B15710"/>
    <w:rsid w:val="00B178A6"/>
    <w:rsid w:val="00B212A2"/>
    <w:rsid w:val="00B24FE3"/>
    <w:rsid w:val="00B25F63"/>
    <w:rsid w:val="00B27482"/>
    <w:rsid w:val="00B2762F"/>
    <w:rsid w:val="00B345CB"/>
    <w:rsid w:val="00B3568B"/>
    <w:rsid w:val="00B36189"/>
    <w:rsid w:val="00B3786A"/>
    <w:rsid w:val="00B37C96"/>
    <w:rsid w:val="00B37D36"/>
    <w:rsid w:val="00B409B6"/>
    <w:rsid w:val="00B42811"/>
    <w:rsid w:val="00B42CB2"/>
    <w:rsid w:val="00B4664A"/>
    <w:rsid w:val="00B5045B"/>
    <w:rsid w:val="00B5183C"/>
    <w:rsid w:val="00B52920"/>
    <w:rsid w:val="00B54D10"/>
    <w:rsid w:val="00B5600C"/>
    <w:rsid w:val="00B57059"/>
    <w:rsid w:val="00B5721D"/>
    <w:rsid w:val="00B60ED0"/>
    <w:rsid w:val="00B612AF"/>
    <w:rsid w:val="00B62373"/>
    <w:rsid w:val="00B6290D"/>
    <w:rsid w:val="00B63645"/>
    <w:rsid w:val="00B63F97"/>
    <w:rsid w:val="00B67481"/>
    <w:rsid w:val="00B74B59"/>
    <w:rsid w:val="00B74D1A"/>
    <w:rsid w:val="00B74F04"/>
    <w:rsid w:val="00B75955"/>
    <w:rsid w:val="00B7647A"/>
    <w:rsid w:val="00B77035"/>
    <w:rsid w:val="00B77608"/>
    <w:rsid w:val="00B77BB3"/>
    <w:rsid w:val="00B800E1"/>
    <w:rsid w:val="00B80819"/>
    <w:rsid w:val="00B80976"/>
    <w:rsid w:val="00B80D73"/>
    <w:rsid w:val="00B80E4F"/>
    <w:rsid w:val="00B82510"/>
    <w:rsid w:val="00B83001"/>
    <w:rsid w:val="00B84A5B"/>
    <w:rsid w:val="00B87034"/>
    <w:rsid w:val="00B87191"/>
    <w:rsid w:val="00B9009D"/>
    <w:rsid w:val="00B90374"/>
    <w:rsid w:val="00B957B1"/>
    <w:rsid w:val="00B97E97"/>
    <w:rsid w:val="00BA2603"/>
    <w:rsid w:val="00BA26E4"/>
    <w:rsid w:val="00BA332B"/>
    <w:rsid w:val="00BA36A6"/>
    <w:rsid w:val="00BA4BA2"/>
    <w:rsid w:val="00BA51E3"/>
    <w:rsid w:val="00BA5465"/>
    <w:rsid w:val="00BA5F95"/>
    <w:rsid w:val="00BB01BF"/>
    <w:rsid w:val="00BB1442"/>
    <w:rsid w:val="00BB17D7"/>
    <w:rsid w:val="00BB30F9"/>
    <w:rsid w:val="00BB3ACF"/>
    <w:rsid w:val="00BB46F1"/>
    <w:rsid w:val="00BB4838"/>
    <w:rsid w:val="00BB79CE"/>
    <w:rsid w:val="00BC0987"/>
    <w:rsid w:val="00BC1DE1"/>
    <w:rsid w:val="00BC3EBF"/>
    <w:rsid w:val="00BC415E"/>
    <w:rsid w:val="00BC54FB"/>
    <w:rsid w:val="00BC5D11"/>
    <w:rsid w:val="00BC78BA"/>
    <w:rsid w:val="00BC7FC4"/>
    <w:rsid w:val="00BD0C26"/>
    <w:rsid w:val="00BD1754"/>
    <w:rsid w:val="00BD22C2"/>
    <w:rsid w:val="00BD2ED3"/>
    <w:rsid w:val="00BD3E70"/>
    <w:rsid w:val="00BD459E"/>
    <w:rsid w:val="00BD4F6F"/>
    <w:rsid w:val="00BD509C"/>
    <w:rsid w:val="00BD6FEB"/>
    <w:rsid w:val="00BE0F4F"/>
    <w:rsid w:val="00BE5DC3"/>
    <w:rsid w:val="00BE6F4C"/>
    <w:rsid w:val="00BF0E47"/>
    <w:rsid w:val="00BF16DD"/>
    <w:rsid w:val="00BF2043"/>
    <w:rsid w:val="00BF5DED"/>
    <w:rsid w:val="00BF6A27"/>
    <w:rsid w:val="00BF7400"/>
    <w:rsid w:val="00C0099E"/>
    <w:rsid w:val="00C00ED1"/>
    <w:rsid w:val="00C0135A"/>
    <w:rsid w:val="00C0193E"/>
    <w:rsid w:val="00C01ECD"/>
    <w:rsid w:val="00C02902"/>
    <w:rsid w:val="00C0491A"/>
    <w:rsid w:val="00C05620"/>
    <w:rsid w:val="00C06A99"/>
    <w:rsid w:val="00C07022"/>
    <w:rsid w:val="00C10077"/>
    <w:rsid w:val="00C11AD8"/>
    <w:rsid w:val="00C1247B"/>
    <w:rsid w:val="00C151BF"/>
    <w:rsid w:val="00C21682"/>
    <w:rsid w:val="00C22916"/>
    <w:rsid w:val="00C26B25"/>
    <w:rsid w:val="00C31AAF"/>
    <w:rsid w:val="00C3391B"/>
    <w:rsid w:val="00C35675"/>
    <w:rsid w:val="00C3645B"/>
    <w:rsid w:val="00C36641"/>
    <w:rsid w:val="00C36D96"/>
    <w:rsid w:val="00C40E73"/>
    <w:rsid w:val="00C4285B"/>
    <w:rsid w:val="00C42D68"/>
    <w:rsid w:val="00C42EED"/>
    <w:rsid w:val="00C4305E"/>
    <w:rsid w:val="00C476DF"/>
    <w:rsid w:val="00C47E8E"/>
    <w:rsid w:val="00C52FC6"/>
    <w:rsid w:val="00C560F0"/>
    <w:rsid w:val="00C56100"/>
    <w:rsid w:val="00C64424"/>
    <w:rsid w:val="00C64B8D"/>
    <w:rsid w:val="00C6663E"/>
    <w:rsid w:val="00C67A7A"/>
    <w:rsid w:val="00C70F34"/>
    <w:rsid w:val="00C74298"/>
    <w:rsid w:val="00C75713"/>
    <w:rsid w:val="00C76047"/>
    <w:rsid w:val="00C76B02"/>
    <w:rsid w:val="00C82384"/>
    <w:rsid w:val="00C87328"/>
    <w:rsid w:val="00C92FF9"/>
    <w:rsid w:val="00C93783"/>
    <w:rsid w:val="00C943B4"/>
    <w:rsid w:val="00C952E4"/>
    <w:rsid w:val="00C972FE"/>
    <w:rsid w:val="00C97A90"/>
    <w:rsid w:val="00CA4CB7"/>
    <w:rsid w:val="00CA7BC9"/>
    <w:rsid w:val="00CB246D"/>
    <w:rsid w:val="00CB2D26"/>
    <w:rsid w:val="00CB652E"/>
    <w:rsid w:val="00CC4A9D"/>
    <w:rsid w:val="00CC6B6D"/>
    <w:rsid w:val="00CC7136"/>
    <w:rsid w:val="00CC7A52"/>
    <w:rsid w:val="00CC7F8C"/>
    <w:rsid w:val="00CD0215"/>
    <w:rsid w:val="00CD0A9F"/>
    <w:rsid w:val="00CD3375"/>
    <w:rsid w:val="00CD5810"/>
    <w:rsid w:val="00CD6BA0"/>
    <w:rsid w:val="00CD6C78"/>
    <w:rsid w:val="00CD7D59"/>
    <w:rsid w:val="00CD7D88"/>
    <w:rsid w:val="00CE0C30"/>
    <w:rsid w:val="00CE1759"/>
    <w:rsid w:val="00CE2E81"/>
    <w:rsid w:val="00CE2F6F"/>
    <w:rsid w:val="00CE49AA"/>
    <w:rsid w:val="00CE6952"/>
    <w:rsid w:val="00CF2B0F"/>
    <w:rsid w:val="00CF54E1"/>
    <w:rsid w:val="00D00BD0"/>
    <w:rsid w:val="00D00E9D"/>
    <w:rsid w:val="00D016F2"/>
    <w:rsid w:val="00D01D4D"/>
    <w:rsid w:val="00D02BC8"/>
    <w:rsid w:val="00D036D4"/>
    <w:rsid w:val="00D03FBD"/>
    <w:rsid w:val="00D04E92"/>
    <w:rsid w:val="00D0729F"/>
    <w:rsid w:val="00D10A80"/>
    <w:rsid w:val="00D12CA8"/>
    <w:rsid w:val="00D12DA4"/>
    <w:rsid w:val="00D131D6"/>
    <w:rsid w:val="00D14345"/>
    <w:rsid w:val="00D163A7"/>
    <w:rsid w:val="00D16EDA"/>
    <w:rsid w:val="00D230AC"/>
    <w:rsid w:val="00D23517"/>
    <w:rsid w:val="00D24CFF"/>
    <w:rsid w:val="00D25052"/>
    <w:rsid w:val="00D250F2"/>
    <w:rsid w:val="00D25E50"/>
    <w:rsid w:val="00D2762C"/>
    <w:rsid w:val="00D303E4"/>
    <w:rsid w:val="00D30B7E"/>
    <w:rsid w:val="00D32F32"/>
    <w:rsid w:val="00D34606"/>
    <w:rsid w:val="00D348AE"/>
    <w:rsid w:val="00D35544"/>
    <w:rsid w:val="00D35D46"/>
    <w:rsid w:val="00D403A0"/>
    <w:rsid w:val="00D43FA6"/>
    <w:rsid w:val="00D440F1"/>
    <w:rsid w:val="00D444FC"/>
    <w:rsid w:val="00D45DB5"/>
    <w:rsid w:val="00D46049"/>
    <w:rsid w:val="00D46D48"/>
    <w:rsid w:val="00D47BAF"/>
    <w:rsid w:val="00D5176F"/>
    <w:rsid w:val="00D51E2B"/>
    <w:rsid w:val="00D538F2"/>
    <w:rsid w:val="00D53E20"/>
    <w:rsid w:val="00D54677"/>
    <w:rsid w:val="00D55DC1"/>
    <w:rsid w:val="00D573FF"/>
    <w:rsid w:val="00D60B7F"/>
    <w:rsid w:val="00D615B5"/>
    <w:rsid w:val="00D63A55"/>
    <w:rsid w:val="00D6420A"/>
    <w:rsid w:val="00D646E6"/>
    <w:rsid w:val="00D66CAD"/>
    <w:rsid w:val="00D671CF"/>
    <w:rsid w:val="00D67881"/>
    <w:rsid w:val="00D67E34"/>
    <w:rsid w:val="00D718C9"/>
    <w:rsid w:val="00D7194B"/>
    <w:rsid w:val="00D727EE"/>
    <w:rsid w:val="00D72BC5"/>
    <w:rsid w:val="00D75518"/>
    <w:rsid w:val="00D763D3"/>
    <w:rsid w:val="00D8049B"/>
    <w:rsid w:val="00D80B01"/>
    <w:rsid w:val="00D94665"/>
    <w:rsid w:val="00D94716"/>
    <w:rsid w:val="00D96378"/>
    <w:rsid w:val="00D96B46"/>
    <w:rsid w:val="00DA0088"/>
    <w:rsid w:val="00DA06F1"/>
    <w:rsid w:val="00DA37B4"/>
    <w:rsid w:val="00DA40B9"/>
    <w:rsid w:val="00DA5FDF"/>
    <w:rsid w:val="00DA63B1"/>
    <w:rsid w:val="00DB1846"/>
    <w:rsid w:val="00DB2F1A"/>
    <w:rsid w:val="00DB5895"/>
    <w:rsid w:val="00DB770F"/>
    <w:rsid w:val="00DC2EFD"/>
    <w:rsid w:val="00DC4CA9"/>
    <w:rsid w:val="00DC5249"/>
    <w:rsid w:val="00DC6676"/>
    <w:rsid w:val="00DC6D58"/>
    <w:rsid w:val="00DD11C4"/>
    <w:rsid w:val="00DD4B23"/>
    <w:rsid w:val="00DD5734"/>
    <w:rsid w:val="00DD5978"/>
    <w:rsid w:val="00DD63BF"/>
    <w:rsid w:val="00DD6B97"/>
    <w:rsid w:val="00DE39A1"/>
    <w:rsid w:val="00DE3E06"/>
    <w:rsid w:val="00DE60BA"/>
    <w:rsid w:val="00DE795B"/>
    <w:rsid w:val="00DF1154"/>
    <w:rsid w:val="00DF453F"/>
    <w:rsid w:val="00DF4ED1"/>
    <w:rsid w:val="00DF68ED"/>
    <w:rsid w:val="00DF7F09"/>
    <w:rsid w:val="00E06135"/>
    <w:rsid w:val="00E0673D"/>
    <w:rsid w:val="00E077D6"/>
    <w:rsid w:val="00E110EE"/>
    <w:rsid w:val="00E127B2"/>
    <w:rsid w:val="00E13A22"/>
    <w:rsid w:val="00E14D75"/>
    <w:rsid w:val="00E23DD3"/>
    <w:rsid w:val="00E24865"/>
    <w:rsid w:val="00E24A02"/>
    <w:rsid w:val="00E25863"/>
    <w:rsid w:val="00E268B8"/>
    <w:rsid w:val="00E27132"/>
    <w:rsid w:val="00E31213"/>
    <w:rsid w:val="00E31461"/>
    <w:rsid w:val="00E37582"/>
    <w:rsid w:val="00E430F7"/>
    <w:rsid w:val="00E45690"/>
    <w:rsid w:val="00E45E2D"/>
    <w:rsid w:val="00E50BFB"/>
    <w:rsid w:val="00E54151"/>
    <w:rsid w:val="00E56E38"/>
    <w:rsid w:val="00E60767"/>
    <w:rsid w:val="00E61E71"/>
    <w:rsid w:val="00E6335D"/>
    <w:rsid w:val="00E63EE3"/>
    <w:rsid w:val="00E656EE"/>
    <w:rsid w:val="00E670F2"/>
    <w:rsid w:val="00E705A3"/>
    <w:rsid w:val="00E72BF1"/>
    <w:rsid w:val="00E72CC8"/>
    <w:rsid w:val="00E74873"/>
    <w:rsid w:val="00E761D1"/>
    <w:rsid w:val="00E80AF2"/>
    <w:rsid w:val="00E810AD"/>
    <w:rsid w:val="00E81A39"/>
    <w:rsid w:val="00E828AC"/>
    <w:rsid w:val="00E84F74"/>
    <w:rsid w:val="00E851BE"/>
    <w:rsid w:val="00E87427"/>
    <w:rsid w:val="00E8785C"/>
    <w:rsid w:val="00E920A6"/>
    <w:rsid w:val="00E925E7"/>
    <w:rsid w:val="00E92A0A"/>
    <w:rsid w:val="00E94824"/>
    <w:rsid w:val="00E966CE"/>
    <w:rsid w:val="00E97CFC"/>
    <w:rsid w:val="00EA129E"/>
    <w:rsid w:val="00EA2710"/>
    <w:rsid w:val="00EA2C22"/>
    <w:rsid w:val="00EA3E59"/>
    <w:rsid w:val="00EA3F0D"/>
    <w:rsid w:val="00EA4DA1"/>
    <w:rsid w:val="00EA6643"/>
    <w:rsid w:val="00EB2AB8"/>
    <w:rsid w:val="00EB3A82"/>
    <w:rsid w:val="00EB3E22"/>
    <w:rsid w:val="00EB4302"/>
    <w:rsid w:val="00EB5B09"/>
    <w:rsid w:val="00EB6185"/>
    <w:rsid w:val="00EB6615"/>
    <w:rsid w:val="00EB7DC9"/>
    <w:rsid w:val="00EC593A"/>
    <w:rsid w:val="00EC6C83"/>
    <w:rsid w:val="00ED2396"/>
    <w:rsid w:val="00ED33A3"/>
    <w:rsid w:val="00EE027B"/>
    <w:rsid w:val="00EE23B1"/>
    <w:rsid w:val="00EF2CEF"/>
    <w:rsid w:val="00EF5BF1"/>
    <w:rsid w:val="00EF685D"/>
    <w:rsid w:val="00EF76F6"/>
    <w:rsid w:val="00F00690"/>
    <w:rsid w:val="00F0180D"/>
    <w:rsid w:val="00F01B3F"/>
    <w:rsid w:val="00F024E4"/>
    <w:rsid w:val="00F02AC8"/>
    <w:rsid w:val="00F044BF"/>
    <w:rsid w:val="00F04E7A"/>
    <w:rsid w:val="00F116E6"/>
    <w:rsid w:val="00F11D31"/>
    <w:rsid w:val="00F1247E"/>
    <w:rsid w:val="00F126B0"/>
    <w:rsid w:val="00F1288A"/>
    <w:rsid w:val="00F13A1D"/>
    <w:rsid w:val="00F13F70"/>
    <w:rsid w:val="00F154A8"/>
    <w:rsid w:val="00F15861"/>
    <w:rsid w:val="00F16375"/>
    <w:rsid w:val="00F163BD"/>
    <w:rsid w:val="00F170FE"/>
    <w:rsid w:val="00F21F8C"/>
    <w:rsid w:val="00F25A07"/>
    <w:rsid w:val="00F30D99"/>
    <w:rsid w:val="00F31007"/>
    <w:rsid w:val="00F31CB2"/>
    <w:rsid w:val="00F32BE6"/>
    <w:rsid w:val="00F33205"/>
    <w:rsid w:val="00F37A1D"/>
    <w:rsid w:val="00F4069D"/>
    <w:rsid w:val="00F41457"/>
    <w:rsid w:val="00F41D89"/>
    <w:rsid w:val="00F42509"/>
    <w:rsid w:val="00F42616"/>
    <w:rsid w:val="00F443D2"/>
    <w:rsid w:val="00F45956"/>
    <w:rsid w:val="00F5006F"/>
    <w:rsid w:val="00F511AD"/>
    <w:rsid w:val="00F539C4"/>
    <w:rsid w:val="00F53B15"/>
    <w:rsid w:val="00F53F48"/>
    <w:rsid w:val="00F55BE1"/>
    <w:rsid w:val="00F60E9B"/>
    <w:rsid w:val="00F610C6"/>
    <w:rsid w:val="00F63835"/>
    <w:rsid w:val="00F6674C"/>
    <w:rsid w:val="00F66874"/>
    <w:rsid w:val="00F67052"/>
    <w:rsid w:val="00F67D7D"/>
    <w:rsid w:val="00F67F97"/>
    <w:rsid w:val="00F71D86"/>
    <w:rsid w:val="00F71E51"/>
    <w:rsid w:val="00F74182"/>
    <w:rsid w:val="00F76771"/>
    <w:rsid w:val="00F77FE5"/>
    <w:rsid w:val="00F805CE"/>
    <w:rsid w:val="00F8188D"/>
    <w:rsid w:val="00F825B7"/>
    <w:rsid w:val="00F82CD1"/>
    <w:rsid w:val="00F831A3"/>
    <w:rsid w:val="00F84C45"/>
    <w:rsid w:val="00F85342"/>
    <w:rsid w:val="00F901F7"/>
    <w:rsid w:val="00F957B4"/>
    <w:rsid w:val="00F96FB6"/>
    <w:rsid w:val="00F978DD"/>
    <w:rsid w:val="00FA0AE4"/>
    <w:rsid w:val="00FA10EC"/>
    <w:rsid w:val="00FA34C7"/>
    <w:rsid w:val="00FA5040"/>
    <w:rsid w:val="00FA795F"/>
    <w:rsid w:val="00FB15EB"/>
    <w:rsid w:val="00FB6042"/>
    <w:rsid w:val="00FC07B6"/>
    <w:rsid w:val="00FC1FA3"/>
    <w:rsid w:val="00FC2759"/>
    <w:rsid w:val="00FC49F4"/>
    <w:rsid w:val="00FC6799"/>
    <w:rsid w:val="00FC7436"/>
    <w:rsid w:val="00FC7587"/>
    <w:rsid w:val="00FD138A"/>
    <w:rsid w:val="00FD1A09"/>
    <w:rsid w:val="00FD2B2D"/>
    <w:rsid w:val="00FD4F82"/>
    <w:rsid w:val="00FD5224"/>
    <w:rsid w:val="00FD6CB2"/>
    <w:rsid w:val="00FE1C16"/>
    <w:rsid w:val="00FE1DCA"/>
    <w:rsid w:val="00FE242C"/>
    <w:rsid w:val="00FE3629"/>
    <w:rsid w:val="00FE4E85"/>
    <w:rsid w:val="00FE565F"/>
    <w:rsid w:val="00FE5F10"/>
    <w:rsid w:val="00FE6FE8"/>
    <w:rsid w:val="00FE7C50"/>
    <w:rsid w:val="00FF2573"/>
    <w:rsid w:val="00FF6080"/>
    <w:rsid w:val="020D1E0D"/>
    <w:rsid w:val="0263225C"/>
    <w:rsid w:val="02696599"/>
    <w:rsid w:val="0273007C"/>
    <w:rsid w:val="04A0560A"/>
    <w:rsid w:val="06492A2B"/>
    <w:rsid w:val="06B53531"/>
    <w:rsid w:val="06B7553E"/>
    <w:rsid w:val="06C146C4"/>
    <w:rsid w:val="06C627B3"/>
    <w:rsid w:val="06DA2C11"/>
    <w:rsid w:val="072A3DF9"/>
    <w:rsid w:val="07886B61"/>
    <w:rsid w:val="07BA7F2D"/>
    <w:rsid w:val="08462C5E"/>
    <w:rsid w:val="0870581B"/>
    <w:rsid w:val="08A2799E"/>
    <w:rsid w:val="08E72356"/>
    <w:rsid w:val="091631BE"/>
    <w:rsid w:val="094F68BA"/>
    <w:rsid w:val="0A96786E"/>
    <w:rsid w:val="0ADD2E56"/>
    <w:rsid w:val="0B082E63"/>
    <w:rsid w:val="0B387AD1"/>
    <w:rsid w:val="0B63112B"/>
    <w:rsid w:val="0C0137D8"/>
    <w:rsid w:val="0CD45A64"/>
    <w:rsid w:val="0E644614"/>
    <w:rsid w:val="0EBE29D2"/>
    <w:rsid w:val="0F4E618A"/>
    <w:rsid w:val="10245B94"/>
    <w:rsid w:val="10844541"/>
    <w:rsid w:val="10867C4B"/>
    <w:rsid w:val="11624D06"/>
    <w:rsid w:val="11990B9D"/>
    <w:rsid w:val="11FF02A2"/>
    <w:rsid w:val="12791770"/>
    <w:rsid w:val="136C7AB1"/>
    <w:rsid w:val="15D80155"/>
    <w:rsid w:val="166764F1"/>
    <w:rsid w:val="178E4646"/>
    <w:rsid w:val="17CB32E7"/>
    <w:rsid w:val="19037E97"/>
    <w:rsid w:val="197E7031"/>
    <w:rsid w:val="1AC534BC"/>
    <w:rsid w:val="1C487039"/>
    <w:rsid w:val="1CD54433"/>
    <w:rsid w:val="1D3205F1"/>
    <w:rsid w:val="1DB878B6"/>
    <w:rsid w:val="1E900D4C"/>
    <w:rsid w:val="1EF41A47"/>
    <w:rsid w:val="1F24693A"/>
    <w:rsid w:val="1FAB5C1D"/>
    <w:rsid w:val="207F2647"/>
    <w:rsid w:val="208E5FDF"/>
    <w:rsid w:val="214473ED"/>
    <w:rsid w:val="2187594D"/>
    <w:rsid w:val="23573D8B"/>
    <w:rsid w:val="23AE4FF1"/>
    <w:rsid w:val="25282020"/>
    <w:rsid w:val="25AE65E9"/>
    <w:rsid w:val="25BA1CF6"/>
    <w:rsid w:val="26FD2F81"/>
    <w:rsid w:val="276E05A8"/>
    <w:rsid w:val="28C734D3"/>
    <w:rsid w:val="2A0F5CCA"/>
    <w:rsid w:val="2BC7693A"/>
    <w:rsid w:val="2BCC4267"/>
    <w:rsid w:val="2D6F34B0"/>
    <w:rsid w:val="2E7D4620"/>
    <w:rsid w:val="2F9E514C"/>
    <w:rsid w:val="313835E8"/>
    <w:rsid w:val="324A10CE"/>
    <w:rsid w:val="32DF47D2"/>
    <w:rsid w:val="337F42B4"/>
    <w:rsid w:val="3417275B"/>
    <w:rsid w:val="34252CAA"/>
    <w:rsid w:val="346F58BD"/>
    <w:rsid w:val="34B14942"/>
    <w:rsid w:val="34BA51B9"/>
    <w:rsid w:val="34DA70C3"/>
    <w:rsid w:val="358507B5"/>
    <w:rsid w:val="365729D5"/>
    <w:rsid w:val="36890256"/>
    <w:rsid w:val="3754608B"/>
    <w:rsid w:val="37CD130A"/>
    <w:rsid w:val="38B05923"/>
    <w:rsid w:val="39507FF1"/>
    <w:rsid w:val="3ADA2910"/>
    <w:rsid w:val="3AF410E4"/>
    <w:rsid w:val="3BCC0CBE"/>
    <w:rsid w:val="3D233212"/>
    <w:rsid w:val="3EC87502"/>
    <w:rsid w:val="3F624D85"/>
    <w:rsid w:val="40591E03"/>
    <w:rsid w:val="40CF5E4C"/>
    <w:rsid w:val="40D117DA"/>
    <w:rsid w:val="40E12205"/>
    <w:rsid w:val="412339EB"/>
    <w:rsid w:val="41443B0A"/>
    <w:rsid w:val="41C80C39"/>
    <w:rsid w:val="42554B3B"/>
    <w:rsid w:val="43474E6D"/>
    <w:rsid w:val="43640F01"/>
    <w:rsid w:val="44A042A4"/>
    <w:rsid w:val="44F752FE"/>
    <w:rsid w:val="45EC5BCF"/>
    <w:rsid w:val="4682024F"/>
    <w:rsid w:val="47641BD3"/>
    <w:rsid w:val="479E2072"/>
    <w:rsid w:val="48540D01"/>
    <w:rsid w:val="49481D1C"/>
    <w:rsid w:val="494F4157"/>
    <w:rsid w:val="49A45B91"/>
    <w:rsid w:val="49F23E6A"/>
    <w:rsid w:val="4B1A19A3"/>
    <w:rsid w:val="4B571B97"/>
    <w:rsid w:val="4BFE0542"/>
    <w:rsid w:val="4C0673A7"/>
    <w:rsid w:val="4CD62D3F"/>
    <w:rsid w:val="4DED6260"/>
    <w:rsid w:val="4DFB2161"/>
    <w:rsid w:val="4FA64051"/>
    <w:rsid w:val="500D660A"/>
    <w:rsid w:val="50997EA4"/>
    <w:rsid w:val="509A426B"/>
    <w:rsid w:val="50B05655"/>
    <w:rsid w:val="535437AB"/>
    <w:rsid w:val="53C76FD4"/>
    <w:rsid w:val="549F16B7"/>
    <w:rsid w:val="56541A02"/>
    <w:rsid w:val="57ED4C59"/>
    <w:rsid w:val="58E92093"/>
    <w:rsid w:val="5AE21F60"/>
    <w:rsid w:val="5AEB3B4A"/>
    <w:rsid w:val="5B5C7F71"/>
    <w:rsid w:val="5D1A67B8"/>
    <w:rsid w:val="5D99750E"/>
    <w:rsid w:val="5DD92006"/>
    <w:rsid w:val="5E3A5066"/>
    <w:rsid w:val="5E9464C3"/>
    <w:rsid w:val="5F3217CD"/>
    <w:rsid w:val="5F686F7F"/>
    <w:rsid w:val="60161979"/>
    <w:rsid w:val="6022777D"/>
    <w:rsid w:val="603870F8"/>
    <w:rsid w:val="60B27A64"/>
    <w:rsid w:val="616F6F42"/>
    <w:rsid w:val="61BD2427"/>
    <w:rsid w:val="628C7ED7"/>
    <w:rsid w:val="6303796D"/>
    <w:rsid w:val="634C3904"/>
    <w:rsid w:val="63875C13"/>
    <w:rsid w:val="651B533C"/>
    <w:rsid w:val="65B605A8"/>
    <w:rsid w:val="65EE59EB"/>
    <w:rsid w:val="66CF5990"/>
    <w:rsid w:val="670E2CF4"/>
    <w:rsid w:val="67410AC5"/>
    <w:rsid w:val="67872A39"/>
    <w:rsid w:val="67C03F80"/>
    <w:rsid w:val="68530979"/>
    <w:rsid w:val="688000F5"/>
    <w:rsid w:val="688D2EDA"/>
    <w:rsid w:val="69A3266E"/>
    <w:rsid w:val="6A4133F5"/>
    <w:rsid w:val="6A920F29"/>
    <w:rsid w:val="6B8F3992"/>
    <w:rsid w:val="6BAC7EF4"/>
    <w:rsid w:val="6BAF420E"/>
    <w:rsid w:val="6C37244E"/>
    <w:rsid w:val="6CC272A9"/>
    <w:rsid w:val="6CDD460C"/>
    <w:rsid w:val="6DB85C06"/>
    <w:rsid w:val="6E2214E9"/>
    <w:rsid w:val="6E53384B"/>
    <w:rsid w:val="6F2A52BA"/>
    <w:rsid w:val="6F634774"/>
    <w:rsid w:val="6FCB6B44"/>
    <w:rsid w:val="7043003D"/>
    <w:rsid w:val="707F531A"/>
    <w:rsid w:val="713A4D9B"/>
    <w:rsid w:val="714979D4"/>
    <w:rsid w:val="717F58B9"/>
    <w:rsid w:val="748702F8"/>
    <w:rsid w:val="75F23905"/>
    <w:rsid w:val="769767EC"/>
    <w:rsid w:val="76D4359C"/>
    <w:rsid w:val="771C617C"/>
    <w:rsid w:val="77357885"/>
    <w:rsid w:val="774B376F"/>
    <w:rsid w:val="77A07EFC"/>
    <w:rsid w:val="77AD62C7"/>
    <w:rsid w:val="780F44CF"/>
    <w:rsid w:val="786E1A72"/>
    <w:rsid w:val="78D0167D"/>
    <w:rsid w:val="79F85AE5"/>
    <w:rsid w:val="7A8C771D"/>
    <w:rsid w:val="7C0B15F2"/>
    <w:rsid w:val="7CF156A4"/>
    <w:rsid w:val="7D39062E"/>
    <w:rsid w:val="7DBA5F11"/>
    <w:rsid w:val="7E484C48"/>
    <w:rsid w:val="7FD10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40" w:after="240"/>
      <w:outlineLvl w:val="1"/>
    </w:pPr>
    <w:rPr>
      <w:rFonts w:ascii="Cambria" w:hAnsi="Cambria" w:eastAsia="黑体"/>
      <w:b/>
      <w:bCs/>
      <w:szCs w:val="32"/>
    </w:rPr>
  </w:style>
  <w:style w:type="paragraph" w:styleId="4">
    <w:name w:val="heading 3"/>
    <w:basedOn w:val="1"/>
    <w:next w:val="1"/>
    <w:link w:val="49"/>
    <w:autoRedefine/>
    <w:qFormat/>
    <w:uiPriority w:val="0"/>
    <w:pPr>
      <w:spacing w:before="100" w:beforeAutospacing="1" w:after="100" w:afterAutospacing="1"/>
      <w:jc w:val="left"/>
      <w:outlineLvl w:val="2"/>
    </w:pPr>
    <w:rPr>
      <w:rFonts w:ascii="宋体" w:hAnsi="宋体"/>
      <w:b/>
      <w:kern w:val="0"/>
      <w:sz w:val="27"/>
      <w:szCs w:val="27"/>
    </w:rPr>
  </w:style>
  <w:style w:type="paragraph" w:styleId="5">
    <w:name w:val="heading 4"/>
    <w:basedOn w:val="1"/>
    <w:next w:val="1"/>
    <w:autoRedefine/>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autoRedefine/>
    <w:qFormat/>
    <w:uiPriority w:val="0"/>
    <w:pPr>
      <w:keepNext/>
      <w:keepLines/>
      <w:spacing w:before="280" w:after="290" w:line="376" w:lineRule="auto"/>
      <w:outlineLvl w:val="4"/>
    </w:pPr>
    <w:rPr>
      <w:b/>
      <w:sz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autoRedefine/>
    <w:qFormat/>
    <w:uiPriority w:val="0"/>
    <w:pPr>
      <w:keepNext/>
      <w:keepLines/>
      <w:spacing w:before="240" w:after="64" w:line="320" w:lineRule="auto"/>
      <w:outlineLvl w:val="6"/>
    </w:pPr>
    <w:rPr>
      <w:b/>
      <w:sz w:val="24"/>
    </w:rPr>
  </w:style>
  <w:style w:type="paragraph" w:styleId="10">
    <w:name w:val="heading 8"/>
    <w:basedOn w:val="1"/>
    <w:next w:val="7"/>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autoRedefine/>
    <w:qFormat/>
    <w:uiPriority w:val="0"/>
    <w:pPr>
      <w:keepNext/>
      <w:keepLines/>
      <w:spacing w:before="240" w:after="64" w:line="320" w:lineRule="auto"/>
      <w:outlineLvl w:val="8"/>
    </w:pPr>
    <w:rPr>
      <w:rFonts w:ascii="Arial" w:hAnsi="Arial" w:eastAsia="黑体"/>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2">
    <w:name w:val="index 8"/>
    <w:basedOn w:val="1"/>
    <w:next w:val="1"/>
    <w:autoRedefine/>
    <w:qFormat/>
    <w:uiPriority w:val="0"/>
    <w:pPr>
      <w:ind w:left="2940"/>
    </w:pPr>
  </w:style>
  <w:style w:type="paragraph" w:styleId="13">
    <w:name w:val="List Number"/>
    <w:basedOn w:val="1"/>
    <w:autoRedefine/>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autoRedefine/>
    <w:semiHidden/>
    <w:qFormat/>
    <w:uiPriority w:val="0"/>
    <w:pPr>
      <w:shd w:val="clear" w:color="auto" w:fill="000080"/>
    </w:pPr>
  </w:style>
  <w:style w:type="paragraph" w:styleId="16">
    <w:name w:val="annotation text"/>
    <w:basedOn w:val="1"/>
    <w:link w:val="50"/>
    <w:autoRedefine/>
    <w:qFormat/>
    <w:uiPriority w:val="0"/>
    <w:pPr>
      <w:jc w:val="left"/>
    </w:pPr>
  </w:style>
  <w:style w:type="paragraph" w:styleId="17">
    <w:name w:val="Body Text 3"/>
    <w:basedOn w:val="1"/>
    <w:autoRedefine/>
    <w:qFormat/>
    <w:uiPriority w:val="0"/>
    <w:pPr>
      <w:spacing w:line="500" w:lineRule="exact"/>
    </w:pPr>
    <w:rPr>
      <w:b/>
      <w:bCs/>
      <w:sz w:val="24"/>
    </w:rPr>
  </w:style>
  <w:style w:type="paragraph" w:styleId="18">
    <w:name w:val="Body Text"/>
    <w:basedOn w:val="1"/>
    <w:next w:val="19"/>
    <w:autoRedefine/>
    <w:qFormat/>
    <w:uiPriority w:val="0"/>
    <w:pPr>
      <w:spacing w:line="380" w:lineRule="exact"/>
    </w:pPr>
    <w:rPr>
      <w:sz w:val="24"/>
    </w:rPr>
  </w:style>
  <w:style w:type="paragraph" w:styleId="19">
    <w:name w:val="Body Text First Indent 2"/>
    <w:basedOn w:val="20"/>
    <w:next w:val="1"/>
    <w:autoRedefine/>
    <w:qFormat/>
    <w:uiPriority w:val="0"/>
    <w:pPr>
      <w:ind w:firstLine="420" w:firstLineChars="200"/>
    </w:pPr>
    <w:rPr>
      <w:szCs w:val="24"/>
    </w:rPr>
  </w:style>
  <w:style w:type="paragraph" w:styleId="20">
    <w:name w:val="Body Text Indent"/>
    <w:basedOn w:val="1"/>
    <w:next w:val="21"/>
    <w:link w:val="52"/>
    <w:autoRedefine/>
    <w:qFormat/>
    <w:uiPriority w:val="0"/>
    <w:pPr>
      <w:ind w:firstLine="830" w:firstLineChars="352"/>
    </w:pPr>
    <w:rPr>
      <w:rFonts w:ascii="仿宋_GB2312" w:eastAsia="仿宋_GB2312"/>
      <w:sz w:val="32"/>
      <w:szCs w:val="20"/>
    </w:rPr>
  </w:style>
  <w:style w:type="paragraph" w:styleId="21">
    <w:name w:val="envelope return"/>
    <w:basedOn w:val="1"/>
    <w:autoRedefine/>
    <w:qFormat/>
    <w:uiPriority w:val="0"/>
    <w:pPr>
      <w:snapToGrid w:val="0"/>
    </w:pPr>
    <w:rPr>
      <w:rFonts w:ascii="Arial" w:hAnsi="Arial"/>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Plain Text"/>
    <w:basedOn w:val="1"/>
    <w:next w:val="5"/>
    <w:link w:val="53"/>
    <w:autoRedefine/>
    <w:qFormat/>
    <w:uiPriority w:val="0"/>
    <w:rPr>
      <w:rFonts w:ascii="宋体" w:hAnsi="Courier New" w:cs="Courier New"/>
      <w:szCs w:val="21"/>
    </w:rPr>
  </w:style>
  <w:style w:type="paragraph" w:styleId="25">
    <w:name w:val="Date"/>
    <w:basedOn w:val="1"/>
    <w:next w:val="1"/>
    <w:autoRedefine/>
    <w:qFormat/>
    <w:uiPriority w:val="0"/>
    <w:pPr>
      <w:ind w:left="100" w:leftChars="2500"/>
    </w:pPr>
    <w:rPr>
      <w:rFonts w:ascii="宋体" w:hAnsi="Courier New" w:cs="Courier New"/>
      <w:szCs w:val="21"/>
    </w:rPr>
  </w:style>
  <w:style w:type="paragraph" w:styleId="26">
    <w:name w:val="Body Text Indent 2"/>
    <w:basedOn w:val="1"/>
    <w:autoRedefine/>
    <w:qFormat/>
    <w:uiPriority w:val="0"/>
    <w:pPr>
      <w:ind w:firstLine="630"/>
    </w:pPr>
    <w:rPr>
      <w:sz w:val="32"/>
      <w:szCs w:val="20"/>
    </w:rPr>
  </w:style>
  <w:style w:type="paragraph" w:styleId="27">
    <w:name w:val="Balloon Text"/>
    <w:basedOn w:val="1"/>
    <w:autoRedefine/>
    <w:semiHidden/>
    <w:qFormat/>
    <w:uiPriority w:val="0"/>
    <w:rPr>
      <w:sz w:val="18"/>
      <w:szCs w:val="18"/>
    </w:rPr>
  </w:style>
  <w:style w:type="paragraph" w:styleId="28">
    <w:name w:val="footer"/>
    <w:basedOn w:val="1"/>
    <w:link w:val="115"/>
    <w:autoRedefine/>
    <w:qFormat/>
    <w:uiPriority w:val="99"/>
    <w:pPr>
      <w:tabs>
        <w:tab w:val="center" w:pos="4153"/>
        <w:tab w:val="right" w:pos="8306"/>
      </w:tabs>
      <w:snapToGrid w:val="0"/>
      <w:jc w:val="left"/>
    </w:pPr>
    <w:rPr>
      <w:sz w:val="18"/>
      <w:szCs w:val="18"/>
    </w:rPr>
  </w:style>
  <w:style w:type="paragraph" w:styleId="29">
    <w:name w:val="header"/>
    <w:basedOn w:val="1"/>
    <w:next w:val="1"/>
    <w:link w:val="51"/>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style>
  <w:style w:type="paragraph" w:styleId="31">
    <w:name w:val="List"/>
    <w:basedOn w:val="1"/>
    <w:autoRedefine/>
    <w:qFormat/>
    <w:uiPriority w:val="0"/>
    <w:pPr>
      <w:ind w:left="200" w:hanging="200" w:hangingChars="200"/>
    </w:pPr>
    <w:rPr>
      <w:sz w:val="28"/>
    </w:rPr>
  </w:style>
  <w:style w:type="paragraph" w:styleId="32">
    <w:name w:val="Body Text Indent 3"/>
    <w:basedOn w:val="1"/>
    <w:autoRedefine/>
    <w:qFormat/>
    <w:uiPriority w:val="0"/>
    <w:pPr>
      <w:spacing w:after="120"/>
      <w:ind w:left="420" w:leftChars="200"/>
    </w:pPr>
    <w:rPr>
      <w:sz w:val="16"/>
      <w:szCs w:val="16"/>
    </w:rPr>
  </w:style>
  <w:style w:type="paragraph" w:styleId="33">
    <w:name w:val="toc 2"/>
    <w:basedOn w:val="1"/>
    <w:next w:val="1"/>
    <w:autoRedefine/>
    <w:qFormat/>
    <w:uiPriority w:val="0"/>
    <w:pPr>
      <w:ind w:left="420" w:leftChars="200"/>
    </w:pPr>
  </w:style>
  <w:style w:type="paragraph" w:styleId="34">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35">
    <w:name w:val="Body Text 2"/>
    <w:basedOn w:val="1"/>
    <w:autoRedefine/>
    <w:qFormat/>
    <w:uiPriority w:val="0"/>
    <w:pPr>
      <w:spacing w:after="120" w:line="480" w:lineRule="auto"/>
    </w:pPr>
  </w:style>
  <w:style w:type="paragraph" w:styleId="3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7">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38">
    <w:name w:val="Title"/>
    <w:basedOn w:val="1"/>
    <w:next w:val="1"/>
    <w:link w:val="54"/>
    <w:autoRedefine/>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55"/>
    <w:autoRedefine/>
    <w:qFormat/>
    <w:uiPriority w:val="0"/>
    <w:rPr>
      <w:b/>
      <w:bCs/>
    </w:r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autoRedefine/>
    <w:qFormat/>
    <w:uiPriority w:val="0"/>
    <w:rPr>
      <w:rFonts w:ascii="Times New Roman" w:hAnsi="Times New Roman" w:eastAsia="宋体" w:cs="Times New Roman"/>
    </w:rPr>
  </w:style>
  <w:style w:type="character" w:styleId="44">
    <w:name w:val="FollowedHyperlink"/>
    <w:autoRedefine/>
    <w:qFormat/>
    <w:uiPriority w:val="0"/>
    <w:rPr>
      <w:color w:val="0000CC"/>
      <w:sz w:val="18"/>
      <w:szCs w:val="18"/>
      <w:u w:val="single"/>
    </w:rPr>
  </w:style>
  <w:style w:type="character" w:styleId="45">
    <w:name w:val="Emphasis"/>
    <w:autoRedefine/>
    <w:qFormat/>
    <w:uiPriority w:val="0"/>
    <w:rPr>
      <w:i/>
    </w:rPr>
  </w:style>
  <w:style w:type="character" w:styleId="46">
    <w:name w:val="Hyperlink"/>
    <w:autoRedefine/>
    <w:qFormat/>
    <w:uiPriority w:val="99"/>
    <w:rPr>
      <w:color w:val="0000CC"/>
      <w:sz w:val="18"/>
      <w:szCs w:val="18"/>
      <w:u w:val="single"/>
    </w:rPr>
  </w:style>
  <w:style w:type="character" w:styleId="47">
    <w:name w:val="annotation reference"/>
    <w:autoRedefine/>
    <w:qFormat/>
    <w:uiPriority w:val="0"/>
    <w:rPr>
      <w:sz w:val="21"/>
      <w:szCs w:val="21"/>
    </w:rPr>
  </w:style>
  <w:style w:type="character" w:customStyle="1" w:styleId="48">
    <w:name w:val="标题 1 字符"/>
    <w:link w:val="2"/>
    <w:autoRedefine/>
    <w:qFormat/>
    <w:uiPriority w:val="0"/>
    <w:rPr>
      <w:rFonts w:eastAsia="宋体"/>
      <w:b/>
      <w:bCs/>
      <w:kern w:val="44"/>
      <w:sz w:val="44"/>
      <w:szCs w:val="44"/>
      <w:lang w:val="en-US" w:eastAsia="zh-CN" w:bidi="ar-SA"/>
    </w:rPr>
  </w:style>
  <w:style w:type="character" w:customStyle="1" w:styleId="49">
    <w:name w:val="标题 3 字符"/>
    <w:link w:val="4"/>
    <w:autoRedefine/>
    <w:qFormat/>
    <w:uiPriority w:val="0"/>
    <w:rPr>
      <w:rFonts w:ascii="宋体" w:hAnsi="宋体"/>
      <w:b/>
      <w:sz w:val="27"/>
      <w:szCs w:val="27"/>
    </w:rPr>
  </w:style>
  <w:style w:type="character" w:customStyle="1" w:styleId="50">
    <w:name w:val="批注文字 字符1"/>
    <w:link w:val="16"/>
    <w:autoRedefine/>
    <w:qFormat/>
    <w:uiPriority w:val="0"/>
    <w:rPr>
      <w:kern w:val="2"/>
      <w:sz w:val="21"/>
      <w:szCs w:val="24"/>
    </w:rPr>
  </w:style>
  <w:style w:type="character" w:customStyle="1" w:styleId="51">
    <w:name w:val="页眉 字符"/>
    <w:link w:val="29"/>
    <w:autoRedefine/>
    <w:qFormat/>
    <w:uiPriority w:val="0"/>
    <w:rPr>
      <w:kern w:val="2"/>
      <w:sz w:val="18"/>
      <w:szCs w:val="18"/>
    </w:rPr>
  </w:style>
  <w:style w:type="character" w:customStyle="1" w:styleId="52">
    <w:name w:val="正文文本缩进 字符"/>
    <w:link w:val="20"/>
    <w:autoRedefine/>
    <w:qFormat/>
    <w:uiPriority w:val="0"/>
    <w:rPr>
      <w:rFonts w:ascii="仿宋_GB2312" w:eastAsia="仿宋_GB2312"/>
      <w:kern w:val="2"/>
      <w:sz w:val="32"/>
    </w:rPr>
  </w:style>
  <w:style w:type="character" w:customStyle="1" w:styleId="53">
    <w:name w:val="纯文本 字符1"/>
    <w:link w:val="24"/>
    <w:autoRedefine/>
    <w:qFormat/>
    <w:uiPriority w:val="0"/>
    <w:rPr>
      <w:rFonts w:ascii="宋体" w:hAnsi="Courier New" w:eastAsia="宋体" w:cs="Courier New"/>
      <w:kern w:val="2"/>
      <w:sz w:val="21"/>
      <w:szCs w:val="21"/>
      <w:lang w:val="en-US" w:eastAsia="zh-CN" w:bidi="ar-SA"/>
    </w:rPr>
  </w:style>
  <w:style w:type="character" w:customStyle="1" w:styleId="54">
    <w:name w:val="标题 字符"/>
    <w:link w:val="38"/>
    <w:autoRedefine/>
    <w:qFormat/>
    <w:uiPriority w:val="0"/>
    <w:rPr>
      <w:rFonts w:ascii="Cambria" w:hAnsi="Cambria" w:cs="Times New Roman"/>
      <w:b/>
      <w:bCs/>
      <w:kern w:val="2"/>
      <w:sz w:val="32"/>
      <w:szCs w:val="32"/>
    </w:rPr>
  </w:style>
  <w:style w:type="character" w:customStyle="1" w:styleId="55">
    <w:name w:val="批注主题 字符"/>
    <w:link w:val="39"/>
    <w:autoRedefine/>
    <w:qFormat/>
    <w:uiPriority w:val="0"/>
    <w:rPr>
      <w:b/>
      <w:bCs/>
      <w:kern w:val="2"/>
      <w:sz w:val="21"/>
      <w:szCs w:val="24"/>
    </w:rPr>
  </w:style>
  <w:style w:type="paragraph" w:customStyle="1" w:styleId="5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ts_tip_2"/>
    <w:autoRedefine/>
    <w:qFormat/>
    <w:uiPriority w:val="0"/>
    <w:rPr>
      <w:color w:val="E43023"/>
    </w:rPr>
  </w:style>
  <w:style w:type="character" w:customStyle="1" w:styleId="58">
    <w:name w:val="linebg"/>
    <w:autoRedefine/>
    <w:qFormat/>
    <w:uiPriority w:val="0"/>
  </w:style>
  <w:style w:type="character" w:customStyle="1" w:styleId="59">
    <w:name w:val="普通文字 Char Char2"/>
    <w:autoRedefine/>
    <w:qFormat/>
    <w:uiPriority w:val="0"/>
    <w:rPr>
      <w:rFonts w:ascii="宋体" w:hAnsi="Courier New" w:eastAsia="宋体"/>
      <w:kern w:val="2"/>
      <w:sz w:val="21"/>
      <w:lang w:val="en-US" w:eastAsia="zh-CN" w:bidi="ar-SA"/>
    </w:rPr>
  </w:style>
  <w:style w:type="character" w:customStyle="1" w:styleId="60">
    <w:name w:val="bus_type_tip"/>
    <w:autoRedefine/>
    <w:qFormat/>
    <w:uiPriority w:val="0"/>
    <w:rPr>
      <w:color w:val="FFFFFF"/>
      <w:sz w:val="18"/>
      <w:szCs w:val="18"/>
    </w:rPr>
  </w:style>
  <w:style w:type="character" w:customStyle="1" w:styleId="61">
    <w:name w:val="linebg_on1"/>
    <w:autoRedefine/>
    <w:qFormat/>
    <w:uiPriority w:val="0"/>
  </w:style>
  <w:style w:type="character" w:customStyle="1" w:styleId="62">
    <w:name w:val="ts_tip_1"/>
    <w:autoRedefine/>
    <w:qFormat/>
    <w:uiPriority w:val="0"/>
    <w:rPr>
      <w:color w:val="468B02"/>
    </w:rPr>
  </w:style>
  <w:style w:type="character" w:customStyle="1" w:styleId="63">
    <w:name w:val="linebg1"/>
    <w:autoRedefine/>
    <w:qFormat/>
    <w:uiPriority w:val="0"/>
  </w:style>
  <w:style w:type="character" w:customStyle="1" w:styleId="64">
    <w:name w:val="redfilefwwh"/>
    <w:autoRedefine/>
    <w:qFormat/>
    <w:uiPriority w:val="0"/>
    <w:rPr>
      <w:color w:val="BA2636"/>
      <w:sz w:val="18"/>
      <w:szCs w:val="18"/>
    </w:rPr>
  </w:style>
  <w:style w:type="character" w:customStyle="1" w:styleId="65">
    <w:name w:val="map_taglist"/>
    <w:autoRedefine/>
    <w:qFormat/>
    <w:uiPriority w:val="0"/>
    <w:rPr>
      <w:color w:val="666666"/>
    </w:rPr>
  </w:style>
  <w:style w:type="character" w:customStyle="1" w:styleId="66">
    <w:name w:val="bus_type_3"/>
    <w:autoRedefine/>
    <w:qFormat/>
    <w:uiPriority w:val="0"/>
    <w:rPr>
      <w:shd w:val="clear" w:color="auto" w:fill="43CC8D"/>
    </w:rPr>
  </w:style>
  <w:style w:type="character" w:customStyle="1" w:styleId="67">
    <w:name w:val="active3"/>
    <w:autoRedefine/>
    <w:qFormat/>
    <w:uiPriority w:val="0"/>
    <w:rPr>
      <w:shd w:val="clear" w:color="auto" w:fill="FFFFFF"/>
    </w:rPr>
  </w:style>
  <w:style w:type="character" w:customStyle="1" w:styleId="68">
    <w:name w:val="gjfg"/>
    <w:autoRedefine/>
    <w:qFormat/>
    <w:uiPriority w:val="0"/>
  </w:style>
  <w:style w:type="character" w:customStyle="1" w:styleId="69">
    <w:name w:val="displayarti"/>
    <w:autoRedefine/>
    <w:qFormat/>
    <w:uiPriority w:val="0"/>
    <w:rPr>
      <w:color w:val="FFFFFF"/>
      <w:shd w:val="clear" w:color="auto" w:fill="A00000"/>
    </w:rPr>
  </w:style>
  <w:style w:type="character" w:customStyle="1" w:styleId="70">
    <w:name w:val="linebg_on"/>
    <w:autoRedefine/>
    <w:qFormat/>
    <w:uiPriority w:val="0"/>
  </w:style>
  <w:style w:type="character" w:customStyle="1" w:styleId="71">
    <w:name w:val="redfilenumber"/>
    <w:autoRedefine/>
    <w:qFormat/>
    <w:uiPriority w:val="0"/>
    <w:rPr>
      <w:color w:val="BA2636"/>
      <w:sz w:val="18"/>
      <w:szCs w:val="18"/>
    </w:rPr>
  </w:style>
  <w:style w:type="character" w:customStyle="1" w:styleId="72">
    <w:name w:val="cfdate"/>
    <w:autoRedefine/>
    <w:qFormat/>
    <w:uiPriority w:val="0"/>
    <w:rPr>
      <w:color w:val="333333"/>
      <w:sz w:val="18"/>
      <w:szCs w:val="18"/>
    </w:rPr>
  </w:style>
  <w:style w:type="character" w:customStyle="1" w:styleId="73">
    <w:name w:val="bus_type_2"/>
    <w:autoRedefine/>
    <w:qFormat/>
    <w:uiPriority w:val="0"/>
    <w:rPr>
      <w:shd w:val="clear" w:color="auto" w:fill="FF4141"/>
    </w:rPr>
  </w:style>
  <w:style w:type="character" w:customStyle="1" w:styleId="74">
    <w:name w:val="bus_type_0"/>
    <w:autoRedefine/>
    <w:qFormat/>
    <w:uiPriority w:val="0"/>
    <w:rPr>
      <w:shd w:val="clear" w:color="auto" w:fill="FF8853"/>
    </w:rPr>
  </w:style>
  <w:style w:type="character" w:customStyle="1" w:styleId="75">
    <w:name w:val="qxdate"/>
    <w:autoRedefine/>
    <w:qFormat/>
    <w:uiPriority w:val="0"/>
    <w:rPr>
      <w:color w:val="333333"/>
      <w:sz w:val="18"/>
      <w:szCs w:val="18"/>
    </w:rPr>
  </w:style>
  <w:style w:type="character" w:customStyle="1" w:styleId="76">
    <w:name w:val="time_dis"/>
    <w:autoRedefine/>
    <w:qFormat/>
    <w:uiPriority w:val="0"/>
  </w:style>
  <w:style w:type="character" w:customStyle="1" w:styleId="77">
    <w:name w:val="hover42"/>
    <w:autoRedefine/>
    <w:qFormat/>
    <w:uiPriority w:val="0"/>
    <w:rPr>
      <w:bdr w:val="single" w:color="999999" w:sz="6" w:space="0"/>
    </w:rPr>
  </w:style>
  <w:style w:type="character" w:customStyle="1" w:styleId="78">
    <w:name w:val="input_span11"/>
    <w:autoRedefine/>
    <w:qFormat/>
    <w:uiPriority w:val="0"/>
  </w:style>
  <w:style w:type="character" w:customStyle="1" w:styleId="79">
    <w:name w:val="bus_type_4"/>
    <w:autoRedefine/>
    <w:qFormat/>
    <w:uiPriority w:val="0"/>
    <w:rPr>
      <w:shd w:val="clear" w:color="auto" w:fill="333F89"/>
    </w:rPr>
  </w:style>
  <w:style w:type="character" w:customStyle="1" w:styleId="80">
    <w:name w:val="纯文本 字符"/>
    <w:autoRedefine/>
    <w:qFormat/>
    <w:uiPriority w:val="0"/>
    <w:rPr>
      <w:rFonts w:ascii="宋体" w:hAnsi="Courier New" w:eastAsia="宋体" w:cs="Courier New"/>
      <w:kern w:val="2"/>
      <w:sz w:val="21"/>
      <w:szCs w:val="21"/>
      <w:lang w:val="en-US" w:eastAsia="zh-CN" w:bidi="ar-SA"/>
    </w:rPr>
  </w:style>
  <w:style w:type="character" w:customStyle="1" w:styleId="81">
    <w:name w:val="active4"/>
    <w:autoRedefine/>
    <w:qFormat/>
    <w:uiPriority w:val="0"/>
    <w:rPr>
      <w:shd w:val="clear" w:color="auto" w:fill="FFFFFF"/>
    </w:rPr>
  </w:style>
  <w:style w:type="character" w:customStyle="1" w:styleId="82">
    <w:name w:val="样式1 Char"/>
    <w:link w:val="83"/>
    <w:autoRedefine/>
    <w:qFormat/>
    <w:uiPriority w:val="0"/>
    <w:rPr>
      <w:rFonts w:eastAsia="宋体"/>
      <w:kern w:val="2"/>
      <w:sz w:val="21"/>
      <w:szCs w:val="24"/>
      <w:lang w:val="en-US" w:eastAsia="zh-CN" w:bidi="ar-SA"/>
    </w:rPr>
  </w:style>
  <w:style w:type="paragraph" w:customStyle="1" w:styleId="83">
    <w:name w:val="样式1"/>
    <w:basedOn w:val="1"/>
    <w:link w:val="82"/>
    <w:autoRedefine/>
    <w:qFormat/>
    <w:uiPriority w:val="0"/>
  </w:style>
  <w:style w:type="character" w:customStyle="1" w:styleId="84">
    <w:name w:val="generalinfo-address-text1"/>
    <w:autoRedefine/>
    <w:qFormat/>
    <w:uiPriority w:val="0"/>
    <w:rPr>
      <w:sz w:val="18"/>
      <w:szCs w:val="18"/>
    </w:rPr>
  </w:style>
  <w:style w:type="character" w:customStyle="1" w:styleId="85">
    <w:name w:val="1ji Char"/>
    <w:link w:val="86"/>
    <w:autoRedefine/>
    <w:qFormat/>
    <w:uiPriority w:val="0"/>
    <w:rPr>
      <w:rFonts w:ascii="宋体" w:hAnsi="宋体" w:eastAsia="宋体"/>
      <w:b/>
      <w:bCs/>
      <w:kern w:val="44"/>
      <w:sz w:val="36"/>
      <w:szCs w:val="44"/>
      <w:lang w:val="en-US" w:eastAsia="zh-CN" w:bidi="ar-SA"/>
    </w:rPr>
  </w:style>
  <w:style w:type="paragraph" w:customStyle="1" w:styleId="86">
    <w:name w:val="1ji"/>
    <w:basedOn w:val="2"/>
    <w:link w:val="85"/>
    <w:autoRedefine/>
    <w:qFormat/>
    <w:uiPriority w:val="0"/>
    <w:pPr>
      <w:keepLines w:val="0"/>
      <w:widowControl/>
      <w:spacing w:before="0" w:after="0" w:line="240" w:lineRule="auto"/>
      <w:jc w:val="center"/>
    </w:pPr>
    <w:rPr>
      <w:rFonts w:ascii="宋体" w:hAnsi="宋体"/>
      <w:sz w:val="36"/>
    </w:rPr>
  </w:style>
  <w:style w:type="character" w:customStyle="1" w:styleId="87">
    <w:name w:val="自定义标题一 Char"/>
    <w:link w:val="88"/>
    <w:autoRedefine/>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88">
    <w:name w:val="自定义标题一"/>
    <w:basedOn w:val="2"/>
    <w:link w:val="87"/>
    <w:autoRedefine/>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89">
    <w:name w:val="font21"/>
    <w:autoRedefine/>
    <w:qFormat/>
    <w:uiPriority w:val="0"/>
    <w:rPr>
      <w:rFonts w:hint="default" w:ascii="Times New Roman" w:hAnsi="Times New Roman" w:cs="Times New Roman"/>
      <w:color w:val="000000"/>
      <w:sz w:val="21"/>
      <w:szCs w:val="21"/>
      <w:u w:val="none"/>
    </w:rPr>
  </w:style>
  <w:style w:type="character" w:customStyle="1" w:styleId="90">
    <w:name w:val="普通文字 Char Char3"/>
    <w:autoRedefine/>
    <w:qFormat/>
    <w:uiPriority w:val="0"/>
    <w:rPr>
      <w:rFonts w:ascii="宋体" w:hAnsi="Courier New" w:eastAsia="宋体" w:cs="Courier New"/>
      <w:kern w:val="2"/>
      <w:sz w:val="21"/>
      <w:szCs w:val="21"/>
      <w:lang w:val="en-US" w:eastAsia="zh-CN" w:bidi="ar-SA"/>
    </w:rPr>
  </w:style>
  <w:style w:type="character" w:customStyle="1" w:styleId="91">
    <w:name w:val="curpage"/>
    <w:autoRedefine/>
    <w:qFormat/>
    <w:uiPriority w:val="0"/>
    <w:rPr>
      <w:b/>
    </w:rPr>
  </w:style>
  <w:style w:type="character" w:customStyle="1" w:styleId="92">
    <w:name w:val="纯文本 Char1"/>
    <w:autoRedefine/>
    <w:qFormat/>
    <w:uiPriority w:val="0"/>
    <w:rPr>
      <w:rFonts w:ascii="宋体" w:hAnsi="Courier New" w:eastAsia="宋体" w:cs="Courier New"/>
      <w:kern w:val="2"/>
      <w:sz w:val="21"/>
      <w:szCs w:val="21"/>
      <w:lang w:val="en-US" w:eastAsia="zh-CN" w:bidi="ar-SA"/>
    </w:rPr>
  </w:style>
  <w:style w:type="character" w:customStyle="1" w:styleId="93">
    <w:name w:val="apple-style-span"/>
    <w:autoRedefine/>
    <w:qFormat/>
    <w:uiPriority w:val="99"/>
  </w:style>
  <w:style w:type="paragraph" w:customStyle="1" w:styleId="94">
    <w:name w:val="Char"/>
    <w:basedOn w:val="15"/>
    <w:autoRedefine/>
    <w:qFormat/>
    <w:uiPriority w:val="0"/>
    <w:pPr>
      <w:widowControl/>
      <w:ind w:firstLine="454"/>
      <w:jc w:val="left"/>
    </w:pPr>
    <w:rPr>
      <w:rFonts w:ascii="Tahoma" w:hAnsi="Tahoma" w:cs="宋体"/>
      <w:kern w:val="0"/>
      <w:sz w:val="24"/>
      <w:szCs w:val="20"/>
    </w:rPr>
  </w:style>
  <w:style w:type="paragraph" w:customStyle="1" w:styleId="95">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96">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7">
    <w:name w:val="_Style 35"/>
    <w:basedOn w:val="15"/>
    <w:autoRedefine/>
    <w:qFormat/>
    <w:uiPriority w:val="0"/>
    <w:pPr>
      <w:widowControl/>
      <w:ind w:firstLine="454"/>
      <w:jc w:val="left"/>
    </w:pPr>
  </w:style>
  <w:style w:type="paragraph" w:customStyle="1" w:styleId="98">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99">
    <w:name w:val="列出段落1"/>
    <w:basedOn w:val="1"/>
    <w:autoRedefine/>
    <w:qFormat/>
    <w:uiPriority w:val="0"/>
    <w:pPr>
      <w:spacing w:line="312" w:lineRule="auto"/>
      <w:ind w:firstLine="420" w:firstLineChars="200"/>
    </w:pPr>
  </w:style>
  <w:style w:type="paragraph" w:customStyle="1" w:styleId="100">
    <w:name w:val="1"/>
    <w:basedOn w:val="1"/>
    <w:next w:val="24"/>
    <w:autoRedefine/>
    <w:qFormat/>
    <w:uiPriority w:val="0"/>
    <w:rPr>
      <w:rFonts w:ascii="宋体" w:hAnsi="Courier New"/>
      <w:szCs w:val="20"/>
    </w:rPr>
  </w:style>
  <w:style w:type="paragraph" w:customStyle="1" w:styleId="101">
    <w:name w:val="Char1"/>
    <w:basedOn w:val="15"/>
    <w:autoRedefine/>
    <w:qFormat/>
    <w:uiPriority w:val="0"/>
    <w:pPr>
      <w:widowControl/>
      <w:ind w:firstLine="454"/>
      <w:jc w:val="left"/>
    </w:pPr>
    <w:rPr>
      <w:rFonts w:ascii="Tahoma" w:hAnsi="Tahoma" w:cs="宋体"/>
      <w:kern w:val="0"/>
      <w:sz w:val="24"/>
      <w:szCs w:val="20"/>
    </w:rPr>
  </w:style>
  <w:style w:type="paragraph" w:customStyle="1" w:styleId="102">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3">
    <w:name w:val="_Style 10"/>
    <w:basedOn w:val="1"/>
    <w:autoRedefine/>
    <w:qFormat/>
    <w:uiPriority w:val="0"/>
    <w:pPr>
      <w:ind w:firstLine="420" w:firstLineChars="200"/>
    </w:pPr>
    <w:rPr>
      <w:rFonts w:ascii="Calibri" w:hAnsi="Calibri"/>
      <w:szCs w:val="20"/>
    </w:rPr>
  </w:style>
  <w:style w:type="paragraph" w:customStyle="1" w:styleId="104">
    <w:name w:val="列出段落2"/>
    <w:basedOn w:val="1"/>
    <w:autoRedefine/>
    <w:qFormat/>
    <w:uiPriority w:val="34"/>
    <w:pPr>
      <w:widowControl/>
      <w:ind w:firstLine="420" w:firstLineChars="200"/>
      <w:jc w:val="left"/>
    </w:pPr>
    <w:rPr>
      <w:rFonts w:ascii="宋体" w:hAnsi="宋体" w:cs="宋体"/>
      <w:kern w:val="0"/>
    </w:rPr>
  </w:style>
  <w:style w:type="paragraph" w:customStyle="1" w:styleId="105">
    <w:name w:val="默认段落字体 Para Char Char Char Char Char Char Char Char Char1 Char Char Char Char"/>
    <w:basedOn w:val="1"/>
    <w:autoRedefine/>
    <w:qFormat/>
    <w:uiPriority w:val="0"/>
    <w:rPr>
      <w:rFonts w:ascii="Tahoma" w:hAnsi="Tahoma"/>
      <w:sz w:val="24"/>
      <w:szCs w:val="20"/>
    </w:rPr>
  </w:style>
  <w:style w:type="paragraph" w:styleId="106">
    <w:name w:val="List Paragraph"/>
    <w:basedOn w:val="1"/>
    <w:link w:val="113"/>
    <w:autoRedefine/>
    <w:qFormat/>
    <w:uiPriority w:val="99"/>
    <w:pPr>
      <w:ind w:firstLine="420" w:firstLineChars="200"/>
    </w:pPr>
  </w:style>
  <w:style w:type="paragraph" w:customStyle="1" w:styleId="107">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08">
    <w:name w:val="批注文字 字符"/>
    <w:autoRedefine/>
    <w:qFormat/>
    <w:uiPriority w:val="0"/>
    <w:rPr>
      <w:kern w:val="2"/>
      <w:sz w:val="21"/>
      <w:szCs w:val="24"/>
    </w:rPr>
  </w:style>
  <w:style w:type="paragraph" w:customStyle="1" w:styleId="109">
    <w:name w:val="p15"/>
    <w:basedOn w:val="1"/>
    <w:autoRedefine/>
    <w:qFormat/>
    <w:uiPriority w:val="0"/>
    <w:pPr>
      <w:widowControl/>
    </w:pPr>
    <w:rPr>
      <w:rFonts w:ascii="宋体" w:hAnsi="宋体" w:cs="宋体"/>
      <w:kern w:val="0"/>
      <w:szCs w:val="21"/>
    </w:rPr>
  </w:style>
  <w:style w:type="character" w:customStyle="1" w:styleId="110">
    <w:name w:val="纯文本 Char2"/>
    <w:autoRedefine/>
    <w:qFormat/>
    <w:uiPriority w:val="0"/>
    <w:rPr>
      <w:rFonts w:ascii="宋体" w:hAnsi="宋体" w:eastAsia="宋体" w:cs="Courier New"/>
      <w:color w:val="000000"/>
      <w:kern w:val="1"/>
      <w:sz w:val="21"/>
      <w:szCs w:val="21"/>
      <w:lang w:val="en-US" w:eastAsia="zh-CN" w:bidi="ar-SA"/>
    </w:rPr>
  </w:style>
  <w:style w:type="paragraph" w:customStyle="1" w:styleId="111">
    <w:name w:val="Heading1"/>
    <w:basedOn w:val="1"/>
    <w:next w:val="1"/>
    <w:autoRedefine/>
    <w:qFormat/>
    <w:uiPriority w:val="0"/>
    <w:pPr>
      <w:spacing w:before="43"/>
      <w:jc w:val="center"/>
      <w:textAlignment w:val="baseline"/>
    </w:pPr>
    <w:rPr>
      <w:rFonts w:ascii="黑体" w:hAnsi="黑体" w:eastAsia="黑体" w:cs="黑体"/>
      <w:b/>
      <w:bCs/>
      <w:sz w:val="32"/>
      <w:szCs w:val="32"/>
      <w:lang w:val="zh-CN" w:bidi="zh-CN"/>
    </w:rPr>
  </w:style>
  <w:style w:type="paragraph" w:customStyle="1" w:styleId="112">
    <w:name w:val="PlainText"/>
    <w:basedOn w:val="1"/>
    <w:autoRedefine/>
    <w:qFormat/>
    <w:uiPriority w:val="0"/>
    <w:pPr>
      <w:widowControl/>
      <w:textAlignment w:val="baseline"/>
    </w:pPr>
    <w:rPr>
      <w:rFonts w:ascii="宋体" w:hAnsi="宋体" w:cs="Courier New"/>
      <w:szCs w:val="20"/>
    </w:rPr>
  </w:style>
  <w:style w:type="character" w:customStyle="1" w:styleId="113">
    <w:name w:val="列出段落 字符"/>
    <w:link w:val="106"/>
    <w:autoRedefine/>
    <w:qFormat/>
    <w:uiPriority w:val="99"/>
    <w:rPr>
      <w:kern w:val="2"/>
      <w:sz w:val="21"/>
      <w:szCs w:val="24"/>
    </w:rPr>
  </w:style>
  <w:style w:type="paragraph" w:customStyle="1" w:styleId="114">
    <w:name w:val="表格文字"/>
    <w:basedOn w:val="20"/>
    <w:autoRedefine/>
    <w:qFormat/>
    <w:uiPriority w:val="0"/>
    <w:pPr>
      <w:spacing w:line="0" w:lineRule="atLeast"/>
      <w:jc w:val="center"/>
    </w:pPr>
    <w:rPr>
      <w:sz w:val="28"/>
    </w:rPr>
  </w:style>
  <w:style w:type="character" w:customStyle="1" w:styleId="115">
    <w:name w:val="页脚 字符"/>
    <w:basedOn w:val="42"/>
    <w:link w:val="28"/>
    <w:autoRedefine/>
    <w:qFormat/>
    <w:uiPriority w:val="99"/>
    <w:rPr>
      <w:kern w:val="2"/>
      <w:sz w:val="18"/>
      <w:szCs w:val="18"/>
    </w:rPr>
  </w:style>
  <w:style w:type="paragraph" w:customStyle="1" w:styleId="116">
    <w:name w:val="Table Paragraph"/>
    <w:basedOn w:val="1"/>
    <w:autoRedefine/>
    <w:qFormat/>
    <w:uiPriority w:val="1"/>
    <w:pPr>
      <w:jc w:val="left"/>
    </w:pPr>
    <w:rPr>
      <w:rFonts w:ascii="Calibri" w:hAnsi="Calibri"/>
      <w:kern w:val="0"/>
      <w:sz w:val="22"/>
      <w:szCs w:val="22"/>
      <w:lang w:eastAsia="en-US"/>
    </w:rPr>
  </w:style>
  <w:style w:type="paragraph" w:customStyle="1" w:styleId="117">
    <w:name w:val="Table Text"/>
    <w:basedOn w:val="1"/>
    <w:semiHidden/>
    <w:qFormat/>
    <w:uiPriority w:val="0"/>
    <w:rPr>
      <w:rFonts w:ascii="宋体" w:hAnsi="宋体" w:eastAsia="宋体" w:cs="宋体"/>
      <w:sz w:val="20"/>
      <w:szCs w:val="20"/>
      <w:lang w:val="en-US" w:eastAsia="en-US" w:bidi="ar-SA"/>
    </w:rPr>
  </w:style>
  <w:style w:type="table" w:customStyle="1" w:styleId="1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10824</Words>
  <Characters>11788</Characters>
  <Lines>385</Lines>
  <Paragraphs>108</Paragraphs>
  <TotalTime>56</TotalTime>
  <ScaleCrop>false</ScaleCrop>
  <LinksUpToDate>false</LinksUpToDate>
  <CharactersWithSpaces>11991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2024-02-21T03:50:00Z</dcterms:created>
  <dc:creator>聂泉源</dc:creator>
  <cp:lastModifiedBy>Admin</cp:lastModifiedBy>
  <cp:lastPrinted>2024-04-28T07:29:00Z</cp:lastPrinted>
  <dcterms:modified xsi:type="dcterms:W3CDTF">2024-12-12T07:18:35Z</dcterms:modified>
  <dc:title>3</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AE3FB398C48D4B6694221807B313D1DE_13</vt:lpwstr>
  </property>
</Properties>
</file>